
<file path=[Content_Types].xml><?xml version="1.0" encoding="utf-8"?>
<Types xmlns="http://schemas.openxmlformats.org/package/2006/content-types">
  <Default Extension="xml" ContentType="application/xml"/>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85CBD">
      <w:pPr>
        <w:widowControl w:val="0"/>
        <w:ind w:firstLine="0" w:firstLineChars="0"/>
        <w:rPr>
          <w:rFonts w:cs="Times New Roman"/>
          <w:color w:val="000000" w:themeColor="text1"/>
          <w:kern w:val="2"/>
          <w14:textFill>
            <w14:solidFill>
              <w14:schemeClr w14:val="tx1"/>
            </w14:solidFill>
          </w14:textFill>
        </w:rPr>
      </w:pPr>
      <w:bookmarkStart w:id="0" w:name="_Hlk85101962"/>
    </w:p>
    <w:p w14:paraId="2DB169B6">
      <w:pPr>
        <w:widowControl w:val="0"/>
        <w:ind w:firstLine="0" w:firstLineChars="0"/>
        <w:rPr>
          <w:rFonts w:cs="Times New Roman"/>
          <w:color w:val="000000" w:themeColor="text1"/>
          <w:kern w:val="2"/>
          <w14:textFill>
            <w14:solidFill>
              <w14:schemeClr w14:val="tx1"/>
            </w14:solidFill>
          </w14:textFill>
        </w:rPr>
      </w:pPr>
      <w:r>
        <w:rPr>
          <w:color w:val="000000" w:themeColor="text1"/>
          <w14:textFill>
            <w14:solidFill>
              <w14:schemeClr w14:val="tx1"/>
            </w14:solidFill>
          </w14:textFill>
        </w:rPr>
        <w:drawing>
          <wp:inline distT="0" distB="0" distL="0" distR="0">
            <wp:extent cx="497205" cy="5715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85" cstate="email"/>
                    <a:stretch>
                      <a:fillRect/>
                    </a:stretch>
                  </pic:blipFill>
                  <pic:spPr>
                    <a:xfrm>
                      <a:off x="0" y="0"/>
                      <a:ext cx="527827" cy="607001"/>
                    </a:xfrm>
                    <a:prstGeom prst="rect">
                      <a:avLst/>
                    </a:prstGeom>
                  </pic:spPr>
                </pic:pic>
              </a:graphicData>
            </a:graphic>
          </wp:inline>
        </w:drawing>
      </w:r>
    </w:p>
    <w:p w14:paraId="47E9D6CB">
      <w:pPr>
        <w:widowControl w:val="0"/>
        <w:ind w:firstLine="480"/>
        <w:rPr>
          <w:rFonts w:cs="Times New Roman"/>
          <w:color w:val="000000" w:themeColor="text1"/>
          <w:kern w:val="2"/>
          <w14:textFill>
            <w14:solidFill>
              <w14:schemeClr w14:val="tx1"/>
            </w14:solidFill>
          </w14:textFill>
        </w:rPr>
      </w:pPr>
    </w:p>
    <w:p w14:paraId="20925EEB">
      <w:pPr>
        <w:widowControl w:val="0"/>
        <w:ind w:firstLine="480"/>
        <w:rPr>
          <w:rFonts w:cs="Times New Roman"/>
          <w:color w:val="000000" w:themeColor="text1"/>
          <w:kern w:val="2"/>
          <w14:textFill>
            <w14:solidFill>
              <w14:schemeClr w14:val="tx1"/>
            </w14:solidFill>
          </w14:textFill>
        </w:rPr>
      </w:pPr>
    </w:p>
    <w:p w14:paraId="029B134D">
      <w:pPr>
        <w:widowControl w:val="0"/>
        <w:ind w:firstLine="480"/>
        <w:rPr>
          <w:rFonts w:cs="Times New Roman"/>
          <w:color w:val="000000" w:themeColor="text1"/>
          <w:kern w:val="2"/>
          <w14:textFill>
            <w14:solidFill>
              <w14:schemeClr w14:val="tx1"/>
            </w14:solidFill>
          </w14:textFill>
        </w:rPr>
      </w:pPr>
    </w:p>
    <w:p w14:paraId="31D09475">
      <w:pPr>
        <w:widowControl w:val="0"/>
        <w:spacing w:before="240"/>
        <w:ind w:firstLine="480"/>
        <w:rPr>
          <w:rFonts w:cs="Times New Roman"/>
          <w:color w:val="000000" w:themeColor="text1"/>
          <w:kern w:val="2"/>
          <w14:textFill>
            <w14:solidFill>
              <w14:schemeClr w14:val="tx1"/>
            </w14:solidFill>
          </w14:textFill>
        </w:rPr>
      </w:pPr>
    </w:p>
    <w:p w14:paraId="250EC88F">
      <w:pPr>
        <w:pStyle w:val="52"/>
        <w:ind w:firstLine="0" w:firstLineChars="0"/>
        <w:rPr>
          <w:color w:val="000000" w:themeColor="text1"/>
          <w14:textFill>
            <w14:solidFill>
              <w14:schemeClr w14:val="tx1"/>
            </w14:solidFill>
          </w14:textFill>
        </w:rPr>
      </w:pPr>
      <w:bookmarkStart w:id="1" w:name="_Hlk149549393"/>
      <w:bookmarkStart w:id="2" w:name="_Hlk74160834"/>
      <w:r>
        <w:rPr>
          <w:rFonts w:hint="eastAsia"/>
          <w:color w:val="000000" w:themeColor="text1"/>
          <w14:textFill>
            <w14:solidFill>
              <w14:schemeClr w14:val="tx1"/>
            </w14:solidFill>
          </w14:textFill>
        </w:rPr>
        <w:t>包头金山经济开发区</w:t>
      </w:r>
    </w:p>
    <w:bookmarkEnd w:id="1"/>
    <w:p w14:paraId="6CA20522">
      <w:pPr>
        <w:pStyle w:val="54"/>
        <w:ind w:firstLine="280" w:firstLineChars="39"/>
        <w:rPr>
          <w:color w:val="000000" w:themeColor="text1"/>
          <w14:textFill>
            <w14:solidFill>
              <w14:schemeClr w14:val="tx1"/>
            </w14:solidFill>
          </w14:textFill>
        </w:rPr>
      </w:pPr>
      <w:bookmarkStart w:id="3" w:name="_Hlk85167904"/>
      <w:r>
        <w:rPr>
          <w:color w:val="000000" w:themeColor="text1"/>
          <w14:textFill>
            <w14:solidFill>
              <w14:schemeClr w14:val="tx1"/>
            </w14:solidFill>
          </w14:textFill>
        </w:rPr>
        <w:t>水土保持区域评估报</w:t>
      </w:r>
      <w:r>
        <w:rPr>
          <w:rFonts w:hint="eastAsia"/>
          <w:color w:val="000000" w:themeColor="text1"/>
          <w14:textFill>
            <w14:solidFill>
              <w14:schemeClr w14:val="tx1"/>
            </w14:solidFill>
          </w14:textFill>
        </w:rPr>
        <w:t>告</w:t>
      </w:r>
      <w:bookmarkEnd w:id="3"/>
    </w:p>
    <w:bookmarkEnd w:id="2"/>
    <w:p w14:paraId="2D5D1A59">
      <w:pPr>
        <w:widowControl w:val="0"/>
        <w:ind w:firstLine="480"/>
        <w:rPr>
          <w:rFonts w:cs="Times New Roman"/>
          <w:color w:val="000000" w:themeColor="text1"/>
          <w:kern w:val="2"/>
          <w14:textFill>
            <w14:solidFill>
              <w14:schemeClr w14:val="tx1"/>
            </w14:solidFill>
          </w14:textFill>
        </w:rPr>
      </w:pPr>
    </w:p>
    <w:p w14:paraId="086EE1D3">
      <w:pPr>
        <w:widowControl w:val="0"/>
        <w:ind w:firstLine="480"/>
        <w:rPr>
          <w:rFonts w:cs="Times New Roman"/>
          <w:color w:val="000000" w:themeColor="text1"/>
          <w:kern w:val="2"/>
          <w14:textFill>
            <w14:solidFill>
              <w14:schemeClr w14:val="tx1"/>
            </w14:solidFill>
          </w14:textFill>
        </w:rPr>
      </w:pPr>
    </w:p>
    <w:p w14:paraId="123FB649">
      <w:pPr>
        <w:widowControl w:val="0"/>
        <w:ind w:firstLine="480"/>
        <w:rPr>
          <w:rFonts w:cs="Times New Roman"/>
          <w:color w:val="000000" w:themeColor="text1"/>
          <w:kern w:val="2"/>
          <w14:textFill>
            <w14:solidFill>
              <w14:schemeClr w14:val="tx1"/>
            </w14:solidFill>
          </w14:textFill>
        </w:rPr>
      </w:pPr>
    </w:p>
    <w:p w14:paraId="79DD2B99">
      <w:pPr>
        <w:widowControl w:val="0"/>
        <w:ind w:firstLine="480"/>
        <w:rPr>
          <w:rFonts w:cs="Times New Roman"/>
          <w:color w:val="000000" w:themeColor="text1"/>
          <w:kern w:val="2"/>
          <w14:textFill>
            <w14:solidFill>
              <w14:schemeClr w14:val="tx1"/>
            </w14:solidFill>
          </w14:textFill>
        </w:rPr>
      </w:pPr>
    </w:p>
    <w:p w14:paraId="048149AC">
      <w:pPr>
        <w:widowControl w:val="0"/>
        <w:ind w:firstLine="480"/>
        <w:rPr>
          <w:rFonts w:cs="Times New Roman"/>
          <w:color w:val="000000" w:themeColor="text1"/>
          <w:kern w:val="2"/>
          <w14:textFill>
            <w14:solidFill>
              <w14:schemeClr w14:val="tx1"/>
            </w14:solidFill>
          </w14:textFill>
        </w:rPr>
      </w:pPr>
    </w:p>
    <w:p w14:paraId="600E776E">
      <w:pPr>
        <w:widowControl w:val="0"/>
        <w:ind w:firstLine="480"/>
        <w:rPr>
          <w:rFonts w:cs="Times New Roman"/>
          <w:color w:val="000000" w:themeColor="text1"/>
          <w:kern w:val="2"/>
          <w14:textFill>
            <w14:solidFill>
              <w14:schemeClr w14:val="tx1"/>
            </w14:solidFill>
          </w14:textFill>
        </w:rPr>
      </w:pPr>
    </w:p>
    <w:p w14:paraId="67532FB0">
      <w:pPr>
        <w:widowControl w:val="0"/>
        <w:ind w:firstLine="480"/>
        <w:rPr>
          <w:rFonts w:cs="Times New Roman"/>
          <w:color w:val="000000" w:themeColor="text1"/>
          <w:kern w:val="2"/>
          <w14:textFill>
            <w14:solidFill>
              <w14:schemeClr w14:val="tx1"/>
            </w14:solidFill>
          </w14:textFill>
        </w:rPr>
      </w:pPr>
    </w:p>
    <w:p w14:paraId="6C69507F">
      <w:pPr>
        <w:widowControl w:val="0"/>
        <w:ind w:firstLine="480"/>
        <w:rPr>
          <w:rFonts w:cs="Times New Roman"/>
          <w:color w:val="000000" w:themeColor="text1"/>
          <w:kern w:val="2"/>
          <w14:textFill>
            <w14:solidFill>
              <w14:schemeClr w14:val="tx1"/>
            </w14:solidFill>
          </w14:textFill>
        </w:rPr>
      </w:pPr>
    </w:p>
    <w:p w14:paraId="2373A3BF">
      <w:pPr>
        <w:widowControl w:val="0"/>
        <w:ind w:firstLine="480"/>
        <w:rPr>
          <w:rFonts w:cs="Times New Roman"/>
          <w:color w:val="000000" w:themeColor="text1"/>
          <w:kern w:val="2"/>
          <w14:textFill>
            <w14:solidFill>
              <w14:schemeClr w14:val="tx1"/>
            </w14:solidFill>
          </w14:textFill>
        </w:rPr>
      </w:pPr>
    </w:p>
    <w:p w14:paraId="7FA22BAA">
      <w:pPr>
        <w:widowControl w:val="0"/>
        <w:ind w:firstLine="480"/>
        <w:rPr>
          <w:rFonts w:cs="Times New Roman"/>
          <w:color w:val="000000" w:themeColor="text1"/>
          <w:kern w:val="2"/>
          <w14:textFill>
            <w14:solidFill>
              <w14:schemeClr w14:val="tx1"/>
            </w14:solidFill>
          </w14:textFill>
        </w:rPr>
      </w:pPr>
    </w:p>
    <w:p w14:paraId="4E1D5A3E">
      <w:pPr>
        <w:widowControl w:val="0"/>
        <w:ind w:firstLine="480"/>
        <w:rPr>
          <w:rFonts w:cs="Times New Roman"/>
          <w:color w:val="000000" w:themeColor="text1"/>
          <w:kern w:val="2"/>
          <w14:textFill>
            <w14:solidFill>
              <w14:schemeClr w14:val="tx1"/>
            </w14:solidFill>
          </w14:textFill>
        </w:rPr>
      </w:pPr>
    </w:p>
    <w:p w14:paraId="40DF93D5">
      <w:pPr>
        <w:widowControl w:val="0"/>
        <w:ind w:firstLine="480"/>
        <w:rPr>
          <w:rFonts w:cs="Times New Roman"/>
          <w:color w:val="000000" w:themeColor="text1"/>
          <w:kern w:val="2"/>
          <w14:textFill>
            <w14:solidFill>
              <w14:schemeClr w14:val="tx1"/>
            </w14:solidFill>
          </w14:textFill>
        </w:rPr>
      </w:pPr>
    </w:p>
    <w:p w14:paraId="6542342C">
      <w:pPr>
        <w:widowControl w:val="0"/>
        <w:ind w:firstLine="480"/>
        <w:rPr>
          <w:rFonts w:cs="Times New Roman"/>
          <w:color w:val="000000" w:themeColor="text1"/>
          <w:kern w:val="2"/>
          <w14:textFill>
            <w14:solidFill>
              <w14:schemeClr w14:val="tx1"/>
            </w14:solidFill>
          </w14:textFill>
        </w:rPr>
      </w:pPr>
    </w:p>
    <w:p w14:paraId="60A79ABD">
      <w:pPr>
        <w:pStyle w:val="56"/>
        <w:ind w:firstLine="281" w:firstLineChars="88"/>
        <w:rPr>
          <w:color w:val="000000" w:themeColor="text1"/>
          <w14:textFill>
            <w14:solidFill>
              <w14:schemeClr w14:val="tx1"/>
            </w14:solidFill>
          </w14:textFill>
        </w:rPr>
      </w:pPr>
      <w:bookmarkStart w:id="4" w:name="_Hlk153901123"/>
      <w:r>
        <w:rPr>
          <w:color w:val="000000" w:themeColor="text1"/>
          <w14:textFill>
            <w14:solidFill>
              <w14:schemeClr w14:val="tx1"/>
            </w14:solidFill>
          </w14:textFill>
        </w:rPr>
        <w:t>管理机构：</w:t>
      </w:r>
      <w:bookmarkStart w:id="5" w:name="_Hlk149516183"/>
      <w:bookmarkStart w:id="6" w:name="_Hlk149549726"/>
      <w:r>
        <w:rPr>
          <w:rFonts w:hint="eastAsia"/>
          <w:color w:val="000000" w:themeColor="text1"/>
          <w14:textFill>
            <w14:solidFill>
              <w14:schemeClr w14:val="tx1"/>
            </w14:solidFill>
          </w14:textFill>
        </w:rPr>
        <w:t>内蒙古包头钢铁冶金开发区金山产业园管理办公室</w:t>
      </w:r>
      <w:bookmarkEnd w:id="5"/>
    </w:p>
    <w:bookmarkEnd w:id="6"/>
    <w:p w14:paraId="0009F09A">
      <w:pPr>
        <w:pStyle w:val="56"/>
        <w:ind w:firstLine="281" w:firstLineChars="88"/>
        <w:rPr>
          <w:color w:val="000000" w:themeColor="text1"/>
          <w14:textFill>
            <w14:solidFill>
              <w14:schemeClr w14:val="tx1"/>
            </w14:solidFill>
          </w14:textFill>
        </w:rPr>
      </w:pPr>
      <w:r>
        <w:rPr>
          <w:color w:val="000000" w:themeColor="text1"/>
          <w14:textFill>
            <w14:solidFill>
              <w14:schemeClr w14:val="tx1"/>
            </w14:solidFill>
          </w14:textFill>
        </w:rPr>
        <w:t>编制单位：中材地质工程勘查研究院有限公司</w:t>
      </w:r>
    </w:p>
    <w:bookmarkEnd w:id="4"/>
    <w:p w14:paraId="0B0CA2BF">
      <w:pPr>
        <w:pStyle w:val="56"/>
        <w:ind w:firstLine="281" w:firstLineChars="88"/>
        <w:jc w:val="center"/>
        <w:rPr>
          <w:b/>
          <w:color w:val="000000" w:themeColor="text1"/>
          <w14:textFill>
            <w14:solidFill>
              <w14:schemeClr w14:val="tx1"/>
            </w14:solidFill>
          </w14:textFill>
        </w:rPr>
      </w:pPr>
      <w:r>
        <w:rPr>
          <w:color w:val="000000" w:themeColor="text1"/>
          <w14:textFill>
            <w14:solidFill>
              <w14:schemeClr w14:val="tx1"/>
            </w14:solidFill>
          </w14:textFill>
        </w:rPr>
        <w:t>2023年12月</w:t>
      </w:r>
    </w:p>
    <w:bookmarkEnd w:id="0"/>
    <w:p w14:paraId="053A862A">
      <w:pPr>
        <w:widowControl w:val="0"/>
        <w:ind w:firstLine="240" w:firstLineChars="100"/>
        <w:rPr>
          <w:color w:val="000000" w:themeColor="text1"/>
          <w14:textFill>
            <w14:solidFill>
              <w14:schemeClr w14:val="tx1"/>
            </w14:solidFill>
          </w14:textFill>
        </w:rPr>
      </w:pPr>
    </w:p>
    <w:p w14:paraId="6233F225">
      <w:pPr>
        <w:widowControl w:val="0"/>
        <w:ind w:firstLine="240" w:firstLineChars="100"/>
        <w:rPr>
          <w:color w:val="000000" w:themeColor="text1"/>
          <w14:textFill>
            <w14:solidFill>
              <w14:schemeClr w14:val="tx1"/>
            </w14:solidFill>
          </w14:textFill>
        </w:rPr>
      </w:pPr>
    </w:p>
    <w:p w14:paraId="2E3D2769">
      <w:pPr>
        <w:widowControl w:val="0"/>
        <w:ind w:firstLine="240" w:firstLineChars="100"/>
        <w:rPr>
          <w:color w:val="000000" w:themeColor="text1"/>
          <w14:textFill>
            <w14:solidFill>
              <w14:schemeClr w14:val="tx1"/>
            </w14:solidFill>
          </w14:textFill>
        </w:rPr>
        <w:sectPr>
          <w:headerReference r:id="rId7" w:type="first"/>
          <w:headerReference r:id="rId5" w:type="default"/>
          <w:headerReference r:id="rId6" w:type="even"/>
          <w:footerReference r:id="rId8" w:type="even"/>
          <w:type w:val="oddPage"/>
          <w:pgSz w:w="11906" w:h="16838"/>
          <w:pgMar w:top="1418" w:right="1418" w:bottom="1418" w:left="1418" w:header="850" w:footer="992" w:gutter="0"/>
          <w:pgNumType w:fmt="upperRoman" w:start="1"/>
          <w:cols w:space="720" w:num="1"/>
          <w:docGrid w:linePitch="326" w:charSpace="0"/>
        </w:sectPr>
      </w:pPr>
    </w:p>
    <w:p w14:paraId="266EA90F">
      <w:pPr>
        <w:widowControl w:val="0"/>
        <w:ind w:firstLine="0" w:firstLineChars="0"/>
        <w:rPr>
          <w:color w:val="000000" w:themeColor="text1"/>
          <w:sz w:val="20"/>
          <w:szCs w:val="20"/>
          <w14:textFill>
            <w14:solidFill>
              <w14:schemeClr w14:val="tx1"/>
            </w14:solidFill>
          </w14:textFill>
        </w:rPr>
      </w:pPr>
      <w:bookmarkStart w:id="7" w:name="_Hlk88837519"/>
      <w:r>
        <w:rPr>
          <w:color w:val="000000" w:themeColor="text1"/>
          <w:sz w:val="20"/>
          <w:szCs w:val="20"/>
          <w14:textFill>
            <w14:solidFill>
              <w14:schemeClr w14:val="tx1"/>
            </w14:solidFill>
          </w14:textFill>
        </w:rPr>
        <w:drawing>
          <wp:inline distT="0" distB="0" distL="0" distR="0">
            <wp:extent cx="5759450" cy="4065905"/>
            <wp:effectExtent l="0" t="0" r="0" b="0"/>
            <wp:docPr id="15799188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918866" name="图片 1"/>
                    <pic:cNvPicPr>
                      <a:picLocks noChangeAspect="1" noChangeArrowheads="1"/>
                    </pic:cNvPicPr>
                  </pic:nvPicPr>
                  <pic:blipFill>
                    <a:blip r:embed="rId86" cstate="email"/>
                    <a:srcRect/>
                    <a:stretch>
                      <a:fillRect/>
                    </a:stretch>
                  </pic:blipFill>
                  <pic:spPr>
                    <a:xfrm>
                      <a:off x="0" y="0"/>
                      <a:ext cx="5759450" cy="4065905"/>
                    </a:xfrm>
                    <a:prstGeom prst="rect">
                      <a:avLst/>
                    </a:prstGeom>
                    <a:noFill/>
                    <a:ln>
                      <a:noFill/>
                    </a:ln>
                  </pic:spPr>
                </pic:pic>
              </a:graphicData>
            </a:graphic>
          </wp:inline>
        </w:drawing>
      </w:r>
    </w:p>
    <w:p w14:paraId="0C6FC46C">
      <w:pPr>
        <w:widowControl w:val="0"/>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公司地址：北京朝阳区望京西路甲5</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号1号楼4</w:t>
      </w:r>
      <w:r>
        <w:rPr>
          <w:color w:val="000000" w:themeColor="text1"/>
          <w14:textFill>
            <w14:solidFill>
              <w14:schemeClr w14:val="tx1"/>
            </w14:solidFill>
          </w14:textFill>
        </w:rPr>
        <w:t>01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402</w:t>
      </w:r>
    </w:p>
    <w:p w14:paraId="604FC388">
      <w:pPr>
        <w:widowControl w:val="0"/>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联系人：张振恒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联系电话：1</w:t>
      </w:r>
      <w:r>
        <w:rPr>
          <w:color w:val="000000" w:themeColor="text1"/>
          <w14:textFill>
            <w14:solidFill>
              <w14:schemeClr w14:val="tx1"/>
            </w14:solidFill>
          </w14:textFill>
        </w:rPr>
        <w:t>3807681969</w:t>
      </w:r>
    </w:p>
    <w:p w14:paraId="619FB411">
      <w:pPr>
        <w:widowControl w:val="0"/>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邮箱：</w:t>
      </w:r>
      <w:r>
        <w:fldChar w:fldCharType="begin"/>
      </w:r>
      <w:r>
        <w:instrText xml:space="preserve"> HYPERLINK "mailto:371892256@qq.com" </w:instrText>
      </w:r>
      <w:r>
        <w:fldChar w:fldCharType="separate"/>
      </w:r>
      <w:r>
        <w:rPr>
          <w:rFonts w:hint="eastAsia"/>
          <w:color w:val="000000" w:themeColor="text1"/>
          <w14:textFill>
            <w14:solidFill>
              <w14:schemeClr w14:val="tx1"/>
            </w14:solidFill>
          </w14:textFill>
        </w:rPr>
        <w:t>3</w:t>
      </w:r>
      <w:r>
        <w:rPr>
          <w:color w:val="000000" w:themeColor="text1"/>
          <w14:textFill>
            <w14:solidFill>
              <w14:schemeClr w14:val="tx1"/>
            </w14:solidFill>
          </w14:textFill>
        </w:rPr>
        <w:t>71892256@qq.com</w:t>
      </w:r>
      <w:r>
        <w:rPr>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邮箱：1</w:t>
      </w:r>
      <w:r>
        <w:rPr>
          <w:color w:val="000000" w:themeColor="text1"/>
          <w14:textFill>
            <w14:solidFill>
              <w14:schemeClr w14:val="tx1"/>
            </w14:solidFill>
          </w14:textFill>
        </w:rPr>
        <w:t>00102</w:t>
      </w:r>
    </w:p>
    <w:bookmarkEnd w:id="7"/>
    <w:p w14:paraId="32EEB583">
      <w:pPr>
        <w:widowControl w:val="0"/>
        <w:ind w:firstLine="240" w:firstLineChars="100"/>
        <w:rPr>
          <w:color w:val="000000" w:themeColor="text1"/>
          <w14:textFill>
            <w14:solidFill>
              <w14:schemeClr w14:val="tx1"/>
            </w14:solidFill>
          </w14:textFill>
        </w:rPr>
      </w:pPr>
    </w:p>
    <w:p w14:paraId="49C06E88">
      <w:pPr>
        <w:widowControl w:val="0"/>
        <w:ind w:left="480" w:firstLine="480"/>
        <w:rPr>
          <w:color w:val="000000" w:themeColor="text1"/>
          <w14:textFill>
            <w14:solidFill>
              <w14:schemeClr w14:val="tx1"/>
            </w14:solidFill>
          </w14:textFill>
        </w:rPr>
      </w:pPr>
    </w:p>
    <w:p w14:paraId="799CA8D3">
      <w:pPr>
        <w:widowControl w:val="0"/>
        <w:ind w:firstLine="480"/>
        <w:rPr>
          <w:color w:val="000000" w:themeColor="text1"/>
          <w14:textFill>
            <w14:solidFill>
              <w14:schemeClr w14:val="tx1"/>
            </w14:solidFill>
          </w14:textFill>
        </w:rPr>
      </w:pPr>
    </w:p>
    <w:p w14:paraId="6124D355">
      <w:pPr>
        <w:widowControl w:val="0"/>
        <w:ind w:firstLine="480"/>
        <w:rPr>
          <w:color w:val="000000" w:themeColor="text1"/>
          <w14:textFill>
            <w14:solidFill>
              <w14:schemeClr w14:val="tx1"/>
            </w14:solidFill>
          </w14:textFill>
        </w:rPr>
      </w:pPr>
    </w:p>
    <w:p w14:paraId="43BFCF7F">
      <w:pPr>
        <w:widowControl w:val="0"/>
        <w:ind w:firstLine="480"/>
        <w:rPr>
          <w:color w:val="000000" w:themeColor="text1"/>
          <w14:textFill>
            <w14:solidFill>
              <w14:schemeClr w14:val="tx1"/>
            </w14:solidFill>
          </w14:textFill>
        </w:rPr>
      </w:pPr>
    </w:p>
    <w:p w14:paraId="5B7C7CCE">
      <w:pPr>
        <w:widowControl w:val="0"/>
        <w:ind w:firstLine="480"/>
        <w:rPr>
          <w:color w:val="000000" w:themeColor="text1"/>
          <w14:textFill>
            <w14:solidFill>
              <w14:schemeClr w14:val="tx1"/>
            </w14:solidFill>
          </w14:textFill>
        </w:rPr>
      </w:pPr>
    </w:p>
    <w:p w14:paraId="4E751E18">
      <w:pPr>
        <w:widowControl w:val="0"/>
        <w:ind w:firstLine="480"/>
        <w:rPr>
          <w:color w:val="000000" w:themeColor="text1"/>
          <w14:textFill>
            <w14:solidFill>
              <w14:schemeClr w14:val="tx1"/>
            </w14:solidFill>
          </w14:textFill>
        </w:rPr>
      </w:pPr>
    </w:p>
    <w:p w14:paraId="16F92038">
      <w:pPr>
        <w:widowControl w:val="0"/>
        <w:ind w:firstLine="480"/>
        <w:rPr>
          <w:color w:val="000000" w:themeColor="text1"/>
          <w14:textFill>
            <w14:solidFill>
              <w14:schemeClr w14:val="tx1"/>
            </w14:solidFill>
          </w14:textFill>
        </w:rPr>
      </w:pPr>
    </w:p>
    <w:p w14:paraId="50F5756A">
      <w:pPr>
        <w:widowControl w:val="0"/>
        <w:ind w:firstLine="480"/>
        <w:rPr>
          <w:color w:val="000000" w:themeColor="text1"/>
          <w14:textFill>
            <w14:solidFill>
              <w14:schemeClr w14:val="tx1"/>
            </w14:solidFill>
          </w14:textFill>
        </w:rPr>
      </w:pPr>
    </w:p>
    <w:p w14:paraId="5401315D">
      <w:pPr>
        <w:widowControl w:val="0"/>
        <w:ind w:firstLine="480"/>
        <w:rPr>
          <w:color w:val="000000" w:themeColor="text1"/>
          <w14:textFill>
            <w14:solidFill>
              <w14:schemeClr w14:val="tx1"/>
            </w14:solidFill>
          </w14:textFill>
        </w:rPr>
      </w:pPr>
    </w:p>
    <w:p w14:paraId="79CE2F05">
      <w:pPr>
        <w:widowControl w:val="0"/>
        <w:ind w:firstLine="480"/>
        <w:rPr>
          <w:color w:val="000000" w:themeColor="text1"/>
          <w14:textFill>
            <w14:solidFill>
              <w14:schemeClr w14:val="tx1"/>
            </w14:solidFill>
          </w14:textFill>
        </w:rPr>
      </w:pPr>
    </w:p>
    <w:p w14:paraId="19679D3D">
      <w:pPr>
        <w:widowControl w:val="0"/>
        <w:ind w:firstLine="480"/>
        <w:rPr>
          <w:color w:val="000000" w:themeColor="text1"/>
          <w14:textFill>
            <w14:solidFill>
              <w14:schemeClr w14:val="tx1"/>
            </w14:solidFill>
          </w14:textFill>
        </w:rPr>
      </w:pPr>
    </w:p>
    <w:p w14:paraId="59A7E494">
      <w:pPr>
        <w:widowControl w:val="0"/>
        <w:ind w:firstLine="480"/>
        <w:rPr>
          <w:color w:val="000000" w:themeColor="text1"/>
          <w14:textFill>
            <w14:solidFill>
              <w14:schemeClr w14:val="tx1"/>
            </w14:solidFill>
          </w14:textFill>
        </w:rPr>
      </w:pPr>
    </w:p>
    <w:p w14:paraId="6684717A">
      <w:pPr>
        <w:widowControl w:val="0"/>
        <w:ind w:firstLine="480"/>
        <w:rPr>
          <w:color w:val="000000" w:themeColor="text1"/>
          <w14:textFill>
            <w14:solidFill>
              <w14:schemeClr w14:val="tx1"/>
            </w14:solidFill>
          </w14:textFill>
        </w:rPr>
      </w:pPr>
    </w:p>
    <w:p w14:paraId="29EC30BD">
      <w:pPr>
        <w:widowControl w:val="0"/>
        <w:ind w:firstLine="480"/>
        <w:rPr>
          <w:color w:val="000000" w:themeColor="text1"/>
          <w14:textFill>
            <w14:solidFill>
              <w14:schemeClr w14:val="tx1"/>
            </w14:solidFill>
          </w14:textFill>
        </w:rPr>
      </w:pPr>
    </w:p>
    <w:p w14:paraId="5067F03F">
      <w:pPr>
        <w:widowControl w:val="0"/>
        <w:ind w:firstLine="0" w:firstLineChars="0"/>
        <w:jc w:val="center"/>
        <w:rPr>
          <w:rFonts w:ascii="宋体" w:hAnsi="宋体" w:eastAsia="宋体" w:cs="Times New Roman"/>
          <w:b/>
          <w:bCs/>
          <w:color w:val="000000" w:themeColor="text1"/>
          <w:kern w:val="2"/>
          <w:sz w:val="32"/>
          <w:szCs w:val="32"/>
          <w14:textFill>
            <w14:solidFill>
              <w14:schemeClr w14:val="tx1"/>
            </w14:solidFill>
          </w14:textFill>
        </w:rPr>
      </w:pPr>
      <w:bookmarkStart w:id="8" w:name="_Hlk141367028"/>
      <w:r>
        <w:rPr>
          <w:rFonts w:hint="eastAsia" w:ascii="宋体" w:hAnsi="宋体" w:eastAsia="宋体" w:cs="Times New Roman"/>
          <w:b/>
          <w:bCs/>
          <w:color w:val="000000" w:themeColor="text1"/>
          <w:kern w:val="2"/>
          <w:sz w:val="32"/>
          <w:szCs w:val="32"/>
          <w14:textFill>
            <w14:solidFill>
              <w14:schemeClr w14:val="tx1"/>
            </w14:solidFill>
          </w14:textFill>
        </w:rPr>
        <w:t>包头金山经济开发区水土保持区域评估报告</w:t>
      </w:r>
    </w:p>
    <w:p w14:paraId="5D0F488F">
      <w:pPr>
        <w:widowControl w:val="0"/>
        <w:ind w:firstLine="0" w:firstLineChars="0"/>
        <w:jc w:val="center"/>
        <w:rPr>
          <w:rFonts w:ascii="宋体" w:hAnsi="宋体" w:eastAsia="宋体" w:cs="Times New Roman"/>
          <w:b/>
          <w:bCs/>
          <w:color w:val="000000" w:themeColor="text1"/>
          <w:kern w:val="2"/>
          <w:sz w:val="32"/>
          <w:szCs w:val="32"/>
          <w14:textFill>
            <w14:solidFill>
              <w14:schemeClr w14:val="tx1"/>
            </w14:solidFill>
          </w14:textFill>
        </w:rPr>
      </w:pPr>
      <w:r>
        <w:rPr>
          <w:rFonts w:ascii="宋体" w:hAnsi="宋体" w:eastAsia="宋体" w:cs="Times New Roman"/>
          <w:b/>
          <w:bCs/>
          <w:color w:val="000000" w:themeColor="text1"/>
          <w:kern w:val="2"/>
          <w:sz w:val="32"/>
          <w:szCs w:val="32"/>
          <w14:textFill>
            <w14:solidFill>
              <w14:schemeClr w14:val="tx1"/>
            </w14:solidFill>
          </w14:textFill>
        </w:rPr>
        <w:t>责  任  页</w:t>
      </w:r>
    </w:p>
    <w:p w14:paraId="3614FD9B">
      <w:pPr>
        <w:widowControl w:val="0"/>
        <w:adjustRightInd w:val="0"/>
        <w:snapToGrid w:val="0"/>
        <w:ind w:firstLine="0" w:firstLineChars="0"/>
        <w:jc w:val="center"/>
        <w:rPr>
          <w:rFonts w:eastAsia="仿宋" w:cs="Times New Roman"/>
          <w:bCs/>
          <w:color w:val="000000" w:themeColor="text1"/>
          <w:kern w:val="2"/>
          <w14:textFill>
            <w14:solidFill>
              <w14:schemeClr w14:val="tx1"/>
            </w14:solidFill>
          </w14:textFill>
        </w:rPr>
      </w:pPr>
      <w:r>
        <w:rPr>
          <w:rFonts w:hint="eastAsia" w:eastAsia="仿宋" w:cs="Times New Roman"/>
          <w:bCs/>
          <w:color w:val="000000" w:themeColor="text1"/>
          <w:kern w:val="2"/>
          <w14:textFill>
            <w14:solidFill>
              <w14:schemeClr w14:val="tx1"/>
            </w14:solidFill>
          </w14:textFill>
        </w:rPr>
        <w:t>（编制单位：中材地质工程勘查研究院有限公司）</w:t>
      </w:r>
    </w:p>
    <w:p w14:paraId="236EB1EC">
      <w:pPr>
        <w:widowControl w:val="0"/>
        <w:adjustRightInd w:val="0"/>
        <w:snapToGrid w:val="0"/>
        <w:ind w:firstLine="0" w:firstLineChars="0"/>
        <w:jc w:val="center"/>
        <w:rPr>
          <w:rFonts w:eastAsia="仿宋" w:cs="Times New Roman"/>
          <w:bCs/>
          <w:color w:val="000000" w:themeColor="text1"/>
          <w:kern w:val="2"/>
          <w14:textFill>
            <w14:solidFill>
              <w14:schemeClr w14:val="tx1"/>
            </w14:solidFill>
          </w14:textFill>
        </w:rPr>
      </w:pPr>
    </w:p>
    <w:p w14:paraId="22E824A1">
      <w:pPr>
        <w:widowControl w:val="0"/>
        <w:adjustRightInd w:val="0"/>
        <w:snapToGrid w:val="0"/>
        <w:ind w:firstLine="602" w:firstLineChars="250"/>
        <w:jc w:val="center"/>
        <w:rPr>
          <w:rFonts w:eastAsia="仿宋" w:cs="Times New Roman"/>
          <w:b/>
          <w:color w:val="000000" w:themeColor="text1"/>
          <w:kern w:val="2"/>
          <w14:textFill>
            <w14:solidFill>
              <w14:schemeClr w14:val="tx1"/>
            </w14:solidFill>
          </w14:textFill>
        </w:rPr>
      </w:pPr>
      <w:r>
        <w:rPr>
          <w:rFonts w:hint="eastAsia" w:eastAsia="仿宋" w:cs="Times New Roman"/>
          <w:b/>
          <w:color w:val="000000" w:themeColor="text1"/>
          <w:kern w:val="2"/>
          <w14:textFill>
            <w14:solidFill>
              <w14:schemeClr w14:val="tx1"/>
            </w14:solidFill>
          </w14:textFill>
        </w:rPr>
        <w:t>方案编写人员组成表</w:t>
      </w:r>
    </w:p>
    <w:tbl>
      <w:tblPr>
        <w:tblStyle w:val="27"/>
        <w:tblW w:w="50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235"/>
        <w:gridCol w:w="1856"/>
        <w:gridCol w:w="2472"/>
        <w:gridCol w:w="2160"/>
      </w:tblGrid>
      <w:tr w14:paraId="613F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85" w:type="pct"/>
            <w:vAlign w:val="center"/>
          </w:tcPr>
          <w:p w14:paraId="7A206630">
            <w:pPr>
              <w:widowControl w:val="0"/>
              <w:adjustRightInd w:val="0"/>
              <w:snapToGrid w:val="0"/>
              <w:spacing w:line="240" w:lineRule="auto"/>
              <w:ind w:firstLine="0" w:firstLineChars="0"/>
              <w:jc w:val="center"/>
              <w:rPr>
                <w:rFonts w:hAnsi="仿宋" w:eastAsia="仿宋" w:cs="Times New Roman"/>
                <w:b/>
                <w:color w:val="000000" w:themeColor="text1"/>
                <w:kern w:val="2"/>
                <w14:textFill>
                  <w14:solidFill>
                    <w14:schemeClr w14:val="tx1"/>
                  </w14:solidFill>
                </w14:textFill>
              </w:rPr>
            </w:pPr>
            <w:r>
              <w:rPr>
                <w:rFonts w:hint="eastAsia" w:hAnsi="仿宋" w:eastAsia="仿宋" w:cs="Times New Roman"/>
                <w:b/>
                <w:color w:val="000000" w:themeColor="text1"/>
                <w:kern w:val="2"/>
                <w14:textFill>
                  <w14:solidFill>
                    <w14:schemeClr w14:val="tx1"/>
                  </w14:solidFill>
                </w14:textFill>
              </w:rPr>
              <w:t>职责</w:t>
            </w:r>
          </w:p>
        </w:tc>
        <w:tc>
          <w:tcPr>
            <w:tcW w:w="658" w:type="pct"/>
            <w:vAlign w:val="center"/>
          </w:tcPr>
          <w:p w14:paraId="65B17CA1">
            <w:pPr>
              <w:widowControl w:val="0"/>
              <w:adjustRightInd w:val="0"/>
              <w:snapToGrid w:val="0"/>
              <w:spacing w:line="240" w:lineRule="auto"/>
              <w:ind w:firstLine="0" w:firstLineChars="0"/>
              <w:jc w:val="center"/>
              <w:rPr>
                <w:rFonts w:hAnsi="仿宋" w:eastAsia="仿宋" w:cs="Times New Roman"/>
                <w:color w:val="000000" w:themeColor="text1"/>
                <w:kern w:val="2"/>
                <w14:textFill>
                  <w14:solidFill>
                    <w14:schemeClr w14:val="tx1"/>
                  </w14:solidFill>
                </w14:textFill>
              </w:rPr>
            </w:pPr>
            <w:r>
              <w:rPr>
                <w:rFonts w:hint="eastAsia" w:hAnsi="仿宋" w:eastAsia="仿宋" w:cs="Times New Roman"/>
                <w:color w:val="000000" w:themeColor="text1"/>
                <w:kern w:val="2"/>
                <w14:textFill>
                  <w14:solidFill>
                    <w14:schemeClr w14:val="tx1"/>
                  </w14:solidFill>
                </w14:textFill>
              </w:rPr>
              <w:t>姓名</w:t>
            </w:r>
          </w:p>
        </w:tc>
        <w:tc>
          <w:tcPr>
            <w:tcW w:w="989" w:type="pct"/>
            <w:vAlign w:val="center"/>
          </w:tcPr>
          <w:p w14:paraId="212AE742">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int="eastAsia" w:eastAsia="仿宋" w:cs="Times New Roman"/>
                <w:color w:val="000000" w:themeColor="text1"/>
                <w:kern w:val="2"/>
                <w14:textFill>
                  <w14:solidFill>
                    <w14:schemeClr w14:val="tx1"/>
                  </w14:solidFill>
                </w14:textFill>
              </w:rPr>
              <w:t>职务/职称</w:t>
            </w:r>
          </w:p>
        </w:tc>
        <w:tc>
          <w:tcPr>
            <w:tcW w:w="1317" w:type="pct"/>
            <w:vAlign w:val="center"/>
          </w:tcPr>
          <w:p w14:paraId="7ACF033B">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int="eastAsia" w:eastAsia="仿宋" w:cs="Times New Roman"/>
                <w:color w:val="000000" w:themeColor="text1"/>
                <w:kern w:val="2"/>
                <w14:textFill>
                  <w14:solidFill>
                    <w14:schemeClr w14:val="tx1"/>
                  </w14:solidFill>
                </w14:textFill>
              </w:rPr>
              <w:t>编写内容</w:t>
            </w:r>
          </w:p>
        </w:tc>
        <w:tc>
          <w:tcPr>
            <w:tcW w:w="1151" w:type="pct"/>
            <w:vAlign w:val="center"/>
          </w:tcPr>
          <w:p w14:paraId="608034A5">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int="eastAsia" w:eastAsia="仿宋" w:cs="Times New Roman"/>
                <w:color w:val="000000" w:themeColor="text1"/>
                <w:kern w:val="2"/>
                <w14:textFill>
                  <w14:solidFill>
                    <w14:schemeClr w14:val="tx1"/>
                  </w14:solidFill>
                </w14:textFill>
              </w:rPr>
              <w:t>签名</w:t>
            </w:r>
          </w:p>
        </w:tc>
      </w:tr>
      <w:tr w14:paraId="4C67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85" w:type="pct"/>
            <w:vAlign w:val="center"/>
          </w:tcPr>
          <w:p w14:paraId="535A9C7E">
            <w:pPr>
              <w:widowControl w:val="0"/>
              <w:adjustRightInd w:val="0"/>
              <w:snapToGrid w:val="0"/>
              <w:spacing w:line="240" w:lineRule="auto"/>
              <w:ind w:firstLine="0" w:firstLineChars="0"/>
              <w:jc w:val="center"/>
              <w:rPr>
                <w:rFonts w:hAnsi="仿宋" w:eastAsia="仿宋" w:cs="Times New Roman"/>
                <w:b/>
                <w:color w:val="000000" w:themeColor="text1"/>
                <w:kern w:val="2"/>
                <w14:textFill>
                  <w14:solidFill>
                    <w14:schemeClr w14:val="tx1"/>
                  </w14:solidFill>
                </w14:textFill>
              </w:rPr>
            </w:pPr>
            <w:r>
              <w:rPr>
                <w:rFonts w:hAnsi="仿宋" w:eastAsia="仿宋" w:cs="Times New Roman"/>
                <w:b/>
                <w:color w:val="000000" w:themeColor="text1"/>
                <w:kern w:val="2"/>
                <w14:textFill>
                  <w14:solidFill>
                    <w14:schemeClr w14:val="tx1"/>
                  </w14:solidFill>
                </w14:textFill>
              </w:rPr>
              <w:t>批</w:t>
            </w:r>
            <w:r>
              <w:rPr>
                <w:rFonts w:eastAsia="仿宋" w:cs="Times New Roman"/>
                <w:b/>
                <w:color w:val="000000" w:themeColor="text1"/>
                <w:kern w:val="2"/>
                <w14:textFill>
                  <w14:solidFill>
                    <w14:schemeClr w14:val="tx1"/>
                  </w14:solidFill>
                </w14:textFill>
              </w:rPr>
              <w:t xml:space="preserve">   </w:t>
            </w:r>
            <w:r>
              <w:rPr>
                <w:rFonts w:hAnsi="仿宋" w:eastAsia="仿宋" w:cs="Times New Roman"/>
                <w:b/>
                <w:color w:val="000000" w:themeColor="text1"/>
                <w:kern w:val="2"/>
                <w14:textFill>
                  <w14:solidFill>
                    <w14:schemeClr w14:val="tx1"/>
                  </w14:solidFill>
                </w14:textFill>
              </w:rPr>
              <w:t>准</w:t>
            </w:r>
          </w:p>
        </w:tc>
        <w:tc>
          <w:tcPr>
            <w:tcW w:w="658" w:type="pct"/>
            <w:vAlign w:val="center"/>
          </w:tcPr>
          <w:p w14:paraId="638881E2">
            <w:pPr>
              <w:widowControl w:val="0"/>
              <w:adjustRightInd w:val="0"/>
              <w:snapToGrid w:val="0"/>
              <w:spacing w:line="240" w:lineRule="auto"/>
              <w:ind w:firstLine="0" w:firstLineChars="0"/>
              <w:jc w:val="center"/>
              <w:rPr>
                <w:rFonts w:hAnsi="仿宋" w:eastAsia="仿宋" w:cs="Times New Roman"/>
                <w:color w:val="000000" w:themeColor="text1"/>
                <w:kern w:val="2"/>
                <w14:textFill>
                  <w14:solidFill>
                    <w14:schemeClr w14:val="tx1"/>
                  </w14:solidFill>
                </w14:textFill>
              </w:rPr>
            </w:pPr>
            <w:r>
              <w:rPr>
                <w:rFonts w:hint="eastAsia" w:hAnsi="仿宋" w:eastAsia="仿宋" w:cs="Times New Roman"/>
                <w:color w:val="000000" w:themeColor="text1"/>
                <w:kern w:val="2"/>
                <w14:textFill>
                  <w14:solidFill>
                    <w14:schemeClr w14:val="tx1"/>
                  </w14:solidFill>
                </w14:textFill>
              </w:rPr>
              <w:t xml:space="preserve">张 </w:t>
            </w:r>
            <w:r>
              <w:rPr>
                <w:rFonts w:hAnsi="仿宋" w:eastAsia="仿宋" w:cs="Times New Roman"/>
                <w:color w:val="000000" w:themeColor="text1"/>
                <w:kern w:val="2"/>
                <w14:textFill>
                  <w14:solidFill>
                    <w14:schemeClr w14:val="tx1"/>
                  </w14:solidFill>
                </w14:textFill>
              </w:rPr>
              <w:t xml:space="preserve"> </w:t>
            </w:r>
            <w:r>
              <w:rPr>
                <w:rFonts w:hint="eastAsia" w:hAnsi="仿宋" w:eastAsia="仿宋" w:cs="Times New Roman"/>
                <w:color w:val="000000" w:themeColor="text1"/>
                <w:kern w:val="2"/>
                <w14:textFill>
                  <w14:solidFill>
                    <w14:schemeClr w14:val="tx1"/>
                  </w14:solidFill>
                </w14:textFill>
              </w:rPr>
              <w:t>杰</w:t>
            </w:r>
          </w:p>
        </w:tc>
        <w:tc>
          <w:tcPr>
            <w:tcW w:w="989" w:type="pct"/>
            <w:vAlign w:val="center"/>
          </w:tcPr>
          <w:p w14:paraId="1CFE40F3">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Ansi="仿宋" w:eastAsia="仿宋" w:cs="Times New Roman"/>
                <w:color w:val="000000" w:themeColor="text1"/>
                <w:kern w:val="2"/>
                <w14:textFill>
                  <w14:solidFill>
                    <w14:schemeClr w14:val="tx1"/>
                  </w14:solidFill>
                </w14:textFill>
              </w:rPr>
              <w:t>高级工程师</w:t>
            </w:r>
          </w:p>
        </w:tc>
        <w:tc>
          <w:tcPr>
            <w:tcW w:w="1317" w:type="pct"/>
            <w:vAlign w:val="center"/>
          </w:tcPr>
          <w:p w14:paraId="47AF62E2">
            <w:pPr>
              <w:widowControl w:val="0"/>
              <w:adjustRightInd w:val="0"/>
              <w:snapToGrid w:val="0"/>
              <w:spacing w:line="240" w:lineRule="auto"/>
              <w:ind w:firstLine="0" w:firstLineChars="0"/>
              <w:jc w:val="center"/>
              <w:rPr>
                <w:rFonts w:eastAsia="仿宋" w:cs="Times New Roman"/>
                <w:bCs/>
                <w:color w:val="000000" w:themeColor="text1"/>
                <w:kern w:val="2"/>
                <w14:textFill>
                  <w14:solidFill>
                    <w14:schemeClr w14:val="tx1"/>
                  </w14:solidFill>
                </w14:textFill>
              </w:rPr>
            </w:pPr>
          </w:p>
        </w:tc>
        <w:tc>
          <w:tcPr>
            <w:tcW w:w="1151" w:type="pct"/>
            <w:vAlign w:val="center"/>
          </w:tcPr>
          <w:p w14:paraId="0F74FE53">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color w:val="000000" w:themeColor="text1"/>
                <w14:textFill>
                  <w14:solidFill>
                    <w14:schemeClr w14:val="tx1"/>
                  </w14:solidFill>
                </w14:textFill>
              </w:rPr>
              <w:drawing>
                <wp:inline distT="0" distB="0" distL="0" distR="0">
                  <wp:extent cx="1078230" cy="470535"/>
                  <wp:effectExtent l="0" t="0" r="7620" b="5715"/>
                  <wp:docPr id="88936846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68468" name="图片 1"/>
                          <pic:cNvPicPr>
                            <a:picLocks noChangeAspect="1" noChangeArrowheads="1"/>
                          </pic:cNvPicPr>
                        </pic:nvPicPr>
                        <pic:blipFill>
                          <a:blip r:embed="rId87" cstate="email"/>
                          <a:srcRect/>
                          <a:stretch>
                            <a:fillRect/>
                          </a:stretch>
                        </pic:blipFill>
                        <pic:spPr>
                          <a:xfrm>
                            <a:off x="0" y="0"/>
                            <a:ext cx="1078230" cy="470535"/>
                          </a:xfrm>
                          <a:prstGeom prst="rect">
                            <a:avLst/>
                          </a:prstGeom>
                          <a:noFill/>
                          <a:ln>
                            <a:noFill/>
                          </a:ln>
                        </pic:spPr>
                      </pic:pic>
                    </a:graphicData>
                  </a:graphic>
                </wp:inline>
              </w:drawing>
            </w:r>
          </w:p>
        </w:tc>
      </w:tr>
      <w:tr w14:paraId="53551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85" w:type="pct"/>
            <w:vAlign w:val="center"/>
          </w:tcPr>
          <w:p w14:paraId="6E3AC1D2">
            <w:pPr>
              <w:widowControl w:val="0"/>
              <w:adjustRightInd w:val="0"/>
              <w:snapToGrid w:val="0"/>
              <w:spacing w:line="240" w:lineRule="auto"/>
              <w:ind w:firstLine="0" w:firstLineChars="0"/>
              <w:jc w:val="center"/>
              <w:rPr>
                <w:rFonts w:eastAsia="仿宋" w:cs="Times New Roman"/>
                <w:b/>
                <w:color w:val="000000" w:themeColor="text1"/>
                <w:kern w:val="2"/>
                <w14:textFill>
                  <w14:solidFill>
                    <w14:schemeClr w14:val="tx1"/>
                  </w14:solidFill>
                </w14:textFill>
              </w:rPr>
            </w:pPr>
            <w:r>
              <w:rPr>
                <w:rFonts w:hAnsi="仿宋" w:eastAsia="仿宋" w:cs="Times New Roman"/>
                <w:b/>
                <w:color w:val="000000" w:themeColor="text1"/>
                <w:kern w:val="2"/>
                <w14:textFill>
                  <w14:solidFill>
                    <w14:schemeClr w14:val="tx1"/>
                  </w14:solidFill>
                </w14:textFill>
              </w:rPr>
              <w:t>核</w:t>
            </w:r>
            <w:r>
              <w:rPr>
                <w:rFonts w:eastAsia="仿宋" w:cs="Times New Roman"/>
                <w:b/>
                <w:color w:val="000000" w:themeColor="text1"/>
                <w:kern w:val="2"/>
                <w14:textFill>
                  <w14:solidFill>
                    <w14:schemeClr w14:val="tx1"/>
                  </w14:solidFill>
                </w14:textFill>
              </w:rPr>
              <w:t xml:space="preserve">   </w:t>
            </w:r>
            <w:r>
              <w:rPr>
                <w:rFonts w:hAnsi="仿宋" w:eastAsia="仿宋" w:cs="Times New Roman"/>
                <w:b/>
                <w:color w:val="000000" w:themeColor="text1"/>
                <w:kern w:val="2"/>
                <w14:textFill>
                  <w14:solidFill>
                    <w14:schemeClr w14:val="tx1"/>
                  </w14:solidFill>
                </w14:textFill>
              </w:rPr>
              <w:t>定</w:t>
            </w:r>
          </w:p>
        </w:tc>
        <w:tc>
          <w:tcPr>
            <w:tcW w:w="658" w:type="pct"/>
            <w:vAlign w:val="center"/>
          </w:tcPr>
          <w:p w14:paraId="4248A6CE">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int="eastAsia" w:hAnsi="仿宋" w:eastAsia="仿宋" w:cs="Times New Roman"/>
                <w:color w:val="000000" w:themeColor="text1"/>
                <w:kern w:val="2"/>
                <w14:textFill>
                  <w14:solidFill>
                    <w14:schemeClr w14:val="tx1"/>
                  </w14:solidFill>
                </w14:textFill>
              </w:rPr>
              <w:t>张 燕</w:t>
            </w:r>
          </w:p>
        </w:tc>
        <w:tc>
          <w:tcPr>
            <w:tcW w:w="989" w:type="pct"/>
            <w:vAlign w:val="center"/>
          </w:tcPr>
          <w:p w14:paraId="3A7882A4">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Ansi="仿宋" w:eastAsia="仿宋" w:cs="Times New Roman"/>
                <w:color w:val="000000" w:themeColor="text1"/>
                <w:kern w:val="2"/>
                <w14:textFill>
                  <w14:solidFill>
                    <w14:schemeClr w14:val="tx1"/>
                  </w14:solidFill>
                </w14:textFill>
              </w:rPr>
              <w:t>高级工程师</w:t>
            </w:r>
          </w:p>
        </w:tc>
        <w:tc>
          <w:tcPr>
            <w:tcW w:w="1317" w:type="pct"/>
            <w:vAlign w:val="center"/>
          </w:tcPr>
          <w:p w14:paraId="3716D263">
            <w:pPr>
              <w:widowControl w:val="0"/>
              <w:adjustRightInd w:val="0"/>
              <w:snapToGrid w:val="0"/>
              <w:spacing w:line="240" w:lineRule="auto"/>
              <w:ind w:firstLine="0" w:firstLineChars="0"/>
              <w:jc w:val="center"/>
              <w:rPr>
                <w:rFonts w:eastAsia="仿宋" w:cs="Times New Roman"/>
                <w:bCs/>
                <w:color w:val="000000" w:themeColor="text1"/>
                <w:kern w:val="2"/>
                <w14:textFill>
                  <w14:solidFill>
                    <w14:schemeClr w14:val="tx1"/>
                  </w14:solidFill>
                </w14:textFill>
              </w:rPr>
            </w:pPr>
          </w:p>
        </w:tc>
        <w:tc>
          <w:tcPr>
            <w:tcW w:w="1151" w:type="pct"/>
            <w:vAlign w:val="center"/>
          </w:tcPr>
          <w:p w14:paraId="50F11C12">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color w:val="000000" w:themeColor="text1"/>
                <w14:textFill>
                  <w14:solidFill>
                    <w14:schemeClr w14:val="tx1"/>
                  </w14:solidFill>
                </w14:textFill>
              </w:rPr>
              <w:drawing>
                <wp:inline distT="0" distB="0" distL="0" distR="0">
                  <wp:extent cx="729615" cy="381000"/>
                  <wp:effectExtent l="0" t="0" r="0" b="0"/>
                  <wp:docPr id="12295698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56981" name="图片 2"/>
                          <pic:cNvPicPr>
                            <a:picLocks noChangeAspect="1" noChangeArrowheads="1"/>
                          </pic:cNvPicPr>
                        </pic:nvPicPr>
                        <pic:blipFill>
                          <a:blip r:embed="rId88" cstate="email"/>
                          <a:srcRect/>
                          <a:stretch>
                            <a:fillRect/>
                          </a:stretch>
                        </pic:blipFill>
                        <pic:spPr>
                          <a:xfrm>
                            <a:off x="0" y="0"/>
                            <a:ext cx="744609" cy="388643"/>
                          </a:xfrm>
                          <a:prstGeom prst="rect">
                            <a:avLst/>
                          </a:prstGeom>
                          <a:noFill/>
                          <a:ln>
                            <a:noFill/>
                          </a:ln>
                        </pic:spPr>
                      </pic:pic>
                    </a:graphicData>
                  </a:graphic>
                </wp:inline>
              </w:drawing>
            </w:r>
          </w:p>
        </w:tc>
      </w:tr>
      <w:tr w14:paraId="2862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85" w:type="pct"/>
            <w:vAlign w:val="center"/>
          </w:tcPr>
          <w:p w14:paraId="7D167154">
            <w:pPr>
              <w:widowControl w:val="0"/>
              <w:adjustRightInd w:val="0"/>
              <w:snapToGrid w:val="0"/>
              <w:spacing w:line="240" w:lineRule="auto"/>
              <w:ind w:firstLine="0" w:firstLineChars="0"/>
              <w:jc w:val="center"/>
              <w:rPr>
                <w:rFonts w:eastAsia="仿宋" w:cs="Times New Roman"/>
                <w:b/>
                <w:color w:val="000000" w:themeColor="text1"/>
                <w:kern w:val="2"/>
                <w14:textFill>
                  <w14:solidFill>
                    <w14:schemeClr w14:val="tx1"/>
                  </w14:solidFill>
                </w14:textFill>
              </w:rPr>
            </w:pPr>
            <w:r>
              <w:rPr>
                <w:rFonts w:hAnsi="仿宋" w:eastAsia="仿宋" w:cs="Times New Roman"/>
                <w:b/>
                <w:color w:val="000000" w:themeColor="text1"/>
                <w:kern w:val="2"/>
                <w14:textFill>
                  <w14:solidFill>
                    <w14:schemeClr w14:val="tx1"/>
                  </w14:solidFill>
                </w14:textFill>
              </w:rPr>
              <w:t>审</w:t>
            </w:r>
            <w:r>
              <w:rPr>
                <w:rFonts w:eastAsia="仿宋" w:cs="Times New Roman"/>
                <w:b/>
                <w:color w:val="000000" w:themeColor="text1"/>
                <w:kern w:val="2"/>
                <w14:textFill>
                  <w14:solidFill>
                    <w14:schemeClr w14:val="tx1"/>
                  </w14:solidFill>
                </w14:textFill>
              </w:rPr>
              <w:t xml:space="preserve">   </w:t>
            </w:r>
            <w:r>
              <w:rPr>
                <w:rFonts w:hAnsi="仿宋" w:eastAsia="仿宋" w:cs="Times New Roman"/>
                <w:b/>
                <w:color w:val="000000" w:themeColor="text1"/>
                <w:kern w:val="2"/>
                <w14:textFill>
                  <w14:solidFill>
                    <w14:schemeClr w14:val="tx1"/>
                  </w14:solidFill>
                </w14:textFill>
              </w:rPr>
              <w:t>查</w:t>
            </w:r>
          </w:p>
        </w:tc>
        <w:tc>
          <w:tcPr>
            <w:tcW w:w="658" w:type="pct"/>
            <w:vAlign w:val="center"/>
          </w:tcPr>
          <w:p w14:paraId="5DACFBA2">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int="eastAsia" w:hAnsi="仿宋" w:eastAsia="仿宋" w:cs="Times New Roman"/>
                <w:color w:val="000000" w:themeColor="text1"/>
                <w:kern w:val="2"/>
                <w14:textFill>
                  <w14:solidFill>
                    <w14:schemeClr w14:val="tx1"/>
                  </w14:solidFill>
                </w14:textFill>
              </w:rPr>
              <w:t>李 泓</w:t>
            </w:r>
          </w:p>
        </w:tc>
        <w:tc>
          <w:tcPr>
            <w:tcW w:w="989" w:type="pct"/>
            <w:vAlign w:val="center"/>
          </w:tcPr>
          <w:p w14:paraId="0400DB28">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Ansi="仿宋" w:eastAsia="仿宋" w:cs="Times New Roman"/>
                <w:color w:val="000000" w:themeColor="text1"/>
                <w:kern w:val="2"/>
                <w14:textFill>
                  <w14:solidFill>
                    <w14:schemeClr w14:val="tx1"/>
                  </w14:solidFill>
                </w14:textFill>
              </w:rPr>
              <w:t>高级工程师</w:t>
            </w:r>
          </w:p>
        </w:tc>
        <w:tc>
          <w:tcPr>
            <w:tcW w:w="1317" w:type="pct"/>
            <w:vAlign w:val="center"/>
          </w:tcPr>
          <w:p w14:paraId="210FA74B">
            <w:pPr>
              <w:widowControl w:val="0"/>
              <w:adjustRightInd w:val="0"/>
              <w:snapToGrid w:val="0"/>
              <w:spacing w:line="240" w:lineRule="auto"/>
              <w:ind w:firstLine="0" w:firstLineChars="0"/>
              <w:jc w:val="center"/>
              <w:rPr>
                <w:rFonts w:eastAsia="仿宋" w:cs="Times New Roman"/>
                <w:bCs/>
                <w:color w:val="000000" w:themeColor="text1"/>
                <w:kern w:val="2"/>
                <w14:textFill>
                  <w14:solidFill>
                    <w14:schemeClr w14:val="tx1"/>
                  </w14:solidFill>
                </w14:textFill>
              </w:rPr>
            </w:pPr>
          </w:p>
        </w:tc>
        <w:tc>
          <w:tcPr>
            <w:tcW w:w="1151" w:type="pct"/>
            <w:vAlign w:val="center"/>
          </w:tcPr>
          <w:p w14:paraId="0CDB8BAF">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color w:val="000000" w:themeColor="text1"/>
                <w14:textFill>
                  <w14:solidFill>
                    <w14:schemeClr w14:val="tx1"/>
                  </w14:solidFill>
                </w14:textFill>
              </w:rPr>
              <w:drawing>
                <wp:inline distT="0" distB="0" distL="0" distR="0">
                  <wp:extent cx="1071245" cy="607060"/>
                  <wp:effectExtent l="0" t="0" r="0" b="2540"/>
                  <wp:docPr id="27151644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16445" name="图片 4"/>
                          <pic:cNvPicPr>
                            <a:picLocks noChangeAspect="1" noChangeArrowheads="1"/>
                          </pic:cNvPicPr>
                        </pic:nvPicPr>
                        <pic:blipFill>
                          <a:blip r:embed="rId89" cstate="email"/>
                          <a:srcRect/>
                          <a:stretch>
                            <a:fillRect/>
                          </a:stretch>
                        </pic:blipFill>
                        <pic:spPr>
                          <a:xfrm>
                            <a:off x="0" y="0"/>
                            <a:ext cx="1071245" cy="607060"/>
                          </a:xfrm>
                          <a:prstGeom prst="rect">
                            <a:avLst/>
                          </a:prstGeom>
                          <a:noFill/>
                          <a:ln>
                            <a:noFill/>
                          </a:ln>
                        </pic:spPr>
                      </pic:pic>
                    </a:graphicData>
                  </a:graphic>
                </wp:inline>
              </w:drawing>
            </w:r>
          </w:p>
        </w:tc>
      </w:tr>
      <w:tr w14:paraId="66D8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85" w:type="pct"/>
            <w:vAlign w:val="center"/>
          </w:tcPr>
          <w:p w14:paraId="19C79E4B">
            <w:pPr>
              <w:widowControl w:val="0"/>
              <w:adjustRightInd w:val="0"/>
              <w:snapToGrid w:val="0"/>
              <w:spacing w:line="240" w:lineRule="auto"/>
              <w:ind w:firstLine="0" w:firstLineChars="0"/>
              <w:jc w:val="center"/>
              <w:rPr>
                <w:rFonts w:eastAsia="仿宋" w:cs="Times New Roman"/>
                <w:b/>
                <w:color w:val="000000" w:themeColor="text1"/>
                <w:kern w:val="2"/>
                <w14:textFill>
                  <w14:solidFill>
                    <w14:schemeClr w14:val="tx1"/>
                  </w14:solidFill>
                </w14:textFill>
              </w:rPr>
            </w:pPr>
            <w:r>
              <w:rPr>
                <w:rFonts w:hAnsi="仿宋" w:eastAsia="仿宋" w:cs="Times New Roman"/>
                <w:b/>
                <w:color w:val="000000" w:themeColor="text1"/>
                <w:kern w:val="2"/>
                <w14:textFill>
                  <w14:solidFill>
                    <w14:schemeClr w14:val="tx1"/>
                  </w14:solidFill>
                </w14:textFill>
              </w:rPr>
              <w:t>校</w:t>
            </w:r>
            <w:r>
              <w:rPr>
                <w:rFonts w:eastAsia="仿宋" w:cs="Times New Roman"/>
                <w:b/>
                <w:color w:val="000000" w:themeColor="text1"/>
                <w:kern w:val="2"/>
                <w14:textFill>
                  <w14:solidFill>
                    <w14:schemeClr w14:val="tx1"/>
                  </w14:solidFill>
                </w14:textFill>
              </w:rPr>
              <w:t xml:space="preserve">   </w:t>
            </w:r>
            <w:r>
              <w:rPr>
                <w:rFonts w:hAnsi="仿宋" w:eastAsia="仿宋" w:cs="Times New Roman"/>
                <w:b/>
                <w:color w:val="000000" w:themeColor="text1"/>
                <w:kern w:val="2"/>
                <w14:textFill>
                  <w14:solidFill>
                    <w14:schemeClr w14:val="tx1"/>
                  </w14:solidFill>
                </w14:textFill>
              </w:rPr>
              <w:t>核</w:t>
            </w:r>
          </w:p>
        </w:tc>
        <w:tc>
          <w:tcPr>
            <w:tcW w:w="658" w:type="pct"/>
            <w:vAlign w:val="center"/>
          </w:tcPr>
          <w:p w14:paraId="6F3959A9">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int="eastAsia" w:hAnsi="仿宋" w:eastAsia="仿宋" w:cs="Times New Roman"/>
                <w:color w:val="000000" w:themeColor="text1"/>
                <w:kern w:val="2"/>
                <w14:textFill>
                  <w14:solidFill>
                    <w14:schemeClr w14:val="tx1"/>
                  </w14:solidFill>
                </w14:textFill>
              </w:rPr>
              <w:t>甘 露</w:t>
            </w:r>
          </w:p>
        </w:tc>
        <w:tc>
          <w:tcPr>
            <w:tcW w:w="989" w:type="pct"/>
            <w:vAlign w:val="center"/>
          </w:tcPr>
          <w:p w14:paraId="099FC20A">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Ansi="仿宋" w:eastAsia="仿宋" w:cs="Times New Roman"/>
                <w:color w:val="000000" w:themeColor="text1"/>
                <w:kern w:val="2"/>
                <w14:textFill>
                  <w14:solidFill>
                    <w14:schemeClr w14:val="tx1"/>
                  </w14:solidFill>
                </w14:textFill>
              </w:rPr>
              <w:t>高级工程师</w:t>
            </w:r>
          </w:p>
        </w:tc>
        <w:tc>
          <w:tcPr>
            <w:tcW w:w="1317" w:type="pct"/>
            <w:vAlign w:val="center"/>
          </w:tcPr>
          <w:p w14:paraId="44BA6AE4">
            <w:pPr>
              <w:widowControl w:val="0"/>
              <w:adjustRightInd w:val="0"/>
              <w:snapToGrid w:val="0"/>
              <w:spacing w:line="240" w:lineRule="auto"/>
              <w:ind w:firstLine="0" w:firstLineChars="0"/>
              <w:jc w:val="center"/>
              <w:rPr>
                <w:rFonts w:eastAsia="仿宋" w:cs="Times New Roman"/>
                <w:bCs/>
                <w:color w:val="000000" w:themeColor="text1"/>
                <w:kern w:val="2"/>
                <w14:textFill>
                  <w14:solidFill>
                    <w14:schemeClr w14:val="tx1"/>
                  </w14:solidFill>
                </w14:textFill>
              </w:rPr>
            </w:pPr>
          </w:p>
        </w:tc>
        <w:tc>
          <w:tcPr>
            <w:tcW w:w="1151" w:type="pct"/>
            <w:vAlign w:val="center"/>
          </w:tcPr>
          <w:p w14:paraId="5DEC5A9D">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color w:val="000000" w:themeColor="text1"/>
                <w14:textFill>
                  <w14:solidFill>
                    <w14:schemeClr w14:val="tx1"/>
                  </w14:solidFill>
                </w14:textFill>
              </w:rPr>
              <w:drawing>
                <wp:inline distT="0" distB="0" distL="0" distR="0">
                  <wp:extent cx="572770" cy="426720"/>
                  <wp:effectExtent l="0" t="0" r="0" b="0"/>
                  <wp:docPr id="6749912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991234" name="图片 3"/>
                          <pic:cNvPicPr>
                            <a:picLocks noChangeAspect="1" noChangeArrowheads="1"/>
                          </pic:cNvPicPr>
                        </pic:nvPicPr>
                        <pic:blipFill>
                          <a:blip r:embed="rId90" cstate="email"/>
                          <a:srcRect/>
                          <a:stretch>
                            <a:fillRect/>
                          </a:stretch>
                        </pic:blipFill>
                        <pic:spPr>
                          <a:xfrm>
                            <a:off x="0" y="0"/>
                            <a:ext cx="575964" cy="429318"/>
                          </a:xfrm>
                          <a:prstGeom prst="rect">
                            <a:avLst/>
                          </a:prstGeom>
                          <a:noFill/>
                          <a:ln>
                            <a:noFill/>
                          </a:ln>
                        </pic:spPr>
                      </pic:pic>
                    </a:graphicData>
                  </a:graphic>
                </wp:inline>
              </w:drawing>
            </w:r>
          </w:p>
        </w:tc>
      </w:tr>
      <w:tr w14:paraId="55EF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85" w:type="pct"/>
            <w:vAlign w:val="center"/>
          </w:tcPr>
          <w:p w14:paraId="4BC91CC5">
            <w:pPr>
              <w:widowControl w:val="0"/>
              <w:adjustRightInd w:val="0"/>
              <w:snapToGrid w:val="0"/>
              <w:spacing w:line="240" w:lineRule="auto"/>
              <w:ind w:firstLine="0" w:firstLineChars="0"/>
              <w:jc w:val="center"/>
              <w:rPr>
                <w:rFonts w:eastAsia="仿宋" w:cs="Times New Roman"/>
                <w:b/>
                <w:color w:val="000000" w:themeColor="text1"/>
                <w:kern w:val="2"/>
                <w14:textFill>
                  <w14:solidFill>
                    <w14:schemeClr w14:val="tx1"/>
                  </w14:solidFill>
                </w14:textFill>
              </w:rPr>
            </w:pPr>
            <w:r>
              <w:rPr>
                <w:rFonts w:hAnsi="仿宋" w:eastAsia="仿宋" w:cs="Times New Roman"/>
                <w:b/>
                <w:color w:val="000000" w:themeColor="text1"/>
                <w:kern w:val="2"/>
                <w14:textFill>
                  <w14:solidFill>
                    <w14:schemeClr w14:val="tx1"/>
                  </w14:solidFill>
                </w14:textFill>
              </w:rPr>
              <w:t>项目负责</w:t>
            </w:r>
            <w:r>
              <w:rPr>
                <w:rFonts w:hint="eastAsia" w:hAnsi="仿宋" w:eastAsia="仿宋" w:cs="Times New Roman"/>
                <w:b/>
                <w:color w:val="000000" w:themeColor="text1"/>
                <w:kern w:val="2"/>
                <w14:textFill>
                  <w14:solidFill>
                    <w14:schemeClr w14:val="tx1"/>
                  </w14:solidFill>
                </w14:textFill>
              </w:rPr>
              <w:t>人</w:t>
            </w:r>
          </w:p>
        </w:tc>
        <w:tc>
          <w:tcPr>
            <w:tcW w:w="658" w:type="pct"/>
            <w:vAlign w:val="center"/>
          </w:tcPr>
          <w:p w14:paraId="38098683">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Ansi="仿宋" w:eastAsia="仿宋" w:cs="Times New Roman"/>
                <w:color w:val="000000" w:themeColor="text1"/>
                <w:kern w:val="2"/>
                <w14:textFill>
                  <w14:solidFill>
                    <w14:schemeClr w14:val="tx1"/>
                  </w14:solidFill>
                </w14:textFill>
              </w:rPr>
              <w:t>张振恒</w:t>
            </w:r>
          </w:p>
        </w:tc>
        <w:tc>
          <w:tcPr>
            <w:tcW w:w="989" w:type="pct"/>
            <w:vAlign w:val="center"/>
          </w:tcPr>
          <w:p w14:paraId="5D170CA5">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Ansi="仿宋" w:eastAsia="仿宋" w:cs="Times New Roman"/>
                <w:color w:val="000000" w:themeColor="text1"/>
                <w:kern w:val="2"/>
                <w14:textFill>
                  <w14:solidFill>
                    <w14:schemeClr w14:val="tx1"/>
                  </w14:solidFill>
                </w14:textFill>
              </w:rPr>
              <w:t>高级工程师</w:t>
            </w:r>
          </w:p>
        </w:tc>
        <w:tc>
          <w:tcPr>
            <w:tcW w:w="1317" w:type="pct"/>
            <w:vAlign w:val="center"/>
          </w:tcPr>
          <w:p w14:paraId="67D1411C">
            <w:pPr>
              <w:widowControl w:val="0"/>
              <w:adjustRightInd w:val="0"/>
              <w:snapToGrid w:val="0"/>
              <w:spacing w:line="240" w:lineRule="auto"/>
              <w:ind w:firstLine="0" w:firstLineChars="0"/>
              <w:jc w:val="center"/>
              <w:rPr>
                <w:rFonts w:eastAsia="仿宋" w:cs="Times New Roman"/>
                <w:bCs/>
                <w:color w:val="000000" w:themeColor="text1"/>
                <w:kern w:val="2"/>
                <w14:textFill>
                  <w14:solidFill>
                    <w14:schemeClr w14:val="tx1"/>
                  </w14:solidFill>
                </w14:textFill>
              </w:rPr>
            </w:pPr>
          </w:p>
        </w:tc>
        <w:tc>
          <w:tcPr>
            <w:tcW w:w="1151" w:type="pct"/>
            <w:vAlign w:val="center"/>
          </w:tcPr>
          <w:p w14:paraId="349A1779">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color w:val="000000" w:themeColor="text1"/>
                <w14:textFill>
                  <w14:solidFill>
                    <w14:schemeClr w14:val="tx1"/>
                  </w14:solidFill>
                </w14:textFill>
              </w:rPr>
              <w:drawing>
                <wp:inline distT="0" distB="0" distL="0" distR="0">
                  <wp:extent cx="1016635" cy="477520"/>
                  <wp:effectExtent l="0" t="0" r="0" b="0"/>
                  <wp:docPr id="153056638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566389" name="图片 5"/>
                          <pic:cNvPicPr>
                            <a:picLocks noChangeAspect="1" noChangeArrowheads="1"/>
                          </pic:cNvPicPr>
                        </pic:nvPicPr>
                        <pic:blipFill>
                          <a:blip r:embed="rId91" cstate="email"/>
                          <a:srcRect/>
                          <a:stretch>
                            <a:fillRect/>
                          </a:stretch>
                        </pic:blipFill>
                        <pic:spPr>
                          <a:xfrm>
                            <a:off x="0" y="0"/>
                            <a:ext cx="1016635" cy="477520"/>
                          </a:xfrm>
                          <a:prstGeom prst="rect">
                            <a:avLst/>
                          </a:prstGeom>
                          <a:noFill/>
                          <a:ln>
                            <a:noFill/>
                          </a:ln>
                        </pic:spPr>
                      </pic:pic>
                    </a:graphicData>
                  </a:graphic>
                </wp:inline>
              </w:drawing>
            </w:r>
          </w:p>
        </w:tc>
      </w:tr>
      <w:tr w14:paraId="6DD6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85" w:type="pct"/>
            <w:vMerge w:val="restart"/>
            <w:vAlign w:val="center"/>
          </w:tcPr>
          <w:p w14:paraId="5051620A">
            <w:pPr>
              <w:widowControl w:val="0"/>
              <w:adjustRightInd w:val="0"/>
              <w:snapToGrid w:val="0"/>
              <w:spacing w:line="240" w:lineRule="auto"/>
              <w:ind w:firstLine="0" w:firstLineChars="0"/>
              <w:jc w:val="center"/>
              <w:rPr>
                <w:rFonts w:eastAsia="仿宋" w:cs="Times New Roman"/>
                <w:b/>
                <w:color w:val="000000" w:themeColor="text1"/>
                <w:kern w:val="2"/>
                <w14:textFill>
                  <w14:solidFill>
                    <w14:schemeClr w14:val="tx1"/>
                  </w14:solidFill>
                </w14:textFill>
              </w:rPr>
            </w:pPr>
            <w:r>
              <w:rPr>
                <w:rFonts w:hAnsi="仿宋" w:eastAsia="仿宋" w:cs="Times New Roman"/>
                <w:b/>
                <w:color w:val="000000" w:themeColor="text1"/>
                <w:kern w:val="2"/>
                <w14:textFill>
                  <w14:solidFill>
                    <w14:schemeClr w14:val="tx1"/>
                  </w14:solidFill>
                </w14:textFill>
              </w:rPr>
              <w:t>编</w:t>
            </w:r>
            <w:r>
              <w:rPr>
                <w:rFonts w:eastAsia="仿宋" w:cs="Times New Roman"/>
                <w:b/>
                <w:color w:val="000000" w:themeColor="text1"/>
                <w:kern w:val="2"/>
                <w14:textFill>
                  <w14:solidFill>
                    <w14:schemeClr w14:val="tx1"/>
                  </w14:solidFill>
                </w14:textFill>
              </w:rPr>
              <w:t xml:space="preserve">    </w:t>
            </w:r>
            <w:r>
              <w:rPr>
                <w:rFonts w:hAnsi="仿宋" w:eastAsia="仿宋" w:cs="Times New Roman"/>
                <w:b/>
                <w:color w:val="000000" w:themeColor="text1"/>
                <w:kern w:val="2"/>
                <w14:textFill>
                  <w14:solidFill>
                    <w14:schemeClr w14:val="tx1"/>
                  </w14:solidFill>
                </w14:textFill>
              </w:rPr>
              <w:t>写</w:t>
            </w:r>
          </w:p>
        </w:tc>
        <w:tc>
          <w:tcPr>
            <w:tcW w:w="658" w:type="pct"/>
            <w:vAlign w:val="center"/>
          </w:tcPr>
          <w:p w14:paraId="0B2B274B">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int="eastAsia" w:hAnsi="仿宋" w:eastAsia="仿宋" w:cs="Times New Roman"/>
                <w:color w:val="000000" w:themeColor="text1"/>
                <w:kern w:val="2"/>
                <w14:textFill>
                  <w14:solidFill>
                    <w14:schemeClr w14:val="tx1"/>
                  </w14:solidFill>
                </w14:textFill>
              </w:rPr>
              <w:t>张</w:t>
            </w:r>
            <w:r>
              <w:rPr>
                <w:rFonts w:hAnsi="仿宋" w:eastAsia="仿宋" w:cs="Times New Roman"/>
                <w:color w:val="000000" w:themeColor="text1"/>
                <w:kern w:val="2"/>
                <w14:textFill>
                  <w14:solidFill>
                    <w14:schemeClr w14:val="tx1"/>
                  </w14:solidFill>
                </w14:textFill>
              </w:rPr>
              <w:t>振恒</w:t>
            </w:r>
          </w:p>
        </w:tc>
        <w:tc>
          <w:tcPr>
            <w:tcW w:w="989" w:type="pct"/>
            <w:vAlign w:val="center"/>
          </w:tcPr>
          <w:p w14:paraId="1E36BD80">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Ansi="仿宋" w:eastAsia="仿宋" w:cs="Times New Roman"/>
                <w:color w:val="000000" w:themeColor="text1"/>
                <w:kern w:val="2"/>
                <w14:textFill>
                  <w14:solidFill>
                    <w14:schemeClr w14:val="tx1"/>
                  </w14:solidFill>
                </w14:textFill>
              </w:rPr>
              <w:t>高级工程师</w:t>
            </w:r>
          </w:p>
        </w:tc>
        <w:tc>
          <w:tcPr>
            <w:tcW w:w="1317" w:type="pct"/>
            <w:vAlign w:val="center"/>
          </w:tcPr>
          <w:p w14:paraId="11446EF9">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int="eastAsia" w:eastAsia="仿宋" w:cs="Times New Roman"/>
                <w:color w:val="000000" w:themeColor="text1"/>
                <w:kern w:val="2"/>
                <w14:textFill>
                  <w14:solidFill>
                    <w14:schemeClr w14:val="tx1"/>
                  </w14:solidFill>
                </w14:textFill>
              </w:rPr>
              <w:t>参编前言、</w:t>
            </w:r>
            <w:r>
              <w:rPr>
                <w:rFonts w:hAnsi="仿宋" w:eastAsia="仿宋" w:cs="Times New Roman"/>
                <w:color w:val="000000" w:themeColor="text1"/>
                <w:kern w:val="2"/>
                <w14:textFill>
                  <w14:solidFill>
                    <w14:schemeClr w14:val="tx1"/>
                  </w14:solidFill>
                </w14:textFill>
              </w:rPr>
              <w:t>第</w:t>
            </w:r>
            <w:r>
              <w:rPr>
                <w:rFonts w:hint="eastAsia" w:hAnsi="仿宋" w:eastAsia="仿宋" w:cs="Times New Roman"/>
                <w:color w:val="000000" w:themeColor="text1"/>
                <w:kern w:val="2"/>
                <w14:textFill>
                  <w14:solidFill>
                    <w14:schemeClr w14:val="tx1"/>
                  </w14:solidFill>
                </w14:textFill>
              </w:rPr>
              <w:t>一、二、三、五</w:t>
            </w:r>
            <w:r>
              <w:rPr>
                <w:rFonts w:hAnsi="仿宋" w:eastAsia="仿宋" w:cs="Times New Roman"/>
                <w:color w:val="000000" w:themeColor="text1"/>
                <w:kern w:val="2"/>
                <w14:textFill>
                  <w14:solidFill>
                    <w14:schemeClr w14:val="tx1"/>
                  </w14:solidFill>
                </w14:textFill>
              </w:rPr>
              <w:t>章</w:t>
            </w:r>
          </w:p>
        </w:tc>
        <w:tc>
          <w:tcPr>
            <w:tcW w:w="1151" w:type="pct"/>
            <w:vAlign w:val="center"/>
          </w:tcPr>
          <w:p w14:paraId="3EB2586D">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color w:val="000000" w:themeColor="text1"/>
                <w14:textFill>
                  <w14:solidFill>
                    <w14:schemeClr w14:val="tx1"/>
                  </w14:solidFill>
                </w14:textFill>
              </w:rPr>
              <w:drawing>
                <wp:inline distT="0" distB="0" distL="0" distR="0">
                  <wp:extent cx="1016635" cy="477520"/>
                  <wp:effectExtent l="0" t="0" r="0" b="0"/>
                  <wp:docPr id="115603755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037555" name="图片 6"/>
                          <pic:cNvPicPr>
                            <a:picLocks noChangeAspect="1" noChangeArrowheads="1"/>
                          </pic:cNvPicPr>
                        </pic:nvPicPr>
                        <pic:blipFill>
                          <a:blip r:embed="rId91" cstate="email"/>
                          <a:srcRect/>
                          <a:stretch>
                            <a:fillRect/>
                          </a:stretch>
                        </pic:blipFill>
                        <pic:spPr>
                          <a:xfrm>
                            <a:off x="0" y="0"/>
                            <a:ext cx="1016635" cy="477520"/>
                          </a:xfrm>
                          <a:prstGeom prst="rect">
                            <a:avLst/>
                          </a:prstGeom>
                          <a:noFill/>
                          <a:ln>
                            <a:noFill/>
                          </a:ln>
                        </pic:spPr>
                      </pic:pic>
                    </a:graphicData>
                  </a:graphic>
                </wp:inline>
              </w:drawing>
            </w:r>
          </w:p>
        </w:tc>
      </w:tr>
      <w:tr w14:paraId="00B3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85" w:type="pct"/>
            <w:vMerge w:val="continue"/>
            <w:vAlign w:val="center"/>
          </w:tcPr>
          <w:p w14:paraId="77C4759E">
            <w:pPr>
              <w:widowControl w:val="0"/>
              <w:adjustRightInd w:val="0"/>
              <w:snapToGrid w:val="0"/>
              <w:spacing w:line="240" w:lineRule="auto"/>
              <w:ind w:firstLine="0" w:firstLineChars="0"/>
              <w:jc w:val="center"/>
              <w:rPr>
                <w:rFonts w:eastAsia="仿宋" w:cs="Times New Roman"/>
                <w:b/>
                <w:color w:val="000000" w:themeColor="text1"/>
                <w:kern w:val="2"/>
                <w14:textFill>
                  <w14:solidFill>
                    <w14:schemeClr w14:val="tx1"/>
                  </w14:solidFill>
                </w14:textFill>
              </w:rPr>
            </w:pPr>
          </w:p>
        </w:tc>
        <w:tc>
          <w:tcPr>
            <w:tcW w:w="658" w:type="pct"/>
            <w:vAlign w:val="center"/>
          </w:tcPr>
          <w:p w14:paraId="5DA68AA3">
            <w:pPr>
              <w:widowControl w:val="0"/>
              <w:adjustRightInd w:val="0"/>
              <w:snapToGrid w:val="0"/>
              <w:spacing w:line="240" w:lineRule="auto"/>
              <w:ind w:firstLine="0" w:firstLineChars="0"/>
              <w:jc w:val="center"/>
              <w:rPr>
                <w:rFonts w:hAnsi="仿宋" w:eastAsia="仿宋" w:cs="Times New Roman"/>
                <w:color w:val="000000" w:themeColor="text1"/>
                <w:kern w:val="2"/>
                <w14:textFill>
                  <w14:solidFill>
                    <w14:schemeClr w14:val="tx1"/>
                  </w14:solidFill>
                </w14:textFill>
              </w:rPr>
            </w:pPr>
            <w:r>
              <w:rPr>
                <w:rFonts w:hint="eastAsia" w:hAnsi="仿宋" w:eastAsia="仿宋" w:cs="Times New Roman"/>
                <w:color w:val="000000" w:themeColor="text1"/>
                <w:kern w:val="2"/>
                <w14:textFill>
                  <w14:solidFill>
                    <w14:schemeClr w14:val="tx1"/>
                  </w14:solidFill>
                </w14:textFill>
              </w:rPr>
              <w:t>李 谦</w:t>
            </w:r>
          </w:p>
        </w:tc>
        <w:tc>
          <w:tcPr>
            <w:tcW w:w="989" w:type="pct"/>
            <w:vAlign w:val="center"/>
          </w:tcPr>
          <w:p w14:paraId="3198BA4B">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Ansi="仿宋" w:eastAsia="仿宋" w:cs="Times New Roman"/>
                <w:color w:val="000000" w:themeColor="text1"/>
                <w:kern w:val="2"/>
                <w14:textFill>
                  <w14:solidFill>
                    <w14:schemeClr w14:val="tx1"/>
                  </w14:solidFill>
                </w14:textFill>
              </w:rPr>
              <w:t>工程师</w:t>
            </w:r>
          </w:p>
        </w:tc>
        <w:tc>
          <w:tcPr>
            <w:tcW w:w="1317" w:type="pct"/>
            <w:vAlign w:val="center"/>
          </w:tcPr>
          <w:p w14:paraId="132F02A7">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int="eastAsia" w:eastAsia="仿宋" w:cs="Times New Roman"/>
                <w:color w:val="000000" w:themeColor="text1"/>
                <w:kern w:val="2"/>
                <w14:textFill>
                  <w14:solidFill>
                    <w14:schemeClr w14:val="tx1"/>
                  </w14:solidFill>
                </w14:textFill>
              </w:rPr>
              <w:t>参编第四、六章</w:t>
            </w:r>
          </w:p>
        </w:tc>
        <w:tc>
          <w:tcPr>
            <w:tcW w:w="1151" w:type="pct"/>
            <w:vAlign w:val="center"/>
          </w:tcPr>
          <w:p w14:paraId="17543A0E">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color w:val="000000" w:themeColor="text1"/>
                <w14:textFill>
                  <w14:solidFill>
                    <w14:schemeClr w14:val="tx1"/>
                  </w14:solidFill>
                </w14:textFill>
              </w:rPr>
              <w:drawing>
                <wp:inline distT="0" distB="0" distL="0" distR="0">
                  <wp:extent cx="1153160" cy="546100"/>
                  <wp:effectExtent l="0" t="0" r="0" b="6350"/>
                  <wp:docPr id="60071074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710741" name="图片 7"/>
                          <pic:cNvPicPr>
                            <a:picLocks noChangeAspect="1" noChangeArrowheads="1"/>
                          </pic:cNvPicPr>
                        </pic:nvPicPr>
                        <pic:blipFill>
                          <a:blip r:embed="rId92" cstate="email"/>
                          <a:srcRect/>
                          <a:stretch>
                            <a:fillRect/>
                          </a:stretch>
                        </pic:blipFill>
                        <pic:spPr>
                          <a:xfrm>
                            <a:off x="0" y="0"/>
                            <a:ext cx="1153160" cy="546100"/>
                          </a:xfrm>
                          <a:prstGeom prst="rect">
                            <a:avLst/>
                          </a:prstGeom>
                          <a:noFill/>
                          <a:ln>
                            <a:noFill/>
                          </a:ln>
                        </pic:spPr>
                      </pic:pic>
                    </a:graphicData>
                  </a:graphic>
                </wp:inline>
              </w:drawing>
            </w:r>
          </w:p>
        </w:tc>
      </w:tr>
      <w:tr w14:paraId="3C8A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85" w:type="pct"/>
            <w:vMerge w:val="continue"/>
            <w:vAlign w:val="center"/>
          </w:tcPr>
          <w:p w14:paraId="0AA21429">
            <w:pPr>
              <w:widowControl w:val="0"/>
              <w:adjustRightInd w:val="0"/>
              <w:snapToGrid w:val="0"/>
              <w:spacing w:line="240" w:lineRule="auto"/>
              <w:ind w:firstLine="0" w:firstLineChars="0"/>
              <w:jc w:val="center"/>
              <w:rPr>
                <w:rFonts w:eastAsia="仿宋" w:cs="Times New Roman"/>
                <w:b/>
                <w:color w:val="000000" w:themeColor="text1"/>
                <w:kern w:val="2"/>
                <w14:textFill>
                  <w14:solidFill>
                    <w14:schemeClr w14:val="tx1"/>
                  </w14:solidFill>
                </w14:textFill>
              </w:rPr>
            </w:pPr>
          </w:p>
        </w:tc>
        <w:tc>
          <w:tcPr>
            <w:tcW w:w="658" w:type="pct"/>
            <w:vAlign w:val="center"/>
          </w:tcPr>
          <w:p w14:paraId="65607619">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int="eastAsia" w:eastAsia="仿宋" w:cs="Times New Roman"/>
                <w:color w:val="000000" w:themeColor="text1"/>
                <w:kern w:val="2"/>
                <w14:textFill>
                  <w14:solidFill>
                    <w14:schemeClr w14:val="tx1"/>
                  </w14:solidFill>
                </w14:textFill>
              </w:rPr>
              <w:t>肖童超</w:t>
            </w:r>
          </w:p>
        </w:tc>
        <w:tc>
          <w:tcPr>
            <w:tcW w:w="989" w:type="pct"/>
            <w:vAlign w:val="center"/>
          </w:tcPr>
          <w:p w14:paraId="7A8A388F">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int="eastAsia" w:eastAsia="仿宋" w:cs="Times New Roman"/>
                <w:color w:val="000000" w:themeColor="text1"/>
                <w:kern w:val="2"/>
                <w14:textFill>
                  <w14:solidFill>
                    <w14:schemeClr w14:val="tx1"/>
                  </w14:solidFill>
                </w14:textFill>
              </w:rPr>
              <w:t>工程师</w:t>
            </w:r>
          </w:p>
        </w:tc>
        <w:tc>
          <w:tcPr>
            <w:tcW w:w="1317" w:type="pct"/>
            <w:vAlign w:val="center"/>
          </w:tcPr>
          <w:p w14:paraId="4C98CD2B">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int="eastAsia" w:hAnsi="仿宋" w:eastAsia="仿宋" w:cs="Times New Roman"/>
                <w:color w:val="000000" w:themeColor="text1"/>
                <w:kern w:val="2"/>
                <w14:textFill>
                  <w14:solidFill>
                    <w14:schemeClr w14:val="tx1"/>
                  </w14:solidFill>
                </w14:textFill>
              </w:rPr>
              <w:t>参编第七章</w:t>
            </w:r>
          </w:p>
        </w:tc>
        <w:tc>
          <w:tcPr>
            <w:tcW w:w="1151" w:type="pct"/>
            <w:vAlign w:val="center"/>
          </w:tcPr>
          <w:p w14:paraId="48DE28F5">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color w:val="000000" w:themeColor="text1"/>
                <w14:textFill>
                  <w14:solidFill>
                    <w14:schemeClr w14:val="tx1"/>
                  </w14:solidFill>
                </w14:textFill>
              </w:rPr>
              <w:drawing>
                <wp:inline distT="0" distB="0" distL="0" distR="0">
                  <wp:extent cx="723265" cy="457200"/>
                  <wp:effectExtent l="0" t="0" r="635" b="0"/>
                  <wp:docPr id="22481800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818004" name="图片 8"/>
                          <pic:cNvPicPr>
                            <a:picLocks noChangeAspect="1" noChangeArrowheads="1"/>
                          </pic:cNvPicPr>
                        </pic:nvPicPr>
                        <pic:blipFill>
                          <a:blip r:embed="rId93" cstate="email"/>
                          <a:srcRect/>
                          <a:stretch>
                            <a:fillRect/>
                          </a:stretch>
                        </pic:blipFill>
                        <pic:spPr>
                          <a:xfrm>
                            <a:off x="0" y="0"/>
                            <a:ext cx="723265" cy="457200"/>
                          </a:xfrm>
                          <a:prstGeom prst="rect">
                            <a:avLst/>
                          </a:prstGeom>
                          <a:noFill/>
                          <a:ln>
                            <a:noFill/>
                          </a:ln>
                        </pic:spPr>
                      </pic:pic>
                    </a:graphicData>
                  </a:graphic>
                </wp:inline>
              </w:drawing>
            </w:r>
          </w:p>
        </w:tc>
      </w:tr>
      <w:tr w14:paraId="0CDD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85" w:type="pct"/>
            <w:vMerge w:val="continue"/>
            <w:vAlign w:val="center"/>
          </w:tcPr>
          <w:p w14:paraId="42B0F3C3">
            <w:pPr>
              <w:widowControl w:val="0"/>
              <w:adjustRightInd w:val="0"/>
              <w:snapToGrid w:val="0"/>
              <w:spacing w:line="240" w:lineRule="auto"/>
              <w:ind w:firstLine="0" w:firstLineChars="0"/>
              <w:jc w:val="center"/>
              <w:rPr>
                <w:rFonts w:eastAsia="仿宋" w:cs="Times New Roman"/>
                <w:b/>
                <w:color w:val="000000" w:themeColor="text1"/>
                <w:kern w:val="2"/>
                <w14:textFill>
                  <w14:solidFill>
                    <w14:schemeClr w14:val="tx1"/>
                  </w14:solidFill>
                </w14:textFill>
              </w:rPr>
            </w:pPr>
          </w:p>
        </w:tc>
        <w:tc>
          <w:tcPr>
            <w:tcW w:w="658" w:type="pct"/>
            <w:vAlign w:val="center"/>
          </w:tcPr>
          <w:p w14:paraId="698F0695">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int="eastAsia" w:eastAsia="仿宋" w:cs="Times New Roman"/>
                <w:color w:val="000000" w:themeColor="text1"/>
                <w:kern w:val="2"/>
                <w14:textFill>
                  <w14:solidFill>
                    <w14:schemeClr w14:val="tx1"/>
                  </w14:solidFill>
                </w14:textFill>
              </w:rPr>
              <w:t xml:space="preserve">王 </w:t>
            </w:r>
            <w:r>
              <w:rPr>
                <w:rFonts w:eastAsia="仿宋" w:cs="Times New Roman"/>
                <w:color w:val="000000" w:themeColor="text1"/>
                <w:kern w:val="2"/>
                <w14:textFill>
                  <w14:solidFill>
                    <w14:schemeClr w14:val="tx1"/>
                  </w14:solidFill>
                </w14:textFill>
              </w:rPr>
              <w:t xml:space="preserve"> </w:t>
            </w:r>
            <w:r>
              <w:rPr>
                <w:rFonts w:hint="eastAsia" w:eastAsia="仿宋" w:cs="Times New Roman"/>
                <w:color w:val="000000" w:themeColor="text1"/>
                <w:kern w:val="2"/>
                <w14:textFill>
                  <w14:solidFill>
                    <w14:schemeClr w14:val="tx1"/>
                  </w14:solidFill>
                </w14:textFill>
              </w:rPr>
              <w:t>鹤</w:t>
            </w:r>
          </w:p>
        </w:tc>
        <w:tc>
          <w:tcPr>
            <w:tcW w:w="989" w:type="pct"/>
            <w:vAlign w:val="center"/>
          </w:tcPr>
          <w:p w14:paraId="7DB77421">
            <w:pPr>
              <w:widowControl w:val="0"/>
              <w:adjustRightInd w:val="0"/>
              <w:snapToGrid w:val="0"/>
              <w:spacing w:line="240" w:lineRule="auto"/>
              <w:ind w:firstLine="0" w:firstLineChars="0"/>
              <w:jc w:val="center"/>
              <w:rPr>
                <w:rFonts w:eastAsia="仿宋" w:cs="Times New Roman"/>
                <w:color w:val="000000" w:themeColor="text1"/>
                <w:kern w:val="2"/>
                <w14:textFill>
                  <w14:solidFill>
                    <w14:schemeClr w14:val="tx1"/>
                  </w14:solidFill>
                </w14:textFill>
              </w:rPr>
            </w:pPr>
            <w:r>
              <w:rPr>
                <w:rFonts w:hint="eastAsia" w:eastAsia="仿宋" w:cs="Times New Roman"/>
                <w:color w:val="000000" w:themeColor="text1"/>
                <w:kern w:val="2"/>
                <w14:textFill>
                  <w14:solidFill>
                    <w14:schemeClr w14:val="tx1"/>
                  </w14:solidFill>
                </w14:textFill>
              </w:rPr>
              <w:t>工程师</w:t>
            </w:r>
          </w:p>
        </w:tc>
        <w:tc>
          <w:tcPr>
            <w:tcW w:w="1317" w:type="pct"/>
            <w:vAlign w:val="center"/>
          </w:tcPr>
          <w:p w14:paraId="577DC02B">
            <w:pPr>
              <w:widowControl w:val="0"/>
              <w:adjustRightInd w:val="0"/>
              <w:snapToGrid w:val="0"/>
              <w:spacing w:line="240" w:lineRule="auto"/>
              <w:ind w:firstLine="0" w:firstLineChars="0"/>
              <w:jc w:val="center"/>
              <w:rPr>
                <w:rFonts w:hAnsi="仿宋" w:eastAsia="仿宋" w:cs="Times New Roman"/>
                <w:color w:val="000000" w:themeColor="text1"/>
                <w:kern w:val="2"/>
                <w14:textFill>
                  <w14:solidFill>
                    <w14:schemeClr w14:val="tx1"/>
                  </w14:solidFill>
                </w14:textFill>
              </w:rPr>
            </w:pPr>
            <w:r>
              <w:rPr>
                <w:rFonts w:hint="eastAsia" w:hAnsi="仿宋" w:eastAsia="仿宋" w:cs="Times New Roman"/>
                <w:color w:val="000000" w:themeColor="text1"/>
                <w:kern w:val="2"/>
                <w14:textFill>
                  <w14:solidFill>
                    <w14:schemeClr w14:val="tx1"/>
                  </w14:solidFill>
                </w14:textFill>
              </w:rPr>
              <w:t>参编第八章、制作附图</w:t>
            </w:r>
          </w:p>
        </w:tc>
        <w:tc>
          <w:tcPr>
            <w:tcW w:w="1151" w:type="pct"/>
            <w:vAlign w:val="center"/>
          </w:tcPr>
          <w:p w14:paraId="06A46FBF">
            <w:pPr>
              <w:widowControl w:val="0"/>
              <w:adjustRightInd w:val="0"/>
              <w:snapToGrid w:val="0"/>
              <w:spacing w:line="240" w:lineRule="auto"/>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704850" cy="508635"/>
                  <wp:effectExtent l="0" t="0" r="0" b="5715"/>
                  <wp:docPr id="15770778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077843" name="图片 1"/>
                          <pic:cNvPicPr>
                            <a:picLocks noChangeAspect="1" noChangeArrowheads="1"/>
                          </pic:cNvPicPr>
                        </pic:nvPicPr>
                        <pic:blipFill>
                          <a:blip r:embed="rId94" cstate="email"/>
                          <a:srcRect/>
                          <a:stretch>
                            <a:fillRect/>
                          </a:stretch>
                        </pic:blipFill>
                        <pic:spPr>
                          <a:xfrm>
                            <a:off x="0" y="0"/>
                            <a:ext cx="721096" cy="520194"/>
                          </a:xfrm>
                          <a:prstGeom prst="rect">
                            <a:avLst/>
                          </a:prstGeom>
                          <a:noFill/>
                          <a:ln>
                            <a:noFill/>
                          </a:ln>
                        </pic:spPr>
                      </pic:pic>
                    </a:graphicData>
                  </a:graphic>
                </wp:inline>
              </w:drawing>
            </w:r>
          </w:p>
        </w:tc>
      </w:tr>
    </w:tbl>
    <w:p w14:paraId="4F20A5B9">
      <w:pPr>
        <w:widowControl w:val="0"/>
        <w:tabs>
          <w:tab w:val="left" w:pos="643"/>
        </w:tabs>
        <w:spacing w:line="419" w:lineRule="exact"/>
        <w:ind w:right="22" w:firstLine="640"/>
        <w:jc w:val="center"/>
        <w:rPr>
          <w:rFonts w:ascii="黑体" w:hAnsi="黑体" w:eastAsia="黑体" w:cs="黑体"/>
          <w:color w:val="000000" w:themeColor="text1"/>
          <w:sz w:val="32"/>
          <w:szCs w:val="32"/>
          <w14:textFill>
            <w14:solidFill>
              <w14:schemeClr w14:val="tx1"/>
            </w14:solidFill>
          </w14:textFill>
        </w:rPr>
      </w:pPr>
    </w:p>
    <w:bookmarkEnd w:id="8"/>
    <w:p w14:paraId="0E232D54">
      <w:pPr>
        <w:widowControl w:val="0"/>
        <w:spacing w:line="240" w:lineRule="atLeast"/>
        <w:ind w:firstLine="420"/>
        <w:rPr>
          <w:rFonts w:cs="Times New Roman"/>
          <w:color w:val="000000" w:themeColor="text1"/>
          <w:kern w:val="2"/>
          <w:sz w:val="21"/>
          <w14:textFill>
            <w14:solidFill>
              <w14:schemeClr w14:val="tx1"/>
            </w14:solidFill>
          </w14:textFill>
        </w:rPr>
      </w:pPr>
    </w:p>
    <w:p w14:paraId="679F9C2F">
      <w:pPr>
        <w:widowControl w:val="0"/>
        <w:ind w:firstLine="562"/>
        <w:contextualSpacing/>
        <w:jc w:val="center"/>
        <w:rPr>
          <w:rFonts w:cs="Times New Roman"/>
          <w:b/>
          <w:color w:val="000000" w:themeColor="text1"/>
          <w:sz w:val="28"/>
          <w:szCs w:val="28"/>
          <w14:textFill>
            <w14:solidFill>
              <w14:schemeClr w14:val="tx1"/>
            </w14:solidFill>
          </w14:textFill>
        </w:rPr>
        <w:sectPr>
          <w:pgSz w:w="11906" w:h="16838"/>
          <w:pgMar w:top="1418" w:right="1418" w:bottom="1418" w:left="1418" w:header="1134" w:footer="1077" w:gutter="0"/>
          <w:pgNumType w:fmt="upperRoman" w:start="1"/>
          <w:cols w:space="720" w:num="1"/>
          <w:docGrid w:linePitch="312" w:charSpace="0"/>
        </w:sectPr>
      </w:pPr>
    </w:p>
    <w:p w14:paraId="4A707270">
      <w:pPr>
        <w:pStyle w:val="49"/>
        <w:widowControl w:val="0"/>
        <w:ind w:firstLine="0" w:firstLineChars="0"/>
        <w:rPr>
          <w:rFonts w:ascii="Times New Roman" w:hAnsi="Times New Roman" w:eastAsia="仿宋_GB2312"/>
          <w:color w:val="000000" w:themeColor="text1"/>
          <w:sz w:val="28"/>
          <w:szCs w:val="28"/>
          <w14:textFill>
            <w14:solidFill>
              <w14:schemeClr w14:val="tx1"/>
            </w14:solidFill>
          </w14:textFill>
        </w:rPr>
      </w:pPr>
      <w:r>
        <w:rPr>
          <w:color w:val="000000" w:themeColor="text1"/>
          <w14:textFill>
            <w14:solidFill>
              <w14:schemeClr w14:val="tx1"/>
            </w14:solidFill>
          </w14:textFill>
        </w:rPr>
        <w:t>目  录</w:t>
      </w:r>
      <w:r>
        <w:rPr>
          <w:rFonts w:ascii="Times New Roman" w:hAnsi="Times New Roman" w:eastAsia="仿宋_GB2312"/>
          <w:color w:val="000000" w:themeColor="text1"/>
          <w:sz w:val="28"/>
          <w:szCs w:val="28"/>
          <w14:textFill>
            <w14:solidFill>
              <w14:schemeClr w14:val="tx1"/>
            </w14:solidFill>
          </w14:textFill>
        </w:rPr>
        <w:fldChar w:fldCharType="begin"/>
      </w:r>
      <w:r>
        <w:rPr>
          <w:rFonts w:ascii="Times New Roman" w:hAnsi="Times New Roman" w:eastAsia="仿宋_GB2312"/>
          <w:color w:val="000000" w:themeColor="text1"/>
          <w:sz w:val="28"/>
          <w:szCs w:val="28"/>
          <w14:textFill>
            <w14:solidFill>
              <w14:schemeClr w14:val="tx1"/>
            </w14:solidFill>
          </w14:textFill>
        </w:rPr>
        <w:instrText xml:space="preserve"> TOC \o "1-2" \h \z \u </w:instrText>
      </w:r>
      <w:r>
        <w:rPr>
          <w:rFonts w:ascii="Times New Roman" w:hAnsi="Times New Roman" w:eastAsia="仿宋_GB2312"/>
          <w:color w:val="000000" w:themeColor="text1"/>
          <w:sz w:val="28"/>
          <w:szCs w:val="28"/>
          <w14:textFill>
            <w14:solidFill>
              <w14:schemeClr w14:val="tx1"/>
            </w14:solidFill>
          </w14:textFill>
        </w:rPr>
        <w:fldChar w:fldCharType="separate"/>
      </w:r>
    </w:p>
    <w:p w14:paraId="02BB45A1">
      <w:pPr>
        <w:pStyle w:val="19"/>
        <w:ind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"_Toc152535463" </w:instrText>
      </w:r>
      <w:r>
        <w:fldChar w:fldCharType="separate"/>
      </w:r>
      <w:r>
        <w:rPr>
          <w:rStyle w:val="31"/>
          <w:rFonts w:cs="Times New Roman"/>
          <w:color w:val="000000" w:themeColor="text1"/>
          <w:sz w:val="28"/>
          <w:szCs w:val="28"/>
          <w14:textFill>
            <w14:solidFill>
              <w14:schemeClr w14:val="tx1"/>
            </w14:solidFill>
          </w14:textFill>
        </w:rPr>
        <w:t>前言</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_Toc152535463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73DDC96C">
      <w:pPr>
        <w:pStyle w:val="19"/>
        <w:ind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"_Toc152535464" </w:instrText>
      </w:r>
      <w:r>
        <w:fldChar w:fldCharType="separate"/>
      </w:r>
      <w:r>
        <w:rPr>
          <w:rStyle w:val="31"/>
          <w:rFonts w:cs="Times New Roman"/>
          <w:color w:val="000000" w:themeColor="text1"/>
          <w:sz w:val="28"/>
          <w:szCs w:val="28"/>
          <w14:textFill>
            <w14:solidFill>
              <w14:schemeClr w14:val="tx1"/>
            </w14:solidFill>
          </w14:textFill>
        </w:rPr>
        <w:t>1</w:t>
      </w:r>
      <w:r>
        <w:rPr>
          <w:rFonts w:cs="Times New Roman"/>
          <w:color w:val="000000" w:themeColor="text1"/>
          <w:kern w:val="2"/>
          <w:sz w:val="28"/>
          <w:szCs w:val="28"/>
          <w14:textFill>
            <w14:solidFill>
              <w14:schemeClr w14:val="tx1"/>
            </w14:solidFill>
          </w14:textFill>
          <w14:ligatures w14:val="standardContextual"/>
        </w:rPr>
        <w:tab/>
      </w:r>
      <w:r>
        <w:rPr>
          <w:rStyle w:val="31"/>
          <w:rFonts w:cs="Times New Roman"/>
          <w:color w:val="000000" w:themeColor="text1"/>
          <w:sz w:val="28"/>
          <w:szCs w:val="28"/>
          <w14:textFill>
            <w14:solidFill>
              <w14:schemeClr w14:val="tx1"/>
            </w14:solidFill>
          </w14:textFill>
        </w:rPr>
        <w:t>区域概况</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_Toc152535464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11</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56251D25">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"_Toc152535465" </w:instrText>
      </w:r>
      <w:r>
        <w:fldChar w:fldCharType="separate"/>
      </w:r>
      <w:r>
        <w:rPr>
          <w:rStyle w:val="31"/>
          <w:rFonts w:cs="Times New Roman"/>
          <w:color w:val="000000" w:themeColor="text1"/>
          <w:sz w:val="28"/>
          <w:szCs w:val="28"/>
          <w14:textFill>
            <w14:solidFill>
              <w14:schemeClr w14:val="tx1"/>
            </w14:solidFill>
          </w14:textFill>
        </w:rPr>
        <w:t>1.1 园区基本情况</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_Toc152535465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11</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4FD84457">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"_Toc152535466" </w:instrText>
      </w:r>
      <w:r>
        <w:fldChar w:fldCharType="separate"/>
      </w:r>
      <w:r>
        <w:rPr>
          <w:rStyle w:val="31"/>
          <w:rFonts w:cs="Times New Roman"/>
          <w:color w:val="000000" w:themeColor="text1"/>
          <w:sz w:val="28"/>
          <w:szCs w:val="28"/>
          <w14:textFill>
            <w14:solidFill>
              <w14:schemeClr w14:val="tx1"/>
            </w14:solidFill>
          </w14:textFill>
        </w:rPr>
        <w:t>1.2 平面布局</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_Toc152535466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37</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0F193103">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"_Toc152535467" </w:instrText>
      </w:r>
      <w:r>
        <w:fldChar w:fldCharType="separate"/>
      </w:r>
      <w:r>
        <w:rPr>
          <w:rStyle w:val="31"/>
          <w:rFonts w:cs="Times New Roman"/>
          <w:color w:val="000000" w:themeColor="text1"/>
          <w:sz w:val="28"/>
          <w:szCs w:val="28"/>
          <w14:textFill>
            <w14:solidFill>
              <w14:schemeClr w14:val="tx1"/>
            </w14:solidFill>
          </w14:textFill>
        </w:rPr>
        <w:t>1.3 园区竖向布置与土石方调配</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_Toc152535467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49</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59A354A5">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"_Toc152535468" </w:instrText>
      </w:r>
      <w:r>
        <w:fldChar w:fldCharType="separate"/>
      </w:r>
      <w:r>
        <w:rPr>
          <w:rStyle w:val="31"/>
          <w:rFonts w:cs="Times New Roman"/>
          <w:color w:val="000000" w:themeColor="text1"/>
          <w:sz w:val="28"/>
          <w:szCs w:val="28"/>
          <w14:textFill>
            <w14:solidFill>
              <w14:schemeClr w14:val="tx1"/>
            </w14:solidFill>
          </w14:textFill>
        </w:rPr>
        <w:t>1.4 自然概况</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_Toc152535468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70</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3ADA8BF2">
      <w:pPr>
        <w:pStyle w:val="19"/>
        <w:ind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"_Toc152535469" </w:instrText>
      </w:r>
      <w:r>
        <w:fldChar w:fldCharType="separate"/>
      </w:r>
      <w:r>
        <w:rPr>
          <w:rStyle w:val="31"/>
          <w:rFonts w:cs="Times New Roman"/>
          <w:color w:val="000000" w:themeColor="text1"/>
          <w:sz w:val="28"/>
          <w:szCs w:val="28"/>
          <w14:textFill>
            <w14:solidFill>
              <w14:schemeClr w14:val="tx1"/>
            </w14:solidFill>
          </w14:textFill>
        </w:rPr>
        <w:t>2</w:t>
      </w:r>
      <w:r>
        <w:rPr>
          <w:rFonts w:cs="Times New Roman"/>
          <w:color w:val="000000" w:themeColor="text1"/>
          <w:kern w:val="2"/>
          <w:sz w:val="28"/>
          <w:szCs w:val="28"/>
          <w14:textFill>
            <w14:solidFill>
              <w14:schemeClr w14:val="tx1"/>
            </w14:solidFill>
          </w14:textFill>
          <w14:ligatures w14:val="standardContextual"/>
        </w:rPr>
        <w:tab/>
      </w:r>
      <w:r>
        <w:rPr>
          <w:rStyle w:val="31"/>
          <w:rFonts w:cs="Times New Roman"/>
          <w:color w:val="000000" w:themeColor="text1"/>
          <w:sz w:val="28"/>
          <w:szCs w:val="28"/>
          <w14:textFill>
            <w14:solidFill>
              <w14:schemeClr w14:val="tx1"/>
            </w14:solidFill>
          </w14:textFill>
        </w:rPr>
        <w:t>水土流失防治范围与责任主体</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_Toc152535469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77</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74CA190D">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"_Toc152535470" </w:instrText>
      </w:r>
      <w:r>
        <w:fldChar w:fldCharType="separate"/>
      </w:r>
      <w:r>
        <w:rPr>
          <w:rStyle w:val="31"/>
          <w:rFonts w:cs="Times New Roman"/>
          <w:color w:val="000000" w:themeColor="text1"/>
          <w:sz w:val="28"/>
          <w:szCs w:val="28"/>
          <w14:textFill>
            <w14:solidFill>
              <w14:schemeClr w14:val="tx1"/>
            </w14:solidFill>
          </w14:textFill>
        </w:rPr>
        <w:t>2.1 防治责任范围</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_Toc152535470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77</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331625B4">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"_Toc152535471" </w:instrText>
      </w:r>
      <w:r>
        <w:fldChar w:fldCharType="separate"/>
      </w:r>
      <w:r>
        <w:rPr>
          <w:rStyle w:val="31"/>
          <w:rFonts w:cs="Times New Roman"/>
          <w:color w:val="000000" w:themeColor="text1"/>
          <w:sz w:val="28"/>
          <w:szCs w:val="28"/>
          <w14:textFill>
            <w14:solidFill>
              <w14:schemeClr w14:val="tx1"/>
            </w14:solidFill>
          </w14:textFill>
        </w:rPr>
        <w:t>2.2 防治责任主体</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_Toc152535471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78</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064431BA">
      <w:pPr>
        <w:pStyle w:val="19"/>
        <w:ind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"_Toc152535472" </w:instrText>
      </w:r>
      <w:r>
        <w:fldChar w:fldCharType="separate"/>
      </w:r>
      <w:r>
        <w:rPr>
          <w:rStyle w:val="31"/>
          <w:rFonts w:cs="Times New Roman"/>
          <w:color w:val="000000" w:themeColor="text1"/>
          <w:sz w:val="28"/>
          <w:szCs w:val="28"/>
          <w14:textFill>
            <w14:solidFill>
              <w14:schemeClr w14:val="tx1"/>
            </w14:solidFill>
          </w14:textFill>
        </w:rPr>
        <w:t>3</w:t>
      </w:r>
      <w:r>
        <w:rPr>
          <w:rFonts w:cs="Times New Roman"/>
          <w:color w:val="000000" w:themeColor="text1"/>
          <w:kern w:val="2"/>
          <w:sz w:val="28"/>
          <w:szCs w:val="28"/>
          <w14:textFill>
            <w14:solidFill>
              <w14:schemeClr w14:val="tx1"/>
            </w14:solidFill>
          </w14:textFill>
          <w14:ligatures w14:val="standardContextual"/>
        </w:rPr>
        <w:tab/>
      </w:r>
      <w:r>
        <w:rPr>
          <w:rStyle w:val="31"/>
          <w:rFonts w:cs="Times New Roman"/>
          <w:color w:val="000000" w:themeColor="text1"/>
          <w:sz w:val="28"/>
          <w:szCs w:val="28"/>
          <w14:textFill>
            <w14:solidFill>
              <w14:schemeClr w14:val="tx1"/>
            </w14:solidFill>
          </w14:textFill>
        </w:rPr>
        <w:t>水土保持分析与评价</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_Toc152535472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80</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7D1D1835">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"_Toc152535473" </w:instrText>
      </w:r>
      <w:r>
        <w:fldChar w:fldCharType="separate"/>
      </w:r>
      <w:r>
        <w:rPr>
          <w:rStyle w:val="31"/>
          <w:rFonts w:cs="Times New Roman"/>
          <w:color w:val="000000" w:themeColor="text1"/>
          <w:sz w:val="28"/>
          <w:szCs w:val="28"/>
          <w14:textFill>
            <w14:solidFill>
              <w14:schemeClr w14:val="tx1"/>
            </w14:solidFill>
          </w14:textFill>
        </w:rPr>
        <w:t>3.1 规划方案合理性评价</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_Toc152535473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80</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0484FB23">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"_Toc152535474" </w:instrText>
      </w:r>
      <w:r>
        <w:fldChar w:fldCharType="separate"/>
      </w:r>
      <w:r>
        <w:rPr>
          <w:rStyle w:val="31"/>
          <w:rFonts w:cs="Times New Roman"/>
          <w:color w:val="000000" w:themeColor="text1"/>
          <w:sz w:val="28"/>
          <w:szCs w:val="28"/>
          <w14:textFill>
            <w14:solidFill>
              <w14:schemeClr w14:val="tx1"/>
            </w14:solidFill>
          </w14:textFill>
        </w:rPr>
        <w:t>3.2 园区水土保持措施分析评价</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_Toc152535474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88</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416B9C22">
      <w:pPr>
        <w:pStyle w:val="19"/>
        <w:ind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"_Toc152535475" </w:instrText>
      </w:r>
      <w:r>
        <w:fldChar w:fldCharType="separate"/>
      </w:r>
      <w:r>
        <w:rPr>
          <w:rStyle w:val="31"/>
          <w:rFonts w:cs="Times New Roman"/>
          <w:color w:val="000000" w:themeColor="text1"/>
          <w:sz w:val="28"/>
          <w:szCs w:val="28"/>
          <w14:textFill>
            <w14:solidFill>
              <w14:schemeClr w14:val="tx1"/>
            </w14:solidFill>
          </w14:textFill>
        </w:rPr>
        <w:t>4</w:t>
      </w:r>
      <w:r>
        <w:rPr>
          <w:rFonts w:cs="Times New Roman"/>
          <w:color w:val="000000" w:themeColor="text1"/>
          <w:kern w:val="2"/>
          <w:sz w:val="28"/>
          <w:szCs w:val="28"/>
          <w14:textFill>
            <w14:solidFill>
              <w14:schemeClr w14:val="tx1"/>
            </w14:solidFill>
          </w14:textFill>
          <w14:ligatures w14:val="standardContextual"/>
        </w:rPr>
        <w:tab/>
      </w:r>
      <w:r>
        <w:rPr>
          <w:rStyle w:val="31"/>
          <w:rFonts w:cs="Times New Roman"/>
          <w:color w:val="000000" w:themeColor="text1"/>
          <w:sz w:val="28"/>
          <w:szCs w:val="28"/>
          <w14:textFill>
            <w14:solidFill>
              <w14:schemeClr w14:val="tx1"/>
            </w14:solidFill>
          </w14:textFill>
        </w:rPr>
        <w:t>水土流失分析与预测</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_Toc152535475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92</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5BCCE214">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"_Toc152535476" </w:instrText>
      </w:r>
      <w:r>
        <w:fldChar w:fldCharType="separate"/>
      </w:r>
      <w:r>
        <w:rPr>
          <w:rStyle w:val="31"/>
          <w:rFonts w:cs="Times New Roman"/>
          <w:color w:val="000000" w:themeColor="text1"/>
          <w:sz w:val="28"/>
          <w:szCs w:val="28"/>
          <w14:textFill>
            <w14:solidFill>
              <w14:schemeClr w14:val="tx1"/>
            </w14:solidFill>
          </w14:textFill>
        </w:rPr>
        <w:t>4.1 区域水土流失现状</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_Toc152535476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92</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0611ED39">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"_Toc152535477" </w:instrText>
      </w:r>
      <w:r>
        <w:fldChar w:fldCharType="separate"/>
      </w:r>
      <w:r>
        <w:rPr>
          <w:rStyle w:val="31"/>
          <w:rFonts w:cs="Times New Roman"/>
          <w:color w:val="000000" w:themeColor="text1"/>
          <w:sz w:val="28"/>
          <w:szCs w:val="28"/>
          <w14:textFill>
            <w14:solidFill>
              <w14:schemeClr w14:val="tx1"/>
            </w14:solidFill>
          </w14:textFill>
        </w:rPr>
        <w:t>4.2 水土流失影响因素分析</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_Toc152535477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92</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31595D75">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"_Toc152535478" </w:instrText>
      </w:r>
      <w:r>
        <w:fldChar w:fldCharType="separate"/>
      </w:r>
      <w:r>
        <w:rPr>
          <w:rStyle w:val="31"/>
          <w:rFonts w:cs="Times New Roman"/>
          <w:color w:val="000000" w:themeColor="text1"/>
          <w:sz w:val="28"/>
          <w:szCs w:val="28"/>
          <w14:textFill>
            <w14:solidFill>
              <w14:schemeClr w14:val="tx1"/>
            </w14:solidFill>
          </w14:textFill>
        </w:rPr>
        <w:t>4.3 土壤侵蚀量预测</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_Toc152535478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94</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25866CC1">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"_Toc152535479" </w:instrText>
      </w:r>
      <w:r>
        <w:fldChar w:fldCharType="separate"/>
      </w:r>
      <w:r>
        <w:rPr>
          <w:rStyle w:val="31"/>
          <w:rFonts w:cs="Times New Roman"/>
          <w:color w:val="000000" w:themeColor="text1"/>
          <w:sz w:val="28"/>
          <w:szCs w:val="28"/>
          <w14:textFill>
            <w14:solidFill>
              <w14:schemeClr w14:val="tx1"/>
            </w14:solidFill>
          </w14:textFill>
        </w:rPr>
        <w:t>4.4 水土流失危害分析</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_Toc152535479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127</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74DEF1AD">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"_Toc152535480" </w:instrText>
      </w:r>
      <w:r>
        <w:fldChar w:fldCharType="separate"/>
      </w:r>
      <w:r>
        <w:rPr>
          <w:rStyle w:val="31"/>
          <w:rFonts w:cs="Times New Roman"/>
          <w:color w:val="000000" w:themeColor="text1"/>
          <w:sz w:val="28"/>
          <w:szCs w:val="28"/>
          <w14:textFill>
            <w14:solidFill>
              <w14:schemeClr w14:val="tx1"/>
            </w14:solidFill>
          </w14:textFill>
        </w:rPr>
        <w:t>4.5 指导性意见</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_Toc152535480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128</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1DDE8294">
      <w:pPr>
        <w:pStyle w:val="19"/>
        <w:ind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"_Toc152535481" </w:instrText>
      </w:r>
      <w:r>
        <w:fldChar w:fldCharType="separate"/>
      </w:r>
      <w:r>
        <w:rPr>
          <w:rStyle w:val="31"/>
          <w:rFonts w:cs="Times New Roman"/>
          <w:color w:val="000000" w:themeColor="text1"/>
          <w:sz w:val="28"/>
          <w:szCs w:val="28"/>
          <w14:textFill>
            <w14:solidFill>
              <w14:schemeClr w14:val="tx1"/>
            </w14:solidFill>
          </w14:textFill>
        </w:rPr>
        <w:t>5</w:t>
      </w:r>
      <w:r>
        <w:rPr>
          <w:rFonts w:cs="Times New Roman"/>
          <w:color w:val="000000" w:themeColor="text1"/>
          <w:kern w:val="2"/>
          <w:sz w:val="28"/>
          <w:szCs w:val="28"/>
          <w14:textFill>
            <w14:solidFill>
              <w14:schemeClr w14:val="tx1"/>
            </w14:solidFill>
          </w14:textFill>
          <w14:ligatures w14:val="standardContextual"/>
        </w:rPr>
        <w:tab/>
      </w:r>
      <w:r>
        <w:rPr>
          <w:rStyle w:val="31"/>
          <w:rFonts w:cs="Times New Roman"/>
          <w:color w:val="000000" w:themeColor="text1"/>
          <w:sz w:val="28"/>
          <w:szCs w:val="28"/>
          <w14:textFill>
            <w14:solidFill>
              <w14:schemeClr w14:val="tx1"/>
            </w14:solidFill>
          </w14:textFill>
        </w:rPr>
        <w:t>水土流失防治方案</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_Toc152535481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130</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7445C8FB">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"_Toc152535482" </w:instrText>
      </w:r>
      <w:r>
        <w:fldChar w:fldCharType="separate"/>
      </w:r>
      <w:r>
        <w:rPr>
          <w:rStyle w:val="31"/>
          <w:rFonts w:cs="Times New Roman"/>
          <w:color w:val="000000" w:themeColor="text1"/>
          <w:sz w:val="28"/>
          <w:szCs w:val="28"/>
          <w14:textFill>
            <w14:solidFill>
              <w14:schemeClr w14:val="tx1"/>
            </w14:solidFill>
          </w14:textFill>
        </w:rPr>
        <w:t>5.1 水土流失防治目标</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_Toc152535482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130</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145E486C">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"_Toc152535483" </w:instrText>
      </w:r>
      <w:r>
        <w:fldChar w:fldCharType="separate"/>
      </w:r>
      <w:r>
        <w:rPr>
          <w:rStyle w:val="31"/>
          <w:rFonts w:cs="Times New Roman"/>
          <w:color w:val="000000" w:themeColor="text1"/>
          <w:sz w:val="28"/>
          <w:szCs w:val="28"/>
          <w14:textFill>
            <w14:solidFill>
              <w14:schemeClr w14:val="tx1"/>
            </w14:solidFill>
          </w14:textFill>
        </w:rPr>
        <w:t>5.2 防治分区</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_Toc152535483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131</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174E6B61">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"_Toc152535484" </w:instrText>
      </w:r>
      <w:r>
        <w:fldChar w:fldCharType="separate"/>
      </w:r>
      <w:r>
        <w:rPr>
          <w:rStyle w:val="31"/>
          <w:rFonts w:cs="Times New Roman"/>
          <w:color w:val="000000" w:themeColor="text1"/>
          <w:sz w:val="28"/>
          <w:szCs w:val="28"/>
          <w14:textFill>
            <w14:solidFill>
              <w14:schemeClr w14:val="tx1"/>
            </w14:solidFill>
          </w14:textFill>
        </w:rPr>
        <w:t>5.3 水土保持措施体系</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_Toc152535484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132</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6939C521">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"_Toc152535485" </w:instrText>
      </w:r>
      <w:r>
        <w:fldChar w:fldCharType="separate"/>
      </w:r>
      <w:r>
        <w:rPr>
          <w:rStyle w:val="31"/>
          <w:rFonts w:cs="Times New Roman"/>
          <w:color w:val="000000" w:themeColor="text1"/>
          <w:sz w:val="28"/>
          <w:szCs w:val="28"/>
          <w14:textFill>
            <w14:solidFill>
              <w14:schemeClr w14:val="tx1"/>
            </w14:solidFill>
          </w14:textFill>
        </w:rPr>
        <w:t>5.4 水土保持措施布设</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_Toc152535485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136</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1CE16593">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"_Toc152535486" </w:instrText>
      </w:r>
      <w:r>
        <w:fldChar w:fldCharType="separate"/>
      </w:r>
      <w:r>
        <w:rPr>
          <w:rStyle w:val="31"/>
          <w:rFonts w:cs="Times New Roman"/>
          <w:color w:val="000000" w:themeColor="text1"/>
          <w:sz w:val="28"/>
          <w:szCs w:val="28"/>
          <w14:textFill>
            <w14:solidFill>
              <w14:schemeClr w14:val="tx1"/>
            </w14:solidFill>
          </w14:textFill>
        </w:rPr>
        <w:t>5.5 水土保持措施组织实施</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_Toc152535486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160</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2D5224FB">
      <w:pPr>
        <w:pStyle w:val="19"/>
        <w:ind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"_Toc152535487" </w:instrText>
      </w:r>
      <w:r>
        <w:fldChar w:fldCharType="separate"/>
      </w:r>
      <w:r>
        <w:rPr>
          <w:rStyle w:val="31"/>
          <w:rFonts w:cs="Times New Roman"/>
          <w:color w:val="000000" w:themeColor="text1"/>
          <w:sz w:val="28"/>
          <w:szCs w:val="28"/>
          <w14:textFill>
            <w14:solidFill>
              <w14:schemeClr w14:val="tx1"/>
            </w14:solidFill>
          </w14:textFill>
        </w:rPr>
        <w:t>6</w:t>
      </w:r>
      <w:r>
        <w:rPr>
          <w:rFonts w:cs="Times New Roman"/>
          <w:color w:val="000000" w:themeColor="text1"/>
          <w:kern w:val="2"/>
          <w:sz w:val="28"/>
          <w:szCs w:val="28"/>
          <w14:textFill>
            <w14:solidFill>
              <w14:schemeClr w14:val="tx1"/>
            </w14:solidFill>
          </w14:textFill>
          <w14:ligatures w14:val="standardContextual"/>
        </w:rPr>
        <w:tab/>
      </w:r>
      <w:r>
        <w:rPr>
          <w:rStyle w:val="31"/>
          <w:rFonts w:cs="Times New Roman"/>
          <w:color w:val="000000" w:themeColor="text1"/>
          <w:sz w:val="28"/>
          <w:szCs w:val="28"/>
          <w14:textFill>
            <w14:solidFill>
              <w14:schemeClr w14:val="tx1"/>
            </w14:solidFill>
          </w14:textFill>
        </w:rPr>
        <w:t>水土保持监测</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_Toc152535487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166</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5BA75BFE">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"_Toc152535488" </w:instrText>
      </w:r>
      <w:r>
        <w:fldChar w:fldCharType="separate"/>
      </w:r>
      <w:r>
        <w:rPr>
          <w:rStyle w:val="31"/>
          <w:rFonts w:cs="Times New Roman"/>
          <w:color w:val="000000" w:themeColor="text1"/>
          <w:sz w:val="28"/>
          <w:szCs w:val="28"/>
          <w14:textFill>
            <w14:solidFill>
              <w14:schemeClr w14:val="tx1"/>
            </w14:solidFill>
          </w14:textFill>
        </w:rPr>
        <w:t>6.1 监测范围及时段</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_Toc152535488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166</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39499FF8">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"_Toc152535489" </w:instrText>
      </w:r>
      <w:r>
        <w:fldChar w:fldCharType="separate"/>
      </w:r>
      <w:r>
        <w:rPr>
          <w:rStyle w:val="31"/>
          <w:rFonts w:cs="Times New Roman"/>
          <w:color w:val="000000" w:themeColor="text1"/>
          <w:sz w:val="28"/>
          <w:szCs w:val="28"/>
          <w14:textFill>
            <w14:solidFill>
              <w14:schemeClr w14:val="tx1"/>
            </w14:solidFill>
          </w14:textFill>
        </w:rPr>
        <w:t>6.2 监测内容及方法</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_Toc152535489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166</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0FD627E7">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"_Toc152535490" </w:instrText>
      </w:r>
      <w:r>
        <w:fldChar w:fldCharType="separate"/>
      </w:r>
      <w:r>
        <w:rPr>
          <w:rStyle w:val="31"/>
          <w:rFonts w:cs="Times New Roman"/>
          <w:color w:val="000000" w:themeColor="text1"/>
          <w:sz w:val="28"/>
          <w:szCs w:val="28"/>
          <w14:textFill>
            <w14:solidFill>
              <w14:schemeClr w14:val="tx1"/>
            </w14:solidFill>
          </w14:textFill>
        </w:rPr>
        <w:t>6.3 监测点位布设和频次</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_Toc152535490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174</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2D96B104">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"_Toc152535491" </w:instrText>
      </w:r>
      <w:r>
        <w:fldChar w:fldCharType="separate"/>
      </w:r>
      <w:r>
        <w:rPr>
          <w:rStyle w:val="31"/>
          <w:rFonts w:cs="Times New Roman"/>
          <w:color w:val="000000" w:themeColor="text1"/>
          <w:sz w:val="28"/>
          <w:szCs w:val="28"/>
          <w14:textFill>
            <w14:solidFill>
              <w14:schemeClr w14:val="tx1"/>
            </w14:solidFill>
          </w14:textFill>
        </w:rPr>
        <w:t>6.4 监测设施设备及人员配置</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_Toc152535491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178</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10824FAE">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"_Toc152535492" </w:instrText>
      </w:r>
      <w:r>
        <w:fldChar w:fldCharType="separate"/>
      </w:r>
      <w:r>
        <w:rPr>
          <w:rStyle w:val="31"/>
          <w:rFonts w:cs="Times New Roman"/>
          <w:color w:val="000000" w:themeColor="text1"/>
          <w:sz w:val="28"/>
          <w:szCs w:val="28"/>
          <w14:textFill>
            <w14:solidFill>
              <w14:schemeClr w14:val="tx1"/>
            </w14:solidFill>
          </w14:textFill>
        </w:rPr>
        <w:t>6.5 监测成果</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_Toc152535492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180</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6976AFB8">
      <w:pPr>
        <w:pStyle w:val="19"/>
        <w:ind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"_Toc152535493" </w:instrText>
      </w:r>
      <w:r>
        <w:fldChar w:fldCharType="separate"/>
      </w:r>
      <w:r>
        <w:rPr>
          <w:rStyle w:val="31"/>
          <w:rFonts w:cs="Times New Roman"/>
          <w:color w:val="000000" w:themeColor="text1"/>
          <w:sz w:val="28"/>
          <w:szCs w:val="28"/>
          <w14:textFill>
            <w14:solidFill>
              <w14:schemeClr w14:val="tx1"/>
            </w14:solidFill>
          </w14:textFill>
        </w:rPr>
        <w:t>7</w:t>
      </w:r>
      <w:r>
        <w:rPr>
          <w:rFonts w:cs="Times New Roman"/>
          <w:color w:val="000000" w:themeColor="text1"/>
          <w:kern w:val="2"/>
          <w:sz w:val="28"/>
          <w:szCs w:val="28"/>
          <w14:textFill>
            <w14:solidFill>
              <w14:schemeClr w14:val="tx1"/>
            </w14:solidFill>
          </w14:textFill>
          <w14:ligatures w14:val="standardContextual"/>
        </w:rPr>
        <w:tab/>
      </w:r>
      <w:r>
        <w:rPr>
          <w:rStyle w:val="31"/>
          <w:rFonts w:cs="Times New Roman"/>
          <w:color w:val="000000" w:themeColor="text1"/>
          <w:sz w:val="28"/>
          <w:szCs w:val="28"/>
          <w14:textFill>
            <w14:solidFill>
              <w14:schemeClr w14:val="tx1"/>
            </w14:solidFill>
          </w14:textFill>
        </w:rPr>
        <w:t>水土保持保障措施</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_Toc152535493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183</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03D8DD76">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"_Toc152535494" </w:instrText>
      </w:r>
      <w:r>
        <w:fldChar w:fldCharType="separate"/>
      </w:r>
      <w:r>
        <w:rPr>
          <w:rStyle w:val="31"/>
          <w:rFonts w:cs="Times New Roman"/>
          <w:color w:val="000000" w:themeColor="text1"/>
          <w:sz w:val="28"/>
          <w:szCs w:val="28"/>
          <w14:textFill>
            <w14:solidFill>
              <w14:schemeClr w14:val="tx1"/>
            </w14:solidFill>
          </w14:textFill>
        </w:rPr>
        <w:t>7.1 组织管理</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_Toc152535494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183</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02110EC1">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"_Toc152535495" </w:instrText>
      </w:r>
      <w:r>
        <w:fldChar w:fldCharType="separate"/>
      </w:r>
      <w:r>
        <w:rPr>
          <w:rStyle w:val="31"/>
          <w:rFonts w:cs="Times New Roman"/>
          <w:color w:val="000000" w:themeColor="text1"/>
          <w:sz w:val="28"/>
          <w:szCs w:val="28"/>
          <w14:textFill>
            <w14:solidFill>
              <w14:schemeClr w14:val="tx1"/>
            </w14:solidFill>
          </w14:textFill>
        </w:rPr>
        <w:t>7.2 水土保持监测</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_Toc152535495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185</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0A9858C0">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"_Toc152535496" </w:instrText>
      </w:r>
      <w:r>
        <w:fldChar w:fldCharType="separate"/>
      </w:r>
      <w:r>
        <w:rPr>
          <w:rStyle w:val="31"/>
          <w:rFonts w:cs="Times New Roman"/>
          <w:color w:val="000000" w:themeColor="text1"/>
          <w:sz w:val="28"/>
          <w:szCs w:val="28"/>
          <w14:textFill>
            <w14:solidFill>
              <w14:schemeClr w14:val="tx1"/>
            </w14:solidFill>
          </w14:textFill>
        </w:rPr>
        <w:t>7.3 区域内项目监管</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_Toc152535496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186</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53226427">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"_Toc152535497" </w:instrText>
      </w:r>
      <w:r>
        <w:fldChar w:fldCharType="separate"/>
      </w:r>
      <w:r>
        <w:rPr>
          <w:rStyle w:val="31"/>
          <w:rFonts w:cs="Times New Roman"/>
          <w:color w:val="000000" w:themeColor="text1"/>
          <w:sz w:val="28"/>
          <w:szCs w:val="28"/>
          <w14:textFill>
            <w14:solidFill>
              <w14:schemeClr w14:val="tx1"/>
            </w14:solidFill>
          </w14:textFill>
        </w:rPr>
        <w:t>7.4 水土保持补偿费</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_Toc152535497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189</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472693EC">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"_Toc152535498" </w:instrText>
      </w:r>
      <w:r>
        <w:fldChar w:fldCharType="separate"/>
      </w:r>
      <w:r>
        <w:rPr>
          <w:rStyle w:val="31"/>
          <w:rFonts w:cs="Times New Roman"/>
          <w:color w:val="000000" w:themeColor="text1"/>
          <w:sz w:val="28"/>
          <w:szCs w:val="28"/>
          <w14:textFill>
            <w14:solidFill>
              <w14:schemeClr w14:val="tx1"/>
            </w14:solidFill>
          </w14:textFill>
        </w:rPr>
        <w:t>7.5 水土保持跟踪评价</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_Toc152535498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190</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431B42E5">
      <w:pPr>
        <w:pStyle w:val="19"/>
        <w:ind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"_Toc152535499" </w:instrText>
      </w:r>
      <w:r>
        <w:fldChar w:fldCharType="separate"/>
      </w:r>
      <w:r>
        <w:rPr>
          <w:rStyle w:val="31"/>
          <w:rFonts w:cs="Times New Roman"/>
          <w:color w:val="000000" w:themeColor="text1"/>
          <w:sz w:val="28"/>
          <w:szCs w:val="28"/>
          <w14:textFill>
            <w14:solidFill>
              <w14:schemeClr w14:val="tx1"/>
            </w14:solidFill>
          </w14:textFill>
        </w:rPr>
        <w:t>8</w:t>
      </w:r>
      <w:r>
        <w:rPr>
          <w:rFonts w:cs="Times New Roman"/>
          <w:color w:val="000000" w:themeColor="text1"/>
          <w:kern w:val="2"/>
          <w:sz w:val="28"/>
          <w:szCs w:val="28"/>
          <w14:textFill>
            <w14:solidFill>
              <w14:schemeClr w14:val="tx1"/>
            </w14:solidFill>
          </w14:textFill>
          <w14:ligatures w14:val="standardContextual"/>
        </w:rPr>
        <w:tab/>
      </w:r>
      <w:r>
        <w:rPr>
          <w:rStyle w:val="31"/>
          <w:rFonts w:cs="Times New Roman"/>
          <w:color w:val="000000" w:themeColor="text1"/>
          <w:sz w:val="28"/>
          <w:szCs w:val="28"/>
          <w14:textFill>
            <w14:solidFill>
              <w14:schemeClr w14:val="tx1"/>
            </w14:solidFill>
          </w14:textFill>
        </w:rPr>
        <w:t>结论与建议</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_Toc152535499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192</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6ED3E07F">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"_Toc152535500" </w:instrText>
      </w:r>
      <w:r>
        <w:fldChar w:fldCharType="separate"/>
      </w:r>
      <w:r>
        <w:rPr>
          <w:rStyle w:val="31"/>
          <w:rFonts w:cs="Times New Roman"/>
          <w:color w:val="000000" w:themeColor="text1"/>
          <w:sz w:val="28"/>
          <w:szCs w:val="28"/>
          <w14:textFill>
            <w14:solidFill>
              <w14:schemeClr w14:val="tx1"/>
            </w14:solidFill>
          </w14:textFill>
        </w:rPr>
        <w:t>8.1 结论</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_Toc152535500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192</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625262B4">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"_Toc152535501" </w:instrText>
      </w:r>
      <w:r>
        <w:fldChar w:fldCharType="separate"/>
      </w:r>
      <w:r>
        <w:rPr>
          <w:rStyle w:val="31"/>
          <w:rFonts w:cs="Times New Roman"/>
          <w:color w:val="000000" w:themeColor="text1"/>
          <w:sz w:val="28"/>
          <w:szCs w:val="28"/>
          <w14:textFill>
            <w14:solidFill>
              <w14:schemeClr w14:val="tx1"/>
            </w14:solidFill>
          </w14:textFill>
        </w:rPr>
        <w:t>8.2 建议</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_Toc152535501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193</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59582E5A">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"_Toc152535502" </w:instrText>
      </w:r>
      <w:r>
        <w:fldChar w:fldCharType="separate"/>
      </w:r>
      <w:r>
        <w:rPr>
          <w:rStyle w:val="31"/>
          <w:rFonts w:cs="Times New Roman"/>
          <w:color w:val="000000" w:themeColor="text1"/>
          <w:sz w:val="28"/>
          <w:szCs w:val="28"/>
          <w14:textFill>
            <w14:solidFill>
              <w14:schemeClr w14:val="tx1"/>
            </w14:solidFill>
          </w14:textFill>
        </w:rPr>
        <w:t>附件1</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_Toc152535502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194</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697D2D04">
      <w:pPr>
        <w:pStyle w:val="23"/>
        <w:tabs>
          <w:tab w:val="right" w:leader="dot" w:pos="8396"/>
        </w:tabs>
        <w:ind w:left="480" w:firstLine="0" w:firstLineChars="0"/>
        <w:rPr>
          <w:rFonts w:cs="Times New Roman"/>
          <w:color w:val="000000" w:themeColor="text1"/>
          <w:kern w:val="2"/>
          <w:sz w:val="28"/>
          <w:szCs w:val="28"/>
          <w14:textFill>
            <w14:solidFill>
              <w14:schemeClr w14:val="tx1"/>
            </w14:solidFill>
          </w14:textFill>
          <w14:ligatures w14:val="standardContextual"/>
        </w:rPr>
      </w:pPr>
      <w:r>
        <w:fldChar w:fldCharType="begin"/>
      </w:r>
      <w:r>
        <w:instrText xml:space="preserve"> HYPERLINK \l "_Toc152535503" </w:instrText>
      </w:r>
      <w:r>
        <w:fldChar w:fldCharType="separate"/>
      </w:r>
      <w:r>
        <w:rPr>
          <w:rStyle w:val="31"/>
          <w:rFonts w:cs="Times New Roman"/>
          <w:color w:val="000000" w:themeColor="text1"/>
          <w:sz w:val="28"/>
          <w:szCs w:val="28"/>
          <w14:textFill>
            <w14:solidFill>
              <w14:schemeClr w14:val="tx1"/>
            </w14:solidFill>
          </w14:textFill>
        </w:rPr>
        <w:t>附件2</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fldChar w:fldCharType="begin"/>
      </w:r>
      <w:r>
        <w:rPr>
          <w:rFonts w:cs="Times New Roman"/>
          <w:color w:val="000000" w:themeColor="text1"/>
          <w:sz w:val="28"/>
          <w:szCs w:val="28"/>
          <w14:textFill>
            <w14:solidFill>
              <w14:schemeClr w14:val="tx1"/>
            </w14:solidFill>
          </w14:textFill>
        </w:rPr>
        <w:instrText xml:space="preserve"> PAGEREF _Toc152535503 \h </w:instrText>
      </w:r>
      <w:r>
        <w:rPr>
          <w:rFonts w:cs="Times New Roman"/>
          <w:color w:val="000000" w:themeColor="text1"/>
          <w:sz w:val="28"/>
          <w:szCs w:val="28"/>
          <w14:textFill>
            <w14:solidFill>
              <w14:schemeClr w14:val="tx1"/>
            </w14:solidFill>
          </w14:textFill>
        </w:rPr>
        <w:fldChar w:fldCharType="separate"/>
      </w:r>
      <w:r>
        <w:rPr>
          <w:rFonts w:cs="Times New Roman"/>
          <w:color w:val="000000" w:themeColor="text1"/>
          <w:sz w:val="28"/>
          <w:szCs w:val="28"/>
          <w14:textFill>
            <w14:solidFill>
              <w14:schemeClr w14:val="tx1"/>
            </w14:solidFill>
          </w14:textFill>
        </w:rPr>
        <w:t>249</w:t>
      </w:r>
      <w:r>
        <w:rPr>
          <w:rFonts w:cs="Times New Roman"/>
          <w:color w:val="000000" w:themeColor="text1"/>
          <w:sz w:val="28"/>
          <w:szCs w:val="28"/>
          <w14:textFill>
            <w14:solidFill>
              <w14:schemeClr w14:val="tx1"/>
            </w14:solidFill>
          </w14:textFill>
        </w:rPr>
        <w:fldChar w:fldCharType="end"/>
      </w:r>
      <w:r>
        <w:rPr>
          <w:rFonts w:cs="Times New Roman"/>
          <w:color w:val="000000" w:themeColor="text1"/>
          <w:sz w:val="28"/>
          <w:szCs w:val="28"/>
          <w14:textFill>
            <w14:solidFill>
              <w14:schemeClr w14:val="tx1"/>
            </w14:solidFill>
          </w14:textFill>
        </w:rPr>
        <w:fldChar w:fldCharType="end"/>
      </w:r>
    </w:p>
    <w:p w14:paraId="106B120A">
      <w:pPr>
        <w:pStyle w:val="49"/>
        <w:widowControl w:val="0"/>
        <w:ind w:firstLine="0" w:firstLineChars="0"/>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fldChar w:fldCharType="end"/>
      </w:r>
    </w:p>
    <w:p w14:paraId="3336154A">
      <w:pPr>
        <w:pStyle w:val="49"/>
        <w:widowControl w:val="0"/>
        <w:ind w:firstLine="0" w:firstLineChars="0"/>
        <w:rPr>
          <w:rFonts w:ascii="Times New Roman" w:hAnsi="Times New Roman" w:eastAsia="仿宋_GB2312"/>
          <w:color w:val="000000" w:themeColor="text1"/>
          <w:sz w:val="28"/>
          <w:szCs w:val="28"/>
          <w14:textFill>
            <w14:solidFill>
              <w14:schemeClr w14:val="tx1"/>
            </w14:solidFill>
          </w14:textFill>
        </w:rPr>
      </w:pPr>
    </w:p>
    <w:p w14:paraId="1865EDB7">
      <w:pPr>
        <w:pStyle w:val="49"/>
        <w:widowControl w:val="0"/>
        <w:ind w:firstLine="0" w:firstLineChars="0"/>
        <w:rPr>
          <w:rFonts w:ascii="Times New Roman" w:hAnsi="Times New Roman" w:eastAsia="仿宋_GB2312"/>
          <w:color w:val="000000" w:themeColor="text1"/>
          <w:sz w:val="28"/>
          <w:szCs w:val="28"/>
          <w14:textFill>
            <w14:solidFill>
              <w14:schemeClr w14:val="tx1"/>
            </w14:solidFill>
          </w14:textFill>
        </w:rPr>
      </w:pPr>
    </w:p>
    <w:p w14:paraId="557F1979">
      <w:pPr>
        <w:pStyle w:val="49"/>
        <w:widowControl w:val="0"/>
        <w:ind w:firstLine="0" w:firstLineChars="0"/>
        <w:rPr>
          <w:rFonts w:ascii="Times New Roman" w:hAnsi="Times New Roman" w:eastAsia="仿宋_GB2312"/>
          <w:color w:val="000000" w:themeColor="text1"/>
          <w:sz w:val="28"/>
          <w:szCs w:val="28"/>
          <w14:textFill>
            <w14:solidFill>
              <w14:schemeClr w14:val="tx1"/>
            </w14:solidFill>
          </w14:textFill>
        </w:rPr>
      </w:pPr>
    </w:p>
    <w:p w14:paraId="3202DBA8">
      <w:pPr>
        <w:pStyle w:val="49"/>
        <w:widowControl w:val="0"/>
        <w:ind w:firstLine="0" w:firstLineChars="0"/>
        <w:rPr>
          <w:rFonts w:ascii="Times New Roman" w:hAnsi="Times New Roman" w:eastAsia="仿宋_GB2312"/>
          <w:color w:val="000000" w:themeColor="text1"/>
          <w:sz w:val="28"/>
          <w:szCs w:val="28"/>
          <w14:textFill>
            <w14:solidFill>
              <w14:schemeClr w14:val="tx1"/>
            </w14:solidFill>
          </w14:textFill>
        </w:rPr>
      </w:pPr>
    </w:p>
    <w:p w14:paraId="3F2C229D">
      <w:pPr>
        <w:pStyle w:val="49"/>
        <w:widowControl w:val="0"/>
        <w:ind w:firstLine="0" w:firstLineChars="0"/>
        <w:rPr>
          <w:rFonts w:ascii="Times New Roman" w:hAnsi="Times New Roman" w:eastAsia="仿宋_GB2312"/>
          <w:color w:val="000000" w:themeColor="text1"/>
          <w:sz w:val="28"/>
          <w:szCs w:val="28"/>
          <w14:textFill>
            <w14:solidFill>
              <w14:schemeClr w14:val="tx1"/>
            </w14:solidFill>
          </w14:textFill>
        </w:rPr>
      </w:pPr>
    </w:p>
    <w:p w14:paraId="7BBF7DDD">
      <w:pPr>
        <w:pStyle w:val="49"/>
        <w:widowControl w:val="0"/>
        <w:ind w:firstLine="0" w:firstLineChars="0"/>
        <w:rPr>
          <w:rFonts w:ascii="Times New Roman" w:hAnsi="Times New Roman" w:eastAsia="仿宋_GB2312"/>
          <w:color w:val="000000" w:themeColor="text1"/>
          <w:sz w:val="28"/>
          <w:szCs w:val="28"/>
          <w14:textFill>
            <w14:solidFill>
              <w14:schemeClr w14:val="tx1"/>
            </w14:solidFill>
          </w14:textFill>
        </w:rPr>
      </w:pPr>
    </w:p>
    <w:p w14:paraId="1E3903EB">
      <w:pPr>
        <w:pStyle w:val="49"/>
        <w:widowControl w:val="0"/>
        <w:ind w:firstLine="0" w:firstLineChars="0"/>
        <w:rPr>
          <w:rFonts w:ascii="Times New Roman" w:hAnsi="Times New Roman" w:eastAsia="仿宋_GB2312"/>
          <w:color w:val="000000" w:themeColor="text1"/>
          <w:sz w:val="28"/>
          <w:szCs w:val="28"/>
          <w14:textFill>
            <w14:solidFill>
              <w14:schemeClr w14:val="tx1"/>
            </w14:solidFill>
          </w14:textFill>
        </w:rPr>
      </w:pPr>
    </w:p>
    <w:p w14:paraId="17C11255">
      <w:pPr>
        <w:pStyle w:val="49"/>
        <w:widowControl w:val="0"/>
        <w:ind w:firstLine="0" w:firstLineChars="0"/>
        <w:rPr>
          <w:rFonts w:ascii="Times New Roman" w:hAnsi="Times New Roman" w:eastAsia="仿宋_GB2312"/>
          <w:color w:val="000000" w:themeColor="text1"/>
          <w:sz w:val="28"/>
          <w:szCs w:val="28"/>
          <w14:textFill>
            <w14:solidFill>
              <w14:schemeClr w14:val="tx1"/>
            </w14:solidFill>
          </w14:textFill>
        </w:rPr>
      </w:pPr>
    </w:p>
    <w:p w14:paraId="3EA5D64E">
      <w:pPr>
        <w:pStyle w:val="49"/>
        <w:widowControl w:val="0"/>
        <w:ind w:firstLine="0" w:firstLineChars="0"/>
        <w:jc w:val="left"/>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附件1：相关文件</w:t>
      </w:r>
    </w:p>
    <w:p w14:paraId="59B1E9B8">
      <w:pPr>
        <w:pStyle w:val="49"/>
        <w:widowControl w:val="0"/>
        <w:ind w:firstLine="0" w:firstLineChars="0"/>
        <w:jc w:val="left"/>
        <w:rPr>
          <w:rFonts w:ascii="Times New Roman" w:hAnsi="Times New Roman" w:eastAsia="仿宋_GB2312"/>
          <w:b w:val="0"/>
          <w:bCs/>
          <w:color w:val="000000" w:themeColor="text1"/>
          <w:sz w:val="28"/>
          <w:szCs w:val="28"/>
          <w14:textFill>
            <w14:solidFill>
              <w14:schemeClr w14:val="tx1"/>
            </w14:solidFill>
          </w14:textFill>
        </w:rPr>
      </w:pPr>
      <w:r>
        <w:rPr>
          <w:rFonts w:hint="eastAsia" w:ascii="Times New Roman" w:hAnsi="Times New Roman" w:eastAsia="仿宋_GB2312"/>
          <w:b w:val="0"/>
          <w:bCs/>
          <w:color w:val="000000" w:themeColor="text1"/>
          <w:sz w:val="28"/>
          <w:szCs w:val="28"/>
          <w14:textFill>
            <w14:solidFill>
              <w14:schemeClr w14:val="tx1"/>
            </w14:solidFill>
          </w14:textFill>
        </w:rPr>
        <w:t>附件1-1：《包头市人民政府办公厅关于同意开发建设包头金山工业园区的批复》（包府办发[2009]185号）</w:t>
      </w:r>
    </w:p>
    <w:p w14:paraId="61786E23">
      <w:pPr>
        <w:pStyle w:val="49"/>
        <w:widowControl w:val="0"/>
        <w:ind w:firstLine="0" w:firstLineChars="0"/>
        <w:jc w:val="left"/>
        <w:rPr>
          <w:rFonts w:ascii="Times New Roman" w:hAnsi="Times New Roman" w:eastAsia="仿宋_GB2312"/>
          <w:b w:val="0"/>
          <w:bCs/>
          <w:color w:val="000000" w:themeColor="text1"/>
          <w:sz w:val="28"/>
          <w:szCs w:val="28"/>
          <w14:textFill>
            <w14:solidFill>
              <w14:schemeClr w14:val="tx1"/>
            </w14:solidFill>
          </w14:textFill>
        </w:rPr>
      </w:pPr>
      <w:r>
        <w:rPr>
          <w:rFonts w:hint="eastAsia" w:ascii="Times New Roman" w:hAnsi="Times New Roman" w:eastAsia="仿宋_GB2312"/>
          <w:b w:val="0"/>
          <w:bCs/>
          <w:color w:val="000000" w:themeColor="text1"/>
          <w:sz w:val="28"/>
          <w:szCs w:val="28"/>
          <w14:textFill>
            <w14:solidFill>
              <w14:schemeClr w14:val="tx1"/>
            </w14:solidFill>
          </w14:textFill>
        </w:rPr>
        <w:t>附件1-2：《内蒙古自治区人民政府关于同意设立自治区级包头金山工业园区的批复》（内政字[2012]179号）</w:t>
      </w:r>
    </w:p>
    <w:p w14:paraId="67E07A65">
      <w:pPr>
        <w:pStyle w:val="49"/>
        <w:widowControl w:val="0"/>
        <w:ind w:firstLine="0" w:firstLineChars="0"/>
        <w:jc w:val="left"/>
        <w:rPr>
          <w:rFonts w:ascii="Times New Roman" w:hAnsi="Times New Roman" w:eastAsia="仿宋_GB2312"/>
          <w:b w:val="0"/>
          <w:bCs/>
          <w:color w:val="000000" w:themeColor="text1"/>
          <w:sz w:val="28"/>
          <w:szCs w:val="28"/>
          <w14:textFill>
            <w14:solidFill>
              <w14:schemeClr w14:val="tx1"/>
            </w14:solidFill>
          </w14:textFill>
        </w:rPr>
      </w:pPr>
      <w:r>
        <w:rPr>
          <w:rFonts w:hint="eastAsia" w:ascii="Times New Roman" w:hAnsi="Times New Roman" w:eastAsia="仿宋_GB2312"/>
          <w:b w:val="0"/>
          <w:bCs/>
          <w:color w:val="000000" w:themeColor="text1"/>
          <w:sz w:val="28"/>
          <w:szCs w:val="28"/>
          <w14:textFill>
            <w14:solidFill>
              <w14:schemeClr w14:val="tx1"/>
            </w14:solidFill>
          </w14:textFill>
        </w:rPr>
        <w:t>附件1-3：《关于内蒙古包头金山工业园区总体规划的批复》（内建规[2014]577号）</w:t>
      </w:r>
    </w:p>
    <w:p w14:paraId="4EE48036">
      <w:pPr>
        <w:pStyle w:val="49"/>
        <w:widowControl w:val="0"/>
        <w:ind w:firstLine="0" w:firstLineChars="0"/>
        <w:jc w:val="left"/>
        <w:rPr>
          <w:rFonts w:ascii="Times New Roman" w:hAnsi="Times New Roman" w:eastAsia="仿宋_GB2312"/>
          <w:b w:val="0"/>
          <w:bCs/>
          <w:color w:val="000000" w:themeColor="text1"/>
          <w:sz w:val="28"/>
          <w:szCs w:val="28"/>
          <w14:textFill>
            <w14:solidFill>
              <w14:schemeClr w14:val="tx1"/>
            </w14:solidFill>
          </w14:textFill>
        </w:rPr>
      </w:pPr>
      <w:r>
        <w:rPr>
          <w:rFonts w:hint="eastAsia" w:ascii="Times New Roman" w:hAnsi="Times New Roman" w:eastAsia="仿宋_GB2312"/>
          <w:b w:val="0"/>
          <w:bCs/>
          <w:color w:val="000000" w:themeColor="text1"/>
          <w:sz w:val="28"/>
          <w:szCs w:val="28"/>
          <w14:textFill>
            <w14:solidFill>
              <w14:schemeClr w14:val="tx1"/>
            </w14:solidFill>
          </w14:textFill>
        </w:rPr>
        <w:t>附件1-4：关于认定自治区级承接产业转移示范园区的通知</w:t>
      </w:r>
    </w:p>
    <w:p w14:paraId="322AF529">
      <w:pPr>
        <w:pStyle w:val="49"/>
        <w:widowControl w:val="0"/>
        <w:ind w:firstLine="0" w:firstLineChars="0"/>
        <w:jc w:val="left"/>
        <w:rPr>
          <w:rFonts w:ascii="Times New Roman" w:hAnsi="Times New Roman" w:eastAsia="仿宋_GB2312"/>
          <w:b w:val="0"/>
          <w:bCs/>
          <w:color w:val="000000" w:themeColor="text1"/>
          <w:sz w:val="28"/>
          <w:szCs w:val="28"/>
          <w14:textFill>
            <w14:solidFill>
              <w14:schemeClr w14:val="tx1"/>
            </w14:solidFill>
          </w14:textFill>
        </w:rPr>
      </w:pPr>
      <w:r>
        <w:rPr>
          <w:rFonts w:hint="eastAsia" w:ascii="Times New Roman" w:hAnsi="Times New Roman" w:eastAsia="仿宋_GB2312"/>
          <w:b w:val="0"/>
          <w:bCs/>
          <w:color w:val="000000" w:themeColor="text1"/>
          <w:sz w:val="28"/>
          <w:szCs w:val="28"/>
          <w14:textFill>
            <w14:solidFill>
              <w14:schemeClr w14:val="tx1"/>
            </w14:solidFill>
          </w14:textFill>
        </w:rPr>
        <w:t>附件1-5：关于调整沿黄沿线部分重点工业园区的通知</w:t>
      </w:r>
    </w:p>
    <w:p w14:paraId="092CED9C">
      <w:pPr>
        <w:pStyle w:val="49"/>
        <w:widowControl w:val="0"/>
        <w:ind w:firstLine="0" w:firstLineChars="0"/>
        <w:jc w:val="left"/>
        <w:rPr>
          <w:rFonts w:ascii="Times New Roman" w:hAnsi="Times New Roman" w:eastAsia="仿宋_GB2312"/>
          <w:b w:val="0"/>
          <w:bCs/>
          <w:color w:val="000000" w:themeColor="text1"/>
          <w:sz w:val="28"/>
          <w:szCs w:val="28"/>
          <w14:textFill>
            <w14:solidFill>
              <w14:schemeClr w14:val="tx1"/>
            </w14:solidFill>
          </w14:textFill>
        </w:rPr>
      </w:pPr>
      <w:r>
        <w:rPr>
          <w:rFonts w:hint="eastAsia" w:ascii="Times New Roman" w:hAnsi="Times New Roman" w:eastAsia="仿宋_GB2312"/>
          <w:b w:val="0"/>
          <w:bCs/>
          <w:color w:val="000000" w:themeColor="text1"/>
          <w:sz w:val="28"/>
          <w:szCs w:val="28"/>
          <w14:textFill>
            <w14:solidFill>
              <w14:schemeClr w14:val="tx1"/>
            </w14:solidFill>
          </w14:textFill>
        </w:rPr>
        <w:t>附件1-6《内蒙古自治区水利厅关于包头金山工业园区总体规划水资源论证报告书审查意见的函》（内水资[2017]51号）</w:t>
      </w:r>
    </w:p>
    <w:p w14:paraId="77027F77">
      <w:pPr>
        <w:pStyle w:val="49"/>
        <w:widowControl w:val="0"/>
        <w:ind w:firstLine="0" w:firstLineChars="0"/>
        <w:jc w:val="left"/>
        <w:rPr>
          <w:rFonts w:ascii="Times New Roman" w:hAnsi="Times New Roman" w:eastAsia="仿宋_GB2312"/>
          <w:b w:val="0"/>
          <w:bCs/>
          <w:color w:val="000000" w:themeColor="text1"/>
          <w:sz w:val="28"/>
          <w:szCs w:val="28"/>
          <w14:textFill>
            <w14:solidFill>
              <w14:schemeClr w14:val="tx1"/>
            </w14:solidFill>
          </w14:textFill>
        </w:rPr>
      </w:pPr>
      <w:r>
        <w:rPr>
          <w:rFonts w:hint="eastAsia" w:ascii="Times New Roman" w:hAnsi="Times New Roman" w:eastAsia="仿宋_GB2312"/>
          <w:b w:val="0"/>
          <w:bCs/>
          <w:color w:val="000000" w:themeColor="text1"/>
          <w:sz w:val="28"/>
          <w:szCs w:val="28"/>
          <w14:textFill>
            <w14:solidFill>
              <w14:schemeClr w14:val="tx1"/>
            </w14:solidFill>
          </w14:textFill>
        </w:rPr>
        <w:t>附件1-7《包头市水务局关于包头金山工业园区再生水规划水量指标配置的复函》（包水函[2022]15号）</w:t>
      </w:r>
    </w:p>
    <w:p w14:paraId="4E80F006">
      <w:pPr>
        <w:pStyle w:val="49"/>
        <w:widowControl w:val="0"/>
        <w:ind w:firstLine="0" w:firstLineChars="0"/>
        <w:jc w:val="left"/>
        <w:rPr>
          <w:rFonts w:ascii="Times New Roman" w:hAnsi="Times New Roman" w:eastAsia="仿宋_GB2312"/>
          <w:b w:val="0"/>
          <w:bCs/>
          <w:color w:val="000000" w:themeColor="text1"/>
          <w:sz w:val="28"/>
          <w:szCs w:val="28"/>
          <w14:textFill>
            <w14:solidFill>
              <w14:schemeClr w14:val="tx1"/>
            </w14:solidFill>
          </w14:textFill>
        </w:rPr>
      </w:pPr>
      <w:r>
        <w:rPr>
          <w:rFonts w:hint="eastAsia" w:ascii="Times New Roman" w:hAnsi="Times New Roman" w:eastAsia="仿宋_GB2312"/>
          <w:b w:val="0"/>
          <w:bCs/>
          <w:color w:val="000000" w:themeColor="text1"/>
          <w:sz w:val="28"/>
          <w:szCs w:val="28"/>
          <w14:textFill>
            <w14:solidFill>
              <w14:schemeClr w14:val="tx1"/>
            </w14:solidFill>
          </w14:textFill>
        </w:rPr>
        <w:t>附件1-8《包头市发展和改革委员会关于内蒙古自治区包头市山北地区4000万立方m/年再生水供水工程新建项目可行性研究报告的批复》（包发改审批字(2022)144号）</w:t>
      </w:r>
    </w:p>
    <w:p w14:paraId="3969C23C">
      <w:pPr>
        <w:pStyle w:val="49"/>
        <w:widowControl w:val="0"/>
        <w:ind w:firstLine="0" w:firstLineChars="0"/>
        <w:jc w:val="left"/>
        <w:rPr>
          <w:rFonts w:ascii="Times New Roman" w:hAnsi="Times New Roman" w:eastAsia="仿宋_GB2312"/>
          <w:b w:val="0"/>
          <w:bCs/>
          <w:color w:val="000000" w:themeColor="text1"/>
          <w:sz w:val="28"/>
          <w:szCs w:val="28"/>
          <w14:textFill>
            <w14:solidFill>
              <w14:schemeClr w14:val="tx1"/>
            </w14:solidFill>
          </w14:textFill>
        </w:rPr>
      </w:pPr>
      <w:r>
        <w:rPr>
          <w:rFonts w:hint="eastAsia" w:ascii="Times New Roman" w:hAnsi="Times New Roman" w:eastAsia="仿宋_GB2312"/>
          <w:b w:val="0"/>
          <w:bCs/>
          <w:color w:val="000000" w:themeColor="text1"/>
          <w:sz w:val="28"/>
          <w:szCs w:val="28"/>
          <w14:textFill>
            <w14:solidFill>
              <w14:schemeClr w14:val="tx1"/>
            </w14:solidFill>
          </w14:textFill>
        </w:rPr>
        <w:t>附件1-9内蒙古自治区生态环境厅关于《内蒙古包头钢铁冶金开发区金山产业园总体规划(2020-2035年)环境影响报告书》的审查意见</w:t>
      </w:r>
    </w:p>
    <w:p w14:paraId="6E44F8C6">
      <w:pPr>
        <w:pStyle w:val="49"/>
        <w:widowControl w:val="0"/>
        <w:ind w:firstLine="0" w:firstLineChars="0"/>
        <w:jc w:val="left"/>
        <w:rPr>
          <w:rFonts w:ascii="Times New Roman" w:hAnsi="Times New Roman" w:eastAsia="仿宋_GB2312"/>
          <w:b w:val="0"/>
          <w:bCs/>
          <w:color w:val="000000" w:themeColor="text1"/>
          <w:sz w:val="28"/>
          <w:szCs w:val="28"/>
          <w14:textFill>
            <w14:solidFill>
              <w14:schemeClr w14:val="tx1"/>
            </w14:solidFill>
          </w14:textFill>
        </w:rPr>
      </w:pPr>
      <w:r>
        <w:rPr>
          <w:rFonts w:hint="eastAsia" w:ascii="Times New Roman" w:hAnsi="Times New Roman" w:eastAsia="仿宋_GB2312"/>
          <w:b w:val="0"/>
          <w:bCs/>
          <w:color w:val="000000" w:themeColor="text1"/>
          <w:sz w:val="28"/>
          <w:szCs w:val="28"/>
          <w14:textFill>
            <w14:solidFill>
              <w14:schemeClr w14:val="tx1"/>
            </w14:solidFill>
          </w14:textFill>
        </w:rPr>
        <w:t>附件1-10：包头市人民政府关于确认开发区四至范围划定成果的函</w:t>
      </w:r>
    </w:p>
    <w:p w14:paraId="300482C2">
      <w:pPr>
        <w:pStyle w:val="49"/>
        <w:widowControl w:val="0"/>
        <w:ind w:firstLine="0" w:firstLineChars="0"/>
        <w:jc w:val="left"/>
        <w:rPr>
          <w:rFonts w:ascii="Times New Roman" w:hAnsi="Times New Roman" w:eastAsia="仿宋_GB2312"/>
          <w:b w:val="0"/>
          <w:bCs/>
          <w:color w:val="000000" w:themeColor="text1"/>
          <w:sz w:val="28"/>
          <w:szCs w:val="28"/>
          <w14:textFill>
            <w14:solidFill>
              <w14:schemeClr w14:val="tx1"/>
            </w14:solidFill>
          </w14:textFill>
        </w:rPr>
      </w:pPr>
      <w:r>
        <w:rPr>
          <w:rFonts w:hint="eastAsia" w:ascii="Times New Roman" w:hAnsi="Times New Roman" w:eastAsia="仿宋_GB2312"/>
          <w:b w:val="0"/>
          <w:bCs/>
          <w:color w:val="000000" w:themeColor="text1"/>
          <w:sz w:val="28"/>
          <w:szCs w:val="28"/>
          <w14:textFill>
            <w14:solidFill>
              <w14:schemeClr w14:val="tx1"/>
            </w14:solidFill>
          </w14:textFill>
        </w:rPr>
        <w:t>附件1-11：内蒙古自治区自然资源厅关于商请确认开发区四至范围划定成果的函</w:t>
      </w:r>
    </w:p>
    <w:p w14:paraId="6B5EE781">
      <w:pPr>
        <w:pStyle w:val="49"/>
        <w:widowControl w:val="0"/>
        <w:ind w:firstLine="0" w:firstLineChars="0"/>
        <w:jc w:val="left"/>
        <w:rPr>
          <w:rFonts w:ascii="Times New Roman" w:hAnsi="Times New Roman" w:eastAsia="仿宋_GB2312"/>
          <w:b w:val="0"/>
          <w:bCs/>
          <w:color w:val="000000" w:themeColor="text1"/>
          <w:sz w:val="28"/>
          <w:szCs w:val="28"/>
          <w14:textFill>
            <w14:solidFill>
              <w14:schemeClr w14:val="tx1"/>
            </w14:solidFill>
          </w14:textFill>
        </w:rPr>
      </w:pPr>
      <w:r>
        <w:rPr>
          <w:rFonts w:hint="eastAsia" w:ascii="Times New Roman" w:hAnsi="Times New Roman" w:eastAsia="仿宋_GB2312"/>
          <w:b w:val="0"/>
          <w:bCs/>
          <w:color w:val="000000" w:themeColor="text1"/>
          <w:sz w:val="28"/>
          <w:szCs w:val="28"/>
          <w14:textFill>
            <w14:solidFill>
              <w14:schemeClr w14:val="tx1"/>
            </w14:solidFill>
          </w14:textFill>
        </w:rPr>
        <w:t>附件1-12：内蒙古自治区呼和浩特经济技术开发区等8 个开发区四至范围划定成果审核专家论证意见</w:t>
      </w:r>
    </w:p>
    <w:p w14:paraId="0DC9880E">
      <w:pPr>
        <w:pStyle w:val="49"/>
        <w:widowControl w:val="0"/>
        <w:ind w:firstLine="0" w:firstLineChars="0"/>
        <w:jc w:val="left"/>
        <w:rPr>
          <w:rFonts w:ascii="Times New Roman" w:hAnsi="Times New Roman" w:eastAsia="仿宋_GB2312"/>
          <w:b w:val="0"/>
          <w:bCs/>
          <w:color w:val="000000" w:themeColor="text1"/>
          <w:sz w:val="28"/>
          <w:szCs w:val="28"/>
          <w14:textFill>
            <w14:solidFill>
              <w14:schemeClr w14:val="tx1"/>
            </w14:solidFill>
          </w14:textFill>
        </w:rPr>
      </w:pPr>
      <w:r>
        <w:rPr>
          <w:rFonts w:hint="eastAsia" w:ascii="Times New Roman" w:hAnsi="Times New Roman" w:eastAsia="仿宋_GB2312"/>
          <w:b w:val="0"/>
          <w:bCs/>
          <w:color w:val="000000" w:themeColor="text1"/>
          <w:sz w:val="28"/>
          <w:szCs w:val="28"/>
          <w14:textFill>
            <w14:solidFill>
              <w14:schemeClr w14:val="tx1"/>
            </w14:solidFill>
          </w14:textFill>
        </w:rPr>
        <w:t>附件1-13：内蒙古自治区开发区审核公告目录</w:t>
      </w:r>
    </w:p>
    <w:p w14:paraId="3B83D803">
      <w:pPr>
        <w:pStyle w:val="49"/>
        <w:widowControl w:val="0"/>
        <w:ind w:firstLine="0" w:firstLineChars="0"/>
        <w:jc w:val="left"/>
        <w:rPr>
          <w:rFonts w:ascii="Times New Roman" w:hAnsi="Times New Roman" w:eastAsia="仿宋_GB2312"/>
          <w:b w:val="0"/>
          <w:bCs/>
          <w:color w:val="000000" w:themeColor="text1"/>
          <w:sz w:val="28"/>
          <w:szCs w:val="28"/>
          <w14:textFill>
            <w14:solidFill>
              <w14:schemeClr w14:val="tx1"/>
            </w14:solidFill>
          </w14:textFill>
        </w:rPr>
      </w:pPr>
      <w:r>
        <w:rPr>
          <w:rFonts w:hint="eastAsia" w:ascii="Times New Roman" w:hAnsi="Times New Roman" w:eastAsia="仿宋_GB2312"/>
          <w:b w:val="0"/>
          <w:bCs/>
          <w:color w:val="000000" w:themeColor="text1"/>
          <w:sz w:val="28"/>
          <w:szCs w:val="28"/>
          <w14:textFill>
            <w14:solidFill>
              <w14:schemeClr w14:val="tx1"/>
            </w14:solidFill>
          </w14:textFill>
        </w:rPr>
        <w:t>附件1-14：农用地转建设用地批复</w:t>
      </w:r>
    </w:p>
    <w:p w14:paraId="6F9A719E">
      <w:pPr>
        <w:pStyle w:val="49"/>
        <w:widowControl w:val="0"/>
        <w:ind w:firstLine="0" w:firstLineChars="0"/>
        <w:jc w:val="left"/>
        <w:rPr>
          <w:rFonts w:ascii="Times New Roman" w:hAnsi="Times New Roman" w:eastAsia="仿宋_GB2312"/>
          <w:b w:val="0"/>
          <w:bCs/>
          <w:color w:val="000000" w:themeColor="text1"/>
          <w:sz w:val="28"/>
          <w:szCs w:val="28"/>
          <w14:textFill>
            <w14:solidFill>
              <w14:schemeClr w14:val="tx1"/>
            </w14:solidFill>
          </w14:textFill>
        </w:rPr>
      </w:pPr>
      <w:r>
        <w:rPr>
          <w:rFonts w:hint="eastAsia" w:ascii="Times New Roman" w:hAnsi="Times New Roman" w:eastAsia="仿宋_GB2312"/>
          <w:b w:val="0"/>
          <w:bCs/>
          <w:color w:val="000000" w:themeColor="text1"/>
          <w:sz w:val="28"/>
          <w:szCs w:val="28"/>
          <w14:textFill>
            <w14:solidFill>
              <w14:schemeClr w14:val="tx1"/>
            </w14:solidFill>
          </w14:textFill>
        </w:rPr>
        <w:t>附件1-15：内蒙古自治区水利厅关于内蒙古能源发电投资集团有限公司包头固阳金山工业园区热电厂 2x 350MW发电机组工程水土保持方案的复函</w:t>
      </w:r>
    </w:p>
    <w:p w14:paraId="68DFF5D1">
      <w:pPr>
        <w:pStyle w:val="49"/>
        <w:widowControl w:val="0"/>
        <w:ind w:firstLine="0" w:firstLineChars="0"/>
        <w:jc w:val="left"/>
        <w:rPr>
          <w:rFonts w:ascii="Times New Roman" w:hAnsi="Times New Roman" w:eastAsia="仿宋_GB2312"/>
          <w:b w:val="0"/>
          <w:bCs/>
          <w:color w:val="000000" w:themeColor="text1"/>
          <w:sz w:val="28"/>
          <w:szCs w:val="28"/>
          <w14:textFill>
            <w14:solidFill>
              <w14:schemeClr w14:val="tx1"/>
            </w14:solidFill>
          </w14:textFill>
        </w:rPr>
      </w:pPr>
      <w:r>
        <w:rPr>
          <w:rFonts w:hint="eastAsia" w:ascii="Times New Roman" w:hAnsi="Times New Roman" w:eastAsia="仿宋_GB2312"/>
          <w:b w:val="0"/>
          <w:bCs/>
          <w:color w:val="000000" w:themeColor="text1"/>
          <w:sz w:val="28"/>
          <w:szCs w:val="28"/>
          <w14:textFill>
            <w14:solidFill>
              <w14:schemeClr w14:val="tx1"/>
            </w14:solidFill>
          </w14:textFill>
        </w:rPr>
        <w:t>附件1-16：园区依托固体废物渣场水土保持方案的复函</w:t>
      </w:r>
    </w:p>
    <w:p w14:paraId="5B3727E0">
      <w:pPr>
        <w:pStyle w:val="49"/>
        <w:widowControl w:val="0"/>
        <w:ind w:firstLine="0" w:firstLineChars="0"/>
        <w:jc w:val="left"/>
        <w:rPr>
          <w:rFonts w:ascii="Times New Roman" w:hAnsi="Times New Roman" w:eastAsia="仿宋_GB2312"/>
          <w:b w:val="0"/>
          <w:bCs/>
          <w:color w:val="000000" w:themeColor="text1"/>
          <w:sz w:val="28"/>
          <w:szCs w:val="28"/>
          <w14:textFill>
            <w14:solidFill>
              <w14:schemeClr w14:val="tx1"/>
            </w14:solidFill>
          </w14:textFill>
        </w:rPr>
      </w:pPr>
      <w:r>
        <w:rPr>
          <w:rFonts w:hint="eastAsia" w:ascii="Times New Roman" w:hAnsi="Times New Roman" w:eastAsia="仿宋_GB2312"/>
          <w:b w:val="0"/>
          <w:bCs/>
          <w:color w:val="000000" w:themeColor="text1"/>
          <w:sz w:val="28"/>
          <w:szCs w:val="28"/>
          <w14:textFill>
            <w14:solidFill>
              <w14:schemeClr w14:val="tx1"/>
            </w14:solidFill>
          </w14:textFill>
        </w:rPr>
        <w:t>附件1-17：水土保持区域评估合同</w:t>
      </w:r>
    </w:p>
    <w:p w14:paraId="5FB00584">
      <w:pPr>
        <w:pStyle w:val="49"/>
        <w:widowControl w:val="0"/>
        <w:ind w:firstLine="0" w:firstLineChars="0"/>
        <w:jc w:val="left"/>
        <w:rPr>
          <w:rFonts w:ascii="Times New Roman" w:hAnsi="Times New Roman" w:eastAsia="仿宋_GB2312"/>
          <w:b w:val="0"/>
          <w:bCs/>
          <w:color w:val="000000" w:themeColor="text1"/>
          <w:sz w:val="28"/>
          <w:szCs w:val="28"/>
          <w14:textFill>
            <w14:solidFill>
              <w14:schemeClr w14:val="tx1"/>
            </w14:solidFill>
          </w14:textFill>
        </w:rPr>
      </w:pPr>
      <w:r>
        <w:rPr>
          <w:rFonts w:hint="eastAsia" w:ascii="Times New Roman" w:hAnsi="Times New Roman" w:eastAsia="仿宋_GB2312"/>
          <w:b w:val="0"/>
          <w:bCs/>
          <w:color w:val="000000" w:themeColor="text1"/>
          <w:sz w:val="28"/>
          <w:szCs w:val="28"/>
          <w14:textFill>
            <w14:solidFill>
              <w14:schemeClr w14:val="tx1"/>
            </w14:solidFill>
          </w14:textFill>
        </w:rPr>
        <w:t>附件1-18 园区现状照片</w:t>
      </w:r>
    </w:p>
    <w:p w14:paraId="405A3DD1">
      <w:pPr>
        <w:pStyle w:val="49"/>
        <w:widowControl w:val="0"/>
        <w:ind w:firstLine="0" w:firstLineChars="0"/>
        <w:jc w:val="left"/>
        <w:rPr>
          <w:rFonts w:ascii="Times New Roman" w:hAnsi="Times New Roman" w:eastAsia="仿宋_GB2312"/>
          <w:b w:val="0"/>
          <w:bCs/>
          <w:color w:val="000000" w:themeColor="text1"/>
          <w:sz w:val="28"/>
          <w:szCs w:val="28"/>
          <w14:textFill>
            <w14:solidFill>
              <w14:schemeClr w14:val="tx1"/>
            </w14:solidFill>
          </w14:textFill>
        </w:rPr>
      </w:pPr>
      <w:r>
        <w:rPr>
          <w:rFonts w:hint="eastAsia" w:ascii="Times New Roman" w:hAnsi="Times New Roman" w:eastAsia="仿宋_GB2312"/>
          <w:b w:val="0"/>
          <w:bCs/>
          <w:color w:val="000000" w:themeColor="text1"/>
          <w:sz w:val="28"/>
          <w:szCs w:val="28"/>
          <w14:textFill>
            <w14:solidFill>
              <w14:schemeClr w14:val="tx1"/>
            </w14:solidFill>
          </w14:textFill>
        </w:rPr>
        <w:t>附件1</w:t>
      </w:r>
      <w:r>
        <w:rPr>
          <w:rFonts w:ascii="Times New Roman" w:hAnsi="Times New Roman" w:eastAsia="仿宋_GB2312"/>
          <w:b w:val="0"/>
          <w:bCs/>
          <w:color w:val="000000" w:themeColor="text1"/>
          <w:sz w:val="28"/>
          <w:szCs w:val="28"/>
          <w14:textFill>
            <w14:solidFill>
              <w14:schemeClr w14:val="tx1"/>
            </w14:solidFill>
          </w14:textFill>
        </w:rPr>
        <w:t xml:space="preserve">-19 </w:t>
      </w:r>
      <w:r>
        <w:rPr>
          <w:rFonts w:hint="eastAsia" w:ascii="Times New Roman" w:hAnsi="Times New Roman" w:eastAsia="仿宋_GB2312"/>
          <w:b w:val="0"/>
          <w:bCs/>
          <w:color w:val="000000" w:themeColor="text1"/>
          <w:sz w:val="28"/>
          <w:szCs w:val="28"/>
          <w14:textFill>
            <w14:solidFill>
              <w14:schemeClr w14:val="tx1"/>
            </w14:solidFill>
          </w14:textFill>
        </w:rPr>
        <w:t>内蒙古自治区人民政府办公厅关于印发自治区工业园区优化调整实施方案的通知</w:t>
      </w:r>
    </w:p>
    <w:p w14:paraId="7FAFE202">
      <w:pPr>
        <w:pStyle w:val="49"/>
        <w:widowControl w:val="0"/>
        <w:ind w:firstLine="0" w:firstLineChars="0"/>
        <w:jc w:val="left"/>
        <w:rPr>
          <w:rFonts w:ascii="Times New Roman" w:hAnsi="Times New Roman"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附图2：附图</w:t>
      </w:r>
    </w:p>
    <w:p w14:paraId="7B0F2AA5">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附图1园区地理位置图</w:t>
      </w:r>
    </w:p>
    <w:p w14:paraId="7304618F">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附图2水系分布图</w:t>
      </w:r>
    </w:p>
    <w:p w14:paraId="2F34D01D">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附图3</w:t>
      </w:r>
      <w:r>
        <w:rPr>
          <w:rFonts w:hint="eastAsia" w:cs="Times New Roman"/>
          <w:color w:val="000000" w:themeColor="text1"/>
          <w:kern w:val="2"/>
          <w:sz w:val="28"/>
          <w:szCs w:val="28"/>
          <w14:textFill>
            <w14:solidFill>
              <w14:schemeClr w14:val="tx1"/>
            </w14:solidFill>
          </w14:textFill>
        </w:rPr>
        <w:t>区域</w:t>
      </w:r>
      <w:r>
        <w:rPr>
          <w:rFonts w:cs="Times New Roman"/>
          <w:color w:val="000000" w:themeColor="text1"/>
          <w:kern w:val="2"/>
          <w:sz w:val="28"/>
          <w:szCs w:val="28"/>
          <w14:textFill>
            <w14:solidFill>
              <w14:schemeClr w14:val="tx1"/>
            </w14:solidFill>
          </w14:textFill>
        </w:rPr>
        <w:t>土壤侵蚀强度分布图</w:t>
      </w:r>
    </w:p>
    <w:p w14:paraId="4E0BFA15">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附图4-1园区表土资源分布图（</w:t>
      </w:r>
      <w:r>
        <w:rPr>
          <w:rFonts w:hint="eastAsia" w:cs="Times New Roman"/>
          <w:color w:val="000000" w:themeColor="text1"/>
          <w:kern w:val="2"/>
          <w:sz w:val="28"/>
          <w:szCs w:val="28"/>
          <w14:textFill>
            <w14:solidFill>
              <w14:schemeClr w14:val="tx1"/>
            </w14:solidFill>
          </w14:textFill>
        </w:rPr>
        <w:t>地块1</w:t>
      </w:r>
      <w:r>
        <w:rPr>
          <w:rFonts w:cs="Times New Roman"/>
          <w:color w:val="000000" w:themeColor="text1"/>
          <w:kern w:val="2"/>
          <w:sz w:val="28"/>
          <w:szCs w:val="28"/>
          <w14:textFill>
            <w14:solidFill>
              <w14:schemeClr w14:val="tx1"/>
            </w14:solidFill>
          </w14:textFill>
        </w:rPr>
        <w:t>）</w:t>
      </w:r>
    </w:p>
    <w:p w14:paraId="31068BE3">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附图4-2园区表土资源分布图（地块2）</w:t>
      </w:r>
    </w:p>
    <w:p w14:paraId="15AFBA99">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附图5</w:t>
      </w:r>
      <w:r>
        <w:rPr>
          <w:rFonts w:hint="eastAsia" w:cs="Times New Roman"/>
          <w:color w:val="000000" w:themeColor="text1"/>
          <w:kern w:val="2"/>
          <w:sz w:val="28"/>
          <w:szCs w:val="28"/>
          <w14:textFill>
            <w14:solidFill>
              <w14:schemeClr w14:val="tx1"/>
            </w14:solidFill>
          </w14:textFill>
        </w:rPr>
        <w:t>总体规划金山产业园四至范围图</w:t>
      </w:r>
    </w:p>
    <w:p w14:paraId="3C477BAC">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附图6土地利用</w:t>
      </w:r>
      <w:r>
        <w:rPr>
          <w:rFonts w:hint="eastAsia" w:cs="Times New Roman"/>
          <w:color w:val="000000" w:themeColor="text1"/>
          <w:kern w:val="2"/>
          <w:sz w:val="28"/>
          <w:szCs w:val="28"/>
          <w14:textFill>
            <w14:solidFill>
              <w14:schemeClr w14:val="tx1"/>
            </w14:solidFill>
          </w14:textFill>
        </w:rPr>
        <w:t>现状</w:t>
      </w:r>
      <w:r>
        <w:rPr>
          <w:rFonts w:cs="Times New Roman"/>
          <w:color w:val="000000" w:themeColor="text1"/>
          <w:kern w:val="2"/>
          <w:sz w:val="28"/>
          <w:szCs w:val="28"/>
          <w14:textFill>
            <w14:solidFill>
              <w14:schemeClr w14:val="tx1"/>
            </w14:solidFill>
          </w14:textFill>
        </w:rPr>
        <w:t>图（地块1）</w:t>
      </w:r>
    </w:p>
    <w:p w14:paraId="56D13655">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附图7土地利用规划图（地块1）</w:t>
      </w:r>
    </w:p>
    <w:p w14:paraId="0F1032CE">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附图8 产业布局规划图（地块1）</w:t>
      </w:r>
    </w:p>
    <w:p w14:paraId="2F81BB67">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附图9 道路交通系统规划图（地块1）</w:t>
      </w:r>
    </w:p>
    <w:p w14:paraId="74CC388B">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附图10工业给水工程规划图（地块1）</w:t>
      </w:r>
    </w:p>
    <w:p w14:paraId="5D28AAF5">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附图11 生活给水工程规划图（地块1）</w:t>
      </w:r>
    </w:p>
    <w:p w14:paraId="5948C064">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附图12 污水工程规划图（地块1）</w:t>
      </w:r>
    </w:p>
    <w:p w14:paraId="45CB5459">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附图13 雨水工程规划图（地块1）</w:t>
      </w:r>
    </w:p>
    <w:p w14:paraId="2A596BE1">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附图14中水工程规划图（地块1）</w:t>
      </w:r>
    </w:p>
    <w:p w14:paraId="571E2CCD">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附图15 供电工程规划图（地块1）</w:t>
      </w:r>
    </w:p>
    <w:p w14:paraId="52244B0D">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附图16 供</w:t>
      </w:r>
      <w:r>
        <w:rPr>
          <w:rFonts w:hint="eastAsia" w:cs="Times New Roman"/>
          <w:color w:val="000000" w:themeColor="text1"/>
          <w:kern w:val="2"/>
          <w:sz w:val="28"/>
          <w:szCs w:val="28"/>
          <w14:textFill>
            <w14:solidFill>
              <w14:schemeClr w14:val="tx1"/>
            </w14:solidFill>
          </w14:textFill>
        </w:rPr>
        <w:t>热</w:t>
      </w:r>
      <w:r>
        <w:rPr>
          <w:rFonts w:cs="Times New Roman"/>
          <w:color w:val="000000" w:themeColor="text1"/>
          <w:kern w:val="2"/>
          <w:sz w:val="28"/>
          <w:szCs w:val="28"/>
          <w14:textFill>
            <w14:solidFill>
              <w14:schemeClr w14:val="tx1"/>
            </w14:solidFill>
          </w14:textFill>
        </w:rPr>
        <w:t>工程规划图（地块1）</w:t>
      </w:r>
    </w:p>
    <w:p w14:paraId="639549F1">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 xml:space="preserve">附图17 </w:t>
      </w:r>
      <w:r>
        <w:rPr>
          <w:rFonts w:hint="eastAsia" w:cs="Times New Roman"/>
          <w:color w:val="000000" w:themeColor="text1"/>
          <w:kern w:val="2"/>
          <w:sz w:val="28"/>
          <w:szCs w:val="28"/>
          <w14:textFill>
            <w14:solidFill>
              <w14:schemeClr w14:val="tx1"/>
            </w14:solidFill>
          </w14:textFill>
        </w:rPr>
        <w:t>燃气</w:t>
      </w:r>
      <w:r>
        <w:rPr>
          <w:rFonts w:cs="Times New Roman"/>
          <w:color w:val="000000" w:themeColor="text1"/>
          <w:kern w:val="2"/>
          <w:sz w:val="28"/>
          <w:szCs w:val="28"/>
          <w14:textFill>
            <w14:solidFill>
              <w14:schemeClr w14:val="tx1"/>
            </w14:solidFill>
          </w14:textFill>
        </w:rPr>
        <w:t>工程规划图（地块1）</w:t>
      </w:r>
    </w:p>
    <w:p w14:paraId="0D71ECB3">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附图18-1园区水土流失防治责任范围图（地块1）</w:t>
      </w:r>
    </w:p>
    <w:p w14:paraId="02C1C0C3">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附图18-2园区水土流失防治责任范围图（地块2）</w:t>
      </w:r>
    </w:p>
    <w:p w14:paraId="716B3D6F">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附图19-1水土保持措施总体布设图</w:t>
      </w:r>
      <w:r>
        <w:rPr>
          <w:rFonts w:hint="eastAsia" w:cs="Times New Roman"/>
          <w:color w:val="000000" w:themeColor="text1"/>
          <w:kern w:val="2"/>
          <w:sz w:val="28"/>
          <w:szCs w:val="28"/>
          <w14:textFill>
            <w14:solidFill>
              <w14:schemeClr w14:val="tx1"/>
            </w14:solidFill>
          </w14:textFill>
        </w:rPr>
        <w:t>（地块1）</w:t>
      </w:r>
    </w:p>
    <w:p w14:paraId="1306CACE">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附图19-2水土保持措施总体布设图</w:t>
      </w:r>
      <w:r>
        <w:rPr>
          <w:rFonts w:hint="eastAsia" w:cs="Times New Roman"/>
          <w:color w:val="000000" w:themeColor="text1"/>
          <w:kern w:val="2"/>
          <w:sz w:val="28"/>
          <w:szCs w:val="28"/>
          <w14:textFill>
            <w14:solidFill>
              <w14:schemeClr w14:val="tx1"/>
            </w14:solidFill>
          </w14:textFill>
        </w:rPr>
        <w:t>（地块</w:t>
      </w:r>
      <w:r>
        <w:rPr>
          <w:rFonts w:cs="Times New Roman"/>
          <w:color w:val="000000" w:themeColor="text1"/>
          <w:kern w:val="2"/>
          <w:sz w:val="28"/>
          <w:szCs w:val="28"/>
          <w14:textFill>
            <w14:solidFill>
              <w14:schemeClr w14:val="tx1"/>
            </w14:solidFill>
          </w14:textFill>
        </w:rPr>
        <w:t>2</w:t>
      </w:r>
      <w:r>
        <w:rPr>
          <w:rFonts w:hint="eastAsia" w:cs="Times New Roman"/>
          <w:color w:val="000000" w:themeColor="text1"/>
          <w:kern w:val="2"/>
          <w:sz w:val="28"/>
          <w:szCs w:val="28"/>
          <w14:textFill>
            <w14:solidFill>
              <w14:schemeClr w14:val="tx1"/>
            </w14:solidFill>
          </w14:textFill>
        </w:rPr>
        <w:t>）</w:t>
      </w:r>
    </w:p>
    <w:p w14:paraId="2C982E47">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附图20水土保持监测点位布设图</w:t>
      </w:r>
    </w:p>
    <w:p w14:paraId="18A34915">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附图21土地利用</w:t>
      </w:r>
      <w:r>
        <w:rPr>
          <w:rFonts w:hint="eastAsia" w:cs="Times New Roman"/>
          <w:color w:val="000000" w:themeColor="text1"/>
          <w:kern w:val="2"/>
          <w:sz w:val="28"/>
          <w:szCs w:val="28"/>
          <w14:textFill>
            <w14:solidFill>
              <w14:schemeClr w14:val="tx1"/>
            </w14:solidFill>
          </w14:textFill>
        </w:rPr>
        <w:t>现状</w:t>
      </w:r>
      <w:r>
        <w:rPr>
          <w:rFonts w:cs="Times New Roman"/>
          <w:color w:val="000000" w:themeColor="text1"/>
          <w:kern w:val="2"/>
          <w:sz w:val="28"/>
          <w:szCs w:val="28"/>
          <w14:textFill>
            <w14:solidFill>
              <w14:schemeClr w14:val="tx1"/>
            </w14:solidFill>
          </w14:textFill>
        </w:rPr>
        <w:t>图（地块2）</w:t>
      </w:r>
    </w:p>
    <w:p w14:paraId="5DA57B20">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附图22土地利用规划图（地块2）</w:t>
      </w:r>
    </w:p>
    <w:p w14:paraId="0B2D1BA3">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附图23产业布局规划图（地块2）</w:t>
      </w:r>
    </w:p>
    <w:p w14:paraId="72224784">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附图24道路交通系统规划图（地块2）</w:t>
      </w:r>
    </w:p>
    <w:p w14:paraId="4D3CD329">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附图25工业给水工程规划图（地块2）</w:t>
      </w:r>
    </w:p>
    <w:p w14:paraId="3E07B0C4">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附图26生活给水工程规划图（地块2）</w:t>
      </w:r>
    </w:p>
    <w:p w14:paraId="2DF6FE21">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附图27 污水工程规划图（地块2）</w:t>
      </w:r>
    </w:p>
    <w:p w14:paraId="371E1C76">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附图28雨水工程规划图（地块2）</w:t>
      </w:r>
    </w:p>
    <w:p w14:paraId="1E3A85FC">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附图29 供电工程规划图（地块2）</w:t>
      </w:r>
    </w:p>
    <w:p w14:paraId="724C6804">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附图30</w:t>
      </w:r>
      <w:r>
        <w:rPr>
          <w:rFonts w:hint="eastAsia" w:cs="Times New Roman"/>
          <w:color w:val="000000" w:themeColor="text1"/>
          <w:kern w:val="2"/>
          <w:sz w:val="28"/>
          <w:szCs w:val="28"/>
          <w14:textFill>
            <w14:solidFill>
              <w14:schemeClr w14:val="tx1"/>
            </w14:solidFill>
          </w14:textFill>
        </w:rPr>
        <w:t>地块1建设情况</w:t>
      </w:r>
    </w:p>
    <w:p w14:paraId="0B0F9D4B">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hint="eastAsia" w:cs="Times New Roman"/>
          <w:color w:val="000000" w:themeColor="text1"/>
          <w:kern w:val="2"/>
          <w:sz w:val="28"/>
          <w:szCs w:val="28"/>
          <w14:textFill>
            <w14:solidFill>
              <w14:schemeClr w14:val="tx1"/>
            </w14:solidFill>
          </w14:textFill>
        </w:rPr>
        <w:t>附图3</w:t>
      </w:r>
      <w:r>
        <w:rPr>
          <w:rFonts w:cs="Times New Roman"/>
          <w:color w:val="000000" w:themeColor="text1"/>
          <w:kern w:val="2"/>
          <w:sz w:val="28"/>
          <w:szCs w:val="28"/>
          <w14:textFill>
            <w14:solidFill>
              <w14:schemeClr w14:val="tx1"/>
            </w14:solidFill>
          </w14:textFill>
        </w:rPr>
        <w:t>1</w:t>
      </w:r>
      <w:r>
        <w:rPr>
          <w:rFonts w:hint="eastAsia" w:cs="Times New Roman"/>
          <w:color w:val="000000" w:themeColor="text1"/>
          <w:kern w:val="2"/>
          <w:sz w:val="28"/>
          <w:szCs w:val="28"/>
          <w14:textFill>
            <w14:solidFill>
              <w14:schemeClr w14:val="tx1"/>
            </w14:solidFill>
          </w14:textFill>
        </w:rPr>
        <w:t>地块</w:t>
      </w:r>
      <w:r>
        <w:rPr>
          <w:rFonts w:cs="Times New Roman"/>
          <w:color w:val="000000" w:themeColor="text1"/>
          <w:kern w:val="2"/>
          <w:sz w:val="28"/>
          <w:szCs w:val="28"/>
          <w14:textFill>
            <w14:solidFill>
              <w14:schemeClr w14:val="tx1"/>
            </w14:solidFill>
          </w14:textFill>
        </w:rPr>
        <w:t>2</w:t>
      </w:r>
      <w:r>
        <w:rPr>
          <w:rFonts w:hint="eastAsia" w:cs="Times New Roman"/>
          <w:color w:val="000000" w:themeColor="text1"/>
          <w:kern w:val="2"/>
          <w:sz w:val="28"/>
          <w:szCs w:val="28"/>
          <w14:textFill>
            <w14:solidFill>
              <w14:schemeClr w14:val="tx1"/>
            </w14:solidFill>
          </w14:textFill>
        </w:rPr>
        <w:t>建设情况</w:t>
      </w:r>
    </w:p>
    <w:p w14:paraId="79E600B0">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hint="eastAsia" w:cs="Times New Roman"/>
          <w:color w:val="000000" w:themeColor="text1"/>
          <w:kern w:val="2"/>
          <w:sz w:val="28"/>
          <w:szCs w:val="28"/>
          <w14:textFill>
            <w14:solidFill>
              <w14:schemeClr w14:val="tx1"/>
            </w14:solidFill>
          </w14:textFill>
        </w:rPr>
        <w:t>附图3</w:t>
      </w:r>
      <w:r>
        <w:rPr>
          <w:rFonts w:cs="Times New Roman"/>
          <w:color w:val="000000" w:themeColor="text1"/>
          <w:kern w:val="2"/>
          <w:sz w:val="28"/>
          <w:szCs w:val="28"/>
          <w14:textFill>
            <w14:solidFill>
              <w14:schemeClr w14:val="tx1"/>
            </w14:solidFill>
          </w14:textFill>
        </w:rPr>
        <w:t xml:space="preserve">2 </w:t>
      </w:r>
      <w:r>
        <w:rPr>
          <w:rFonts w:hint="eastAsia" w:cs="Times New Roman"/>
          <w:color w:val="000000" w:themeColor="text1"/>
          <w:kern w:val="2"/>
          <w:sz w:val="28"/>
          <w:szCs w:val="28"/>
          <w14:textFill>
            <w14:solidFill>
              <w14:schemeClr w14:val="tx1"/>
            </w14:solidFill>
          </w14:textFill>
        </w:rPr>
        <w:t>地块1企业入驻情况</w:t>
      </w:r>
    </w:p>
    <w:p w14:paraId="1B0C5679">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hint="eastAsia" w:cs="Times New Roman"/>
          <w:color w:val="000000" w:themeColor="text1"/>
          <w:kern w:val="2"/>
          <w:sz w:val="28"/>
          <w:szCs w:val="28"/>
          <w14:textFill>
            <w14:solidFill>
              <w14:schemeClr w14:val="tx1"/>
            </w14:solidFill>
          </w14:textFill>
        </w:rPr>
        <w:t>附图3</w:t>
      </w:r>
      <w:r>
        <w:rPr>
          <w:rFonts w:cs="Times New Roman"/>
          <w:color w:val="000000" w:themeColor="text1"/>
          <w:kern w:val="2"/>
          <w:sz w:val="28"/>
          <w:szCs w:val="28"/>
          <w14:textFill>
            <w14:solidFill>
              <w14:schemeClr w14:val="tx1"/>
            </w14:solidFill>
          </w14:textFill>
        </w:rPr>
        <w:t xml:space="preserve">3 </w:t>
      </w:r>
      <w:r>
        <w:rPr>
          <w:rFonts w:hint="eastAsia" w:cs="Times New Roman"/>
          <w:color w:val="000000" w:themeColor="text1"/>
          <w:kern w:val="2"/>
          <w:sz w:val="28"/>
          <w:szCs w:val="28"/>
          <w14:textFill>
            <w14:solidFill>
              <w14:schemeClr w14:val="tx1"/>
            </w14:solidFill>
          </w14:textFill>
        </w:rPr>
        <w:t>地块2企业入驻情况</w:t>
      </w:r>
    </w:p>
    <w:p w14:paraId="05E81ABE">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cs="Times New Roman"/>
          <w:color w:val="000000" w:themeColor="text1"/>
          <w:kern w:val="2"/>
          <w:sz w:val="28"/>
          <w:szCs w:val="28"/>
          <w14:textFill>
            <w14:solidFill>
              <w14:schemeClr w14:val="tx1"/>
            </w14:solidFill>
          </w14:textFill>
        </w:rPr>
        <w:t>附图34</w:t>
      </w:r>
      <w:r>
        <w:rPr>
          <w:rFonts w:hint="eastAsia" w:cs="Times New Roman"/>
          <w:color w:val="000000" w:themeColor="text1"/>
          <w:kern w:val="2"/>
          <w:sz w:val="28"/>
          <w:szCs w:val="28"/>
          <w14:textFill>
            <w14:solidFill>
              <w14:schemeClr w14:val="tx1"/>
            </w14:solidFill>
          </w14:textFill>
        </w:rPr>
        <w:t>土方中转场、表土堆存场</w:t>
      </w:r>
      <w:r>
        <w:rPr>
          <w:rFonts w:cs="Times New Roman"/>
          <w:color w:val="000000" w:themeColor="text1"/>
          <w:kern w:val="2"/>
          <w:sz w:val="28"/>
          <w:szCs w:val="28"/>
          <w14:textFill>
            <w14:solidFill>
              <w14:schemeClr w14:val="tx1"/>
            </w14:solidFill>
          </w14:textFill>
        </w:rPr>
        <w:t>防治措施典型设计图</w:t>
      </w:r>
    </w:p>
    <w:p w14:paraId="4D23309D">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hint="eastAsia" w:cs="Times New Roman"/>
          <w:color w:val="000000" w:themeColor="text1"/>
          <w:kern w:val="2"/>
          <w:sz w:val="28"/>
          <w:szCs w:val="28"/>
          <w14:textFill>
            <w14:solidFill>
              <w14:schemeClr w14:val="tx1"/>
            </w14:solidFill>
          </w14:textFill>
        </w:rPr>
        <w:t>附图3</w:t>
      </w:r>
      <w:r>
        <w:rPr>
          <w:rFonts w:cs="Times New Roman"/>
          <w:color w:val="000000" w:themeColor="text1"/>
          <w:kern w:val="2"/>
          <w:sz w:val="28"/>
          <w:szCs w:val="28"/>
          <w14:textFill>
            <w14:solidFill>
              <w14:schemeClr w14:val="tx1"/>
            </w14:solidFill>
          </w14:textFill>
        </w:rPr>
        <w:t xml:space="preserve">5 </w:t>
      </w:r>
      <w:r>
        <w:rPr>
          <w:rFonts w:hint="eastAsia" w:cs="Times New Roman"/>
          <w:color w:val="000000" w:themeColor="text1"/>
          <w:kern w:val="2"/>
          <w:sz w:val="28"/>
          <w:szCs w:val="28"/>
          <w14:textFill>
            <w14:solidFill>
              <w14:schemeClr w14:val="tx1"/>
            </w14:solidFill>
          </w14:textFill>
        </w:rPr>
        <w:t>地块1地形图</w:t>
      </w:r>
    </w:p>
    <w:p w14:paraId="4A779AE4">
      <w:pPr>
        <w:widowControl w:val="0"/>
        <w:ind w:firstLine="0" w:firstLineChars="0"/>
        <w:contextualSpacing/>
        <w:jc w:val="left"/>
        <w:rPr>
          <w:rFonts w:cs="Times New Roman"/>
          <w:color w:val="000000" w:themeColor="text1"/>
          <w:kern w:val="2"/>
          <w:sz w:val="28"/>
          <w:szCs w:val="28"/>
          <w14:textFill>
            <w14:solidFill>
              <w14:schemeClr w14:val="tx1"/>
            </w14:solidFill>
          </w14:textFill>
        </w:rPr>
      </w:pPr>
      <w:r>
        <w:rPr>
          <w:rFonts w:hint="eastAsia" w:cs="Times New Roman"/>
          <w:color w:val="000000" w:themeColor="text1"/>
          <w:kern w:val="2"/>
          <w:sz w:val="28"/>
          <w:szCs w:val="28"/>
          <w14:textFill>
            <w14:solidFill>
              <w14:schemeClr w14:val="tx1"/>
            </w14:solidFill>
          </w14:textFill>
        </w:rPr>
        <w:t>附图3</w:t>
      </w:r>
      <w:r>
        <w:rPr>
          <w:rFonts w:cs="Times New Roman"/>
          <w:color w:val="000000" w:themeColor="text1"/>
          <w:kern w:val="2"/>
          <w:sz w:val="28"/>
          <w:szCs w:val="28"/>
          <w14:textFill>
            <w14:solidFill>
              <w14:schemeClr w14:val="tx1"/>
            </w14:solidFill>
          </w14:textFill>
        </w:rPr>
        <w:t xml:space="preserve">6 </w:t>
      </w:r>
      <w:r>
        <w:rPr>
          <w:rFonts w:hint="eastAsia" w:cs="Times New Roman"/>
          <w:color w:val="000000" w:themeColor="text1"/>
          <w:kern w:val="2"/>
          <w:sz w:val="28"/>
          <w:szCs w:val="28"/>
          <w14:textFill>
            <w14:solidFill>
              <w14:schemeClr w14:val="tx1"/>
            </w14:solidFill>
          </w14:textFill>
        </w:rPr>
        <w:t>地块2地形图</w:t>
      </w:r>
    </w:p>
    <w:p w14:paraId="0E8267EA">
      <w:pPr>
        <w:pStyle w:val="49"/>
        <w:widowControl w:val="0"/>
        <w:ind w:firstLine="0" w:firstLineChars="0"/>
        <w:rPr>
          <w:rFonts w:ascii="Times New Roman" w:hAnsi="Times New Roman" w:eastAsia="仿宋_GB2312"/>
          <w:color w:val="000000" w:themeColor="text1"/>
          <w:sz w:val="28"/>
          <w:szCs w:val="28"/>
          <w14:textFill>
            <w14:solidFill>
              <w14:schemeClr w14:val="tx1"/>
            </w14:solidFill>
          </w14:textFill>
        </w:rPr>
      </w:pPr>
    </w:p>
    <w:p w14:paraId="46D02618">
      <w:pPr>
        <w:pStyle w:val="49"/>
        <w:widowControl w:val="0"/>
        <w:ind w:firstLine="0" w:firstLineChars="0"/>
        <w:rPr>
          <w:rFonts w:ascii="Times New Roman" w:hAnsi="Times New Roman" w:eastAsia="仿宋_GB2312"/>
          <w:color w:val="000000" w:themeColor="text1"/>
          <w:sz w:val="28"/>
          <w:szCs w:val="28"/>
          <w14:textFill>
            <w14:solidFill>
              <w14:schemeClr w14:val="tx1"/>
            </w14:solidFill>
          </w14:textFill>
        </w:rPr>
      </w:pPr>
    </w:p>
    <w:p w14:paraId="14D86506">
      <w:pPr>
        <w:pStyle w:val="49"/>
        <w:widowControl w:val="0"/>
        <w:ind w:firstLine="0" w:firstLineChars="0"/>
        <w:rPr>
          <w:rFonts w:ascii="Times New Roman" w:hAnsi="Times New Roman" w:eastAsia="仿宋_GB2312"/>
          <w:color w:val="000000" w:themeColor="text1"/>
          <w:sz w:val="28"/>
          <w:szCs w:val="28"/>
          <w14:textFill>
            <w14:solidFill>
              <w14:schemeClr w14:val="tx1"/>
            </w14:solidFill>
          </w14:textFill>
        </w:rPr>
      </w:pPr>
    </w:p>
    <w:p w14:paraId="38FF5B4B">
      <w:pPr>
        <w:pStyle w:val="49"/>
        <w:widowControl w:val="0"/>
        <w:ind w:firstLine="0" w:firstLineChars="0"/>
        <w:rPr>
          <w:rFonts w:ascii="Times New Roman" w:hAnsi="Times New Roman" w:eastAsia="仿宋_GB2312"/>
          <w:color w:val="000000" w:themeColor="text1"/>
          <w:sz w:val="28"/>
          <w:szCs w:val="28"/>
          <w14:textFill>
            <w14:solidFill>
              <w14:schemeClr w14:val="tx1"/>
            </w14:solidFill>
          </w14:textFill>
        </w:rPr>
        <w:sectPr>
          <w:headerReference r:id="rId9" w:type="default"/>
          <w:pgSz w:w="11907" w:h="16840"/>
          <w:pgMar w:top="1440" w:right="1701" w:bottom="1440" w:left="1800" w:header="851" w:footer="964" w:gutter="0"/>
          <w:pgNumType w:fmt="upperRoman" w:start="1"/>
          <w:cols w:space="720" w:num="1"/>
          <w:docGrid w:linePitch="326" w:charSpace="0"/>
        </w:sectPr>
      </w:pPr>
    </w:p>
    <w:p w14:paraId="31B59833">
      <w:pPr>
        <w:pStyle w:val="2"/>
        <w:numPr>
          <w:ilvl w:val="0"/>
          <w:numId w:val="0"/>
        </w:numPr>
        <w:rPr>
          <w:color w:val="000000" w:themeColor="text1"/>
          <w:lang w:eastAsia="zh-CN"/>
          <w14:textFill>
            <w14:solidFill>
              <w14:schemeClr w14:val="tx1"/>
            </w14:solidFill>
          </w14:textFill>
        </w:rPr>
      </w:pPr>
      <w:bookmarkStart w:id="9" w:name="_Toc88833967"/>
      <w:bookmarkStart w:id="10" w:name="_Toc88821206"/>
      <w:bookmarkStart w:id="11" w:name="_Toc152535463"/>
      <w:bookmarkStart w:id="12" w:name="_Toc177468953"/>
      <w:r>
        <w:rPr>
          <w:color w:val="000000" w:themeColor="text1"/>
          <w:lang w:eastAsia="zh-CN"/>
          <w14:textFill>
            <w14:solidFill>
              <w14:schemeClr w14:val="tx1"/>
            </w14:solidFill>
          </w14:textFill>
        </w:rPr>
        <w:t>前言</w:t>
      </w:r>
      <w:bookmarkEnd w:id="9"/>
      <w:bookmarkEnd w:id="10"/>
      <w:bookmarkEnd w:id="11"/>
    </w:p>
    <w:bookmarkEnd w:id="12"/>
    <w:p w14:paraId="7B252C3F">
      <w:pPr>
        <w:spacing w:line="450" w:lineRule="exact"/>
        <w:ind w:firstLine="480"/>
        <w:rPr>
          <w:rFonts w:cs="Times New Roman"/>
          <w:color w:val="000000" w:themeColor="text1"/>
          <w14:textFill>
            <w14:solidFill>
              <w14:schemeClr w14:val="tx1"/>
            </w14:solidFill>
          </w14:textFill>
        </w:rPr>
      </w:pPr>
      <w:bookmarkStart w:id="13" w:name="_Toc178822973"/>
      <w:bookmarkStart w:id="14" w:name="_Toc197163593"/>
      <w:bookmarkStart w:id="15" w:name="_Toc192514971"/>
      <w:bookmarkStart w:id="16" w:name="_Toc10263197"/>
      <w:bookmarkStart w:id="17" w:name="_Toc121312345"/>
      <w:bookmarkStart w:id="18" w:name="_Toc11488384"/>
      <w:bookmarkStart w:id="19" w:name="_Toc47790163"/>
      <w:bookmarkStart w:id="20" w:name="_Toc518116236"/>
      <w:bookmarkStart w:id="21" w:name="_Toc23221255"/>
      <w:bookmarkStart w:id="22" w:name="_Toc23221343"/>
      <w:bookmarkStart w:id="23" w:name="_Toc10263637"/>
      <w:bookmarkStart w:id="24" w:name="_Toc10089498"/>
      <w:bookmarkStart w:id="25" w:name="_Toc174270561"/>
      <w:bookmarkStart w:id="26" w:name="_Toc10263439"/>
      <w:bookmarkStart w:id="27" w:name="_Toc13575116"/>
      <w:bookmarkStart w:id="28" w:name="_Toc11589268"/>
      <w:bookmarkStart w:id="29" w:name="_Toc121313653"/>
      <w:bookmarkStart w:id="30" w:name="_Toc10262502"/>
      <w:bookmarkStart w:id="31" w:name="_Toc173829355"/>
      <w:bookmarkStart w:id="32" w:name="_Toc24853837"/>
      <w:bookmarkStart w:id="33" w:name="_Toc10260904"/>
      <w:bookmarkStart w:id="34" w:name="_Toc179262303"/>
      <w:bookmarkStart w:id="35" w:name="_Toc35675777"/>
      <w:bookmarkStart w:id="36" w:name="_Toc10261263"/>
      <w:r>
        <w:rPr>
          <w:rFonts w:cs="Times New Roman"/>
          <w:color w:val="000000" w:themeColor="text1"/>
          <w14:textFill>
            <w14:solidFill>
              <w14:schemeClr w14:val="tx1"/>
            </w14:solidFill>
          </w14:textFill>
        </w:rPr>
        <w:t>包头金山经济开发区位于内蒙古包头市固阳县，于2009年5月开始规划建设园区，2012年6月晋升为自治区级工业园区，为了加快推进承接产业转移步伐，内蒙古自治区出台了《内蒙古自治区人民政府关于做好承接发达地区产业转移的指导意见》，包头市为了更好地贯彻落实该意见，结合包头市实际，制定了《包头承接结合地区发展产业转移实施方案（试行）》文件。该文件明确提出了包头市域范围内承接产业转移的重点产业类型和具体的承接地，其中固阳县就是产业转移的承接地之一，这为固阳县的经济发展，国民生活水平的提高提供了良好的发展机遇。</w:t>
      </w:r>
    </w:p>
    <w:p w14:paraId="5FB6DA59">
      <w:pPr>
        <w:spacing w:line="45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包头金山经济开发区依托固阳县丰富的资源及其它优势，按照循环经济的发展模式，注重产业结构的优化升级，并从可持续发展的高度，将发展生态工业与发挥区域优势、提高市场竞争力相结合，与引进高新技术、提高经济增长质量相结合，与区域改造和产业结构调整相结合。同时，结合我国能源结构的特点，坚持高起点、规模化、清洁化，注重提高产品的竞争力和经济效益，以上下游一体化的方式，构筑独具特色的产品链结构，建成具有国际先进水平、国内领先的新型产业园区。</w:t>
      </w:r>
    </w:p>
    <w:p w14:paraId="482727B1">
      <w:pPr>
        <w:spacing w:line="45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内产业的引进和发展应与国家最新的政策法规相符，结合区域内的资源优势大力发展国家提倡产业，在此基础上整合分散的工业厂区，优势产业集中布局，集约利用土地资源，合理调配资源利用，最大限度的提高投资效益。</w:t>
      </w:r>
    </w:p>
    <w:p w14:paraId="3DE9C7A9">
      <w:pPr>
        <w:widowControl w:val="0"/>
        <w:spacing w:line="45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在此背景下，</w:t>
      </w:r>
      <w:bookmarkStart w:id="37" w:name="_Hlk149170018"/>
      <w:r>
        <w:rPr>
          <w:rFonts w:cs="Times New Roman"/>
          <w:bCs/>
          <w:color w:val="000000" w:themeColor="text1"/>
          <w14:textFill>
            <w14:solidFill>
              <w14:schemeClr w14:val="tx1"/>
            </w14:solidFill>
          </w14:textFill>
        </w:rPr>
        <w:t>内蒙古包头钢铁冶金开发区金山产业园</w:t>
      </w:r>
      <w:bookmarkEnd w:id="37"/>
      <w:r>
        <w:rPr>
          <w:rFonts w:cs="Times New Roman"/>
          <w:bCs/>
          <w:color w:val="000000" w:themeColor="text1"/>
          <w14:textFill>
            <w14:solidFill>
              <w14:schemeClr w14:val="tx1"/>
            </w14:solidFill>
          </w14:textFill>
        </w:rPr>
        <w:t>管理办公室委托</w:t>
      </w:r>
      <w:r>
        <w:rPr>
          <w:rFonts w:cs="Times New Roman"/>
          <w:color w:val="000000" w:themeColor="text1"/>
          <w14:textFill>
            <w14:solidFill>
              <w14:schemeClr w14:val="tx1"/>
            </w14:solidFill>
          </w14:textFill>
        </w:rPr>
        <w:t>中材地质工程勘查研究院有限公司</w:t>
      </w:r>
      <w:r>
        <w:rPr>
          <w:rFonts w:cs="Times New Roman"/>
          <w:bCs/>
          <w:color w:val="000000" w:themeColor="text1"/>
          <w14:textFill>
            <w14:solidFill>
              <w14:schemeClr w14:val="tx1"/>
            </w14:solidFill>
          </w14:textFill>
        </w:rPr>
        <w:t>（以下简称“我公司”）开展“包头金山经济开发区水土保持区域评估报告”的编制工作</w:t>
      </w:r>
      <w:r>
        <w:rPr>
          <w:rFonts w:cs="Times New Roman"/>
          <w:color w:val="000000" w:themeColor="text1"/>
          <w14:textFill>
            <w14:solidFill>
              <w14:schemeClr w14:val="tx1"/>
            </w14:solidFill>
          </w14:textFill>
        </w:rPr>
        <w:t>，</w:t>
      </w:r>
      <w:r>
        <w:rPr>
          <w:rFonts w:cs="Times New Roman"/>
          <w:bCs/>
          <w:color w:val="000000" w:themeColor="text1"/>
          <w14:textFill>
            <w14:solidFill>
              <w14:schemeClr w14:val="tx1"/>
            </w14:solidFill>
          </w14:textFill>
        </w:rPr>
        <w:t>我公司接受委托后，</w:t>
      </w:r>
      <w:r>
        <w:rPr>
          <w:rFonts w:cs="Times New Roman"/>
          <w:color w:val="000000" w:themeColor="text1"/>
          <w14:textFill>
            <w14:solidFill>
              <w14:schemeClr w14:val="tx1"/>
            </w14:solidFill>
          </w14:textFill>
        </w:rPr>
        <w:t>成立了项目编制组，对项目区自然环境、社会环境、生态环境、水土流失现状及水土保持现状进行了专项调查，收集了项目区有关社会经济、水土保持等方面的资料，在进行分析研究的基础上，根据设计单位提供的规划方案等资料，按《生产建设项目水土保持技术标准》(GB50433-2018)要求，于2023年11月编制完成了《</w:t>
      </w:r>
      <w:r>
        <w:rPr>
          <w:rFonts w:cs="Times New Roman"/>
          <w:bCs/>
          <w:color w:val="000000" w:themeColor="text1"/>
          <w14:textFill>
            <w14:solidFill>
              <w14:schemeClr w14:val="tx1"/>
            </w14:solidFill>
          </w14:textFill>
        </w:rPr>
        <w:t>包头金山经济开发区水土保持区域评估报告</w:t>
      </w:r>
      <w:r>
        <w:rPr>
          <w:rFonts w:cs="Times New Roman"/>
          <w:color w:val="000000" w:themeColor="text1"/>
          <w14:textFill>
            <w14:solidFill>
              <w14:schemeClr w14:val="tx1"/>
            </w14:solidFill>
          </w14:textFill>
        </w:rPr>
        <w:t>》。</w:t>
      </w:r>
    </w:p>
    <w:p w14:paraId="50CF44E2">
      <w:pPr>
        <w:pStyle w:val="4"/>
        <w:numPr>
          <w:ilvl w:val="0"/>
          <w:numId w:val="0"/>
        </w:numPr>
        <w:spacing w:before="120" w:after="120"/>
      </w:pPr>
      <w:r>
        <w:t>（一）</w:t>
      </w:r>
      <w:bookmarkStart w:id="38" w:name="_Toc85444496"/>
      <w:r>
        <w:t>园区基本情况</w:t>
      </w:r>
      <w:bookmarkEnd w:id="38"/>
    </w:p>
    <w:p w14:paraId="65CE48DB">
      <w:pPr>
        <w:widowControl w:val="0"/>
        <w:ind w:firstLine="480"/>
        <w:rPr>
          <w:rFonts w:cs="Times New Roman"/>
          <w:color w:val="000000" w:themeColor="text1"/>
          <w14:textFill>
            <w14:solidFill>
              <w14:schemeClr w14:val="tx1"/>
            </w14:solidFill>
          </w14:textFill>
        </w:rPr>
      </w:pPr>
      <w:bookmarkStart w:id="39" w:name="OLE_LINK9"/>
      <w:bookmarkStart w:id="40" w:name="_Hlk82101265"/>
      <w:bookmarkStart w:id="41" w:name="OLE_LINK10"/>
      <w:bookmarkStart w:id="42" w:name="_Hlk142483553"/>
      <w:r>
        <w:rPr>
          <w:rFonts w:cs="Times New Roman"/>
          <w:color w:val="000000" w:themeColor="text1"/>
          <w14:textFill>
            <w14:solidFill>
              <w14:schemeClr w14:val="tx1"/>
            </w14:solidFill>
          </w14:textFill>
        </w:rPr>
        <w:t>包头金山产业园规划范围位于固阳县金山镇镇区东南侧</w:t>
      </w:r>
      <w:bookmarkStart w:id="43" w:name="_Hlk74255959"/>
      <w:r>
        <w:rPr>
          <w:rFonts w:cs="Times New Roman"/>
          <w:color w:val="000000" w:themeColor="text1"/>
          <w14:textFill>
            <w14:solidFill>
              <w14:schemeClr w14:val="tx1"/>
            </w14:solidFill>
          </w14:textFill>
        </w:rPr>
        <w:t>，2009年12月30日，包头市人民政府发布《包头市人民政府办公厅关于同意开发建设包头金山工业园区的批复》（包府办发【2009】185号）（见附件1-1）同意开发建设包头金山工业园区。2010年7月19日，包头市环境保护局发布了《包头市环境保护局关于包头金山工业园区区域环境影响报告书审查意见》（包环管字【2010】109号），通过园区环境影响评价。2012年6月29日，内蒙古自治区人民政府发布《内蒙古自治区人民政府关于同意设立自治区级包头金山工业园区的批复》（内政字【2012】179号）（见附件1-2），同意设立自治区级包头金山工业园区，园区规划面积2050.00hm²。2014年10月26日，内蒙古自治区住房</w:t>
      </w:r>
      <w:r>
        <w:rPr>
          <w:rFonts w:hint="eastAsia" w:cs="Times New Roman"/>
          <w:color w:val="000000" w:themeColor="text1"/>
          <w:lang w:val="en-US" w:eastAsia="zh-CN"/>
          <w14:textFill>
            <w14:solidFill>
              <w14:schemeClr w14:val="tx1"/>
            </w14:solidFill>
          </w14:textFill>
        </w:rPr>
        <w:t>和</w:t>
      </w:r>
      <w:r>
        <w:rPr>
          <w:rFonts w:cs="Times New Roman"/>
          <w:color w:val="000000" w:themeColor="text1"/>
          <w14:textFill>
            <w14:solidFill>
              <w14:schemeClr w14:val="tx1"/>
            </w14:solidFill>
          </w14:textFill>
        </w:rPr>
        <w:t>城乡建设厅发布《关于内蒙古包头金山工业园区总体规划的批复》（内建规【2014】577号）（见附件1-3），通过了《包头金山工业园区总体规划（2014-2020）》。2015年12月《关于包头金山工业园区总体规划（2014-2020年）环境影响报告书》通过了内蒙古自治区环境保护厅审查（内环字【2015】83号）。</w:t>
      </w:r>
      <w:bookmarkStart w:id="44" w:name="_Hlk141707379"/>
      <w:r>
        <w:rPr>
          <w:rFonts w:cs="Times New Roman"/>
          <w:color w:val="000000" w:themeColor="text1"/>
          <w14:textFill>
            <w14:solidFill>
              <w14:schemeClr w14:val="tx1"/>
            </w14:solidFill>
          </w14:textFill>
        </w:rPr>
        <w:t>2016年4月，内蒙古包头钢铁冶金开发区金山产业园管理办公室委托内蒙古自治区包头市水文勘测局编制了《包头金山工业园区总体规划水资源论证报告书》，2017年6月取得《内蒙古自治区水利厅关于包头金山工业园区总体规划水资源论证报告书审查意见的函》（内水资[2017]51号）（见附件1-6）。2023年5月12日，内蒙古包头钢铁冶金开发区金山产业园管理办公室取得《内蒙古自治区生态环境厅关于《内蒙古包头钢铁冶金开发区金山产业园总体规划(2020-2035年)环境影响报告书》的审查意见》（内环审[2023]32号）（附件1-9）。</w:t>
      </w:r>
      <w:r>
        <w:rPr>
          <w:rFonts w:hint="eastAsia" w:cs="Times New Roman"/>
          <w:color w:val="000000" w:themeColor="text1"/>
          <w14:textFill>
            <w14:solidFill>
              <w14:schemeClr w14:val="tx1"/>
            </w14:solidFill>
          </w14:textFill>
        </w:rPr>
        <w:t>2023年11月3日，内蒙古自治区人民政府办公厅发布《内蒙古自治区人民政府办公厅关于印发自治区工业园区优化调整实施方案的通知》（内政办发[2023]73号）（附件1-19），将包头钢铁治金开发区拆分，设立包头昆都仑经济技术开发区 (一类)、石拐工业园区 (二类)、金山经济开发区 (二类)3个工业园区，将本园区名称调整为“包头金山经济开发区”。</w:t>
      </w:r>
    </w:p>
    <w:p w14:paraId="1E128CF1">
      <w:pPr>
        <w:widowControl w:val="0"/>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按照《内蒙古自治区开发区审核公告目录》《关于开展列入《内蒙古自治区开发区审核公告目录》开发区面积核准与四至范围划定有关工作的通知》(内自然资字[2021]435号),《关于开展列入《内蒙古自治区开发区审核公告目录》开发区四至范围划定审核工作的通知》(内自然资字[2022]474)相关要求，在自然资源部审核通过下发的“三区三线”成果的基础上，2023年2月9日，内蒙古自治区自然资源厅在呼和浩特市组织相关专家对内蒙古自治区呼和浩特经济技术开发区等8个开发区四至范围划定成果进行了审核论证，划定了包头市开发区四至范围相关工作，现按照《内蒙古自治区自然资源厅关于商请确认开发区四至范围划定成果的函》(内自然资函[2023]153号)文件要求，包头市人民政府发布《关于确认开发区四至范围划定成果的函》，对包头市审核通过的7个开发区，11个区块划定成果予以确认。其中，包头金山经济开发区包含2个地块,总面积为1267.72hm</w:t>
      </w:r>
      <w:r>
        <w:rPr>
          <w:rFonts w:ascii="Calibri" w:hAnsi="Calibri" w:cs="Calibri"/>
          <w:color w:val="000000" w:themeColor="text1"/>
          <w14:textFill>
            <w14:solidFill>
              <w14:schemeClr w14:val="tx1"/>
            </w14:solidFill>
          </w14:textFill>
        </w:rPr>
        <w:t>²</w:t>
      </w:r>
      <w:r>
        <w:rPr>
          <w:rFonts w:hint="eastAsia" w:ascii="Calibri" w:hAnsi="Calibri" w:cs="Calibri"/>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其中，地块1四至范围为东至明登转盘、南至胜利壕、西至国道210北至固阳大道，面积1114.62hm</w:t>
      </w:r>
      <w:r>
        <w:rPr>
          <w:rFonts w:ascii="Calibri" w:hAnsi="Calibri" w:cs="Calibri"/>
          <w:color w:val="000000" w:themeColor="text1"/>
          <w14:textFill>
            <w14:solidFill>
              <w14:schemeClr w14:val="tx1"/>
            </w14:solidFill>
          </w14:textFill>
        </w:rPr>
        <w:t>²</w:t>
      </w:r>
      <w:r>
        <w:rPr>
          <w:rFonts w:hint="eastAsia" w:cs="Times New Roman"/>
          <w:color w:val="000000" w:themeColor="text1"/>
          <w14:textFill>
            <w14:solidFill>
              <w14:schemeClr w14:val="tx1"/>
            </w14:solidFill>
          </w14:textFill>
        </w:rPr>
        <w:t>：地块2四至范围为东至学田会、南至白银合套、西至白银合套，北至省道311，面积153.10hm</w:t>
      </w:r>
      <w:r>
        <w:rPr>
          <w:rFonts w:ascii="Calibri" w:hAnsi="Calibri" w:cs="Calibri"/>
          <w:color w:val="000000" w:themeColor="text1"/>
          <w14:textFill>
            <w14:solidFill>
              <w14:schemeClr w14:val="tx1"/>
            </w14:solidFill>
          </w14:textFill>
        </w:rPr>
        <w:t>²</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地块1（金山产业园北区）</w:t>
      </w:r>
      <w:r>
        <w:rPr>
          <w:rFonts w:hint="eastAsia" w:cs="Times New Roman"/>
          <w:color w:val="000000" w:themeColor="text1"/>
          <w14:textFill>
            <w14:solidFill>
              <w14:schemeClr w14:val="tx1"/>
            </w14:solidFill>
          </w14:textFill>
        </w:rPr>
        <w:t>城镇建设区面积1</w:t>
      </w:r>
      <w:r>
        <w:rPr>
          <w:rFonts w:cs="Times New Roman"/>
          <w:color w:val="000000" w:themeColor="text1"/>
          <w14:textFill>
            <w14:solidFill>
              <w14:schemeClr w14:val="tx1"/>
            </w14:solidFill>
          </w14:textFill>
        </w:rPr>
        <w:t>114.62</w:t>
      </w:r>
      <w:r>
        <w:rPr>
          <w:rFonts w:hint="eastAsia" w:cs="Times New Roman"/>
          <w:color w:val="000000" w:themeColor="text1"/>
          <w14:textFill>
            <w14:solidFill>
              <w14:schemeClr w14:val="tx1"/>
            </w14:solidFill>
          </w14:textFill>
        </w:rPr>
        <w:t>hm</w:t>
      </w:r>
      <w:r>
        <w:rPr>
          <w:rFonts w:ascii="Calibri" w:hAnsi="Calibri" w:cs="Calibri"/>
          <w:color w:val="000000" w:themeColor="text1"/>
          <w14:textFill>
            <w14:solidFill>
              <w14:schemeClr w14:val="tx1"/>
            </w14:solidFill>
          </w14:textFill>
        </w:rPr>
        <w:t>²</w:t>
      </w:r>
      <w:r>
        <w:rPr>
          <w:rFonts w:hint="eastAsia" w:cs="Times New Roman"/>
          <w:color w:val="000000" w:themeColor="text1"/>
          <w14:textFill>
            <w14:solidFill>
              <w14:schemeClr w14:val="tx1"/>
            </w14:solidFill>
          </w14:textFill>
        </w:rPr>
        <w:t>，建成区面积7</w:t>
      </w:r>
      <w:r>
        <w:rPr>
          <w:rFonts w:cs="Times New Roman"/>
          <w:color w:val="000000" w:themeColor="text1"/>
          <w14:textFill>
            <w14:solidFill>
              <w14:schemeClr w14:val="tx1"/>
            </w14:solidFill>
          </w14:textFill>
        </w:rPr>
        <w:t>98.81</w:t>
      </w:r>
      <w:r>
        <w:rPr>
          <w:rFonts w:hint="eastAsia" w:cs="Times New Roman"/>
          <w:color w:val="000000" w:themeColor="text1"/>
          <w14:textFill>
            <w14:solidFill>
              <w14:schemeClr w14:val="tx1"/>
            </w14:solidFill>
          </w14:textFill>
        </w:rPr>
        <w:t>hm</w:t>
      </w:r>
      <w:r>
        <w:rPr>
          <w:rFonts w:ascii="Calibri" w:hAnsi="Calibri" w:cs="Calibri"/>
          <w:color w:val="000000" w:themeColor="text1"/>
          <w14:textFill>
            <w14:solidFill>
              <w14:schemeClr w14:val="tx1"/>
            </w14:solidFill>
          </w14:textFill>
        </w:rPr>
        <w:t>²</w:t>
      </w:r>
      <w:r>
        <w:rPr>
          <w:rFonts w:hint="eastAsia" w:cs="Times New Roman"/>
          <w:color w:val="000000" w:themeColor="text1"/>
          <w14:textFill>
            <w14:solidFill>
              <w14:schemeClr w14:val="tx1"/>
            </w14:solidFill>
          </w14:textFill>
        </w:rPr>
        <w:t>，未建区面积为3</w:t>
      </w:r>
      <w:r>
        <w:rPr>
          <w:rFonts w:cs="Times New Roman"/>
          <w:color w:val="000000" w:themeColor="text1"/>
          <w14:textFill>
            <w14:solidFill>
              <w14:schemeClr w14:val="tx1"/>
            </w14:solidFill>
          </w14:textFill>
        </w:rPr>
        <w:t>15.81</w:t>
      </w:r>
      <w:r>
        <w:rPr>
          <w:rFonts w:hint="eastAsia" w:cs="Times New Roman"/>
          <w:color w:val="000000" w:themeColor="text1"/>
          <w14:textFill>
            <w14:solidFill>
              <w14:schemeClr w14:val="tx1"/>
            </w14:solidFill>
          </w14:textFill>
        </w:rPr>
        <w:t>hm</w:t>
      </w:r>
      <w:r>
        <w:rPr>
          <w:rFonts w:ascii="Calibri" w:hAnsi="Calibri" w:cs="Calibri"/>
          <w:color w:val="000000" w:themeColor="text1"/>
          <w14:textFill>
            <w14:solidFill>
              <w14:schemeClr w14:val="tx1"/>
            </w14:solidFill>
          </w14:textFill>
        </w:rPr>
        <w:t>²</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地块2（下湿壕片区）</w:t>
      </w:r>
      <w:r>
        <w:rPr>
          <w:rFonts w:hint="eastAsia" w:cs="Times New Roman"/>
          <w:color w:val="000000" w:themeColor="text1"/>
          <w14:textFill>
            <w14:solidFill>
              <w14:schemeClr w14:val="tx1"/>
            </w14:solidFill>
          </w14:textFill>
        </w:rPr>
        <w:t>城镇建设区面积</w:t>
      </w:r>
      <w:r>
        <w:rPr>
          <w:rFonts w:cs="Times New Roman"/>
          <w:color w:val="000000" w:themeColor="text1"/>
          <w14:textFill>
            <w14:solidFill>
              <w14:schemeClr w14:val="tx1"/>
            </w14:solidFill>
          </w14:textFill>
        </w:rPr>
        <w:t>153.10</w:t>
      </w:r>
      <w:r>
        <w:rPr>
          <w:rFonts w:hint="eastAsia" w:cs="Times New Roman"/>
          <w:color w:val="000000" w:themeColor="text1"/>
          <w14:textFill>
            <w14:solidFill>
              <w14:schemeClr w14:val="tx1"/>
            </w14:solidFill>
          </w14:textFill>
        </w:rPr>
        <w:t>hm</w:t>
      </w:r>
      <w:r>
        <w:rPr>
          <w:rFonts w:ascii="Calibri" w:hAnsi="Calibri" w:cs="Calibri"/>
          <w:color w:val="000000" w:themeColor="text1"/>
          <w14:textFill>
            <w14:solidFill>
              <w14:schemeClr w14:val="tx1"/>
            </w14:solidFill>
          </w14:textFill>
        </w:rPr>
        <w:t>²</w:t>
      </w:r>
      <w:r>
        <w:rPr>
          <w:rFonts w:hint="eastAsia" w:cs="Times New Roman"/>
          <w:color w:val="000000" w:themeColor="text1"/>
          <w14:textFill>
            <w14:solidFill>
              <w14:schemeClr w14:val="tx1"/>
            </w14:solidFill>
          </w14:textFill>
        </w:rPr>
        <w:t>，建成区面积</w:t>
      </w:r>
      <w:r>
        <w:rPr>
          <w:rFonts w:cs="Times New Roman"/>
          <w:color w:val="000000" w:themeColor="text1"/>
          <w14:textFill>
            <w14:solidFill>
              <w14:schemeClr w14:val="tx1"/>
            </w14:solidFill>
          </w14:textFill>
        </w:rPr>
        <w:t>153.10</w:t>
      </w:r>
      <w:r>
        <w:rPr>
          <w:rFonts w:hint="eastAsia" w:cs="Times New Roman"/>
          <w:color w:val="000000" w:themeColor="text1"/>
          <w14:textFill>
            <w14:solidFill>
              <w14:schemeClr w14:val="tx1"/>
            </w14:solidFill>
          </w14:textFill>
        </w:rPr>
        <w:t>hm</w:t>
      </w:r>
      <w:r>
        <w:rPr>
          <w:rFonts w:ascii="Calibri" w:hAnsi="Calibri" w:cs="Calibri"/>
          <w:color w:val="000000" w:themeColor="text1"/>
          <w14:textFill>
            <w14:solidFill>
              <w14:schemeClr w14:val="tx1"/>
            </w14:solidFill>
          </w14:textFill>
        </w:rPr>
        <w:t>²</w:t>
      </w:r>
      <w:r>
        <w:rPr>
          <w:rFonts w:hint="eastAsia" w:cs="Times New Roman"/>
          <w:color w:val="000000" w:themeColor="text1"/>
          <w14:textFill>
            <w14:solidFill>
              <w14:schemeClr w14:val="tx1"/>
            </w14:solidFill>
          </w14:textFill>
        </w:rPr>
        <w:t>。</w:t>
      </w:r>
    </w:p>
    <w:p w14:paraId="1362D9E5">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2023年11月，内蒙古包头钢铁冶金开发区金山产业园管理办公室委托中国城市建设研究有限公司编制完成《包头金山工业园区总体规划（2023-2035）》。</w:t>
      </w:r>
    </w:p>
    <w:bookmarkEnd w:id="44"/>
    <w:p w14:paraId="58FEC1E7">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总体规划</w:t>
      </w:r>
      <w:r>
        <w:rPr>
          <w:rFonts w:hint="eastAsia" w:cs="Times New Roman"/>
          <w:color w:val="000000" w:themeColor="text1"/>
          <w14:textFill>
            <w14:solidFill>
              <w14:schemeClr w14:val="tx1"/>
            </w14:solidFill>
          </w14:textFill>
        </w:rPr>
        <w:t>将园区</w:t>
      </w:r>
      <w:r>
        <w:rPr>
          <w:rFonts w:cs="Times New Roman"/>
          <w:color w:val="000000" w:themeColor="text1"/>
          <w14:textFill>
            <w14:solidFill>
              <w14:schemeClr w14:val="tx1"/>
            </w14:solidFill>
          </w14:textFill>
        </w:rPr>
        <w:t>划分为两个片区，地块1（金山产业园北区）和地块2（下湿壕片区），总用地面积为1267.72hm²，其中地块1（金山产业园北区）占地面积1114.62hm²，地块2（下湿壕片区）占地面积153.10hm²。</w:t>
      </w:r>
      <w:r>
        <w:rPr>
          <w:rFonts w:hint="eastAsia" w:cs="Times New Roman"/>
          <w:color w:val="000000" w:themeColor="text1"/>
          <w14:textFill>
            <w14:solidFill>
              <w14:schemeClr w14:val="tx1"/>
            </w14:solidFill>
          </w14:textFill>
        </w:rPr>
        <w:t>地块1（金山产业园北区）位于包头市固阳县金山镇区东南侧，划分为金属冶炼及深加工产业区、新能源新材料化工产业区以及园区培育产业区三大产业功能区。地理坐标东经：110°2′28.04″-110°7′50.66″北纬：40°56′4.51″-40°58′56.19″，</w:t>
      </w:r>
      <w:r>
        <w:rPr>
          <w:rFonts w:cs="Times New Roman"/>
          <w:color w:val="000000" w:themeColor="text1"/>
          <w14:textFill>
            <w14:solidFill>
              <w14:schemeClr w14:val="tx1"/>
            </w14:solidFill>
          </w14:textFill>
        </w:rPr>
        <w:t>由公共管理与公共服务用地、商业服务业用地、工矿用地、交通运输用地、公用设施用地和绿地与开敞空间用地组成。</w:t>
      </w:r>
      <w:r>
        <w:rPr>
          <w:rFonts w:hint="eastAsia" w:cs="Times New Roman"/>
          <w:color w:val="000000" w:themeColor="text1"/>
          <w14:textFill>
            <w14:solidFill>
              <w14:schemeClr w14:val="tx1"/>
            </w14:solidFill>
          </w14:textFill>
        </w:rPr>
        <w:t>地块2（下湿壕片区）位于地块1（金山产业园北区）东南角约18km，往北离下湿壕镇政府约1.5km，地理坐标东经：110°18′45.04″-110°20′43.65″，北纬：40°53′45.76″-40°54′10.55″，</w:t>
      </w:r>
      <w:r>
        <w:rPr>
          <w:rFonts w:cs="Times New Roman"/>
          <w:color w:val="000000" w:themeColor="text1"/>
          <w14:textFill>
            <w14:solidFill>
              <w14:schemeClr w14:val="tx1"/>
            </w14:solidFill>
          </w14:textFill>
        </w:rPr>
        <w:t>由工矿用地、交通运输用地、绿地与开敞空间用地和陆地水域组成</w:t>
      </w:r>
      <w:r>
        <w:rPr>
          <w:rFonts w:hint="eastAsia" w:cs="Times New Roman"/>
          <w:color w:val="000000" w:themeColor="text1"/>
          <w14:textFill>
            <w14:solidFill>
              <w14:schemeClr w14:val="tx1"/>
            </w14:solidFill>
          </w14:textFill>
        </w:rPr>
        <w:t>，功能区定位为黑色金属冶炼及深加工区</w:t>
      </w:r>
      <w:r>
        <w:rPr>
          <w:rFonts w:cs="Times New Roman"/>
          <w:color w:val="000000" w:themeColor="text1"/>
          <w14:textFill>
            <w14:solidFill>
              <w14:schemeClr w14:val="tx1"/>
            </w14:solidFill>
          </w14:textFill>
        </w:rPr>
        <w:t>。</w:t>
      </w:r>
    </w:p>
    <w:bookmarkEnd w:id="39"/>
    <w:bookmarkEnd w:id="40"/>
    <w:bookmarkEnd w:id="41"/>
    <w:bookmarkEnd w:id="43"/>
    <w:p w14:paraId="3097AA59">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包头金山经济开发区主要用地类型包括工矿仓储用地、耕地、草地、林地、住宅用地、水域及水利设施用地、交通运输用地、公共管理与公共服务用地和其他土地。园区建设期间</w:t>
      </w:r>
      <w:bookmarkStart w:id="45" w:name="_Hlk74322302"/>
      <w:r>
        <w:rPr>
          <w:rFonts w:cs="Times New Roman"/>
          <w:color w:val="000000" w:themeColor="text1"/>
          <w14:textFill>
            <w14:solidFill>
              <w14:schemeClr w14:val="tx1"/>
            </w14:solidFill>
          </w14:textFill>
        </w:rPr>
        <w:t>挖填方总量1329.91万m³，其中总挖方664.95万m³（其中表土50.74万m³，建筑垃圾3.51万m³，土石方610.70万m³），土石方填筑总量664.95万m³（其中表土50.74万m³，建筑垃圾3.51万m³，土石方610.70万m³），无借方，无弃方。</w:t>
      </w:r>
    </w:p>
    <w:p w14:paraId="5F5900E8">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其中，地块1（金山产业园北区）建设期间挖填方总量1269.51万m³，其中总挖方634.76万m³（其中表土46.11万m³，建筑垃圾3.51万m³，土石方585.14m³），土石方填筑总量634.76万m³（其中表土46.11万m³，建筑垃圾3.51万m³，土石方585.14m³），无借方，无弃方。</w:t>
      </w:r>
    </w:p>
    <w:p w14:paraId="4DACD573">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地块2（下湿壕片区）建设期间挖填方总量60.40万m³，其中总挖方30.20万m³（其中表土4.62万m³，土石方25.58万m³），土石方填筑总量30.20万m³（其中表土4.62万m³，土石方25.58万m³），无借方，无弃方。</w:t>
      </w:r>
    </w:p>
    <w:p w14:paraId="6909F43F">
      <w:pPr>
        <w:widowControl w:val="0"/>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考虑到区块内各地块开发时间不一，各个地块将存在无法及时利用的土石方情况，本评估共布置</w:t>
      </w:r>
      <w:r>
        <w:rPr>
          <w:rFonts w:cs="Times New Roman"/>
          <w:color w:val="000000" w:themeColor="text1"/>
          <w14:textFill>
            <w14:solidFill>
              <w14:schemeClr w14:val="tx1"/>
            </w14:solidFill>
          </w14:textFill>
        </w:rPr>
        <w:t>7</w:t>
      </w:r>
      <w:r>
        <w:rPr>
          <w:rFonts w:hint="eastAsia" w:cs="Times New Roman"/>
          <w:color w:val="000000" w:themeColor="text1"/>
          <w14:textFill>
            <w14:solidFill>
              <w14:schemeClr w14:val="tx1"/>
            </w14:solidFill>
          </w14:textFill>
        </w:rPr>
        <w:t>处表土堆存场和</w:t>
      </w:r>
      <w:r>
        <w:rPr>
          <w:rFonts w:cs="Times New Roman"/>
          <w:color w:val="000000" w:themeColor="text1"/>
          <w14:textFill>
            <w14:solidFill>
              <w14:schemeClr w14:val="tx1"/>
            </w14:solidFill>
          </w14:textFill>
        </w:rPr>
        <w:t>7</w:t>
      </w:r>
      <w:r>
        <w:rPr>
          <w:rFonts w:hint="eastAsia" w:cs="Times New Roman"/>
          <w:color w:val="000000" w:themeColor="text1"/>
          <w14:textFill>
            <w14:solidFill>
              <w14:schemeClr w14:val="tx1"/>
            </w14:solidFill>
          </w14:textFill>
        </w:rPr>
        <w:t>处土方中转场，占地面积</w:t>
      </w:r>
      <w:r>
        <w:rPr>
          <w:rFonts w:cs="Times New Roman"/>
          <w:color w:val="000000" w:themeColor="text1"/>
          <w14:textFill>
            <w14:solidFill>
              <w14:schemeClr w14:val="tx1"/>
            </w14:solidFill>
          </w14:textFill>
        </w:rPr>
        <w:t>19.79hm²</w:t>
      </w:r>
      <w:r>
        <w:rPr>
          <w:rFonts w:hint="eastAsia" w:cs="Times New Roman"/>
          <w:color w:val="000000" w:themeColor="text1"/>
          <w14:textFill>
            <w14:solidFill>
              <w14:schemeClr w14:val="tx1"/>
            </w14:solidFill>
          </w14:textFill>
        </w:rPr>
        <w:t>，中转最大堆存量为5</w:t>
      </w:r>
      <w:r>
        <w:rPr>
          <w:rFonts w:cs="Times New Roman"/>
          <w:color w:val="000000" w:themeColor="text1"/>
          <w14:textFill>
            <w14:solidFill>
              <w14:schemeClr w14:val="tx1"/>
            </w14:solidFill>
          </w14:textFill>
        </w:rPr>
        <w:t>9.37</w:t>
      </w:r>
      <w:r>
        <w:rPr>
          <w:rFonts w:hint="eastAsia" w:cs="Times New Roman"/>
          <w:color w:val="000000" w:themeColor="text1"/>
          <w14:textFill>
            <w14:solidFill>
              <w14:schemeClr w14:val="tx1"/>
            </w14:solidFill>
          </w14:textFill>
        </w:rPr>
        <w:t>万m³，可满足临时堆土要求。</w:t>
      </w:r>
    </w:p>
    <w:p w14:paraId="0D545DE7">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园区规划范围内有部分村庄，占地面积18.5hm²，规划考虑将规划范围内的所有村庄进行集中搬迁与安置。</w:t>
      </w:r>
      <w:r>
        <w:rPr>
          <w:rFonts w:hint="eastAsia" w:cs="Times New Roman"/>
          <w:color w:val="000000" w:themeColor="text1"/>
          <w14:textFill>
            <w14:solidFill>
              <w14:schemeClr w14:val="tx1"/>
            </w14:solidFill>
          </w14:textFill>
        </w:rPr>
        <w:t>按照《中华人民共和国土地管理法》、《中华人民共和国城市房地产管理法》和《包头市城市房屋拆迁管理条例》、《固阳县人民政府关于印发固阳县2017年棚户区(城边村)改造房屋征收与补偿实施方案的通知》（固政发[2017]69号）的相关规定，对园区内被拆迁住户进行合理补偿并妥善安置。考虑村庄搬迁的现实性和可能性，规划对园区内村庄搬迁至园区北侧的万胜壕新村及金山镇中心城区内。</w:t>
      </w:r>
    </w:p>
    <w:p w14:paraId="6901180F">
      <w:pPr>
        <w:widowControl w:val="0"/>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房屋征收部门为固阳县住房和城乡规划建设局，房屋征收实施单位为固阳县棚户区改造工作领导小组办公室。拆迁安置民胜新村共</w:t>
      </w:r>
      <w:r>
        <w:rPr>
          <w:rFonts w:cs="Times New Roman"/>
          <w:color w:val="000000" w:themeColor="text1"/>
          <w14:textFill>
            <w14:solidFill>
              <w14:schemeClr w14:val="tx1"/>
            </w14:solidFill>
          </w14:textFill>
        </w:rPr>
        <w:t>14</w:t>
      </w:r>
      <w:r>
        <w:rPr>
          <w:rFonts w:hint="eastAsia" w:cs="Times New Roman"/>
          <w:color w:val="000000" w:themeColor="text1"/>
          <w14:textFill>
            <w14:solidFill>
              <w14:schemeClr w14:val="tx1"/>
            </w14:solidFill>
          </w14:textFill>
        </w:rPr>
        <w:t>户，人口合计</w:t>
      </w:r>
      <w:r>
        <w:rPr>
          <w:rFonts w:cs="Times New Roman"/>
          <w:color w:val="000000" w:themeColor="text1"/>
          <w14:textFill>
            <w14:solidFill>
              <w14:schemeClr w14:val="tx1"/>
            </w14:solidFill>
          </w14:textFill>
        </w:rPr>
        <w:t>46</w:t>
      </w:r>
      <w:r>
        <w:rPr>
          <w:rFonts w:hint="eastAsia" w:cs="Times New Roman"/>
          <w:color w:val="000000" w:themeColor="text1"/>
          <w14:textFill>
            <w14:solidFill>
              <w14:schemeClr w14:val="tx1"/>
            </w14:solidFill>
          </w14:textFill>
        </w:rPr>
        <w:t>人。拆迁安置产生建筑垃圾</w:t>
      </w:r>
      <w:r>
        <w:rPr>
          <w:rFonts w:cs="Times New Roman"/>
          <w:color w:val="000000" w:themeColor="text1"/>
          <w14:textFill>
            <w14:solidFill>
              <w14:schemeClr w14:val="tx1"/>
            </w14:solidFill>
          </w14:textFill>
        </w:rPr>
        <w:t>3.51</w:t>
      </w:r>
      <w:r>
        <w:rPr>
          <w:rFonts w:hint="eastAsia" w:cs="Times New Roman"/>
          <w:color w:val="000000" w:themeColor="text1"/>
          <w14:textFill>
            <w14:solidFill>
              <w14:schemeClr w14:val="tx1"/>
            </w14:solidFill>
          </w14:textFill>
        </w:rPr>
        <w:t>万</w:t>
      </w:r>
      <w:r>
        <w:rPr>
          <w:rFonts w:cs="Times New Roman"/>
          <w:color w:val="000000" w:themeColor="text1"/>
          <w14:textFill>
            <w14:solidFill>
              <w14:schemeClr w14:val="tx1"/>
            </w14:solidFill>
          </w14:textFill>
        </w:rPr>
        <w:t>m³</w:t>
      </w:r>
      <w:r>
        <w:rPr>
          <w:rFonts w:hint="eastAsia" w:cs="Times New Roman"/>
          <w:color w:val="000000" w:themeColor="text1"/>
          <w14:textFill>
            <w14:solidFill>
              <w14:schemeClr w14:val="tx1"/>
            </w14:solidFill>
          </w14:textFill>
        </w:rPr>
        <w:t>，均破碎后用于园区低洼处回填使用。</w:t>
      </w:r>
    </w:p>
    <w:p w14:paraId="2B7DC2D9">
      <w:pPr>
        <w:widowControl w:val="0"/>
        <w:ind w:firstLine="480"/>
        <w:rPr>
          <w:rFonts w:cs="Times New Roman"/>
          <w:color w:val="000000" w:themeColor="text1"/>
          <w14:textFill>
            <w14:solidFill>
              <w14:schemeClr w14:val="tx1"/>
            </w14:solidFill>
          </w14:textFill>
        </w:rPr>
      </w:pPr>
      <w:bookmarkStart w:id="46" w:name="_Hlk149550582"/>
      <w:bookmarkStart w:id="47" w:name="_Hlk149549891"/>
      <w:r>
        <w:rPr>
          <w:rFonts w:cs="Times New Roman"/>
          <w:color w:val="000000" w:themeColor="text1"/>
          <w14:textFill>
            <w14:solidFill>
              <w14:schemeClr w14:val="tx1"/>
            </w14:solidFill>
          </w14:textFill>
        </w:rPr>
        <w:t>内蒙古包头钢铁冶金开发区金山产业园管理办公室</w:t>
      </w:r>
      <w:bookmarkEnd w:id="46"/>
      <w:r>
        <w:rPr>
          <w:rFonts w:cs="Times New Roman"/>
          <w:color w:val="000000" w:themeColor="text1"/>
          <w14:textFill>
            <w14:solidFill>
              <w14:schemeClr w14:val="tx1"/>
            </w14:solidFill>
          </w14:textFill>
        </w:rPr>
        <w:t>为园区的基建及管理单位，对园区的公共事务进行统一管理，负责园区的公共服务设施（供排水工程、环卫工程及供电工程）的设计建设和管理，负责公共服务事项的统一调配服务和技术咨询；入园企业生产建设项目投资主体为建设项目水土流失防治的直接责任人。</w:t>
      </w:r>
    </w:p>
    <w:bookmarkEnd w:id="42"/>
    <w:bookmarkEnd w:id="45"/>
    <w:bookmarkEnd w:id="47"/>
    <w:p w14:paraId="6AF5C9A0">
      <w:pPr>
        <w:pStyle w:val="4"/>
        <w:numPr>
          <w:ilvl w:val="0"/>
          <w:numId w:val="0"/>
        </w:numPr>
        <w:spacing w:before="120" w:after="120"/>
      </w:pPr>
      <w:bookmarkStart w:id="48" w:name="_Toc85444494"/>
      <w:r>
        <w:t>（二）区域评估目的</w:t>
      </w:r>
      <w:bookmarkEnd w:id="48"/>
    </w:p>
    <w:p w14:paraId="5410D9D6">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本园区开发建设过程中涉及到开挖、回填、临时堆土等施工活动，将扰动原地表、破坏地表形态、损坏植被，导致地表裸露、土层结构破坏，尤其是项目建设对原有植被和水土保持措施的破坏等，如果没有切实可行的水土保持措施，将造成严重的水土流失。在充分了解工程建设情况以及项目内地形地貌、工程地质、水文、植被、土壤、水土流失现状、社会经济状况的基础上，编制合理、可行的水土保持区域评估，其主要目的有几个方面：</w:t>
      </w:r>
    </w:p>
    <w:p w14:paraId="1F4092B3">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认真贯彻、落实国家环境保护和水土保持有关法律、法规以及区域生态环境建设的总体要求，根据“谁开发谁保护，谁造成水土流失谁负责治理”的原则，防治因工程建设造成的水土流失，保护水土资源，为方案实施和水行政主管部门对工程建设的水土保持监督、检查和管理提供科学依据。</w:t>
      </w:r>
    </w:p>
    <w:p w14:paraId="69432404">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落实国家可持续发展战略，认真贯彻国家“预防为主、保护优先、全面规划、综合治理、因地制宜、突出重点、科学管理、注重效益”的水土保持方针，防治工程新增水土流失，提高工程区土地生产潜力，恢复并改善工程区生态环境，为工程建设、运行创造良好条件。</w:t>
      </w:r>
    </w:p>
    <w:p w14:paraId="5966560A">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（3）从水土保持角度对工程布局、施工布置是否存在水土保持制约因素，分析工程建设过程中造成水土流失的施工工艺、方法和具有水土保持功能的措施；明确工程建设的可行性。</w:t>
      </w:r>
    </w:p>
    <w:p w14:paraId="601D08EA">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（4）明确水土保持防治责任范围和防治分区，预测工程建设过程中可能造成的水土流失面积、强度和流失量，确定水土流失防治方案、防治重点和水土流失监测重点。</w:t>
      </w:r>
    </w:p>
    <w:p w14:paraId="602CBE12">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5）根据防治标准确定防治目标，采取工程措施、植物措施和临时措施相结合的综合防治措施体系，最大限度地减少工程建设造成的水土流失，在保障主体工程顺利实施和安全运行的同时，达到防治水土流失和改善工程区环境的目的。</w:t>
      </w:r>
    </w:p>
    <w:p w14:paraId="0F46F0D9">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（6）合理安排水土保持施工进度，拟定水土保持实施的保障措施，并将水土保持工程建设内容纳入工程的总体安排和年度计划中，确保水土流失防治措施的顺利实施。</w:t>
      </w:r>
    </w:p>
    <w:p w14:paraId="6113A318">
      <w:pPr>
        <w:pStyle w:val="4"/>
        <w:numPr>
          <w:ilvl w:val="0"/>
          <w:numId w:val="0"/>
        </w:numPr>
        <w:spacing w:before="120" w:after="120"/>
      </w:pPr>
      <w:bookmarkStart w:id="49" w:name="_Toc85444495"/>
      <w:r>
        <w:t>（三）区域评估意义</w:t>
      </w:r>
      <w:bookmarkEnd w:id="49"/>
    </w:p>
    <w:p w14:paraId="76C3F124">
      <w:pPr>
        <w:widowControl w:val="0"/>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为进一步深化“放管服”改革，优化营商环境，激发市场活力，根据《水利部关于进一步优化开发区内生产建设项目水土保持管理工作的意见》办水保【2020】235号和《内蒙古自治区水利厅关于开展水土保持区域评估工作的通知》（内水保【2021】12号），在包头金山经济开发区推进区域水土保持评估工作，加大改革创新力度，优化水土保持方案审批流程，强化事中事后监管，提升园区内水土保持工作的便利度。</w:t>
      </w:r>
    </w:p>
    <w:p w14:paraId="564791AD">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2021年9月，自治区政府办公厅印发《内蒙古自治区工程建设项目区域评估厅际联席会议制度》，要求各盟市及各开发区履行区域评估属地主体责任，积极推进区域评估各项工作任务。实施水土保持区域评估制度是贯彻落实各级政府关于深化“放管服”改革和优化营商环境的部署要求在水土保持审批与监管方面的具体举措，是为了简化水土保持审批手续，提升水土保持社会管理水平，提供简约、便捷的水土保持公共服务。</w:t>
      </w:r>
    </w:p>
    <w:p w14:paraId="1D923FAB">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通过实施水土保持区域评估和区域内生产建设项目水土保持方案备案或承诺等制度，简化审批手续，强化事中事后监管，可有效地改变目前水土保持重审批轻监管的局面。在有效地解决生产建设项目审批时间长、手续多的问题，</w:t>
      </w:r>
      <w:bookmarkStart w:id="50" w:name="_Hlk141739554"/>
      <w:r>
        <w:rPr>
          <w:rFonts w:cs="Times New Roman"/>
          <w:color w:val="000000" w:themeColor="text1"/>
          <w14:textFill>
            <w14:solidFill>
              <w14:schemeClr w14:val="tx1"/>
            </w14:solidFill>
          </w14:textFill>
        </w:rPr>
        <w:t>减轻生产建设单位负担</w:t>
      </w:r>
      <w:bookmarkEnd w:id="50"/>
      <w:r>
        <w:rPr>
          <w:rFonts w:cs="Times New Roman"/>
          <w:color w:val="000000" w:themeColor="text1"/>
          <w14:textFill>
            <w14:solidFill>
              <w14:schemeClr w14:val="tx1"/>
            </w14:solidFill>
          </w14:textFill>
        </w:rPr>
        <w:t>的同时保障区域水土流失防治工作的落实。</w:t>
      </w:r>
    </w:p>
    <w:p w14:paraId="17748C53">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水土保持区域评估能有效地统筹指导区域水土保持工作，通过统筹考虑区域各区块地功能定位、平面和竖向布置、建设特点和建设时序，合理利用园区空间、土石方、表土和雨洪资源，科学地设置表土堆放场、土石方中转场地和施工场地，实现园区整体扰动最小、土石方综合利用率最高。保护和改善生态环境，保障水土资源的可持续利用，促进经济效益、社会效益与生态环境效益协调统一，促进开发建设项目与环境的协调发展。</w:t>
      </w:r>
    </w:p>
    <w:p w14:paraId="519984CE">
      <w:pPr>
        <w:pStyle w:val="4"/>
        <w:numPr>
          <w:ilvl w:val="0"/>
          <w:numId w:val="0"/>
        </w:numPr>
        <w:spacing w:before="120" w:after="120"/>
      </w:pPr>
      <w:r>
        <w:t>（四）区域评估范围</w:t>
      </w:r>
    </w:p>
    <w:p w14:paraId="754D5BA4">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包头市人民政府关于确认开发区四至范围划定成果的函》，包头金山经济开发区包含2个地块，总面积为1267.72hm²。其中，地块1四至范围为东至明登转盘、南至胜利壕、西至国道210、北至固阳大道，面积1114.62hm²，地块2四至范围为东至学田会、南至白银合套、西至白银合套，北至省道311，面积153.10hm²。</w:t>
      </w:r>
    </w:p>
    <w:p w14:paraId="3AAAAC7A">
      <w:pPr>
        <w:widowControl w:val="0"/>
        <w:ind w:firstLine="0" w:firstLineChars="0"/>
        <w:rPr>
          <w:rFonts w:cs="Times New Roman"/>
          <w:b/>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（五）区域评估内容</w:t>
      </w:r>
    </w:p>
    <w:p w14:paraId="02547236">
      <w:pPr>
        <w:pStyle w:val="66"/>
      </w:pPr>
      <w:r>
        <w:t>分析确定水土流失防治责任范围和责任主体，对水土保持限制性因素、园区总体布局、表土剥离、土石方调配、各功能区水土流失防治体系进行分析，提出</w:t>
      </w:r>
      <w:r>
        <w:rPr>
          <w:rFonts w:hint="eastAsia"/>
        </w:rPr>
        <w:t>土</w:t>
      </w:r>
      <w:r>
        <w:t>石方综合利用方案和表土保护利用方案，提出区域综合防治目标和区域内项目防治目标，确定各功能区的水土流失防治体系，明确区域内项目水土保持要求提出区域水土保持监测方案，提出水土保持保障措施，为园区水土保持工作全面开展提供指导。</w:t>
      </w:r>
    </w:p>
    <w:p w14:paraId="79117727">
      <w:pPr>
        <w:widowControl w:val="0"/>
        <w:ind w:firstLine="0" w:firstLineChars="0"/>
        <w:rPr>
          <w:rFonts w:cs="Times New Roman"/>
          <w:b/>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（六）区域评估过程</w:t>
      </w:r>
    </w:p>
    <w:p w14:paraId="36DBF579">
      <w:pPr>
        <w:pStyle w:val="66"/>
      </w:pPr>
      <w:r>
        <w:t>根据《水利部关于进一步深化“放管服”改革全面加强水土保持监管的意见》（水保〔2019〕160号）、《水利部办公厅关于进一步优化开发区内生产建设项目水土保持管理工作的意见》（办水保〔2020〕235号）、《内蒙古自治区水利厅转发水利部关于进一步优化开发区内生产建设项目水土保持管理工作意见的通知》（内水保〔2021〕3号）、《内蒙古自治区水利厅关于开展水土保持区域评估工作的通知》（内水保</w:t>
      </w:r>
      <w:r>
        <w:rPr>
          <w:rFonts w:eastAsia="微软雅黑"/>
        </w:rPr>
        <w:t>﹝</w:t>
      </w:r>
      <w:r>
        <w:t>2021</w:t>
      </w:r>
      <w:r>
        <w:rPr>
          <w:rFonts w:eastAsia="微软雅黑"/>
        </w:rPr>
        <w:t>﹞</w:t>
      </w:r>
      <w:r>
        <w:t>12号）及有关改革精神，2021年7月，内蒙古包头钢铁冶金开发区金山产业园管理办公室委托中材地质工程勘查研究院有限公司承担了本园区水土保持区域评估报告编制工作。接</w:t>
      </w:r>
      <w:r>
        <w:rPr>
          <w:rFonts w:hint="eastAsia"/>
        </w:rPr>
        <w:t>受</w:t>
      </w:r>
      <w:r>
        <w:t>委托后，我公司的工作程序可分为资料收集、现场调查和区域评估报告编制等阶段。</w:t>
      </w:r>
    </w:p>
    <w:p w14:paraId="71FB9421">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（1）资料收集</w:t>
      </w:r>
    </w:p>
    <w:p w14:paraId="76B45240">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收集包头金山经济开发区总体规划、水资源论证报告、环境影响评价、相关批复性文件以及园区设立和建设资料等，确定区域评估需重点分析和调查的内容，拟定现场调查工作方案。收集入驻企业立项、规划设计、建设及运营、水土保持方案、监测及验收相关资料，收集的相关资料要求真实、可靠、有效，图件清晰且与园区情况相符，有明确的平面布置和竖向布置方案，满足竖向布置、土石方平衡分析及措施布设的需要。</w:t>
      </w:r>
    </w:p>
    <w:p w14:paraId="15D26E9C">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（2）现场调查</w:t>
      </w:r>
    </w:p>
    <w:p w14:paraId="0DC737FE">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依据《生产建设项目水土保持技术标准》(GB50433-2018)和《水土保持工程调查与勘测标准》(GB/T51297-2018)制定现场调查工作方案，组织实施园区现场情况调查，全面掌握园区自然地理、水土保持、水土流失以及入驻项目及园区基础设施建设进展情况。</w:t>
      </w:r>
    </w:p>
    <w:p w14:paraId="736883CB">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（3）区域评估报告编制</w:t>
      </w:r>
    </w:p>
    <w:p w14:paraId="56A1F7B2">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园区总体规划，确定评估范围，分析园区各功能区平面、竖向布置；估算园区土石方量，确定园区表土分布、剥离范围和数量，规划临时堆土场；详查园区开发现状，确定水土流失防治目标、责任范围和责任分工，提出水土流失防治措施布设方案和水土保持监测点位、方法，明确水土保持补偿费；提出水土保持措施实施进度意见，明确园区水土保持后续管理要求，于2023年11月编制完成了《包头金山经济开发区水土保持区域评估报告》。</w:t>
      </w:r>
      <w:r>
        <w:rPr>
          <w:rFonts w:hint="eastAsia" w:cs="Times New Roman"/>
          <w:color w:val="000000" w:themeColor="text1"/>
          <w14:textFill>
            <w14:solidFill>
              <w14:schemeClr w14:val="tx1"/>
            </w14:solidFill>
          </w14:textFill>
        </w:rPr>
        <w:t>评估报告于2023年</w:t>
      </w:r>
      <w:r>
        <w:rPr>
          <w:rFonts w:cs="Times New Roman"/>
          <w:color w:val="000000" w:themeColor="text1"/>
          <w14:textFill>
            <w14:solidFill>
              <w14:schemeClr w14:val="tx1"/>
            </w14:solidFill>
          </w14:textFill>
        </w:rPr>
        <w:t>11</w:t>
      </w:r>
      <w:r>
        <w:rPr>
          <w:rFonts w:hint="eastAsia" w:cs="Times New Roman"/>
          <w:color w:val="000000" w:themeColor="text1"/>
          <w14:textFill>
            <w14:solidFill>
              <w14:schemeClr w14:val="tx1"/>
            </w14:solidFill>
          </w14:textFill>
        </w:rPr>
        <w:t>月</w:t>
      </w:r>
      <w:r>
        <w:rPr>
          <w:rFonts w:cs="Times New Roman"/>
          <w:color w:val="000000" w:themeColor="text1"/>
          <w14:textFill>
            <w14:solidFill>
              <w14:schemeClr w14:val="tx1"/>
            </w14:solidFill>
          </w14:textFill>
        </w:rPr>
        <w:t>8</w:t>
      </w:r>
      <w:r>
        <w:rPr>
          <w:rFonts w:hint="eastAsia" w:cs="Times New Roman"/>
          <w:color w:val="000000" w:themeColor="text1"/>
          <w14:textFill>
            <w14:solidFill>
              <w14:schemeClr w14:val="tx1"/>
            </w14:solidFill>
          </w14:textFill>
        </w:rPr>
        <w:t>日通过内蒙古自治区水利事业发展中心组织的专家评审，并形成专家审查修改意见。根据专家意见，对报告进行了补充、完善，于2023年</w:t>
      </w:r>
      <w:r>
        <w:rPr>
          <w:rFonts w:cs="Times New Roman"/>
          <w:color w:val="000000" w:themeColor="text1"/>
          <w14:textFill>
            <w14:solidFill>
              <w14:schemeClr w14:val="tx1"/>
            </w14:solidFill>
          </w14:textFill>
        </w:rPr>
        <w:t>12</w:t>
      </w:r>
      <w:r>
        <w:rPr>
          <w:rFonts w:hint="eastAsia" w:cs="Times New Roman"/>
          <w:color w:val="000000" w:themeColor="text1"/>
          <w14:textFill>
            <w14:solidFill>
              <w14:schemeClr w14:val="tx1"/>
            </w14:solidFill>
          </w14:textFill>
        </w:rPr>
        <w:t>月完成正式稿。</w:t>
      </w:r>
    </w:p>
    <w:p w14:paraId="02435CA2">
      <w:pPr>
        <w:widowControl w:val="0"/>
        <w:ind w:firstLine="0" w:firstLineChars="0"/>
        <w:rPr>
          <w:rFonts w:cs="Times New Roman"/>
          <w:b/>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（七）区域评估结论</w:t>
      </w:r>
    </w:p>
    <w:bookmarkEnd w:id="13"/>
    <w:bookmarkEnd w:id="14"/>
    <w:bookmarkEnd w:id="15"/>
    <w:p w14:paraId="78E6B0C2">
      <w:pPr>
        <w:widowControl w:val="0"/>
        <w:ind w:firstLine="480"/>
        <w:rPr>
          <w:rFonts w:cs="Times New Roman"/>
          <w:color w:val="000000" w:themeColor="text1"/>
          <w14:textFill>
            <w14:solidFill>
              <w14:schemeClr w14:val="tx1"/>
            </w14:solidFill>
          </w14:textFill>
        </w:rPr>
      </w:pPr>
      <w:bookmarkStart w:id="51" w:name="_Hlk141795362"/>
      <w:r>
        <w:rPr>
          <w:rFonts w:cs="Times New Roman"/>
          <w:color w:val="000000" w:themeColor="text1"/>
          <w14:textFill>
            <w14:solidFill>
              <w14:schemeClr w14:val="tx1"/>
            </w14:solidFill>
          </w14:textFill>
        </w:rPr>
        <w:t>本水土保持区域评估范围为1267.72hm²。根据“水利部办公厅印发《全国水土保持规划国家级水土流失重点预防区和重点治理区复核划分成果》的通知”（办水保〔2013〕188号）及《内蒙古自治区人民政府关于划分水土流失重点预防区和重点治理区的通告》（内政发〔2016〕44号）。项目所在地固阳县属</w:t>
      </w:r>
      <w:bookmarkStart w:id="52" w:name="_Hlk141739766"/>
      <w:r>
        <w:rPr>
          <w:rFonts w:cs="Times New Roman"/>
          <w:color w:val="000000" w:themeColor="text1"/>
          <w14:textFill>
            <w14:solidFill>
              <w14:schemeClr w14:val="tx1"/>
            </w14:solidFill>
          </w14:textFill>
        </w:rPr>
        <w:t>黄河自治区级水土流失重点治理区</w:t>
      </w:r>
      <w:bookmarkEnd w:id="52"/>
      <w:r>
        <w:rPr>
          <w:rFonts w:cs="Times New Roman"/>
          <w:color w:val="000000" w:themeColor="text1"/>
          <w14:textFill>
            <w14:solidFill>
              <w14:schemeClr w14:val="tx1"/>
            </w14:solidFill>
          </w14:textFill>
        </w:rPr>
        <w:t>，无法避让，产业园及园区内项目建设过程中应优化施工方案及施工工艺，园区内各建设项目应当提高水土流失防治标准，减少地表扰动和植被破坏范围，减少工程占地和土石方量，将对生态环境影响降到最低程度。</w:t>
      </w:r>
    </w:p>
    <w:p w14:paraId="1B2046EE">
      <w:pPr>
        <w:widowControl w:val="0"/>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包头金山经济开发区总规划面积为</w:t>
      </w:r>
      <w:r>
        <w:rPr>
          <w:rFonts w:cs="Times New Roman"/>
          <w:color w:val="000000" w:themeColor="text1"/>
          <w14:textFill>
            <w14:solidFill>
              <w14:schemeClr w14:val="tx1"/>
            </w14:solidFill>
          </w14:textFill>
        </w:rPr>
        <w:t>1267.72hm²</w:t>
      </w:r>
      <w:r>
        <w:rPr>
          <w:rFonts w:hint="eastAsia" w:cs="Times New Roman"/>
          <w:color w:val="000000" w:themeColor="text1"/>
          <w14:textFill>
            <w14:solidFill>
              <w14:schemeClr w14:val="tx1"/>
            </w14:solidFill>
          </w14:textFill>
        </w:rPr>
        <w:t>，园区水土保持防治责任范围为</w:t>
      </w:r>
      <w:r>
        <w:rPr>
          <w:rFonts w:cs="Times New Roman"/>
          <w:color w:val="000000" w:themeColor="text1"/>
          <w14:textFill>
            <w14:solidFill>
              <w14:schemeClr w14:val="tx1"/>
            </w14:solidFill>
          </w14:textFill>
        </w:rPr>
        <w:t>1267.72hm²</w:t>
      </w:r>
      <w:r>
        <w:rPr>
          <w:rFonts w:hint="eastAsia" w:cs="Times New Roman"/>
          <w:color w:val="000000" w:themeColor="text1"/>
          <w14:textFill>
            <w14:solidFill>
              <w14:schemeClr w14:val="tx1"/>
            </w14:solidFill>
          </w14:textFill>
        </w:rPr>
        <w:t>。</w:t>
      </w:r>
    </w:p>
    <w:p w14:paraId="32110083">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内蒙古包头钢铁冶金开发区金山产业园管理办公室作为园区的管理机构，承担着园区水土流失防治责任范围内水土保持预防与治理的主体责任。在包头金山经济开发区内，生产建设项目的建设单位是水土流失防治的直接责任人。按照“谁开发利用谁保护、谁造成水土流失谁负责治理”的原则，项目建设单位依法承担项目建设、运营期间的水土流失防治责任。对于园区未建区域和绿地与开敞空间用地的防治责任，在开建前，责任主体为内蒙古包头钢铁冶金开发区金山产业园管理办公室；而在开建后，责任主体则转变为各建设单位。</w:t>
      </w:r>
    </w:p>
    <w:p w14:paraId="6EDEDE40">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区域水土流失总体控制目标值确定为水土流失治理度90%、表土保护利用率90%、土石方综合利用率100%、渣土防护率90%、裸露地表防护率95%、林草覆盖率20%；园区内建设项目的水土流失防治标准执行西北黄土高原区一级标准。</w:t>
      </w:r>
    </w:p>
    <w:p w14:paraId="02711A22">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本园区的总体规划符合国家和地方经济发展的规划，总体设计较为合理，利于减少水土流失。</w:t>
      </w:r>
      <w:r>
        <w:rPr>
          <w:rFonts w:hint="eastAsia" w:cs="Times New Roman"/>
          <w:color w:val="000000" w:themeColor="text1"/>
          <w14:textFill>
            <w14:solidFill>
              <w14:schemeClr w14:val="tx1"/>
            </w14:solidFill>
          </w14:textFill>
        </w:rPr>
        <w:t>总体规划</w:t>
      </w:r>
      <w:r>
        <w:rPr>
          <w:rFonts w:cs="Times New Roman"/>
          <w:color w:val="000000" w:themeColor="text1"/>
          <w14:textFill>
            <w14:solidFill>
              <w14:schemeClr w14:val="tx1"/>
            </w14:solidFill>
          </w14:textFill>
        </w:rPr>
        <w:t>方案在园区选址，总体布局、主体工程设计、工程占地、施工组织等方面基本合理，不存在明显的水土保持制约因素。主体设计中已考虑到水土保持和生态环境保护，尽量减少地表扰动和造成的新的水土流失，符合水土保持的要求。</w:t>
      </w:r>
    </w:p>
    <w:p w14:paraId="70860FC2">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内土石方在各个防治分区内部进行优化利用，做得了挖填平衡，建设过程中应加强园区表土保护和利用，应做到应剥尽剥、全部利用。主体工程设计的表土保护、土地整治（含表土回覆）、拦挡、截排水、植物措施和临时防护等措施，从设计上体现了水土保持的理念，从源头上减少水土流失及其危害。具有一定的水土保持功能。本区域评估补充设计蓄水池等降雨蓄渗工程，增大雨水涵养、集蓄利用。</w:t>
      </w:r>
    </w:p>
    <w:p w14:paraId="0F14CE0C">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水土保持监测建议由产业园管理机构开展全区域、全过程监测，监测成果供区域内项目共享使用，减轻入驻企业负担。</w:t>
      </w:r>
    </w:p>
    <w:p w14:paraId="475F9293">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从水土保持角度分析，包头金山经济开发区地处黄河自治区级水土流失重点治理区，区域内生态环境脆弱，后续开发建设和规划服务期内应采取有效措施，加强对园区开发建设项目水土保持工作管理，积极落实相应水土保持措施，能够达到区域水土流失总体控制目标，有效改善区域生态环境状况。</w:t>
      </w:r>
    </w:p>
    <w:p w14:paraId="6C0419CD">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经过分析评价，园区规划布局合理，产业结构符合政策要求，规划方案可行；加强区域水土保持工作管理，落实各项措施后，能够合理利用水土资源，达到防治水土流失并改善生态环境目的。</w:t>
      </w:r>
    </w:p>
    <w:p w14:paraId="26D6E7BA">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br w:type="page"/>
      </w:r>
    </w:p>
    <w:bookmarkEnd w:id="51"/>
    <w:p w14:paraId="51E0A7DA">
      <w:pPr>
        <w:pStyle w:val="44"/>
        <w:ind w:firstLine="2240" w:firstLineChars="90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水土保持区域评估报告基本情况表</w:t>
      </w:r>
    </w:p>
    <w:tbl>
      <w:tblPr>
        <w:tblStyle w:val="27"/>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567"/>
        <w:gridCol w:w="851"/>
        <w:gridCol w:w="1134"/>
        <w:gridCol w:w="332"/>
        <w:gridCol w:w="1227"/>
        <w:gridCol w:w="474"/>
        <w:gridCol w:w="303"/>
        <w:gridCol w:w="215"/>
        <w:gridCol w:w="1134"/>
        <w:gridCol w:w="1576"/>
      </w:tblGrid>
      <w:tr w14:paraId="78B0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3"/>
            <w:tcBorders>
              <w:bottom w:val="double" w:color="auto" w:sz="4" w:space="0"/>
            </w:tcBorders>
            <w:shd w:val="clear" w:color="auto" w:fill="auto"/>
            <w:noWrap/>
            <w:vAlign w:val="center"/>
          </w:tcPr>
          <w:p w14:paraId="76D30BF8">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区城名称</w:t>
            </w:r>
          </w:p>
        </w:tc>
        <w:tc>
          <w:tcPr>
            <w:tcW w:w="7246" w:type="dxa"/>
            <w:gridSpan w:val="9"/>
            <w:tcBorders>
              <w:bottom w:val="double" w:color="auto" w:sz="4" w:space="0"/>
            </w:tcBorders>
            <w:shd w:val="clear" w:color="auto" w:fill="auto"/>
            <w:noWrap/>
            <w:vAlign w:val="center"/>
          </w:tcPr>
          <w:p w14:paraId="770EE8F1">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包头金山经济开发区</w:t>
            </w:r>
          </w:p>
        </w:tc>
      </w:tr>
      <w:tr w14:paraId="4A80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3"/>
            <w:tcBorders>
              <w:top w:val="double" w:color="auto" w:sz="4" w:space="0"/>
            </w:tcBorders>
            <w:shd w:val="clear" w:color="auto" w:fill="auto"/>
            <w:vAlign w:val="center"/>
          </w:tcPr>
          <w:p w14:paraId="13D9C511">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四至合围面积(hm²)(评估范围）</w:t>
            </w:r>
          </w:p>
        </w:tc>
        <w:tc>
          <w:tcPr>
            <w:tcW w:w="1985" w:type="dxa"/>
            <w:gridSpan w:val="2"/>
            <w:tcBorders>
              <w:top w:val="double" w:color="auto" w:sz="4" w:space="0"/>
            </w:tcBorders>
            <w:shd w:val="clear" w:color="auto" w:fill="auto"/>
            <w:noWrap/>
            <w:vAlign w:val="center"/>
          </w:tcPr>
          <w:p w14:paraId="0F8AF6E3">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1267.72</w:t>
            </w:r>
          </w:p>
        </w:tc>
        <w:tc>
          <w:tcPr>
            <w:tcW w:w="2551" w:type="dxa"/>
            <w:gridSpan w:val="5"/>
            <w:shd w:val="clear" w:color="auto" w:fill="auto"/>
            <w:noWrap/>
            <w:vAlign w:val="center"/>
          </w:tcPr>
          <w:p w14:paraId="7E32D0D7">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稳定耕地面积(hm²)</w:t>
            </w:r>
          </w:p>
        </w:tc>
        <w:tc>
          <w:tcPr>
            <w:tcW w:w="2710" w:type="dxa"/>
            <w:gridSpan w:val="2"/>
            <w:shd w:val="clear" w:color="auto" w:fill="auto"/>
            <w:noWrap/>
            <w:vAlign w:val="center"/>
          </w:tcPr>
          <w:p w14:paraId="355E2784">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w:t>
            </w:r>
          </w:p>
        </w:tc>
      </w:tr>
      <w:tr w14:paraId="5182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3"/>
            <w:vMerge w:val="restart"/>
            <w:shd w:val="clear" w:color="auto" w:fill="auto"/>
            <w:noWrap/>
            <w:vAlign w:val="center"/>
          </w:tcPr>
          <w:p w14:paraId="69548140">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区域用地面积（hm²)</w:t>
            </w:r>
          </w:p>
        </w:tc>
        <w:tc>
          <w:tcPr>
            <w:tcW w:w="1985" w:type="dxa"/>
            <w:gridSpan w:val="2"/>
            <w:vMerge w:val="restart"/>
            <w:shd w:val="clear" w:color="auto" w:fill="auto"/>
            <w:noWrap/>
            <w:vAlign w:val="center"/>
          </w:tcPr>
          <w:p w14:paraId="31835F36">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1267.72</w:t>
            </w:r>
          </w:p>
        </w:tc>
        <w:tc>
          <w:tcPr>
            <w:tcW w:w="2551" w:type="dxa"/>
            <w:gridSpan w:val="5"/>
            <w:shd w:val="clear" w:color="auto" w:fill="auto"/>
            <w:noWrap/>
            <w:vAlign w:val="center"/>
          </w:tcPr>
          <w:p w14:paraId="6E2424A9">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城镇集中建设区面积(hm²)</w:t>
            </w:r>
          </w:p>
        </w:tc>
        <w:tc>
          <w:tcPr>
            <w:tcW w:w="2710" w:type="dxa"/>
            <w:gridSpan w:val="2"/>
            <w:shd w:val="clear" w:color="auto" w:fill="auto"/>
            <w:noWrap/>
            <w:vAlign w:val="center"/>
          </w:tcPr>
          <w:p w14:paraId="41EC4F84">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1267.72</w:t>
            </w:r>
          </w:p>
        </w:tc>
      </w:tr>
      <w:tr w14:paraId="7E0A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3"/>
            <w:vMerge w:val="continue"/>
            <w:vAlign w:val="center"/>
          </w:tcPr>
          <w:p w14:paraId="4B1A3E71">
            <w:pPr>
              <w:pStyle w:val="33"/>
              <w:adjustRightInd w:val="0"/>
              <w:snapToGrid w:val="0"/>
              <w:rPr>
                <w:color w:val="000000" w:themeColor="text1"/>
                <w14:textFill>
                  <w14:solidFill>
                    <w14:schemeClr w14:val="tx1"/>
                  </w14:solidFill>
                </w14:textFill>
              </w:rPr>
            </w:pPr>
          </w:p>
        </w:tc>
        <w:tc>
          <w:tcPr>
            <w:tcW w:w="1985" w:type="dxa"/>
            <w:gridSpan w:val="2"/>
            <w:vMerge w:val="continue"/>
            <w:vAlign w:val="center"/>
          </w:tcPr>
          <w:p w14:paraId="0D730AB4">
            <w:pPr>
              <w:pStyle w:val="33"/>
              <w:adjustRightInd w:val="0"/>
              <w:snapToGrid w:val="0"/>
              <w:rPr>
                <w:color w:val="000000" w:themeColor="text1"/>
                <w14:textFill>
                  <w14:solidFill>
                    <w14:schemeClr w14:val="tx1"/>
                  </w14:solidFill>
                </w14:textFill>
              </w:rPr>
            </w:pPr>
          </w:p>
        </w:tc>
        <w:tc>
          <w:tcPr>
            <w:tcW w:w="2551" w:type="dxa"/>
            <w:gridSpan w:val="5"/>
            <w:shd w:val="clear" w:color="auto" w:fill="auto"/>
            <w:noWrap/>
            <w:vAlign w:val="center"/>
          </w:tcPr>
          <w:p w14:paraId="58B785F6">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特别用途区面积(hm²)</w:t>
            </w:r>
          </w:p>
        </w:tc>
        <w:tc>
          <w:tcPr>
            <w:tcW w:w="2710" w:type="dxa"/>
            <w:gridSpan w:val="2"/>
            <w:shd w:val="clear" w:color="auto" w:fill="auto"/>
            <w:noWrap/>
            <w:vAlign w:val="center"/>
          </w:tcPr>
          <w:p w14:paraId="51A89E8E">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w:t>
            </w:r>
          </w:p>
        </w:tc>
      </w:tr>
      <w:tr w14:paraId="14246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3"/>
            <w:vMerge w:val="continue"/>
            <w:vAlign w:val="center"/>
          </w:tcPr>
          <w:p w14:paraId="147B67FF">
            <w:pPr>
              <w:pStyle w:val="33"/>
              <w:adjustRightInd w:val="0"/>
              <w:snapToGrid w:val="0"/>
              <w:rPr>
                <w:color w:val="000000" w:themeColor="text1"/>
                <w14:textFill>
                  <w14:solidFill>
                    <w14:schemeClr w14:val="tx1"/>
                  </w14:solidFill>
                </w14:textFill>
              </w:rPr>
            </w:pPr>
          </w:p>
        </w:tc>
        <w:tc>
          <w:tcPr>
            <w:tcW w:w="1985" w:type="dxa"/>
            <w:gridSpan w:val="2"/>
            <w:vMerge w:val="continue"/>
            <w:vAlign w:val="center"/>
          </w:tcPr>
          <w:p w14:paraId="4D9C2317">
            <w:pPr>
              <w:pStyle w:val="33"/>
              <w:adjustRightInd w:val="0"/>
              <w:snapToGrid w:val="0"/>
              <w:rPr>
                <w:color w:val="000000" w:themeColor="text1"/>
                <w14:textFill>
                  <w14:solidFill>
                    <w14:schemeClr w14:val="tx1"/>
                  </w14:solidFill>
                </w14:textFill>
              </w:rPr>
            </w:pPr>
          </w:p>
        </w:tc>
        <w:tc>
          <w:tcPr>
            <w:tcW w:w="2551" w:type="dxa"/>
            <w:gridSpan w:val="5"/>
            <w:shd w:val="clear" w:color="auto" w:fill="auto"/>
            <w:noWrap/>
            <w:vAlign w:val="center"/>
          </w:tcPr>
          <w:p w14:paraId="5AB35106">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城镇弹性发展区面积(hm²)</w:t>
            </w:r>
          </w:p>
        </w:tc>
        <w:tc>
          <w:tcPr>
            <w:tcW w:w="2710" w:type="dxa"/>
            <w:gridSpan w:val="2"/>
            <w:shd w:val="clear" w:color="auto" w:fill="auto"/>
            <w:noWrap/>
            <w:vAlign w:val="center"/>
          </w:tcPr>
          <w:p w14:paraId="2EED3391">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w:t>
            </w:r>
          </w:p>
        </w:tc>
      </w:tr>
      <w:tr w14:paraId="3021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3"/>
            <w:shd w:val="clear" w:color="auto" w:fill="auto"/>
            <w:noWrap/>
            <w:vAlign w:val="center"/>
          </w:tcPr>
          <w:p w14:paraId="34178F0D">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涉及盟、市</w:t>
            </w:r>
          </w:p>
        </w:tc>
        <w:tc>
          <w:tcPr>
            <w:tcW w:w="1985" w:type="dxa"/>
            <w:gridSpan w:val="2"/>
            <w:shd w:val="clear" w:color="auto" w:fill="auto"/>
            <w:noWrap/>
            <w:vAlign w:val="center"/>
          </w:tcPr>
          <w:p w14:paraId="59D580E1">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包头市</w:t>
            </w:r>
          </w:p>
        </w:tc>
        <w:tc>
          <w:tcPr>
            <w:tcW w:w="2551" w:type="dxa"/>
            <w:gridSpan w:val="5"/>
            <w:shd w:val="clear" w:color="auto" w:fill="auto"/>
            <w:noWrap/>
            <w:vAlign w:val="center"/>
          </w:tcPr>
          <w:p w14:paraId="463E523C">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涉及旗、县、区</w:t>
            </w:r>
          </w:p>
        </w:tc>
        <w:tc>
          <w:tcPr>
            <w:tcW w:w="2710" w:type="dxa"/>
            <w:gridSpan w:val="2"/>
            <w:shd w:val="clear" w:color="auto" w:fill="auto"/>
            <w:noWrap/>
            <w:vAlign w:val="center"/>
          </w:tcPr>
          <w:p w14:paraId="2B86B5C3">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固阳县</w:t>
            </w:r>
          </w:p>
        </w:tc>
      </w:tr>
      <w:tr w14:paraId="2F75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3"/>
            <w:shd w:val="clear" w:color="auto" w:fill="auto"/>
            <w:noWrap/>
            <w:vAlign w:val="center"/>
          </w:tcPr>
          <w:p w14:paraId="206E629E">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重点防治区名称</w:t>
            </w:r>
          </w:p>
        </w:tc>
        <w:tc>
          <w:tcPr>
            <w:tcW w:w="1985" w:type="dxa"/>
            <w:gridSpan w:val="2"/>
            <w:shd w:val="clear" w:color="auto" w:fill="auto"/>
            <w:noWrap/>
            <w:vAlign w:val="center"/>
          </w:tcPr>
          <w:p w14:paraId="382E3E11">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黄河自治区级水土流失重点治理区</w:t>
            </w:r>
          </w:p>
        </w:tc>
        <w:tc>
          <w:tcPr>
            <w:tcW w:w="2551" w:type="dxa"/>
            <w:gridSpan w:val="5"/>
            <w:shd w:val="clear" w:color="auto" w:fill="auto"/>
            <w:noWrap/>
            <w:vAlign w:val="center"/>
          </w:tcPr>
          <w:p w14:paraId="49327F37">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水土保持区划</w:t>
            </w:r>
          </w:p>
        </w:tc>
        <w:tc>
          <w:tcPr>
            <w:tcW w:w="2710" w:type="dxa"/>
            <w:gridSpan w:val="2"/>
            <w:shd w:val="clear" w:color="auto" w:fill="auto"/>
            <w:noWrap/>
            <w:vAlign w:val="center"/>
          </w:tcPr>
          <w:p w14:paraId="1B7FFE64">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西北黄土高原区</w:t>
            </w:r>
          </w:p>
        </w:tc>
      </w:tr>
      <w:tr w14:paraId="7841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3"/>
            <w:shd w:val="clear" w:color="auto" w:fill="auto"/>
            <w:noWrap/>
            <w:vAlign w:val="center"/>
          </w:tcPr>
          <w:p w14:paraId="7566532B">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地貌类型</w:t>
            </w:r>
          </w:p>
        </w:tc>
        <w:tc>
          <w:tcPr>
            <w:tcW w:w="1985" w:type="dxa"/>
            <w:gridSpan w:val="2"/>
            <w:shd w:val="clear" w:color="auto" w:fill="auto"/>
            <w:noWrap/>
            <w:vAlign w:val="center"/>
          </w:tcPr>
          <w:p w14:paraId="52553105">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低山丘陵</w:t>
            </w:r>
          </w:p>
        </w:tc>
        <w:tc>
          <w:tcPr>
            <w:tcW w:w="2551" w:type="dxa"/>
            <w:gridSpan w:val="5"/>
            <w:shd w:val="clear" w:color="auto" w:fill="auto"/>
            <w:noWrap/>
            <w:vAlign w:val="center"/>
          </w:tcPr>
          <w:p w14:paraId="372FF7A8">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土壤类型</w:t>
            </w:r>
          </w:p>
        </w:tc>
        <w:tc>
          <w:tcPr>
            <w:tcW w:w="2710" w:type="dxa"/>
            <w:gridSpan w:val="2"/>
            <w:shd w:val="clear" w:color="auto" w:fill="auto"/>
            <w:noWrap/>
            <w:vAlign w:val="center"/>
          </w:tcPr>
          <w:p w14:paraId="570CB126">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栗钙土</w:t>
            </w:r>
          </w:p>
        </w:tc>
      </w:tr>
      <w:tr w14:paraId="28269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3"/>
            <w:shd w:val="clear" w:color="auto" w:fill="auto"/>
            <w:noWrap/>
            <w:vAlign w:val="center"/>
          </w:tcPr>
          <w:p w14:paraId="1226CE03">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植被类型</w:t>
            </w:r>
          </w:p>
        </w:tc>
        <w:tc>
          <w:tcPr>
            <w:tcW w:w="1985" w:type="dxa"/>
            <w:gridSpan w:val="2"/>
            <w:shd w:val="clear" w:color="auto" w:fill="auto"/>
            <w:noWrap/>
            <w:vAlign w:val="center"/>
          </w:tcPr>
          <w:p w14:paraId="0B0C5AEE">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干草原</w:t>
            </w:r>
          </w:p>
        </w:tc>
        <w:tc>
          <w:tcPr>
            <w:tcW w:w="2551" w:type="dxa"/>
            <w:gridSpan w:val="5"/>
            <w:shd w:val="clear" w:color="auto" w:fill="auto"/>
            <w:noWrap/>
            <w:vAlign w:val="center"/>
          </w:tcPr>
          <w:p w14:paraId="6265A216">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土壤侵蚀类型</w:t>
            </w:r>
          </w:p>
        </w:tc>
        <w:tc>
          <w:tcPr>
            <w:tcW w:w="2710" w:type="dxa"/>
            <w:gridSpan w:val="2"/>
            <w:shd w:val="clear" w:color="auto" w:fill="auto"/>
            <w:noWrap/>
            <w:vAlign w:val="center"/>
          </w:tcPr>
          <w:p w14:paraId="25F68C24">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以风力侵蚀为主</w:t>
            </w:r>
          </w:p>
        </w:tc>
      </w:tr>
      <w:tr w14:paraId="47FA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3"/>
            <w:shd w:val="clear" w:color="auto" w:fill="auto"/>
            <w:noWrap/>
            <w:vAlign w:val="center"/>
          </w:tcPr>
          <w:p w14:paraId="3243A3AE">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容许土壤流失量[t/km².a]</w:t>
            </w:r>
          </w:p>
        </w:tc>
        <w:tc>
          <w:tcPr>
            <w:tcW w:w="1985" w:type="dxa"/>
            <w:gridSpan w:val="2"/>
            <w:shd w:val="clear" w:color="auto" w:fill="auto"/>
            <w:noWrap/>
            <w:vAlign w:val="center"/>
          </w:tcPr>
          <w:p w14:paraId="4D8AF4DC">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1000</w:t>
            </w:r>
          </w:p>
        </w:tc>
        <w:tc>
          <w:tcPr>
            <w:tcW w:w="2551" w:type="dxa"/>
            <w:gridSpan w:val="5"/>
            <w:shd w:val="clear" w:color="auto" w:fill="auto"/>
            <w:noWrap/>
            <w:vAlign w:val="center"/>
          </w:tcPr>
          <w:p w14:paraId="66ED7F59">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土壤侵蚀强度[t/km².a]</w:t>
            </w:r>
          </w:p>
        </w:tc>
        <w:tc>
          <w:tcPr>
            <w:tcW w:w="2710" w:type="dxa"/>
            <w:gridSpan w:val="2"/>
            <w:shd w:val="clear" w:color="auto" w:fill="auto"/>
            <w:vAlign w:val="center"/>
          </w:tcPr>
          <w:p w14:paraId="3FD24460">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风蚀2112，轻度；水蚀737，</w:t>
            </w:r>
            <w:r>
              <w:rPr>
                <w:rFonts w:hint="eastAsia"/>
                <w:color w:val="000000" w:themeColor="text1"/>
                <w14:textFill>
                  <w14:solidFill>
                    <w14:schemeClr w14:val="tx1"/>
                  </w14:solidFill>
                </w14:textFill>
              </w:rPr>
              <w:t>微</w:t>
            </w:r>
            <w:r>
              <w:rPr>
                <w:color w:val="000000" w:themeColor="text1"/>
                <w14:textFill>
                  <w14:solidFill>
                    <w14:schemeClr w14:val="tx1"/>
                  </w14:solidFill>
                </w14:textFill>
              </w:rPr>
              <w:t>度</w:t>
            </w:r>
          </w:p>
        </w:tc>
      </w:tr>
      <w:tr w14:paraId="14BA8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3"/>
            <w:vMerge w:val="restart"/>
            <w:shd w:val="clear" w:color="auto" w:fill="auto"/>
            <w:vAlign w:val="center"/>
          </w:tcPr>
          <w:p w14:paraId="7A3BCC31">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区域水土流失总体控制目标</w:t>
            </w:r>
          </w:p>
        </w:tc>
        <w:tc>
          <w:tcPr>
            <w:tcW w:w="1985" w:type="dxa"/>
            <w:gridSpan w:val="2"/>
            <w:shd w:val="clear" w:color="auto" w:fill="auto"/>
            <w:noWrap/>
            <w:vAlign w:val="center"/>
          </w:tcPr>
          <w:p w14:paraId="31649D78">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水土流失治理度</w:t>
            </w:r>
          </w:p>
        </w:tc>
        <w:tc>
          <w:tcPr>
            <w:tcW w:w="1559" w:type="dxa"/>
            <w:gridSpan w:val="2"/>
            <w:shd w:val="clear" w:color="auto" w:fill="auto"/>
            <w:noWrap/>
            <w:vAlign w:val="center"/>
          </w:tcPr>
          <w:p w14:paraId="4278FDD3">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90%</w:t>
            </w:r>
          </w:p>
        </w:tc>
        <w:tc>
          <w:tcPr>
            <w:tcW w:w="2126" w:type="dxa"/>
            <w:gridSpan w:val="4"/>
            <w:shd w:val="clear" w:color="auto" w:fill="auto"/>
            <w:noWrap/>
            <w:vAlign w:val="center"/>
          </w:tcPr>
          <w:p w14:paraId="3BE3D948">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渣土防护率</w:t>
            </w:r>
          </w:p>
        </w:tc>
        <w:tc>
          <w:tcPr>
            <w:tcW w:w="1576" w:type="dxa"/>
            <w:shd w:val="clear" w:color="auto" w:fill="auto"/>
            <w:noWrap/>
            <w:vAlign w:val="center"/>
          </w:tcPr>
          <w:p w14:paraId="5C64CB72">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90%</w:t>
            </w:r>
          </w:p>
        </w:tc>
      </w:tr>
      <w:tr w14:paraId="5B17E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3"/>
            <w:vMerge w:val="continue"/>
            <w:vAlign w:val="center"/>
          </w:tcPr>
          <w:p w14:paraId="7F24443A">
            <w:pPr>
              <w:pStyle w:val="33"/>
              <w:adjustRightInd w:val="0"/>
              <w:snapToGrid w:val="0"/>
              <w:rPr>
                <w:color w:val="000000" w:themeColor="text1"/>
                <w14:textFill>
                  <w14:solidFill>
                    <w14:schemeClr w14:val="tx1"/>
                  </w14:solidFill>
                </w14:textFill>
              </w:rPr>
            </w:pPr>
          </w:p>
        </w:tc>
        <w:tc>
          <w:tcPr>
            <w:tcW w:w="1985" w:type="dxa"/>
            <w:gridSpan w:val="2"/>
            <w:shd w:val="clear" w:color="auto" w:fill="auto"/>
            <w:noWrap/>
            <w:vAlign w:val="center"/>
          </w:tcPr>
          <w:p w14:paraId="1D034EDD">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表土保护利用率</w:t>
            </w:r>
          </w:p>
        </w:tc>
        <w:tc>
          <w:tcPr>
            <w:tcW w:w="1559" w:type="dxa"/>
            <w:gridSpan w:val="2"/>
            <w:shd w:val="clear" w:color="auto" w:fill="auto"/>
            <w:noWrap/>
            <w:vAlign w:val="center"/>
          </w:tcPr>
          <w:p w14:paraId="1F4520F6">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90%</w:t>
            </w:r>
          </w:p>
        </w:tc>
        <w:tc>
          <w:tcPr>
            <w:tcW w:w="2126" w:type="dxa"/>
            <w:gridSpan w:val="4"/>
            <w:shd w:val="clear" w:color="auto" w:fill="auto"/>
            <w:noWrap/>
            <w:vAlign w:val="center"/>
          </w:tcPr>
          <w:p w14:paraId="43DDE227">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裸露地表防护率</w:t>
            </w:r>
          </w:p>
        </w:tc>
        <w:tc>
          <w:tcPr>
            <w:tcW w:w="1576" w:type="dxa"/>
            <w:shd w:val="clear" w:color="auto" w:fill="auto"/>
            <w:noWrap/>
            <w:vAlign w:val="center"/>
          </w:tcPr>
          <w:p w14:paraId="581A5682">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95%</w:t>
            </w:r>
          </w:p>
        </w:tc>
      </w:tr>
      <w:tr w14:paraId="7E0D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3"/>
            <w:vMerge w:val="continue"/>
            <w:vAlign w:val="center"/>
          </w:tcPr>
          <w:p w14:paraId="423593DB">
            <w:pPr>
              <w:pStyle w:val="33"/>
              <w:adjustRightInd w:val="0"/>
              <w:snapToGrid w:val="0"/>
              <w:rPr>
                <w:color w:val="000000" w:themeColor="text1"/>
                <w14:textFill>
                  <w14:solidFill>
                    <w14:schemeClr w14:val="tx1"/>
                  </w14:solidFill>
                </w14:textFill>
              </w:rPr>
            </w:pPr>
          </w:p>
        </w:tc>
        <w:tc>
          <w:tcPr>
            <w:tcW w:w="1985" w:type="dxa"/>
            <w:gridSpan w:val="2"/>
            <w:shd w:val="clear" w:color="auto" w:fill="auto"/>
            <w:noWrap/>
            <w:vAlign w:val="center"/>
          </w:tcPr>
          <w:p w14:paraId="3BF39AB8">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土石方综合利用率</w:t>
            </w:r>
          </w:p>
        </w:tc>
        <w:tc>
          <w:tcPr>
            <w:tcW w:w="1559" w:type="dxa"/>
            <w:gridSpan w:val="2"/>
            <w:shd w:val="clear" w:color="auto" w:fill="auto"/>
            <w:noWrap/>
            <w:vAlign w:val="center"/>
          </w:tcPr>
          <w:p w14:paraId="6F8946EF">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100%</w:t>
            </w:r>
          </w:p>
        </w:tc>
        <w:tc>
          <w:tcPr>
            <w:tcW w:w="2126" w:type="dxa"/>
            <w:gridSpan w:val="4"/>
            <w:shd w:val="clear" w:color="auto" w:fill="auto"/>
            <w:noWrap/>
            <w:vAlign w:val="center"/>
          </w:tcPr>
          <w:p w14:paraId="034483B7">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林草覆盖率</w:t>
            </w:r>
          </w:p>
        </w:tc>
        <w:tc>
          <w:tcPr>
            <w:tcW w:w="1576" w:type="dxa"/>
            <w:shd w:val="clear" w:color="auto" w:fill="auto"/>
            <w:noWrap/>
            <w:vAlign w:val="center"/>
          </w:tcPr>
          <w:p w14:paraId="31C2E583">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20%</w:t>
            </w:r>
          </w:p>
        </w:tc>
      </w:tr>
      <w:tr w14:paraId="58F3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dxa"/>
            <w:vMerge w:val="restart"/>
            <w:shd w:val="clear" w:color="auto" w:fill="auto"/>
            <w:vAlign w:val="center"/>
          </w:tcPr>
          <w:p w14:paraId="5CA0BBC6">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水</w:t>
            </w:r>
            <w:r>
              <w:rPr>
                <w:color w:val="000000" w:themeColor="text1"/>
                <w14:textFill>
                  <w14:solidFill>
                    <w14:schemeClr w14:val="tx1"/>
                  </w14:solidFill>
                </w14:textFill>
              </w:rPr>
              <w:br w:type="textWrapping"/>
            </w:r>
            <w:r>
              <w:rPr>
                <w:color w:val="000000" w:themeColor="text1"/>
                <w14:textFill>
                  <w14:solidFill>
                    <w14:schemeClr w14:val="tx1"/>
                  </w14:solidFill>
                </w14:textFill>
              </w:rPr>
              <w:t>土</w:t>
            </w:r>
            <w:r>
              <w:rPr>
                <w:color w:val="000000" w:themeColor="text1"/>
                <w14:textFill>
                  <w14:solidFill>
                    <w14:schemeClr w14:val="tx1"/>
                  </w14:solidFill>
                </w14:textFill>
              </w:rPr>
              <w:br w:type="textWrapping"/>
            </w:r>
            <w:r>
              <w:rPr>
                <w:color w:val="000000" w:themeColor="text1"/>
                <w14:textFill>
                  <w14:solidFill>
                    <w14:schemeClr w14:val="tx1"/>
                  </w14:solidFill>
                </w14:textFill>
              </w:rPr>
              <w:t>流</w:t>
            </w:r>
            <w:r>
              <w:rPr>
                <w:color w:val="000000" w:themeColor="text1"/>
                <w14:textFill>
                  <w14:solidFill>
                    <w14:schemeClr w14:val="tx1"/>
                  </w14:solidFill>
                </w14:textFill>
              </w:rPr>
              <w:br w:type="textWrapping"/>
            </w:r>
            <w:r>
              <w:rPr>
                <w:color w:val="000000" w:themeColor="text1"/>
                <w14:textFill>
                  <w14:solidFill>
                    <w14:schemeClr w14:val="tx1"/>
                  </w14:solidFill>
                </w14:textFill>
              </w:rPr>
              <w:t>失</w:t>
            </w:r>
            <w:r>
              <w:rPr>
                <w:color w:val="000000" w:themeColor="text1"/>
                <w14:textFill>
                  <w14:solidFill>
                    <w14:schemeClr w14:val="tx1"/>
                  </w14:solidFill>
                </w14:textFill>
              </w:rPr>
              <w:br w:type="textWrapping"/>
            </w:r>
            <w:r>
              <w:rPr>
                <w:color w:val="000000" w:themeColor="text1"/>
                <w14:textFill>
                  <w14:solidFill>
                    <w14:schemeClr w14:val="tx1"/>
                  </w14:solidFill>
                </w14:textFill>
              </w:rPr>
              <w:t>防</w:t>
            </w:r>
            <w:r>
              <w:rPr>
                <w:color w:val="000000" w:themeColor="text1"/>
                <w14:textFill>
                  <w14:solidFill>
                    <w14:schemeClr w14:val="tx1"/>
                  </w14:solidFill>
                </w14:textFill>
              </w:rPr>
              <w:br w:type="textWrapping"/>
            </w:r>
            <w:r>
              <w:rPr>
                <w:color w:val="000000" w:themeColor="text1"/>
                <w14:textFill>
                  <w14:solidFill>
                    <w14:schemeClr w14:val="tx1"/>
                  </w14:solidFill>
                </w14:textFill>
              </w:rPr>
              <w:t>治</w:t>
            </w:r>
            <w:r>
              <w:rPr>
                <w:color w:val="000000" w:themeColor="text1"/>
                <w14:textFill>
                  <w14:solidFill>
                    <w14:schemeClr w14:val="tx1"/>
                  </w14:solidFill>
                </w14:textFill>
              </w:rPr>
              <w:br w:type="textWrapping"/>
            </w:r>
            <w:r>
              <w:rPr>
                <w:color w:val="000000" w:themeColor="text1"/>
                <w14:textFill>
                  <w14:solidFill>
                    <w14:schemeClr w14:val="tx1"/>
                  </w14:solidFill>
                </w14:textFill>
              </w:rPr>
              <w:t>措</w:t>
            </w:r>
            <w:r>
              <w:rPr>
                <w:color w:val="000000" w:themeColor="text1"/>
                <w14:textFill>
                  <w14:solidFill>
                    <w14:schemeClr w14:val="tx1"/>
                  </w14:solidFill>
                </w14:textFill>
              </w:rPr>
              <w:br w:type="textWrapping"/>
            </w:r>
            <w:r>
              <w:rPr>
                <w:color w:val="000000" w:themeColor="text1"/>
                <w14:textFill>
                  <w14:solidFill>
                    <w14:schemeClr w14:val="tx1"/>
                  </w14:solidFill>
                </w14:textFill>
              </w:rPr>
              <w:t>施</w:t>
            </w:r>
          </w:p>
        </w:tc>
        <w:tc>
          <w:tcPr>
            <w:tcW w:w="2127" w:type="dxa"/>
            <w:gridSpan w:val="3"/>
            <w:shd w:val="clear" w:color="auto" w:fill="auto"/>
            <w:noWrap/>
            <w:vAlign w:val="center"/>
          </w:tcPr>
          <w:p w14:paraId="4D18AA32">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防治分区</w:t>
            </w:r>
          </w:p>
        </w:tc>
        <w:tc>
          <w:tcPr>
            <w:tcW w:w="3167" w:type="dxa"/>
            <w:gridSpan w:val="4"/>
            <w:shd w:val="clear" w:color="auto" w:fill="auto"/>
            <w:noWrap/>
            <w:vAlign w:val="center"/>
          </w:tcPr>
          <w:p w14:paraId="25E463C4">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工程措施</w:t>
            </w:r>
          </w:p>
        </w:tc>
        <w:tc>
          <w:tcPr>
            <w:tcW w:w="1652" w:type="dxa"/>
            <w:gridSpan w:val="3"/>
            <w:shd w:val="clear" w:color="auto" w:fill="auto"/>
            <w:noWrap/>
            <w:vAlign w:val="center"/>
          </w:tcPr>
          <w:p w14:paraId="12CA62A2">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植物措施</w:t>
            </w:r>
          </w:p>
        </w:tc>
        <w:tc>
          <w:tcPr>
            <w:tcW w:w="1576" w:type="dxa"/>
            <w:shd w:val="clear" w:color="auto" w:fill="auto"/>
            <w:noWrap/>
            <w:vAlign w:val="center"/>
          </w:tcPr>
          <w:p w14:paraId="34861941">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临时措施</w:t>
            </w:r>
          </w:p>
        </w:tc>
      </w:tr>
      <w:tr w14:paraId="7B14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dxa"/>
            <w:vMerge w:val="continue"/>
            <w:vAlign w:val="center"/>
          </w:tcPr>
          <w:p w14:paraId="4B9763BA">
            <w:pPr>
              <w:pStyle w:val="33"/>
              <w:adjustRightInd w:val="0"/>
              <w:snapToGrid w:val="0"/>
              <w:rPr>
                <w:color w:val="000000" w:themeColor="text1"/>
                <w14:textFill>
                  <w14:solidFill>
                    <w14:schemeClr w14:val="tx1"/>
                  </w14:solidFill>
                </w14:textFill>
              </w:rPr>
            </w:pPr>
          </w:p>
        </w:tc>
        <w:tc>
          <w:tcPr>
            <w:tcW w:w="709" w:type="dxa"/>
            <w:vMerge w:val="restart"/>
            <w:shd w:val="clear" w:color="auto" w:fill="auto"/>
            <w:noWrap/>
            <w:vAlign w:val="center"/>
          </w:tcPr>
          <w:p w14:paraId="5157D420">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地块1（金山产业园北区）</w:t>
            </w:r>
          </w:p>
        </w:tc>
        <w:tc>
          <w:tcPr>
            <w:tcW w:w="1418" w:type="dxa"/>
            <w:gridSpan w:val="2"/>
            <w:shd w:val="clear" w:color="auto" w:fill="auto"/>
            <w:noWrap/>
            <w:vAlign w:val="center"/>
          </w:tcPr>
          <w:p w14:paraId="55774D8C">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公共管理与公共服务用地</w:t>
            </w:r>
          </w:p>
        </w:tc>
        <w:tc>
          <w:tcPr>
            <w:tcW w:w="3167" w:type="dxa"/>
            <w:gridSpan w:val="4"/>
            <w:shd w:val="clear" w:color="auto" w:fill="auto"/>
            <w:noWrap/>
            <w:vAlign w:val="center"/>
          </w:tcPr>
          <w:p w14:paraId="16C543F2">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表土剥离、土地整治（含表土回覆）、透水(植草)砖铺装、雨水排水设施、节水灌溉</w:t>
            </w:r>
          </w:p>
        </w:tc>
        <w:tc>
          <w:tcPr>
            <w:tcW w:w="1652" w:type="dxa"/>
            <w:gridSpan w:val="3"/>
            <w:shd w:val="clear" w:color="auto" w:fill="auto"/>
            <w:noWrap/>
            <w:vAlign w:val="center"/>
          </w:tcPr>
          <w:p w14:paraId="6D0BDF51">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造林种草</w:t>
            </w:r>
          </w:p>
        </w:tc>
        <w:tc>
          <w:tcPr>
            <w:tcW w:w="1576" w:type="dxa"/>
            <w:shd w:val="clear" w:color="auto" w:fill="auto"/>
            <w:noWrap/>
            <w:vAlign w:val="center"/>
          </w:tcPr>
          <w:p w14:paraId="693F254F">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临时苫盖</w:t>
            </w:r>
          </w:p>
        </w:tc>
      </w:tr>
      <w:tr w14:paraId="1996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dxa"/>
            <w:vMerge w:val="continue"/>
            <w:vAlign w:val="center"/>
          </w:tcPr>
          <w:p w14:paraId="628786CE">
            <w:pPr>
              <w:pStyle w:val="33"/>
              <w:adjustRightInd w:val="0"/>
              <w:snapToGrid w:val="0"/>
              <w:rPr>
                <w:color w:val="000000" w:themeColor="text1"/>
                <w14:textFill>
                  <w14:solidFill>
                    <w14:schemeClr w14:val="tx1"/>
                  </w14:solidFill>
                </w14:textFill>
              </w:rPr>
            </w:pPr>
          </w:p>
        </w:tc>
        <w:tc>
          <w:tcPr>
            <w:tcW w:w="709" w:type="dxa"/>
            <w:vMerge w:val="continue"/>
            <w:shd w:val="clear" w:color="auto" w:fill="auto"/>
            <w:noWrap/>
            <w:vAlign w:val="center"/>
          </w:tcPr>
          <w:p w14:paraId="068FBF94">
            <w:pPr>
              <w:pStyle w:val="33"/>
              <w:adjustRightInd w:val="0"/>
              <w:snapToGrid w:val="0"/>
              <w:rPr>
                <w:color w:val="000000" w:themeColor="text1"/>
                <w14:textFill>
                  <w14:solidFill>
                    <w14:schemeClr w14:val="tx1"/>
                  </w14:solidFill>
                </w14:textFill>
              </w:rPr>
            </w:pPr>
          </w:p>
        </w:tc>
        <w:tc>
          <w:tcPr>
            <w:tcW w:w="1418" w:type="dxa"/>
            <w:gridSpan w:val="2"/>
            <w:shd w:val="clear" w:color="auto" w:fill="auto"/>
            <w:noWrap/>
            <w:vAlign w:val="center"/>
          </w:tcPr>
          <w:p w14:paraId="39562D74">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商业服务业用地</w:t>
            </w:r>
          </w:p>
        </w:tc>
        <w:tc>
          <w:tcPr>
            <w:tcW w:w="3167" w:type="dxa"/>
            <w:gridSpan w:val="4"/>
            <w:shd w:val="clear" w:color="auto" w:fill="auto"/>
            <w:noWrap/>
            <w:vAlign w:val="center"/>
          </w:tcPr>
          <w:p w14:paraId="12559671">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表土剥离、土地整治（含表土回覆）、透水(植草)砖铺装、雨水排水设施、节水灌溉</w:t>
            </w:r>
          </w:p>
        </w:tc>
        <w:tc>
          <w:tcPr>
            <w:tcW w:w="1652" w:type="dxa"/>
            <w:gridSpan w:val="3"/>
            <w:shd w:val="clear" w:color="auto" w:fill="auto"/>
            <w:noWrap/>
            <w:vAlign w:val="center"/>
          </w:tcPr>
          <w:p w14:paraId="48F9106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造林种草</w:t>
            </w:r>
          </w:p>
        </w:tc>
        <w:tc>
          <w:tcPr>
            <w:tcW w:w="1576" w:type="dxa"/>
            <w:shd w:val="clear" w:color="auto" w:fill="auto"/>
            <w:noWrap/>
            <w:vAlign w:val="center"/>
          </w:tcPr>
          <w:p w14:paraId="05F2061C">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临时苫盖</w:t>
            </w:r>
          </w:p>
        </w:tc>
      </w:tr>
      <w:tr w14:paraId="51F8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dxa"/>
            <w:vMerge w:val="continue"/>
            <w:vAlign w:val="center"/>
          </w:tcPr>
          <w:p w14:paraId="155EA071">
            <w:pPr>
              <w:pStyle w:val="33"/>
              <w:adjustRightInd w:val="0"/>
              <w:snapToGrid w:val="0"/>
              <w:rPr>
                <w:color w:val="000000" w:themeColor="text1"/>
                <w14:textFill>
                  <w14:solidFill>
                    <w14:schemeClr w14:val="tx1"/>
                  </w14:solidFill>
                </w14:textFill>
              </w:rPr>
            </w:pPr>
          </w:p>
        </w:tc>
        <w:tc>
          <w:tcPr>
            <w:tcW w:w="709" w:type="dxa"/>
            <w:vMerge w:val="continue"/>
            <w:shd w:val="clear" w:color="auto" w:fill="auto"/>
            <w:noWrap/>
            <w:vAlign w:val="center"/>
          </w:tcPr>
          <w:p w14:paraId="7A3EDCB5">
            <w:pPr>
              <w:pStyle w:val="33"/>
              <w:adjustRightInd w:val="0"/>
              <w:snapToGrid w:val="0"/>
              <w:rPr>
                <w:color w:val="000000" w:themeColor="text1"/>
                <w14:textFill>
                  <w14:solidFill>
                    <w14:schemeClr w14:val="tx1"/>
                  </w14:solidFill>
                </w14:textFill>
              </w:rPr>
            </w:pPr>
          </w:p>
        </w:tc>
        <w:tc>
          <w:tcPr>
            <w:tcW w:w="1418" w:type="dxa"/>
            <w:gridSpan w:val="2"/>
            <w:shd w:val="clear" w:color="auto" w:fill="auto"/>
            <w:noWrap/>
            <w:vAlign w:val="center"/>
          </w:tcPr>
          <w:p w14:paraId="33662085">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工矿用地</w:t>
            </w:r>
          </w:p>
        </w:tc>
        <w:tc>
          <w:tcPr>
            <w:tcW w:w="3167" w:type="dxa"/>
            <w:gridSpan w:val="4"/>
            <w:shd w:val="clear" w:color="auto" w:fill="auto"/>
            <w:noWrap/>
            <w:vAlign w:val="center"/>
          </w:tcPr>
          <w:p w14:paraId="707EC58E">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表土剥离、土地整治（含表土回覆）、透水(植草)砖铺装、雨水排水设施、节水灌溉、蓄水池</w:t>
            </w:r>
            <w:r>
              <w:rPr>
                <w:rFonts w:hint="eastAsia"/>
                <w:color w:val="000000" w:themeColor="text1"/>
                <w14:textFill>
                  <w14:solidFill>
                    <w14:schemeClr w14:val="tx1"/>
                  </w14:solidFill>
                </w14:textFill>
              </w:rPr>
              <w:t>、边坡防护、碎石压盖</w:t>
            </w:r>
          </w:p>
        </w:tc>
        <w:tc>
          <w:tcPr>
            <w:tcW w:w="1652" w:type="dxa"/>
            <w:gridSpan w:val="3"/>
            <w:shd w:val="clear" w:color="auto" w:fill="auto"/>
            <w:noWrap/>
            <w:vAlign w:val="center"/>
          </w:tcPr>
          <w:p w14:paraId="3F9243C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造林种草</w:t>
            </w:r>
          </w:p>
        </w:tc>
        <w:tc>
          <w:tcPr>
            <w:tcW w:w="1576" w:type="dxa"/>
            <w:shd w:val="clear" w:color="auto" w:fill="auto"/>
            <w:noWrap/>
            <w:vAlign w:val="center"/>
          </w:tcPr>
          <w:p w14:paraId="0D7EB4DB">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临时拦挡、临时苫盖、临时撒草、临时排水</w:t>
            </w:r>
          </w:p>
        </w:tc>
      </w:tr>
      <w:tr w14:paraId="61DF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dxa"/>
            <w:vMerge w:val="continue"/>
            <w:vAlign w:val="center"/>
          </w:tcPr>
          <w:p w14:paraId="53E4966D">
            <w:pPr>
              <w:pStyle w:val="33"/>
              <w:adjustRightInd w:val="0"/>
              <w:snapToGrid w:val="0"/>
              <w:rPr>
                <w:color w:val="000000" w:themeColor="text1"/>
                <w14:textFill>
                  <w14:solidFill>
                    <w14:schemeClr w14:val="tx1"/>
                  </w14:solidFill>
                </w14:textFill>
              </w:rPr>
            </w:pPr>
          </w:p>
        </w:tc>
        <w:tc>
          <w:tcPr>
            <w:tcW w:w="709" w:type="dxa"/>
            <w:vMerge w:val="continue"/>
            <w:shd w:val="clear" w:color="auto" w:fill="auto"/>
            <w:noWrap/>
            <w:vAlign w:val="center"/>
          </w:tcPr>
          <w:p w14:paraId="15038867">
            <w:pPr>
              <w:pStyle w:val="33"/>
              <w:adjustRightInd w:val="0"/>
              <w:snapToGrid w:val="0"/>
              <w:rPr>
                <w:color w:val="000000" w:themeColor="text1"/>
                <w14:textFill>
                  <w14:solidFill>
                    <w14:schemeClr w14:val="tx1"/>
                  </w14:solidFill>
                </w14:textFill>
              </w:rPr>
            </w:pPr>
          </w:p>
        </w:tc>
        <w:tc>
          <w:tcPr>
            <w:tcW w:w="1418" w:type="dxa"/>
            <w:gridSpan w:val="2"/>
            <w:shd w:val="clear" w:color="auto" w:fill="auto"/>
            <w:noWrap/>
            <w:vAlign w:val="center"/>
          </w:tcPr>
          <w:p w14:paraId="2D6F1534">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交通运输用地</w:t>
            </w:r>
          </w:p>
        </w:tc>
        <w:tc>
          <w:tcPr>
            <w:tcW w:w="3167" w:type="dxa"/>
            <w:gridSpan w:val="4"/>
            <w:shd w:val="clear" w:color="auto" w:fill="auto"/>
            <w:noWrap/>
            <w:vAlign w:val="center"/>
          </w:tcPr>
          <w:p w14:paraId="26EEA51F">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表土剥离、土地整治（含表土回覆）、透水(植草)砖铺装、雨水排水设施、节水灌溉、蓄水池</w:t>
            </w:r>
            <w:r>
              <w:rPr>
                <w:rFonts w:hint="eastAsia"/>
                <w:color w:val="000000" w:themeColor="text1"/>
                <w14:textFill>
                  <w14:solidFill>
                    <w14:schemeClr w14:val="tx1"/>
                  </w14:solidFill>
                </w14:textFill>
              </w:rPr>
              <w:t>、碎石压盖</w:t>
            </w:r>
          </w:p>
        </w:tc>
        <w:tc>
          <w:tcPr>
            <w:tcW w:w="1652" w:type="dxa"/>
            <w:gridSpan w:val="3"/>
            <w:shd w:val="clear" w:color="auto" w:fill="auto"/>
            <w:noWrap/>
            <w:vAlign w:val="center"/>
          </w:tcPr>
          <w:p w14:paraId="1A23C69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造林种草</w:t>
            </w:r>
          </w:p>
        </w:tc>
        <w:tc>
          <w:tcPr>
            <w:tcW w:w="1576" w:type="dxa"/>
            <w:shd w:val="clear" w:color="auto" w:fill="auto"/>
            <w:noWrap/>
            <w:vAlign w:val="center"/>
          </w:tcPr>
          <w:p w14:paraId="04562B77">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临时拦挡、临时苫盖、临时撒草、临时排水</w:t>
            </w:r>
          </w:p>
        </w:tc>
      </w:tr>
      <w:tr w14:paraId="6746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dxa"/>
            <w:vMerge w:val="continue"/>
            <w:vAlign w:val="center"/>
          </w:tcPr>
          <w:p w14:paraId="00E66CE1">
            <w:pPr>
              <w:pStyle w:val="33"/>
              <w:adjustRightInd w:val="0"/>
              <w:snapToGrid w:val="0"/>
              <w:rPr>
                <w:color w:val="000000" w:themeColor="text1"/>
                <w14:textFill>
                  <w14:solidFill>
                    <w14:schemeClr w14:val="tx1"/>
                  </w14:solidFill>
                </w14:textFill>
              </w:rPr>
            </w:pPr>
          </w:p>
        </w:tc>
        <w:tc>
          <w:tcPr>
            <w:tcW w:w="709" w:type="dxa"/>
            <w:vMerge w:val="continue"/>
            <w:shd w:val="clear" w:color="auto" w:fill="auto"/>
            <w:noWrap/>
            <w:vAlign w:val="center"/>
          </w:tcPr>
          <w:p w14:paraId="17A4897E">
            <w:pPr>
              <w:pStyle w:val="33"/>
              <w:adjustRightInd w:val="0"/>
              <w:snapToGrid w:val="0"/>
              <w:rPr>
                <w:color w:val="000000" w:themeColor="text1"/>
                <w14:textFill>
                  <w14:solidFill>
                    <w14:schemeClr w14:val="tx1"/>
                  </w14:solidFill>
                </w14:textFill>
              </w:rPr>
            </w:pPr>
          </w:p>
        </w:tc>
        <w:tc>
          <w:tcPr>
            <w:tcW w:w="1418" w:type="dxa"/>
            <w:gridSpan w:val="2"/>
            <w:shd w:val="clear" w:color="auto" w:fill="auto"/>
            <w:noWrap/>
            <w:vAlign w:val="center"/>
          </w:tcPr>
          <w:p w14:paraId="3D94E4F2">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公用设施用地</w:t>
            </w:r>
          </w:p>
        </w:tc>
        <w:tc>
          <w:tcPr>
            <w:tcW w:w="3167" w:type="dxa"/>
            <w:gridSpan w:val="4"/>
            <w:shd w:val="clear" w:color="auto" w:fill="auto"/>
            <w:noWrap/>
            <w:vAlign w:val="center"/>
          </w:tcPr>
          <w:p w14:paraId="050BAFF9">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表土剥离、土地整治（含表土回覆）、透水(植草)砖铺装、雨水排水设施、节水灌溉、蓄水池</w:t>
            </w:r>
          </w:p>
        </w:tc>
        <w:tc>
          <w:tcPr>
            <w:tcW w:w="1652" w:type="dxa"/>
            <w:gridSpan w:val="3"/>
            <w:shd w:val="clear" w:color="auto" w:fill="auto"/>
            <w:noWrap/>
            <w:vAlign w:val="center"/>
          </w:tcPr>
          <w:p w14:paraId="2747CD2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造林种草</w:t>
            </w:r>
          </w:p>
        </w:tc>
        <w:tc>
          <w:tcPr>
            <w:tcW w:w="1576" w:type="dxa"/>
            <w:shd w:val="clear" w:color="auto" w:fill="auto"/>
            <w:noWrap/>
            <w:vAlign w:val="center"/>
          </w:tcPr>
          <w:p w14:paraId="44C09EFB">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临时苫盖</w:t>
            </w:r>
          </w:p>
        </w:tc>
      </w:tr>
      <w:tr w14:paraId="3F5CD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dxa"/>
            <w:vMerge w:val="continue"/>
            <w:vAlign w:val="center"/>
          </w:tcPr>
          <w:p w14:paraId="0B4DA176">
            <w:pPr>
              <w:pStyle w:val="33"/>
              <w:adjustRightInd w:val="0"/>
              <w:snapToGrid w:val="0"/>
              <w:rPr>
                <w:color w:val="000000" w:themeColor="text1"/>
                <w14:textFill>
                  <w14:solidFill>
                    <w14:schemeClr w14:val="tx1"/>
                  </w14:solidFill>
                </w14:textFill>
              </w:rPr>
            </w:pPr>
          </w:p>
        </w:tc>
        <w:tc>
          <w:tcPr>
            <w:tcW w:w="709" w:type="dxa"/>
            <w:vMerge w:val="continue"/>
            <w:shd w:val="clear" w:color="auto" w:fill="auto"/>
            <w:noWrap/>
            <w:vAlign w:val="center"/>
          </w:tcPr>
          <w:p w14:paraId="39681B20">
            <w:pPr>
              <w:pStyle w:val="33"/>
              <w:adjustRightInd w:val="0"/>
              <w:snapToGrid w:val="0"/>
              <w:rPr>
                <w:color w:val="000000" w:themeColor="text1"/>
                <w14:textFill>
                  <w14:solidFill>
                    <w14:schemeClr w14:val="tx1"/>
                  </w14:solidFill>
                </w14:textFill>
              </w:rPr>
            </w:pPr>
          </w:p>
        </w:tc>
        <w:tc>
          <w:tcPr>
            <w:tcW w:w="1418" w:type="dxa"/>
            <w:gridSpan w:val="2"/>
            <w:shd w:val="clear" w:color="auto" w:fill="auto"/>
            <w:noWrap/>
            <w:vAlign w:val="center"/>
          </w:tcPr>
          <w:p w14:paraId="68C3AF9D">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绿地与开敞空间用地</w:t>
            </w:r>
          </w:p>
        </w:tc>
        <w:tc>
          <w:tcPr>
            <w:tcW w:w="3167" w:type="dxa"/>
            <w:gridSpan w:val="4"/>
            <w:shd w:val="clear" w:color="auto" w:fill="auto"/>
            <w:noWrap/>
            <w:vAlign w:val="center"/>
          </w:tcPr>
          <w:p w14:paraId="4B02C2EE">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节水灌溉</w:t>
            </w:r>
          </w:p>
        </w:tc>
        <w:tc>
          <w:tcPr>
            <w:tcW w:w="1652" w:type="dxa"/>
            <w:gridSpan w:val="3"/>
            <w:shd w:val="clear" w:color="auto" w:fill="auto"/>
            <w:noWrap/>
            <w:vAlign w:val="center"/>
          </w:tcPr>
          <w:p w14:paraId="2397B98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造林种草</w:t>
            </w:r>
          </w:p>
        </w:tc>
        <w:tc>
          <w:tcPr>
            <w:tcW w:w="1576" w:type="dxa"/>
            <w:shd w:val="clear" w:color="auto" w:fill="auto"/>
            <w:noWrap/>
            <w:vAlign w:val="center"/>
          </w:tcPr>
          <w:p w14:paraId="19E3C941">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w:t>
            </w:r>
          </w:p>
        </w:tc>
      </w:tr>
      <w:tr w14:paraId="65D7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dxa"/>
            <w:vMerge w:val="continue"/>
            <w:shd w:val="clear" w:color="auto" w:fill="auto"/>
            <w:noWrap/>
            <w:vAlign w:val="center"/>
          </w:tcPr>
          <w:p w14:paraId="78BA4C05">
            <w:pPr>
              <w:pStyle w:val="33"/>
              <w:adjustRightInd w:val="0"/>
              <w:snapToGrid w:val="0"/>
              <w:rPr>
                <w:color w:val="000000" w:themeColor="text1"/>
                <w14:textFill>
                  <w14:solidFill>
                    <w14:schemeClr w14:val="tx1"/>
                  </w14:solidFill>
                </w14:textFill>
              </w:rPr>
            </w:pPr>
          </w:p>
        </w:tc>
        <w:tc>
          <w:tcPr>
            <w:tcW w:w="709" w:type="dxa"/>
            <w:vMerge w:val="restart"/>
            <w:shd w:val="clear" w:color="auto" w:fill="auto"/>
            <w:noWrap/>
            <w:vAlign w:val="center"/>
          </w:tcPr>
          <w:p w14:paraId="6CF65155">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地块2（下湿壕片区）</w:t>
            </w:r>
          </w:p>
        </w:tc>
        <w:tc>
          <w:tcPr>
            <w:tcW w:w="1418" w:type="dxa"/>
            <w:gridSpan w:val="2"/>
            <w:shd w:val="clear" w:color="auto" w:fill="auto"/>
            <w:noWrap/>
            <w:vAlign w:val="center"/>
          </w:tcPr>
          <w:p w14:paraId="10B85626">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工矿用地</w:t>
            </w:r>
          </w:p>
        </w:tc>
        <w:tc>
          <w:tcPr>
            <w:tcW w:w="3167" w:type="dxa"/>
            <w:gridSpan w:val="4"/>
            <w:shd w:val="clear" w:color="auto" w:fill="auto"/>
            <w:noWrap/>
            <w:vAlign w:val="center"/>
          </w:tcPr>
          <w:p w14:paraId="21949BB1">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表土剥离、土地整治（含表土回覆）、透水(植草)砖铺装、雨水排水设施、节水灌溉、蓄水池</w:t>
            </w:r>
          </w:p>
        </w:tc>
        <w:tc>
          <w:tcPr>
            <w:tcW w:w="1652" w:type="dxa"/>
            <w:gridSpan w:val="3"/>
            <w:shd w:val="clear" w:color="auto" w:fill="auto"/>
            <w:noWrap/>
            <w:vAlign w:val="center"/>
          </w:tcPr>
          <w:p w14:paraId="3150852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造林种草</w:t>
            </w:r>
          </w:p>
        </w:tc>
        <w:tc>
          <w:tcPr>
            <w:tcW w:w="1576" w:type="dxa"/>
            <w:shd w:val="clear" w:color="auto" w:fill="auto"/>
            <w:noWrap/>
            <w:vAlign w:val="center"/>
          </w:tcPr>
          <w:p w14:paraId="1CB0D542">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临时拦挡、临时苫盖、临时撒草、临时排水</w:t>
            </w:r>
          </w:p>
        </w:tc>
      </w:tr>
      <w:tr w14:paraId="7D13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dxa"/>
            <w:vMerge w:val="continue"/>
            <w:shd w:val="clear" w:color="auto" w:fill="auto"/>
            <w:noWrap/>
            <w:vAlign w:val="center"/>
          </w:tcPr>
          <w:p w14:paraId="71FB4947">
            <w:pPr>
              <w:pStyle w:val="33"/>
              <w:adjustRightInd w:val="0"/>
              <w:snapToGrid w:val="0"/>
              <w:rPr>
                <w:color w:val="000000" w:themeColor="text1"/>
                <w14:textFill>
                  <w14:solidFill>
                    <w14:schemeClr w14:val="tx1"/>
                  </w14:solidFill>
                </w14:textFill>
              </w:rPr>
            </w:pPr>
          </w:p>
        </w:tc>
        <w:tc>
          <w:tcPr>
            <w:tcW w:w="709" w:type="dxa"/>
            <w:vMerge w:val="continue"/>
            <w:shd w:val="clear" w:color="auto" w:fill="auto"/>
            <w:noWrap/>
            <w:vAlign w:val="center"/>
          </w:tcPr>
          <w:p w14:paraId="3722DCA5">
            <w:pPr>
              <w:pStyle w:val="33"/>
              <w:adjustRightInd w:val="0"/>
              <w:snapToGrid w:val="0"/>
              <w:rPr>
                <w:color w:val="000000" w:themeColor="text1"/>
                <w14:textFill>
                  <w14:solidFill>
                    <w14:schemeClr w14:val="tx1"/>
                  </w14:solidFill>
                </w14:textFill>
              </w:rPr>
            </w:pPr>
          </w:p>
        </w:tc>
        <w:tc>
          <w:tcPr>
            <w:tcW w:w="1418" w:type="dxa"/>
            <w:gridSpan w:val="2"/>
            <w:shd w:val="clear" w:color="auto" w:fill="auto"/>
            <w:noWrap/>
            <w:vAlign w:val="center"/>
          </w:tcPr>
          <w:p w14:paraId="74A3C7ED">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交通运输用地</w:t>
            </w:r>
          </w:p>
        </w:tc>
        <w:tc>
          <w:tcPr>
            <w:tcW w:w="3167" w:type="dxa"/>
            <w:gridSpan w:val="4"/>
            <w:shd w:val="clear" w:color="auto" w:fill="auto"/>
            <w:noWrap/>
            <w:vAlign w:val="center"/>
          </w:tcPr>
          <w:p w14:paraId="62CE066F">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表土剥离、土地整治（含表土回覆）、透水(植草)砖铺装、雨水排水设施、节水灌溉、蓄水池</w:t>
            </w:r>
          </w:p>
        </w:tc>
        <w:tc>
          <w:tcPr>
            <w:tcW w:w="1652" w:type="dxa"/>
            <w:gridSpan w:val="3"/>
            <w:shd w:val="clear" w:color="auto" w:fill="auto"/>
            <w:noWrap/>
            <w:vAlign w:val="center"/>
          </w:tcPr>
          <w:p w14:paraId="4A01905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造林种草</w:t>
            </w:r>
          </w:p>
        </w:tc>
        <w:tc>
          <w:tcPr>
            <w:tcW w:w="1576" w:type="dxa"/>
            <w:shd w:val="clear" w:color="auto" w:fill="auto"/>
            <w:noWrap/>
            <w:vAlign w:val="center"/>
          </w:tcPr>
          <w:p w14:paraId="5D5095E7">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临时苫盖</w:t>
            </w:r>
          </w:p>
        </w:tc>
      </w:tr>
      <w:tr w14:paraId="3A17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dxa"/>
            <w:vMerge w:val="continue"/>
            <w:shd w:val="clear" w:color="auto" w:fill="auto"/>
            <w:noWrap/>
            <w:vAlign w:val="center"/>
          </w:tcPr>
          <w:p w14:paraId="1F4F5B7F">
            <w:pPr>
              <w:pStyle w:val="33"/>
              <w:adjustRightInd w:val="0"/>
              <w:snapToGrid w:val="0"/>
              <w:rPr>
                <w:color w:val="000000" w:themeColor="text1"/>
                <w14:textFill>
                  <w14:solidFill>
                    <w14:schemeClr w14:val="tx1"/>
                  </w14:solidFill>
                </w14:textFill>
              </w:rPr>
            </w:pPr>
          </w:p>
        </w:tc>
        <w:tc>
          <w:tcPr>
            <w:tcW w:w="709" w:type="dxa"/>
            <w:vMerge w:val="continue"/>
            <w:shd w:val="clear" w:color="auto" w:fill="auto"/>
            <w:noWrap/>
            <w:vAlign w:val="center"/>
          </w:tcPr>
          <w:p w14:paraId="1D59E622">
            <w:pPr>
              <w:pStyle w:val="33"/>
              <w:adjustRightInd w:val="0"/>
              <w:snapToGrid w:val="0"/>
              <w:rPr>
                <w:color w:val="000000" w:themeColor="text1"/>
                <w14:textFill>
                  <w14:solidFill>
                    <w14:schemeClr w14:val="tx1"/>
                  </w14:solidFill>
                </w14:textFill>
              </w:rPr>
            </w:pPr>
          </w:p>
        </w:tc>
        <w:tc>
          <w:tcPr>
            <w:tcW w:w="1418" w:type="dxa"/>
            <w:gridSpan w:val="2"/>
            <w:shd w:val="clear" w:color="auto" w:fill="auto"/>
            <w:noWrap/>
            <w:vAlign w:val="center"/>
          </w:tcPr>
          <w:p w14:paraId="5EBF89BF">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绿地与开敞空间用地</w:t>
            </w:r>
          </w:p>
        </w:tc>
        <w:tc>
          <w:tcPr>
            <w:tcW w:w="3167" w:type="dxa"/>
            <w:gridSpan w:val="4"/>
            <w:shd w:val="clear" w:color="auto" w:fill="auto"/>
            <w:noWrap/>
            <w:vAlign w:val="center"/>
          </w:tcPr>
          <w:p w14:paraId="648F3972">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节水灌溉</w:t>
            </w:r>
          </w:p>
        </w:tc>
        <w:tc>
          <w:tcPr>
            <w:tcW w:w="1652" w:type="dxa"/>
            <w:gridSpan w:val="3"/>
            <w:shd w:val="clear" w:color="auto" w:fill="auto"/>
            <w:noWrap/>
            <w:vAlign w:val="center"/>
          </w:tcPr>
          <w:p w14:paraId="6F92F50A">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造林种草</w:t>
            </w:r>
          </w:p>
        </w:tc>
        <w:tc>
          <w:tcPr>
            <w:tcW w:w="1576" w:type="dxa"/>
            <w:shd w:val="clear" w:color="auto" w:fill="auto"/>
            <w:noWrap/>
            <w:vAlign w:val="center"/>
          </w:tcPr>
          <w:p w14:paraId="2F41F02F">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w:t>
            </w:r>
          </w:p>
        </w:tc>
      </w:tr>
      <w:tr w14:paraId="6714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3"/>
            <w:shd w:val="clear" w:color="auto" w:fill="auto"/>
            <w:noWrap/>
            <w:vAlign w:val="center"/>
          </w:tcPr>
          <w:p w14:paraId="4A275156">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开发区管理机构</w:t>
            </w:r>
          </w:p>
        </w:tc>
        <w:tc>
          <w:tcPr>
            <w:tcW w:w="2317" w:type="dxa"/>
            <w:gridSpan w:val="3"/>
            <w:shd w:val="clear" w:color="auto" w:fill="auto"/>
            <w:noWrap/>
            <w:vAlign w:val="center"/>
          </w:tcPr>
          <w:p w14:paraId="52FA836A">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内蒙古包头钢铁冶金开发区金山产业园管理办公室</w:t>
            </w:r>
          </w:p>
        </w:tc>
        <w:tc>
          <w:tcPr>
            <w:tcW w:w="2004" w:type="dxa"/>
            <w:gridSpan w:val="3"/>
            <w:shd w:val="clear" w:color="auto" w:fill="auto"/>
            <w:noWrap/>
            <w:vAlign w:val="center"/>
          </w:tcPr>
          <w:p w14:paraId="5B553A2A">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评估报告编制单位</w:t>
            </w:r>
          </w:p>
        </w:tc>
        <w:tc>
          <w:tcPr>
            <w:tcW w:w="2925" w:type="dxa"/>
            <w:gridSpan w:val="3"/>
            <w:shd w:val="clear" w:color="auto" w:fill="auto"/>
            <w:noWrap/>
            <w:vAlign w:val="center"/>
          </w:tcPr>
          <w:p w14:paraId="770CFB38">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中材地质工程勘查研究院有限公司</w:t>
            </w:r>
          </w:p>
        </w:tc>
      </w:tr>
      <w:tr w14:paraId="2725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3"/>
            <w:shd w:val="clear" w:color="auto" w:fill="auto"/>
            <w:noWrap/>
            <w:vAlign w:val="center"/>
          </w:tcPr>
          <w:p w14:paraId="1D114E78">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法定代表人</w:t>
            </w:r>
          </w:p>
        </w:tc>
        <w:tc>
          <w:tcPr>
            <w:tcW w:w="2317" w:type="dxa"/>
            <w:gridSpan w:val="3"/>
            <w:shd w:val="clear" w:color="auto" w:fill="auto"/>
            <w:vAlign w:val="center"/>
          </w:tcPr>
          <w:p w14:paraId="56C9F9DF">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吴卉</w:t>
            </w:r>
          </w:p>
        </w:tc>
        <w:tc>
          <w:tcPr>
            <w:tcW w:w="2004" w:type="dxa"/>
            <w:gridSpan w:val="3"/>
            <w:shd w:val="clear" w:color="auto" w:fill="auto"/>
            <w:noWrap/>
            <w:vAlign w:val="center"/>
          </w:tcPr>
          <w:p w14:paraId="34BFE2F0">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法定代表人</w:t>
            </w:r>
          </w:p>
        </w:tc>
        <w:tc>
          <w:tcPr>
            <w:tcW w:w="2925" w:type="dxa"/>
            <w:gridSpan w:val="3"/>
            <w:shd w:val="clear" w:color="auto" w:fill="auto"/>
            <w:noWrap/>
            <w:vAlign w:val="center"/>
          </w:tcPr>
          <w:p w14:paraId="39519E18">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郭党生</w:t>
            </w:r>
          </w:p>
        </w:tc>
      </w:tr>
      <w:tr w14:paraId="61C1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3"/>
            <w:shd w:val="clear" w:color="auto" w:fill="auto"/>
            <w:noWrap/>
            <w:vAlign w:val="center"/>
          </w:tcPr>
          <w:p w14:paraId="1DC18EA4">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地址</w:t>
            </w:r>
          </w:p>
        </w:tc>
        <w:tc>
          <w:tcPr>
            <w:tcW w:w="2317" w:type="dxa"/>
            <w:gridSpan w:val="3"/>
            <w:shd w:val="clear" w:color="auto" w:fill="auto"/>
            <w:noWrap/>
            <w:vAlign w:val="center"/>
          </w:tcPr>
          <w:p w14:paraId="0040F1E2">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包头市固阳县</w:t>
            </w:r>
          </w:p>
        </w:tc>
        <w:tc>
          <w:tcPr>
            <w:tcW w:w="2004" w:type="dxa"/>
            <w:gridSpan w:val="3"/>
            <w:shd w:val="clear" w:color="auto" w:fill="auto"/>
            <w:noWrap/>
            <w:vAlign w:val="center"/>
          </w:tcPr>
          <w:p w14:paraId="7F002E70">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地址</w:t>
            </w:r>
          </w:p>
        </w:tc>
        <w:tc>
          <w:tcPr>
            <w:tcW w:w="2925" w:type="dxa"/>
            <w:gridSpan w:val="3"/>
            <w:shd w:val="clear" w:color="auto" w:fill="auto"/>
            <w:noWrap/>
            <w:vAlign w:val="center"/>
          </w:tcPr>
          <w:p w14:paraId="54C4620C">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北京市朝阳区望京西路甲50号1号楼401/402</w:t>
            </w:r>
          </w:p>
        </w:tc>
      </w:tr>
      <w:tr w14:paraId="1B61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3"/>
            <w:shd w:val="clear" w:color="auto" w:fill="auto"/>
            <w:noWrap/>
            <w:vAlign w:val="center"/>
          </w:tcPr>
          <w:p w14:paraId="5C0C587F">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邮编</w:t>
            </w:r>
          </w:p>
        </w:tc>
        <w:tc>
          <w:tcPr>
            <w:tcW w:w="2317" w:type="dxa"/>
            <w:gridSpan w:val="3"/>
            <w:shd w:val="clear" w:color="auto" w:fill="auto"/>
            <w:noWrap/>
            <w:vAlign w:val="center"/>
          </w:tcPr>
          <w:p w14:paraId="2B35A04A">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14200</w:t>
            </w:r>
          </w:p>
        </w:tc>
        <w:tc>
          <w:tcPr>
            <w:tcW w:w="2004" w:type="dxa"/>
            <w:gridSpan w:val="3"/>
            <w:shd w:val="clear" w:color="auto" w:fill="auto"/>
            <w:noWrap/>
            <w:vAlign w:val="center"/>
          </w:tcPr>
          <w:p w14:paraId="0651F3BF">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邮编</w:t>
            </w:r>
          </w:p>
        </w:tc>
        <w:tc>
          <w:tcPr>
            <w:tcW w:w="2925" w:type="dxa"/>
            <w:gridSpan w:val="3"/>
            <w:shd w:val="clear" w:color="auto" w:fill="auto"/>
            <w:noWrap/>
            <w:vAlign w:val="center"/>
          </w:tcPr>
          <w:p w14:paraId="5D85B75F">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100102</w:t>
            </w:r>
          </w:p>
        </w:tc>
      </w:tr>
      <w:tr w14:paraId="47F0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3"/>
            <w:shd w:val="clear" w:color="auto" w:fill="auto"/>
            <w:noWrap/>
            <w:vAlign w:val="center"/>
          </w:tcPr>
          <w:p w14:paraId="66A2E882">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联系人及电话</w:t>
            </w:r>
          </w:p>
        </w:tc>
        <w:tc>
          <w:tcPr>
            <w:tcW w:w="2317" w:type="dxa"/>
            <w:gridSpan w:val="3"/>
            <w:shd w:val="clear" w:color="auto" w:fill="auto"/>
            <w:noWrap/>
            <w:vAlign w:val="center"/>
          </w:tcPr>
          <w:p w14:paraId="687BC56F">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刘巧霞/13947245470</w:t>
            </w:r>
          </w:p>
        </w:tc>
        <w:tc>
          <w:tcPr>
            <w:tcW w:w="2004" w:type="dxa"/>
            <w:gridSpan w:val="3"/>
            <w:shd w:val="clear" w:color="auto" w:fill="auto"/>
            <w:noWrap/>
            <w:vAlign w:val="center"/>
          </w:tcPr>
          <w:p w14:paraId="36007B42">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联系人及电话</w:t>
            </w:r>
          </w:p>
        </w:tc>
        <w:tc>
          <w:tcPr>
            <w:tcW w:w="2925" w:type="dxa"/>
            <w:gridSpan w:val="3"/>
            <w:shd w:val="clear" w:color="auto" w:fill="auto"/>
            <w:noWrap/>
            <w:vAlign w:val="center"/>
          </w:tcPr>
          <w:p w14:paraId="2889F8E2">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张振恒/13807681969</w:t>
            </w:r>
          </w:p>
        </w:tc>
      </w:tr>
      <w:tr w14:paraId="46F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38" w:type="dxa"/>
            <w:gridSpan w:val="3"/>
            <w:shd w:val="clear" w:color="auto" w:fill="auto"/>
            <w:noWrap/>
            <w:vAlign w:val="center"/>
          </w:tcPr>
          <w:p w14:paraId="4A2A73DF">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传真/电子信箱</w:t>
            </w:r>
          </w:p>
        </w:tc>
        <w:tc>
          <w:tcPr>
            <w:tcW w:w="2317" w:type="dxa"/>
            <w:gridSpan w:val="3"/>
            <w:shd w:val="clear" w:color="auto" w:fill="auto"/>
            <w:noWrap/>
            <w:vAlign w:val="center"/>
          </w:tcPr>
          <w:p w14:paraId="5B9E8E47">
            <w:pPr>
              <w:pStyle w:val="33"/>
              <w:adjustRightInd w:val="0"/>
              <w:snapToGrid w:val="0"/>
              <w:rPr>
                <w:color w:val="000000" w:themeColor="text1"/>
                <w14:textFill>
                  <w14:solidFill>
                    <w14:schemeClr w14:val="tx1"/>
                  </w14:solidFill>
                </w14:textFill>
              </w:rPr>
            </w:pPr>
            <w:r>
              <w:fldChar w:fldCharType="begin"/>
            </w:r>
            <w:r>
              <w:instrText xml:space="preserve"> HYPERLINK "mailto:2495952413@qq.com" </w:instrText>
            </w:r>
            <w:r>
              <w:fldChar w:fldCharType="separate"/>
            </w:r>
            <w:r>
              <w:rPr>
                <w:color w:val="000000" w:themeColor="text1"/>
                <w14:textFill>
                  <w14:solidFill>
                    <w14:schemeClr w14:val="tx1"/>
                  </w14:solidFill>
                </w14:textFill>
              </w:rPr>
              <w:t>2495952413@qq.com</w:t>
            </w:r>
            <w:r>
              <w:rPr>
                <w:color w:val="000000" w:themeColor="text1"/>
                <w14:textFill>
                  <w14:solidFill>
                    <w14:schemeClr w14:val="tx1"/>
                  </w14:solidFill>
                </w14:textFill>
              </w:rPr>
              <w:fldChar w:fldCharType="end"/>
            </w:r>
          </w:p>
        </w:tc>
        <w:tc>
          <w:tcPr>
            <w:tcW w:w="2004" w:type="dxa"/>
            <w:gridSpan w:val="3"/>
            <w:shd w:val="clear" w:color="auto" w:fill="auto"/>
            <w:noWrap/>
            <w:vAlign w:val="center"/>
          </w:tcPr>
          <w:p w14:paraId="12A9C4C7">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传真/电子信箱</w:t>
            </w:r>
          </w:p>
        </w:tc>
        <w:tc>
          <w:tcPr>
            <w:tcW w:w="2925" w:type="dxa"/>
            <w:gridSpan w:val="3"/>
            <w:shd w:val="clear" w:color="auto" w:fill="auto"/>
            <w:noWrap/>
            <w:vAlign w:val="center"/>
          </w:tcPr>
          <w:p w14:paraId="5BABF5C0">
            <w:pPr>
              <w:pStyle w:val="33"/>
              <w:adjustRightInd w:val="0"/>
              <w:snapToGrid w:val="0"/>
              <w:rPr>
                <w:color w:val="000000" w:themeColor="text1"/>
                <w14:textFill>
                  <w14:solidFill>
                    <w14:schemeClr w14:val="tx1"/>
                  </w14:solidFill>
                </w14:textFill>
              </w:rPr>
            </w:pPr>
            <w:r>
              <w:rPr>
                <w:color w:val="000000" w:themeColor="text1"/>
                <w14:textFill>
                  <w14:solidFill>
                    <w14:schemeClr w14:val="tx1"/>
                  </w14:solidFill>
                </w14:textFill>
              </w:rPr>
              <w:t>371892256</w:t>
            </w:r>
          </w:p>
        </w:tc>
      </w:tr>
    </w:tbl>
    <w:p w14:paraId="1836DE1C">
      <w:pPr>
        <w:widowControl w:val="0"/>
        <w:ind w:firstLine="480"/>
        <w:rPr>
          <w:rFonts w:cs="Times New Roman"/>
          <w:color w:val="000000" w:themeColor="text1"/>
          <w14:textFill>
            <w14:solidFill>
              <w14:schemeClr w14:val="tx1"/>
            </w14:solidFill>
          </w14:textFill>
        </w:rPr>
      </w:pPr>
    </w:p>
    <w:p w14:paraId="71F35F04">
      <w:pPr>
        <w:widowControl w:val="0"/>
        <w:ind w:firstLine="480"/>
        <w:rPr>
          <w:rFonts w:cs="Times New Roman"/>
          <w:color w:val="000000" w:themeColor="text1"/>
          <w14:textFill>
            <w14:solidFill>
              <w14:schemeClr w14:val="tx1"/>
            </w14:solidFill>
          </w14:textFill>
        </w:rPr>
      </w:pPr>
    </w:p>
    <w:p w14:paraId="5664CECC">
      <w:pPr>
        <w:widowControl w:val="0"/>
        <w:ind w:left="480" w:firstLine="480"/>
        <w:rPr>
          <w:rFonts w:cs="Times New Roman"/>
          <w:color w:val="000000" w:themeColor="text1"/>
          <w14:textFill>
            <w14:solidFill>
              <w14:schemeClr w14:val="tx1"/>
            </w14:solidFill>
          </w14:textFill>
        </w:rPr>
        <w:sectPr>
          <w:headerReference r:id="rId10" w:type="default"/>
          <w:footerReference r:id="rId11" w:type="default"/>
          <w:pgSz w:w="11906" w:h="16838"/>
          <w:pgMar w:top="1418" w:right="1418" w:bottom="1418" w:left="1418" w:header="850" w:footer="850" w:gutter="0"/>
          <w:pgNumType w:start="1"/>
          <w:cols w:space="720" w:num="1"/>
          <w:docGrid w:linePitch="326" w:charSpace="0"/>
        </w:sectPr>
      </w:pP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14:paraId="26EEE934">
      <w:pPr>
        <w:pStyle w:val="2"/>
        <w:rPr>
          <w:color w:val="000000" w:themeColor="text1"/>
          <w14:textFill>
            <w14:solidFill>
              <w14:schemeClr w14:val="tx1"/>
            </w14:solidFill>
          </w14:textFill>
        </w:rPr>
      </w:pPr>
      <w:bookmarkStart w:id="53" w:name="_Toc95019015"/>
      <w:bookmarkStart w:id="54" w:name="_Toc85444435"/>
      <w:bookmarkStart w:id="55" w:name="_Toc55920596"/>
      <w:bookmarkStart w:id="56" w:name="_Toc85444519"/>
      <w:bookmarkStart w:id="57" w:name="_Toc177468963"/>
      <w:bookmarkStart w:id="58" w:name="_Toc5480378"/>
      <w:bookmarkStart w:id="59" w:name="_Toc88821207"/>
      <w:bookmarkStart w:id="60" w:name="_Toc85444711"/>
      <w:bookmarkStart w:id="61" w:name="_Toc88833968"/>
      <w:bookmarkStart w:id="62" w:name="_Toc114546818"/>
      <w:bookmarkStart w:id="63" w:name="_Toc152535464"/>
      <w:r>
        <w:rPr>
          <w:color w:val="000000" w:themeColor="text1"/>
          <w14:textFill>
            <w14:solidFill>
              <w14:schemeClr w14:val="tx1"/>
            </w14:solidFill>
          </w14:textFill>
        </w:rPr>
        <w:t>区域概况</w:t>
      </w:r>
      <w:bookmarkEnd w:id="53"/>
      <w:bookmarkEnd w:id="54"/>
      <w:bookmarkEnd w:id="55"/>
      <w:bookmarkEnd w:id="56"/>
      <w:bookmarkEnd w:id="57"/>
      <w:bookmarkEnd w:id="58"/>
      <w:bookmarkEnd w:id="59"/>
      <w:bookmarkEnd w:id="60"/>
      <w:bookmarkEnd w:id="61"/>
      <w:bookmarkEnd w:id="62"/>
      <w:bookmarkEnd w:id="63"/>
    </w:p>
    <w:p w14:paraId="61471F5E">
      <w:pPr>
        <w:pStyle w:val="3"/>
        <w:spacing w:before="120" w:after="120"/>
      </w:pPr>
      <w:bookmarkStart w:id="64" w:name="_Toc85444520"/>
      <w:bookmarkStart w:id="65" w:name="_Toc85444436"/>
      <w:bookmarkStart w:id="66" w:name="_Toc88821208"/>
      <w:bookmarkStart w:id="67" w:name="_Toc85444712"/>
      <w:bookmarkStart w:id="68" w:name="_Toc152535465"/>
      <w:bookmarkStart w:id="69" w:name="_Toc88833969"/>
      <w:bookmarkStart w:id="70" w:name="_Toc55920597"/>
      <w:r>
        <w:t>园区基本情况</w:t>
      </w:r>
      <w:bookmarkEnd w:id="64"/>
      <w:bookmarkEnd w:id="65"/>
      <w:bookmarkEnd w:id="66"/>
      <w:bookmarkEnd w:id="67"/>
      <w:bookmarkEnd w:id="68"/>
      <w:bookmarkEnd w:id="69"/>
      <w:bookmarkEnd w:id="70"/>
    </w:p>
    <w:p w14:paraId="34C12565">
      <w:pPr>
        <w:pStyle w:val="4"/>
        <w:spacing w:before="120" w:after="120"/>
      </w:pPr>
      <w:bookmarkStart w:id="71" w:name="_Toc85444521"/>
      <w:r>
        <w:t>园区地理位置</w:t>
      </w:r>
      <w:bookmarkEnd w:id="71"/>
    </w:p>
    <w:p w14:paraId="4B5F99FE">
      <w:pPr>
        <w:widowControl w:val="0"/>
        <w:ind w:firstLine="480"/>
        <w:jc w:val="left"/>
        <w:rPr>
          <w:rFonts w:cs="Times New Roman"/>
          <w:color w:val="000000" w:themeColor="text1"/>
          <w14:textFill>
            <w14:solidFill>
              <w14:schemeClr w14:val="tx1"/>
            </w14:solidFill>
          </w14:textFill>
        </w:rPr>
      </w:pPr>
      <w:bookmarkStart w:id="72" w:name="_Hlk82101316"/>
      <w:r>
        <w:rPr>
          <w:rFonts w:cs="Times New Roman"/>
          <w:color w:val="000000" w:themeColor="text1"/>
          <w14:textFill>
            <w14:solidFill>
              <w14:schemeClr w14:val="tx1"/>
            </w14:solidFill>
          </w14:textFill>
        </w:rPr>
        <w:t>包头金山经济开发区位于内蒙古包头市固阳县，园区划分为两个片区，地块1（金山产业园北区）和地块2（下湿壕片区）</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地块1（金山产业园北区）位于</w:t>
      </w:r>
      <w:bookmarkStart w:id="73" w:name="_Hlk151540614"/>
      <w:r>
        <w:rPr>
          <w:rFonts w:cs="Times New Roman"/>
          <w:color w:val="000000" w:themeColor="text1"/>
          <w14:textFill>
            <w14:solidFill>
              <w14:schemeClr w14:val="tx1"/>
            </w14:solidFill>
          </w14:textFill>
        </w:rPr>
        <w:t>包头市固阳县</w:t>
      </w:r>
      <w:bookmarkEnd w:id="72"/>
      <w:r>
        <w:rPr>
          <w:rFonts w:cs="Times New Roman"/>
          <w:color w:val="000000" w:themeColor="text1"/>
          <w14:textFill>
            <w14:solidFill>
              <w14:schemeClr w14:val="tx1"/>
            </w14:solidFill>
          </w14:textFill>
        </w:rPr>
        <w:t>金山镇区</w:t>
      </w:r>
      <w:bookmarkEnd w:id="73"/>
      <w:r>
        <w:rPr>
          <w:rFonts w:cs="Times New Roman"/>
          <w:color w:val="000000" w:themeColor="text1"/>
          <w14:textFill>
            <w14:solidFill>
              <w14:schemeClr w14:val="tx1"/>
            </w14:solidFill>
          </w14:textFill>
        </w:rPr>
        <w:t>东南侧，地理坐标东经：110°2′28.04″-110°7′50.66″北纬：40°56′4.51″-40°58′56.19″，</w:t>
      </w:r>
      <w:r>
        <w:rPr>
          <w:rFonts w:hint="eastAsia" w:cs="Times New Roman"/>
          <w:color w:val="000000" w:themeColor="text1"/>
          <w14:textFill>
            <w14:solidFill>
              <w14:schemeClr w14:val="tx1"/>
            </w14:solidFill>
          </w14:textFill>
        </w:rPr>
        <w:t>东至明登转盘、南至胜利境、西至国道210北至固阳大道</w:t>
      </w:r>
      <w:r>
        <w:rPr>
          <w:rFonts w:cs="Times New Roman"/>
          <w:color w:val="000000" w:themeColor="text1"/>
          <w14:textFill>
            <w14:solidFill>
              <w14:schemeClr w14:val="tx1"/>
            </w14:solidFill>
          </w14:textFill>
        </w:rPr>
        <w:t>。园区东、西、北三面均有良好的对外交通出入口，分别为西侧的包白公路（S210）、北侧的包固一级公路、包百一级公路（S211）、S311省道以及东侧的固石公路；园区内部道路已建成25.98km，初步形成“三横五纵四出口”路网结构。</w:t>
      </w:r>
    </w:p>
    <w:p w14:paraId="68C4D8CB">
      <w:pPr>
        <w:widowControl w:val="0"/>
        <w:ind w:firstLine="48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地块2（下湿壕片区）位于地块1（金山产业园北区）东南角约18km，往北离下湿壕镇政府约1.5km，地理坐标东经：110°18′45.04″-110°20′43.65″，北纬：40°53′45.76″-40°54′10.55″</w:t>
      </w:r>
      <w:r>
        <w:rPr>
          <w:rFonts w:hint="eastAsia" w:cs="Times New Roman"/>
          <w:color w:val="000000" w:themeColor="text1"/>
          <w14:textFill>
            <w14:solidFill>
              <w14:schemeClr w14:val="tx1"/>
            </w14:solidFill>
          </w14:textFill>
        </w:rPr>
        <w:t>，</w:t>
      </w:r>
      <w:r>
        <w:rPr>
          <w:rFonts w:cs="Times New Roman"/>
          <w:bCs/>
          <w:color w:val="000000" w:themeColor="text1"/>
          <w:szCs w:val="21"/>
          <w14:textFill>
            <w14:solidFill>
              <w14:schemeClr w14:val="tx1"/>
            </w14:solidFill>
          </w14:textFill>
        </w:rPr>
        <w:t>东至学田会、南至白银合套、西至白银合套，北至省道311</w:t>
      </w:r>
      <w:r>
        <w:rPr>
          <w:rFonts w:hint="eastAsia" w:cs="Times New Roman"/>
          <w:bCs/>
          <w:color w:val="000000" w:themeColor="text1"/>
          <w:szCs w:val="21"/>
          <w14:textFill>
            <w14:solidFill>
              <w14:schemeClr w14:val="tx1"/>
            </w14:solidFill>
          </w14:textFill>
        </w:rPr>
        <w:t>。</w:t>
      </w:r>
      <w:r>
        <w:rPr>
          <w:rFonts w:cs="Times New Roman"/>
          <w:color w:val="000000" w:themeColor="text1"/>
          <w14:textFill>
            <w14:solidFill>
              <w14:schemeClr w14:val="tx1"/>
            </w14:solidFill>
          </w14:textFill>
        </w:rPr>
        <w:t>修建两条次干道向北延伸与S311相接。</w:t>
      </w:r>
    </w:p>
    <w:p w14:paraId="5A1C1B2F">
      <w:pPr>
        <w:widowControl w:val="0"/>
        <w:ind w:firstLine="48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园区地理位置见附图1。园区四至范围见表1-1。</w:t>
      </w:r>
    </w:p>
    <w:p w14:paraId="210B4D5F">
      <w:pPr>
        <w:pStyle w:val="35"/>
        <w:ind w:firstLine="241" w:firstLineChars="100"/>
        <w:jc w:val="left"/>
        <w:rPr>
          <w:rFonts w:eastAsia="仿宋_GB2312" w:cs="Times New Roman"/>
          <w:color w:val="000000" w:themeColor="text1"/>
          <w:spacing w:val="0"/>
          <w:lang w:eastAsia="zh-CN"/>
          <w14:textFill>
            <w14:solidFill>
              <w14:schemeClr w14:val="tx1"/>
            </w14:solidFill>
          </w14:textFill>
        </w:rPr>
      </w:pPr>
      <w:r>
        <w:rPr>
          <w:rFonts w:eastAsia="仿宋_GB2312" w:cs="Times New Roman"/>
          <w:color w:val="000000" w:themeColor="text1"/>
          <w:spacing w:val="0"/>
          <w:lang w:eastAsia="zh-CN"/>
          <w14:textFill>
            <w14:solidFill>
              <w14:schemeClr w14:val="tx1"/>
            </w14:solidFill>
          </w14:textFill>
        </w:rPr>
        <w:t>表1-1                                 四至范围及地理坐标表                                    单位：hm²</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8"/>
        <w:gridCol w:w="1183"/>
        <w:gridCol w:w="810"/>
        <w:gridCol w:w="1203"/>
        <w:gridCol w:w="1865"/>
        <w:gridCol w:w="2777"/>
      </w:tblGrid>
      <w:tr w14:paraId="1EEB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pct"/>
            <w:tcBorders>
              <w:bottom w:val="double" w:color="auto" w:sz="4" w:space="0"/>
            </w:tcBorders>
            <w:vAlign w:val="center"/>
          </w:tcPr>
          <w:p w14:paraId="470CD595">
            <w:pPr>
              <w:pStyle w:val="35"/>
              <w:rPr>
                <w:rFonts w:eastAsia="仿宋_GB2312" w:cs="Times New Roman"/>
                <w:b w:val="0"/>
                <w:bCs/>
                <w:color w:val="000000" w:themeColor="text1"/>
                <w:spacing w:val="0"/>
                <w:lang w:eastAsia="zh-CN"/>
                <w14:textFill>
                  <w14:solidFill>
                    <w14:schemeClr w14:val="tx1"/>
                  </w14:solidFill>
                </w14:textFill>
              </w:rPr>
            </w:pPr>
            <w:r>
              <w:rPr>
                <w:rFonts w:eastAsia="仿宋_GB2312" w:cs="Times New Roman"/>
                <w:b w:val="0"/>
                <w:bCs/>
                <w:color w:val="000000" w:themeColor="text1"/>
                <w:spacing w:val="0"/>
                <w:lang w:eastAsia="zh-CN"/>
                <w14:textFill>
                  <w14:solidFill>
                    <w14:schemeClr w14:val="tx1"/>
                  </w14:solidFill>
                </w14:textFill>
              </w:rPr>
              <w:t>开发区名称</w:t>
            </w:r>
          </w:p>
        </w:tc>
        <w:tc>
          <w:tcPr>
            <w:tcW w:w="637" w:type="pct"/>
            <w:tcBorders>
              <w:bottom w:val="double" w:color="auto" w:sz="4" w:space="0"/>
            </w:tcBorders>
            <w:vAlign w:val="center"/>
          </w:tcPr>
          <w:p w14:paraId="20E7271E">
            <w:pPr>
              <w:pStyle w:val="35"/>
              <w:rPr>
                <w:rFonts w:eastAsia="仿宋_GB2312" w:cs="Times New Roman"/>
                <w:b w:val="0"/>
                <w:bCs/>
                <w:color w:val="000000" w:themeColor="text1"/>
                <w:spacing w:val="0"/>
                <w:lang w:eastAsia="zh-CN"/>
                <w14:textFill>
                  <w14:solidFill>
                    <w14:schemeClr w14:val="tx1"/>
                  </w14:solidFill>
                </w14:textFill>
              </w:rPr>
            </w:pPr>
            <w:r>
              <w:rPr>
                <w:rFonts w:eastAsia="仿宋_GB2312" w:cs="Times New Roman"/>
                <w:b w:val="0"/>
                <w:bCs/>
                <w:color w:val="000000" w:themeColor="text1"/>
                <w:szCs w:val="21"/>
                <w14:textFill>
                  <w14:solidFill>
                    <w14:schemeClr w14:val="tx1"/>
                  </w14:solidFill>
                </w14:textFill>
              </w:rPr>
              <w:t>区块面积</w:t>
            </w:r>
          </w:p>
        </w:tc>
        <w:tc>
          <w:tcPr>
            <w:tcW w:w="436" w:type="pct"/>
            <w:tcBorders>
              <w:bottom w:val="double" w:color="auto" w:sz="4" w:space="0"/>
            </w:tcBorders>
            <w:vAlign w:val="center"/>
          </w:tcPr>
          <w:p w14:paraId="0A022A83">
            <w:pPr>
              <w:pStyle w:val="35"/>
              <w:rPr>
                <w:rFonts w:eastAsia="仿宋_GB2312" w:cs="Times New Roman"/>
                <w:b w:val="0"/>
                <w:bCs/>
                <w:color w:val="000000" w:themeColor="text1"/>
                <w:spacing w:val="0"/>
                <w:lang w:eastAsia="zh-CN"/>
                <w14:textFill>
                  <w14:solidFill>
                    <w14:schemeClr w14:val="tx1"/>
                  </w14:solidFill>
                </w14:textFill>
              </w:rPr>
            </w:pPr>
            <w:r>
              <w:rPr>
                <w:rFonts w:eastAsia="仿宋_GB2312" w:cs="Times New Roman"/>
                <w:b w:val="0"/>
                <w:bCs/>
                <w:color w:val="000000" w:themeColor="text1"/>
                <w:spacing w:val="0"/>
                <w:lang w:eastAsia="zh-CN"/>
                <w14:textFill>
                  <w14:solidFill>
                    <w14:schemeClr w14:val="tx1"/>
                  </w14:solidFill>
                </w14:textFill>
              </w:rPr>
              <w:t>地块</w:t>
            </w:r>
          </w:p>
        </w:tc>
        <w:tc>
          <w:tcPr>
            <w:tcW w:w="648" w:type="pct"/>
            <w:tcBorders>
              <w:bottom w:val="double" w:color="auto" w:sz="4" w:space="0"/>
            </w:tcBorders>
            <w:vAlign w:val="center"/>
          </w:tcPr>
          <w:p w14:paraId="5F8D5B3F">
            <w:pPr>
              <w:pStyle w:val="35"/>
              <w:rPr>
                <w:rFonts w:eastAsia="仿宋_GB2312" w:cs="Times New Roman"/>
                <w:b w:val="0"/>
                <w:bCs/>
                <w:color w:val="000000" w:themeColor="text1"/>
                <w:spacing w:val="0"/>
                <w:lang w:eastAsia="zh-CN"/>
                <w14:textFill>
                  <w14:solidFill>
                    <w14:schemeClr w14:val="tx1"/>
                  </w14:solidFill>
                </w14:textFill>
              </w:rPr>
            </w:pPr>
            <w:r>
              <w:rPr>
                <w:rFonts w:eastAsia="仿宋_GB2312" w:cs="Times New Roman"/>
                <w:b w:val="0"/>
                <w:bCs/>
                <w:color w:val="000000" w:themeColor="text1"/>
                <w:szCs w:val="21"/>
                <w14:textFill>
                  <w14:solidFill>
                    <w14:schemeClr w14:val="tx1"/>
                  </w14:solidFill>
                </w14:textFill>
              </w:rPr>
              <w:t>地块面积</w:t>
            </w:r>
          </w:p>
        </w:tc>
        <w:tc>
          <w:tcPr>
            <w:tcW w:w="1004" w:type="pct"/>
            <w:tcBorders>
              <w:bottom w:val="double" w:color="auto" w:sz="4" w:space="0"/>
            </w:tcBorders>
            <w:vAlign w:val="center"/>
          </w:tcPr>
          <w:p w14:paraId="26DB499D">
            <w:pPr>
              <w:pStyle w:val="35"/>
              <w:rPr>
                <w:rFonts w:eastAsia="仿宋_GB2312" w:cs="Times New Roman"/>
                <w:b w:val="0"/>
                <w:bCs/>
                <w:color w:val="000000" w:themeColor="text1"/>
                <w:spacing w:val="0"/>
                <w:lang w:eastAsia="zh-CN"/>
                <w14:textFill>
                  <w14:solidFill>
                    <w14:schemeClr w14:val="tx1"/>
                  </w14:solidFill>
                </w14:textFill>
              </w:rPr>
            </w:pPr>
            <w:r>
              <w:rPr>
                <w:rFonts w:eastAsia="仿宋_GB2312" w:cs="Times New Roman"/>
                <w:b w:val="0"/>
                <w:bCs/>
                <w:color w:val="000000" w:themeColor="text1"/>
                <w:spacing w:val="0"/>
                <w:lang w:eastAsia="zh-CN"/>
                <w14:textFill>
                  <w14:solidFill>
                    <w14:schemeClr w14:val="tx1"/>
                  </w14:solidFill>
                </w14:textFill>
              </w:rPr>
              <w:t>四至范围</w:t>
            </w:r>
          </w:p>
        </w:tc>
        <w:tc>
          <w:tcPr>
            <w:tcW w:w="1495" w:type="pct"/>
            <w:tcBorders>
              <w:bottom w:val="double" w:color="auto" w:sz="4" w:space="0"/>
            </w:tcBorders>
            <w:vAlign w:val="center"/>
          </w:tcPr>
          <w:p w14:paraId="0DE6962C">
            <w:pPr>
              <w:pStyle w:val="35"/>
              <w:rPr>
                <w:rFonts w:eastAsia="仿宋_GB2312" w:cs="Times New Roman"/>
                <w:b w:val="0"/>
                <w:bCs/>
                <w:color w:val="000000" w:themeColor="text1"/>
                <w:spacing w:val="0"/>
                <w:lang w:eastAsia="zh-CN"/>
                <w14:textFill>
                  <w14:solidFill>
                    <w14:schemeClr w14:val="tx1"/>
                  </w14:solidFill>
                </w14:textFill>
              </w:rPr>
            </w:pPr>
            <w:r>
              <w:rPr>
                <w:rFonts w:eastAsia="仿宋_GB2312" w:cs="Times New Roman"/>
                <w:b w:val="0"/>
                <w:bCs/>
                <w:color w:val="000000" w:themeColor="text1"/>
                <w:spacing w:val="0"/>
                <w:lang w:eastAsia="zh-CN"/>
                <w14:textFill>
                  <w14:solidFill>
                    <w14:schemeClr w14:val="tx1"/>
                  </w14:solidFill>
                </w14:textFill>
              </w:rPr>
              <w:t>地理坐标</w:t>
            </w:r>
          </w:p>
        </w:tc>
      </w:tr>
      <w:tr w14:paraId="4DD7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pct"/>
            <w:vMerge w:val="restart"/>
            <w:tcBorders>
              <w:top w:val="double" w:color="auto" w:sz="4" w:space="0"/>
            </w:tcBorders>
            <w:vAlign w:val="center"/>
          </w:tcPr>
          <w:p w14:paraId="608996C4">
            <w:pPr>
              <w:pStyle w:val="35"/>
              <w:rPr>
                <w:rFonts w:eastAsia="仿宋_GB2312" w:cs="Times New Roman"/>
                <w:b w:val="0"/>
                <w:bCs/>
                <w:color w:val="000000" w:themeColor="text1"/>
                <w:spacing w:val="0"/>
                <w:lang w:eastAsia="zh-CN"/>
                <w14:textFill>
                  <w14:solidFill>
                    <w14:schemeClr w14:val="tx1"/>
                  </w14:solidFill>
                </w14:textFill>
              </w:rPr>
            </w:pPr>
            <w:r>
              <w:rPr>
                <w:rFonts w:eastAsia="仿宋_GB2312" w:cs="Times New Roman"/>
                <w:b w:val="0"/>
                <w:bCs/>
                <w:color w:val="000000" w:themeColor="text1"/>
                <w:spacing w:val="0"/>
                <w:lang w:eastAsia="zh-CN"/>
                <w14:textFill>
                  <w14:solidFill>
                    <w14:schemeClr w14:val="tx1"/>
                  </w14:solidFill>
                </w14:textFill>
              </w:rPr>
              <w:t>包头金山经济开发区</w:t>
            </w:r>
          </w:p>
        </w:tc>
        <w:tc>
          <w:tcPr>
            <w:tcW w:w="637" w:type="pct"/>
            <w:vMerge w:val="restart"/>
            <w:tcBorders>
              <w:top w:val="double" w:color="auto" w:sz="4" w:space="0"/>
            </w:tcBorders>
            <w:vAlign w:val="center"/>
          </w:tcPr>
          <w:p w14:paraId="7745119A">
            <w:pPr>
              <w:pStyle w:val="35"/>
              <w:rPr>
                <w:rFonts w:eastAsia="仿宋_GB2312" w:cs="Times New Roman"/>
                <w:b w:val="0"/>
                <w:bCs/>
                <w:color w:val="000000" w:themeColor="text1"/>
                <w:spacing w:val="0"/>
                <w:lang w:eastAsia="zh-CN"/>
                <w14:textFill>
                  <w14:solidFill>
                    <w14:schemeClr w14:val="tx1"/>
                  </w14:solidFill>
                </w14:textFill>
              </w:rPr>
            </w:pPr>
            <w:r>
              <w:rPr>
                <w:rFonts w:eastAsia="仿宋_GB2312" w:cs="Times New Roman"/>
                <w:b w:val="0"/>
                <w:bCs/>
                <w:color w:val="000000" w:themeColor="text1"/>
                <w:szCs w:val="21"/>
                <w14:textFill>
                  <w14:solidFill>
                    <w14:schemeClr w14:val="tx1"/>
                  </w14:solidFill>
                </w14:textFill>
              </w:rPr>
              <w:t>1267.72</w:t>
            </w:r>
          </w:p>
        </w:tc>
        <w:tc>
          <w:tcPr>
            <w:tcW w:w="436" w:type="pct"/>
            <w:tcBorders>
              <w:top w:val="double" w:color="auto" w:sz="4" w:space="0"/>
            </w:tcBorders>
            <w:vAlign w:val="center"/>
          </w:tcPr>
          <w:p w14:paraId="408B00E5">
            <w:pPr>
              <w:pStyle w:val="35"/>
              <w:rPr>
                <w:rFonts w:eastAsia="仿宋_GB2312" w:cs="Times New Roman"/>
                <w:b w:val="0"/>
                <w:bCs/>
                <w:color w:val="000000" w:themeColor="text1"/>
                <w:spacing w:val="0"/>
                <w:lang w:eastAsia="zh-CN"/>
                <w14:textFill>
                  <w14:solidFill>
                    <w14:schemeClr w14:val="tx1"/>
                  </w14:solidFill>
                </w14:textFill>
              </w:rPr>
            </w:pPr>
            <w:r>
              <w:rPr>
                <w:rFonts w:eastAsia="仿宋_GB2312" w:cs="Times New Roman"/>
                <w:b w:val="0"/>
                <w:bCs/>
                <w:color w:val="000000" w:themeColor="text1"/>
                <w:spacing w:val="0"/>
                <w:lang w:eastAsia="zh-CN"/>
                <w14:textFill>
                  <w14:solidFill>
                    <w14:schemeClr w14:val="tx1"/>
                  </w14:solidFill>
                </w14:textFill>
              </w:rPr>
              <w:t>地块1</w:t>
            </w:r>
          </w:p>
        </w:tc>
        <w:tc>
          <w:tcPr>
            <w:tcW w:w="648" w:type="pct"/>
            <w:tcBorders>
              <w:top w:val="double" w:color="auto" w:sz="4" w:space="0"/>
            </w:tcBorders>
            <w:vAlign w:val="center"/>
          </w:tcPr>
          <w:p w14:paraId="176A25B9">
            <w:pPr>
              <w:pStyle w:val="35"/>
              <w:rPr>
                <w:rFonts w:eastAsia="仿宋_GB2312" w:cs="Times New Roman"/>
                <w:b w:val="0"/>
                <w:bCs/>
                <w:color w:val="000000" w:themeColor="text1"/>
                <w:spacing w:val="0"/>
                <w:lang w:eastAsia="zh-CN"/>
                <w14:textFill>
                  <w14:solidFill>
                    <w14:schemeClr w14:val="tx1"/>
                  </w14:solidFill>
                </w14:textFill>
              </w:rPr>
            </w:pPr>
            <w:r>
              <w:rPr>
                <w:rFonts w:eastAsia="仿宋_GB2312" w:cs="Times New Roman"/>
                <w:b w:val="0"/>
                <w:bCs/>
                <w:color w:val="000000" w:themeColor="text1"/>
                <w:szCs w:val="21"/>
                <w14:textFill>
                  <w14:solidFill>
                    <w14:schemeClr w14:val="tx1"/>
                  </w14:solidFill>
                </w14:textFill>
              </w:rPr>
              <w:t>1114.62</w:t>
            </w:r>
          </w:p>
        </w:tc>
        <w:tc>
          <w:tcPr>
            <w:tcW w:w="1004" w:type="pct"/>
            <w:tcBorders>
              <w:top w:val="double" w:color="auto" w:sz="4" w:space="0"/>
            </w:tcBorders>
            <w:vAlign w:val="center"/>
          </w:tcPr>
          <w:p w14:paraId="1BB9D3E9">
            <w:pPr>
              <w:pStyle w:val="35"/>
              <w:rPr>
                <w:rFonts w:eastAsia="仿宋_GB2312" w:cs="Times New Roman"/>
                <w:b w:val="0"/>
                <w:bCs/>
                <w:color w:val="000000" w:themeColor="text1"/>
                <w:spacing w:val="0"/>
                <w:lang w:eastAsia="zh-CN"/>
                <w14:textFill>
                  <w14:solidFill>
                    <w14:schemeClr w14:val="tx1"/>
                  </w14:solidFill>
                </w14:textFill>
              </w:rPr>
            </w:pPr>
            <w:r>
              <w:rPr>
                <w:rFonts w:eastAsia="仿宋_GB2312" w:cs="Times New Roman"/>
                <w:b w:val="0"/>
                <w:bCs/>
                <w:color w:val="000000" w:themeColor="text1"/>
                <w:szCs w:val="21"/>
                <w:lang w:eastAsia="zh-CN"/>
                <w14:textFill>
                  <w14:solidFill>
                    <w14:schemeClr w14:val="tx1"/>
                  </w14:solidFill>
                </w14:textFill>
              </w:rPr>
              <w:t>东至明登转盘、南至胜利境、西至国道210北至固阳大道</w:t>
            </w:r>
          </w:p>
        </w:tc>
        <w:tc>
          <w:tcPr>
            <w:tcW w:w="1495" w:type="pct"/>
            <w:tcBorders>
              <w:top w:val="double" w:color="auto" w:sz="4" w:space="0"/>
            </w:tcBorders>
            <w:vAlign w:val="center"/>
          </w:tcPr>
          <w:p w14:paraId="35ADCEF0">
            <w:pPr>
              <w:pStyle w:val="35"/>
              <w:rPr>
                <w:rFonts w:eastAsia="仿宋_GB2312" w:cs="Times New Roman"/>
                <w:b w:val="0"/>
                <w:bCs/>
                <w:color w:val="000000" w:themeColor="text1"/>
                <w:spacing w:val="0"/>
                <w:lang w:eastAsia="zh-CN"/>
                <w14:textFill>
                  <w14:solidFill>
                    <w14:schemeClr w14:val="tx1"/>
                  </w14:solidFill>
                </w14:textFill>
              </w:rPr>
            </w:pPr>
            <w:bookmarkStart w:id="74" w:name="_Hlk152043876"/>
            <w:r>
              <w:rPr>
                <w:rFonts w:eastAsia="仿宋_GB2312" w:cs="Times New Roman"/>
                <w:b w:val="0"/>
                <w:bCs/>
                <w:color w:val="000000" w:themeColor="text1"/>
                <w:spacing w:val="0"/>
                <w:lang w:eastAsia="zh-CN"/>
                <w14:textFill>
                  <w14:solidFill>
                    <w14:schemeClr w14:val="tx1"/>
                  </w14:solidFill>
                </w14:textFill>
              </w:rPr>
              <w:t>东经：110°2′28.04″-110°7′50.66″北纬：40°56′4.51″-40°58′56.19″</w:t>
            </w:r>
            <w:bookmarkEnd w:id="74"/>
          </w:p>
        </w:tc>
      </w:tr>
      <w:tr w14:paraId="67D1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pct"/>
            <w:vMerge w:val="continue"/>
            <w:vAlign w:val="center"/>
          </w:tcPr>
          <w:p w14:paraId="33F6D334">
            <w:pPr>
              <w:pStyle w:val="35"/>
              <w:rPr>
                <w:rFonts w:eastAsia="仿宋_GB2312" w:cs="Times New Roman"/>
                <w:b w:val="0"/>
                <w:bCs/>
                <w:color w:val="000000" w:themeColor="text1"/>
                <w:spacing w:val="0"/>
                <w:lang w:eastAsia="zh-CN"/>
                <w14:textFill>
                  <w14:solidFill>
                    <w14:schemeClr w14:val="tx1"/>
                  </w14:solidFill>
                </w14:textFill>
              </w:rPr>
            </w:pPr>
          </w:p>
        </w:tc>
        <w:tc>
          <w:tcPr>
            <w:tcW w:w="637" w:type="pct"/>
            <w:vMerge w:val="continue"/>
            <w:vAlign w:val="center"/>
          </w:tcPr>
          <w:p w14:paraId="4819B535">
            <w:pPr>
              <w:pStyle w:val="35"/>
              <w:rPr>
                <w:rFonts w:eastAsia="仿宋_GB2312" w:cs="Times New Roman"/>
                <w:b w:val="0"/>
                <w:bCs/>
                <w:color w:val="000000" w:themeColor="text1"/>
                <w:spacing w:val="0"/>
                <w:lang w:eastAsia="zh-CN"/>
                <w14:textFill>
                  <w14:solidFill>
                    <w14:schemeClr w14:val="tx1"/>
                  </w14:solidFill>
                </w14:textFill>
              </w:rPr>
            </w:pPr>
          </w:p>
        </w:tc>
        <w:tc>
          <w:tcPr>
            <w:tcW w:w="436" w:type="pct"/>
            <w:vAlign w:val="center"/>
          </w:tcPr>
          <w:p w14:paraId="177E0642">
            <w:pPr>
              <w:pStyle w:val="35"/>
              <w:rPr>
                <w:rFonts w:eastAsia="仿宋_GB2312" w:cs="Times New Roman"/>
                <w:b w:val="0"/>
                <w:bCs/>
                <w:color w:val="000000" w:themeColor="text1"/>
                <w:spacing w:val="0"/>
                <w:lang w:eastAsia="zh-CN"/>
                <w14:textFill>
                  <w14:solidFill>
                    <w14:schemeClr w14:val="tx1"/>
                  </w14:solidFill>
                </w14:textFill>
              </w:rPr>
            </w:pPr>
            <w:r>
              <w:rPr>
                <w:rFonts w:eastAsia="仿宋_GB2312" w:cs="Times New Roman"/>
                <w:b w:val="0"/>
                <w:bCs/>
                <w:color w:val="000000" w:themeColor="text1"/>
                <w:spacing w:val="0"/>
                <w:lang w:eastAsia="zh-CN"/>
                <w14:textFill>
                  <w14:solidFill>
                    <w14:schemeClr w14:val="tx1"/>
                  </w14:solidFill>
                </w14:textFill>
              </w:rPr>
              <w:t>地块2</w:t>
            </w:r>
          </w:p>
        </w:tc>
        <w:tc>
          <w:tcPr>
            <w:tcW w:w="648" w:type="pct"/>
            <w:vAlign w:val="center"/>
          </w:tcPr>
          <w:p w14:paraId="197B234E">
            <w:pPr>
              <w:pStyle w:val="35"/>
              <w:rPr>
                <w:rFonts w:eastAsia="仿宋_GB2312" w:cs="Times New Roman"/>
                <w:b w:val="0"/>
                <w:bCs/>
                <w:color w:val="000000" w:themeColor="text1"/>
                <w:spacing w:val="0"/>
                <w:lang w:eastAsia="zh-CN"/>
                <w14:textFill>
                  <w14:solidFill>
                    <w14:schemeClr w14:val="tx1"/>
                  </w14:solidFill>
                </w14:textFill>
              </w:rPr>
            </w:pPr>
            <w:r>
              <w:rPr>
                <w:rFonts w:eastAsia="仿宋_GB2312" w:cs="Times New Roman"/>
                <w:b w:val="0"/>
                <w:bCs/>
                <w:color w:val="000000" w:themeColor="text1"/>
                <w:szCs w:val="21"/>
                <w14:textFill>
                  <w14:solidFill>
                    <w14:schemeClr w14:val="tx1"/>
                  </w14:solidFill>
                </w14:textFill>
              </w:rPr>
              <w:t>153.10</w:t>
            </w:r>
          </w:p>
        </w:tc>
        <w:tc>
          <w:tcPr>
            <w:tcW w:w="1004" w:type="pct"/>
            <w:vAlign w:val="center"/>
          </w:tcPr>
          <w:p w14:paraId="71A3B40C">
            <w:pPr>
              <w:pStyle w:val="35"/>
              <w:rPr>
                <w:rFonts w:eastAsia="仿宋_GB2312" w:cs="Times New Roman"/>
                <w:b w:val="0"/>
                <w:bCs/>
                <w:color w:val="000000" w:themeColor="text1"/>
                <w:spacing w:val="0"/>
                <w:lang w:eastAsia="zh-CN"/>
                <w14:textFill>
                  <w14:solidFill>
                    <w14:schemeClr w14:val="tx1"/>
                  </w14:solidFill>
                </w14:textFill>
              </w:rPr>
            </w:pPr>
            <w:r>
              <w:rPr>
                <w:rFonts w:eastAsia="仿宋_GB2312" w:cs="Times New Roman"/>
                <w:b w:val="0"/>
                <w:bCs/>
                <w:color w:val="000000" w:themeColor="text1"/>
                <w:szCs w:val="21"/>
                <w:lang w:eastAsia="zh-CN"/>
                <w14:textFill>
                  <w14:solidFill>
                    <w14:schemeClr w14:val="tx1"/>
                  </w14:solidFill>
                </w14:textFill>
              </w:rPr>
              <w:t>东至学田会、南至白银合套、西至白银合套，北至省道311</w:t>
            </w:r>
          </w:p>
        </w:tc>
        <w:tc>
          <w:tcPr>
            <w:tcW w:w="1495" w:type="pct"/>
            <w:vAlign w:val="center"/>
          </w:tcPr>
          <w:p w14:paraId="010CDECF">
            <w:pPr>
              <w:spacing w:line="240" w:lineRule="auto"/>
              <w:ind w:firstLine="0" w:firstLineChars="0"/>
              <w:jc w:val="center"/>
              <w:rPr>
                <w:rFonts w:cs="Times New Roman"/>
                <w:bCs/>
                <w:color w:val="000000" w:themeColor="text1"/>
                <w:sz w:val="22"/>
                <w:szCs w:val="22"/>
                <w14:textFill>
                  <w14:solidFill>
                    <w14:schemeClr w14:val="tx1"/>
                  </w14:solidFill>
                </w14:textFill>
              </w:rPr>
            </w:pPr>
            <w:r>
              <w:rPr>
                <w:rFonts w:cs="Times New Roman"/>
                <w:bCs/>
                <w:color w:val="000000" w:themeColor="text1"/>
                <w:sz w:val="22"/>
                <w:szCs w:val="22"/>
                <w14:textFill>
                  <w14:solidFill>
                    <w14:schemeClr w14:val="tx1"/>
                  </w14:solidFill>
                </w14:textFill>
              </w:rPr>
              <w:t>东经：110°18′45.04″-110°20′43.65″</w:t>
            </w:r>
          </w:p>
          <w:p w14:paraId="2C77B2E8">
            <w:pPr>
              <w:spacing w:line="240" w:lineRule="auto"/>
              <w:ind w:firstLine="0" w:firstLineChars="0"/>
              <w:jc w:val="center"/>
              <w:rPr>
                <w:rFonts w:cs="Times New Roman"/>
                <w:bCs/>
                <w:color w:val="000000" w:themeColor="text1"/>
                <w:sz w:val="22"/>
                <w:szCs w:val="22"/>
                <w14:textFill>
                  <w14:solidFill>
                    <w14:schemeClr w14:val="tx1"/>
                  </w14:solidFill>
                </w14:textFill>
              </w:rPr>
            </w:pPr>
            <w:r>
              <w:rPr>
                <w:rFonts w:cs="Times New Roman"/>
                <w:bCs/>
                <w:color w:val="000000" w:themeColor="text1"/>
                <w:sz w:val="22"/>
                <w:szCs w:val="22"/>
                <w14:textFill>
                  <w14:solidFill>
                    <w14:schemeClr w14:val="tx1"/>
                  </w14:solidFill>
                </w14:textFill>
              </w:rPr>
              <w:t>北纬：40°53′45.76″-40°54′10.55″</w:t>
            </w:r>
          </w:p>
          <w:p w14:paraId="10D27FCF">
            <w:pPr>
              <w:pStyle w:val="35"/>
              <w:rPr>
                <w:rFonts w:eastAsia="仿宋_GB2312" w:cs="Times New Roman"/>
                <w:b w:val="0"/>
                <w:bCs/>
                <w:color w:val="000000" w:themeColor="text1"/>
                <w:spacing w:val="0"/>
                <w:lang w:eastAsia="zh-CN"/>
                <w14:textFill>
                  <w14:solidFill>
                    <w14:schemeClr w14:val="tx1"/>
                  </w14:solidFill>
                </w14:textFill>
              </w:rPr>
            </w:pPr>
          </w:p>
        </w:tc>
      </w:tr>
    </w:tbl>
    <w:p w14:paraId="398021C8">
      <w:pPr>
        <w:pStyle w:val="35"/>
        <w:rPr>
          <w:rFonts w:eastAsia="仿宋_GB2312" w:cs="Times New Roman"/>
          <w:color w:val="000000" w:themeColor="text1"/>
          <w:spacing w:val="0"/>
          <w:lang w:eastAsia="zh-CN"/>
          <w14:textFill>
            <w14:solidFill>
              <w14:schemeClr w14:val="tx1"/>
            </w14:solidFill>
          </w14:textFill>
        </w:rPr>
      </w:pPr>
    </w:p>
    <w:p w14:paraId="5F5CA883">
      <w:pPr>
        <w:pStyle w:val="4"/>
        <w:spacing w:before="120" w:after="120"/>
      </w:pPr>
      <w:bookmarkStart w:id="75" w:name="_Toc85444522"/>
      <w:r>
        <w:t>园区设立</w:t>
      </w:r>
      <w:bookmarkEnd w:id="75"/>
      <w:r>
        <w:t>及批复情况</w:t>
      </w:r>
    </w:p>
    <w:p w14:paraId="23E62C2D">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为了加快推进承接产业转移步伐，2008年内蒙古自治区出台了《内蒙古自治区人民政府关于做好承接发达地区产业转移的指导意见》，包头市为了更好地贯彻落实该意见，结合包头市实际，制定了《包头承接结合地区发展产业转移实施方案（试行）》文件。该文件明确提出了包头市域范围内承接产业转移的重点产业类型和具体的承接地，其中固阳县就是产业转移的承接地之一，这为固阳县的经济发展，国民生活水平的提高提供了良好的发展机遇。</w:t>
      </w:r>
    </w:p>
    <w:p w14:paraId="4AFFDEB8">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2009年5月，固阳县委、县政府开始着手规划建设包头金山工业园区，2009年12月30日，包头市人民政府发布《包头市人民政府办公厅关于同意开发建设包头金山工业园区的批复》（包府办发【2009】185号）（附件1-1）同意开发建设包头金山工业园区，规划控制面积16.8km²。</w:t>
      </w:r>
    </w:p>
    <w:p w14:paraId="2F457676">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2012年6月29日经自治区人民政府同意</w:t>
      </w:r>
      <w:bookmarkStart w:id="76" w:name="_Hlk144886651"/>
      <w:r>
        <w:rPr>
          <w:rFonts w:cs="Times New Roman"/>
          <w:color w:val="000000" w:themeColor="text1"/>
          <w14:textFill>
            <w14:solidFill>
              <w14:schemeClr w14:val="tx1"/>
            </w14:solidFill>
          </w14:textFill>
        </w:rPr>
        <w:t>包头金山工业园区</w:t>
      </w:r>
      <w:bookmarkEnd w:id="76"/>
      <w:r>
        <w:rPr>
          <w:rFonts w:cs="Times New Roman"/>
          <w:color w:val="000000" w:themeColor="text1"/>
          <w14:textFill>
            <w14:solidFill>
              <w14:schemeClr w14:val="tx1"/>
            </w14:solidFill>
          </w14:textFill>
        </w:rPr>
        <w:t>设立为自治区级工业园区（内政字[2012]179号）（附件1-2），2012年7月24日经内蒙古自治区经济和信息化委员会认定为自治区级承接产业转移示范园区（内经信开发区字[2012]561号）（附件1-4），园区于2013年成为包头国家稀土高新技术产业开发区合作共建园区，2014年7月17日经内蒙古自治区人民政府办公厅同意成为自治区第八批工业循环经济试点示范园区（内政办发[2014]77号）。</w:t>
      </w:r>
    </w:p>
    <w:p w14:paraId="415572F9">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2014年包头金山工业园区管理委员会（原管理委员会名称，下同）委托海口市城市规划设计研究院编制的《包头金山工业园区总体规划（2014—2020年）》，总体规划于2014年10月26日获得了内蒙古自治区住房和城乡建设厅批复（内建规[2014]577号）（附件1-3），园区规划面积调整为20.5km²。园区总体规划（2014—2020年）环境影响报告书于2015年12月11日取得内蒙古自治区环境保护厅审查意见（内环字[2015]83号），园区规划以有色金属及黑色金属生产、新能源装备制造为主导产业。2016年4月，内蒙古包头钢铁冶金开发区金山产业园管理办公室委托内蒙古自治区包头市水文勘测局编制了《包头金山工业园区总体规划水资源论证报告书》，2017年6月取得《内蒙古自治区水利厅关于包头金山工业园区总体规划水资源论证报告书审查意见的函》（内水资[2017]51号）（见附件1-6）。</w:t>
      </w:r>
    </w:p>
    <w:p w14:paraId="7D6474DF">
      <w:pPr>
        <w:widowControl w:val="0"/>
        <w:tabs>
          <w:tab w:val="left" w:pos="3402"/>
        </w:tabs>
        <w:ind w:firstLine="480"/>
        <w:rPr>
          <w:rFonts w:cs="Times New Roman"/>
          <w:color w:val="000000" w:themeColor="text1"/>
          <w14:textFill>
            <w14:solidFill>
              <w14:schemeClr w14:val="tx1"/>
            </w14:solidFill>
          </w14:textFill>
        </w:rPr>
      </w:pPr>
      <w:bookmarkStart w:id="77" w:name="_Hlk151560119"/>
      <w:r>
        <w:rPr>
          <w:rFonts w:cs="Times New Roman"/>
          <w:color w:val="000000" w:themeColor="text1"/>
          <w14:textFill>
            <w14:solidFill>
              <w14:schemeClr w14:val="tx1"/>
            </w14:solidFill>
          </w14:textFill>
        </w:rPr>
        <w:t>2023年2月，自治区工业园区建设领导小组办公室发布《关于印发实施《内蒙古自治区开发区审核公告目录》的通知内工信发》(〔2022〕34号)公告，将园区名称“</w:t>
      </w:r>
      <w:r>
        <w:rPr>
          <w:rFonts w:hint="eastAsia" w:cs="Times New Roman"/>
          <w:color w:val="000000" w:themeColor="text1"/>
          <w14:textFill>
            <w14:solidFill>
              <w14:schemeClr w14:val="tx1"/>
            </w14:solidFill>
          </w14:textFill>
        </w:rPr>
        <w:t>内蒙古包头钢铁冶金开发区金山产业园</w:t>
      </w:r>
      <w:r>
        <w:rPr>
          <w:rFonts w:cs="Times New Roman"/>
          <w:color w:val="000000" w:themeColor="text1"/>
          <w14:textFill>
            <w14:solidFill>
              <w14:schemeClr w14:val="tx1"/>
            </w14:solidFill>
          </w14:textFill>
        </w:rPr>
        <w:t>”变更为“包头金山经济开发区”</w:t>
      </w:r>
      <w:bookmarkEnd w:id="77"/>
      <w:r>
        <w:rPr>
          <w:rFonts w:cs="Times New Roman"/>
          <w:color w:val="000000" w:themeColor="text1"/>
          <w14:textFill>
            <w14:solidFill>
              <w14:schemeClr w14:val="tx1"/>
            </w14:solidFill>
          </w14:textFill>
        </w:rPr>
        <w:t>。2023年2月28日，包头市人民政府关于确认开发区四至范围划定成果的函（附件1-10）中明确包头金山经济开发区四至范围，总面积为1267.72hm²。2023年11月，内蒙古包头钢铁冶金开发区金山产业园管理办公室委托中国城市建设研究有限公司编制完成《包头金山工业园区总体规划（2023-2035）》。2023年5月12日，内蒙古包头钢铁冶金开发区金山产业园管理办公室取得《内蒙古自治区生态环境厅关于《内蒙古包头钢铁冶金开发区金山产业园总体规划(2020-2035年)环境影响报告书》的审查意见》（内环审[2023]32号）（附件1-9）。</w:t>
      </w:r>
    </w:p>
    <w:p w14:paraId="31DBF999">
      <w:pPr>
        <w:widowControl w:val="0"/>
        <w:ind w:firstLine="480"/>
        <w:rPr>
          <w:rFonts w:cs="Times New Roman"/>
          <w:color w:val="000000" w:themeColor="text1"/>
          <w14:textFill>
            <w14:solidFill>
              <w14:schemeClr w14:val="tx1"/>
            </w14:solidFill>
          </w14:textFill>
        </w:rPr>
      </w:pPr>
      <w:bookmarkStart w:id="78" w:name="_Hlk153309926"/>
      <w:r>
        <w:rPr>
          <w:rFonts w:cs="Times New Roman"/>
          <w:color w:val="000000" w:themeColor="text1"/>
          <w14:textFill>
            <w14:solidFill>
              <w14:schemeClr w14:val="tx1"/>
            </w14:solidFill>
          </w14:textFill>
        </w:rPr>
        <w:t>2023年11月3日，</w:t>
      </w:r>
      <w:r>
        <w:rPr>
          <w:rFonts w:hint="eastAsia" w:cs="Times New Roman"/>
          <w:color w:val="000000" w:themeColor="text1"/>
          <w14:textFill>
            <w14:solidFill>
              <w14:schemeClr w14:val="tx1"/>
            </w14:solidFill>
          </w14:textFill>
        </w:rPr>
        <w:t>内蒙古自治区人民政府办公厅发布</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内蒙古自治区人民政府办公厅关于印发自治区工业园区优化调整实施方案的通知</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内政办发[2023]73号</w:t>
      </w:r>
      <w:r>
        <w:rPr>
          <w:rFonts w:cs="Times New Roman"/>
          <w:color w:val="000000" w:themeColor="text1"/>
          <w14:textFill>
            <w14:solidFill>
              <w14:schemeClr w14:val="tx1"/>
            </w14:solidFill>
          </w14:textFill>
        </w:rPr>
        <w:t>）（附件1-19）</w:t>
      </w:r>
      <w:r>
        <w:rPr>
          <w:rFonts w:hint="eastAsia" w:cs="Times New Roman"/>
          <w:color w:val="000000" w:themeColor="text1"/>
          <w14:textFill>
            <w14:solidFill>
              <w14:schemeClr w14:val="tx1"/>
            </w14:solidFill>
          </w14:textFill>
        </w:rPr>
        <w:t>，将包头钢铁治金开发区拆分，设立包头昆都仑经济技术开发区 (一类)、石拐工业园区 (二类)、金山经济开发区 (二类)3个工业园区，将本园区名称调整为“包头金山经济开发区”。</w:t>
      </w:r>
    </w:p>
    <w:bookmarkEnd w:id="78"/>
    <w:p w14:paraId="327A46E1">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经过近20年的探索与实践，园区目前已初步建立起具有一定规模的以煤—电—冶金—深加工为主的工业体系，同时，装备制造业等其它相关产业正在园区逐渐成长、壮大。园区“一铁独大”局面得以改变，初步形成钢铁、有色金属、装备制造、新材料、固废综合利用和新能源六大产业。</w:t>
      </w:r>
    </w:p>
    <w:p w14:paraId="52EDD5E1">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内蒙古自治区及包头市政府近年来出台了《内蒙古自治区包头市工业园区中长期发展规划》、《包头市山北地区协调发展规划的通知》等多项政策对园区主导产业及未来发展都提出了新的要求，固阳县委、县政府领导审时度势、锐意进取，适时提出了科学编制《包头金山工业园区产业发展规划（2023－2035年）》及出台了《固阳县产业链招商实施方案》（固党办发[2020]18号），以明确园区今后承接产业类别、主导产业发展方向及重点、优化产业布局、节约土地资源、指导招商引资、加快项目落地、实现资源综合利用，加快推进金山工业园区融入内蒙古沿黄沿线经济带，促进山北地区经济快速发展。</w:t>
      </w:r>
    </w:p>
    <w:p w14:paraId="6ADDD265">
      <w:pPr>
        <w:ind w:firstLine="480"/>
      </w:pPr>
      <w:r>
        <w:rPr>
          <w:rFonts w:hint="eastAsia"/>
        </w:rPr>
        <w:t>园区建设地点、产业布局与内蒙古自治区、包头市国民经济和社会发展第十四个五年规划纲要、与内蒙古自治区以呼包鄂为核心沿黄河沿交通干线经济带重点产业发展规划及详细规划、包头市山北地区协同发展规划及产业发展规划的总体精神与要求是相符合的，符合“优先保障生态空间，合理安排生活空间，集约利用生产空间”的原则，同时园区环保规划目标也符合包头市环境保护“十四五”规划相关环境保护规划要求。</w:t>
      </w:r>
    </w:p>
    <w:p w14:paraId="04877A65">
      <w:pPr>
        <w:pStyle w:val="4"/>
        <w:spacing w:before="120" w:after="120"/>
      </w:pPr>
      <w:bookmarkStart w:id="79" w:name="_Toc85444523"/>
      <w:r>
        <w:t>规划范围</w:t>
      </w:r>
      <w:bookmarkEnd w:id="79"/>
    </w:p>
    <w:p w14:paraId="09D763E2">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包头市人民政府关于确认开发区四至范围划定成果的函》，包头金山经济开发区包含2个地块，总面积为1267.72hm²。其中，地块1四至范围为东至明登转盘、南至胜利壕、西至国道210、北至固阳大道，面积1114.62hm²，地块2四至范围为东至学田会、南至白银合套、西至白银合套，北至省道311，面积153.10hm²。</w:t>
      </w:r>
      <w:r>
        <w:rPr>
          <w:rFonts w:hint="eastAsia" w:cs="Times New Roman"/>
          <w:color w:val="000000" w:themeColor="text1"/>
          <w14:textFill>
            <w14:solidFill>
              <w14:schemeClr w14:val="tx1"/>
            </w14:solidFill>
          </w14:textFill>
        </w:rPr>
        <w:t>规划范围详见表1</w:t>
      </w:r>
      <w:r>
        <w:rPr>
          <w:rFonts w:cs="Times New Roman"/>
          <w:color w:val="000000" w:themeColor="text1"/>
          <w14:textFill>
            <w14:solidFill>
              <w14:schemeClr w14:val="tx1"/>
            </w14:solidFill>
          </w14:textFill>
        </w:rPr>
        <w:t>-2</w:t>
      </w:r>
      <w:r>
        <w:rPr>
          <w:rFonts w:hint="eastAsia" w:cs="Times New Roman"/>
          <w:color w:val="000000" w:themeColor="text1"/>
          <w14:textFill>
            <w14:solidFill>
              <w14:schemeClr w14:val="tx1"/>
            </w14:solidFill>
          </w14:textFill>
        </w:rPr>
        <w:t>。</w:t>
      </w:r>
    </w:p>
    <w:p w14:paraId="7D1B0B40">
      <w:pPr>
        <w:widowControl w:val="0"/>
        <w:ind w:firstLine="480"/>
        <w:rPr>
          <w:rFonts w:cs="Times New Roman"/>
          <w:color w:val="000000" w:themeColor="text1"/>
          <w14:textFill>
            <w14:solidFill>
              <w14:schemeClr w14:val="tx1"/>
            </w14:solidFill>
          </w14:textFill>
        </w:rPr>
        <w:sectPr>
          <w:headerReference r:id="rId12" w:type="default"/>
          <w:headerReference r:id="rId13" w:type="even"/>
          <w:pgSz w:w="11906" w:h="16838"/>
          <w:pgMar w:top="1418" w:right="1418" w:bottom="1418" w:left="1418" w:header="850" w:footer="850" w:gutter="0"/>
          <w:cols w:space="720" w:num="1"/>
          <w:docGrid w:linePitch="326" w:charSpace="0"/>
        </w:sectPr>
      </w:pPr>
    </w:p>
    <w:p w14:paraId="23B2D95A">
      <w:pPr>
        <w:widowControl w:val="0"/>
        <w:spacing w:line="240" w:lineRule="auto"/>
        <w:ind w:firstLine="0" w:firstLineChars="0"/>
        <w:jc w:val="center"/>
        <w:rPr>
          <w:rFonts w:cs="Times New Roman"/>
          <w:b/>
          <w:bCs/>
          <w:color w:val="000000" w:themeColor="text1"/>
          <w:kern w:val="2"/>
          <w:sz w:val="28"/>
          <w:szCs w:val="28"/>
          <w14:textFill>
            <w14:solidFill>
              <w14:schemeClr w14:val="tx1"/>
            </w14:solidFill>
          </w14:textFill>
        </w:rPr>
      </w:pPr>
      <w:r>
        <w:rPr>
          <w:rFonts w:hint="eastAsia" w:cs="Times New Roman"/>
          <w:b/>
          <w:bCs/>
          <w:color w:val="000000" w:themeColor="text1"/>
          <w:kern w:val="2"/>
          <w:sz w:val="28"/>
          <w:szCs w:val="28"/>
          <w14:textFill>
            <w14:solidFill>
              <w14:schemeClr w14:val="tx1"/>
            </w14:solidFill>
          </w14:textFill>
        </w:rPr>
        <w:t>表1</w:t>
      </w:r>
      <w:r>
        <w:rPr>
          <w:rFonts w:cs="Times New Roman"/>
          <w:b/>
          <w:bCs/>
          <w:color w:val="000000" w:themeColor="text1"/>
          <w:kern w:val="2"/>
          <w:sz w:val="28"/>
          <w:szCs w:val="28"/>
          <w14:textFill>
            <w14:solidFill>
              <w14:schemeClr w14:val="tx1"/>
            </w14:solidFill>
          </w14:textFill>
        </w:rPr>
        <w:t>-2 园区四至范围对比变化表</w:t>
      </w:r>
    </w:p>
    <w:tbl>
      <w:tblPr>
        <w:tblStyle w:val="1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
        <w:gridCol w:w="1899"/>
        <w:gridCol w:w="993"/>
        <w:gridCol w:w="992"/>
        <w:gridCol w:w="1558"/>
        <w:gridCol w:w="3911"/>
        <w:gridCol w:w="927"/>
        <w:gridCol w:w="830"/>
        <w:gridCol w:w="862"/>
        <w:gridCol w:w="1804"/>
      </w:tblGrid>
      <w:tr w14:paraId="5DC0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tcBorders>
              <w:bottom w:val="double" w:color="auto" w:sz="4" w:space="0"/>
            </w:tcBorders>
            <w:vAlign w:val="center"/>
          </w:tcPr>
          <w:p w14:paraId="61EF569E">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序号</w:t>
            </w:r>
          </w:p>
        </w:tc>
        <w:tc>
          <w:tcPr>
            <w:tcW w:w="1899" w:type="dxa"/>
            <w:tcBorders>
              <w:bottom w:val="double" w:color="auto" w:sz="4" w:space="0"/>
            </w:tcBorders>
            <w:vAlign w:val="center"/>
          </w:tcPr>
          <w:p w14:paraId="3BA43E98">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数据来源</w:t>
            </w:r>
          </w:p>
        </w:tc>
        <w:tc>
          <w:tcPr>
            <w:tcW w:w="993" w:type="dxa"/>
            <w:tcBorders>
              <w:bottom w:val="double" w:color="auto" w:sz="4" w:space="0"/>
            </w:tcBorders>
            <w:vAlign w:val="center"/>
          </w:tcPr>
          <w:p w14:paraId="221904F4">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区块面积（hm²）</w:t>
            </w:r>
          </w:p>
        </w:tc>
        <w:tc>
          <w:tcPr>
            <w:tcW w:w="992" w:type="dxa"/>
            <w:tcBorders>
              <w:bottom w:val="double" w:color="auto" w:sz="4" w:space="0"/>
            </w:tcBorders>
            <w:vAlign w:val="center"/>
          </w:tcPr>
          <w:p w14:paraId="441B1517">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区块名称</w:t>
            </w:r>
          </w:p>
        </w:tc>
        <w:tc>
          <w:tcPr>
            <w:tcW w:w="1558" w:type="dxa"/>
            <w:tcBorders>
              <w:bottom w:val="double" w:color="auto" w:sz="4" w:space="0"/>
            </w:tcBorders>
            <w:vAlign w:val="center"/>
          </w:tcPr>
          <w:p w14:paraId="2B793BEF">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地块面积（hm²）</w:t>
            </w:r>
          </w:p>
        </w:tc>
        <w:tc>
          <w:tcPr>
            <w:tcW w:w="3911" w:type="dxa"/>
            <w:tcBorders>
              <w:bottom w:val="double" w:color="auto" w:sz="4" w:space="0"/>
            </w:tcBorders>
            <w:vAlign w:val="center"/>
          </w:tcPr>
          <w:p w14:paraId="765C4DE9">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园区四至范围</w:t>
            </w:r>
          </w:p>
        </w:tc>
        <w:tc>
          <w:tcPr>
            <w:tcW w:w="0" w:type="auto"/>
            <w:tcBorders>
              <w:bottom w:val="double" w:color="auto" w:sz="4" w:space="0"/>
            </w:tcBorders>
            <w:vAlign w:val="center"/>
          </w:tcPr>
          <w:p w14:paraId="7FC88029">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城镇建设区</w:t>
            </w:r>
          </w:p>
        </w:tc>
        <w:tc>
          <w:tcPr>
            <w:tcW w:w="0" w:type="auto"/>
            <w:tcBorders>
              <w:bottom w:val="double" w:color="auto" w:sz="4" w:space="0"/>
            </w:tcBorders>
            <w:vAlign w:val="center"/>
          </w:tcPr>
          <w:p w14:paraId="73E4EF3E">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特别用途区</w:t>
            </w:r>
          </w:p>
        </w:tc>
        <w:tc>
          <w:tcPr>
            <w:tcW w:w="0" w:type="auto"/>
            <w:tcBorders>
              <w:bottom w:val="double" w:color="auto" w:sz="4" w:space="0"/>
            </w:tcBorders>
            <w:vAlign w:val="center"/>
          </w:tcPr>
          <w:p w14:paraId="25148AD3">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弹性发展区面积</w:t>
            </w:r>
          </w:p>
        </w:tc>
        <w:tc>
          <w:tcPr>
            <w:tcW w:w="0" w:type="auto"/>
            <w:tcBorders>
              <w:bottom w:val="double" w:color="auto" w:sz="4" w:space="0"/>
            </w:tcBorders>
            <w:vAlign w:val="center"/>
          </w:tcPr>
          <w:p w14:paraId="7353A8CA">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备注</w:t>
            </w:r>
          </w:p>
        </w:tc>
      </w:tr>
      <w:tr w14:paraId="024A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double" w:color="auto" w:sz="4" w:space="0"/>
            </w:tcBorders>
            <w:vAlign w:val="center"/>
          </w:tcPr>
          <w:p w14:paraId="6E5E8B04">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w:t>
            </w:r>
          </w:p>
        </w:tc>
        <w:tc>
          <w:tcPr>
            <w:tcW w:w="1899" w:type="dxa"/>
            <w:tcBorders>
              <w:top w:val="double" w:color="auto" w:sz="4" w:space="0"/>
            </w:tcBorders>
            <w:vAlign w:val="center"/>
          </w:tcPr>
          <w:p w14:paraId="0A73EF31">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包头金山工业园区总体规划（2014——2020）</w:t>
            </w:r>
          </w:p>
        </w:tc>
        <w:tc>
          <w:tcPr>
            <w:tcW w:w="993" w:type="dxa"/>
            <w:tcBorders>
              <w:top w:val="double" w:color="auto" w:sz="4" w:space="0"/>
            </w:tcBorders>
            <w:vAlign w:val="center"/>
          </w:tcPr>
          <w:p w14:paraId="72CED4B9">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2050</w:t>
            </w:r>
          </w:p>
        </w:tc>
        <w:tc>
          <w:tcPr>
            <w:tcW w:w="992" w:type="dxa"/>
            <w:tcBorders>
              <w:top w:val="double" w:color="auto" w:sz="4" w:space="0"/>
            </w:tcBorders>
            <w:vAlign w:val="center"/>
          </w:tcPr>
          <w:p w14:paraId="6951106E">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金山工业园</w:t>
            </w:r>
          </w:p>
        </w:tc>
        <w:tc>
          <w:tcPr>
            <w:tcW w:w="1558" w:type="dxa"/>
            <w:tcBorders>
              <w:top w:val="double" w:color="auto" w:sz="4" w:space="0"/>
            </w:tcBorders>
            <w:vAlign w:val="center"/>
          </w:tcPr>
          <w:p w14:paraId="69D0896D">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2050</w:t>
            </w:r>
          </w:p>
        </w:tc>
        <w:tc>
          <w:tcPr>
            <w:tcW w:w="3911" w:type="dxa"/>
            <w:tcBorders>
              <w:top w:val="double" w:color="auto" w:sz="4" w:space="0"/>
            </w:tcBorders>
            <w:vAlign w:val="center"/>
          </w:tcPr>
          <w:p w14:paraId="3EC143EA">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w:t>
            </w:r>
          </w:p>
        </w:tc>
        <w:tc>
          <w:tcPr>
            <w:tcW w:w="0" w:type="auto"/>
            <w:tcBorders>
              <w:top w:val="double" w:color="auto" w:sz="4" w:space="0"/>
            </w:tcBorders>
            <w:vAlign w:val="center"/>
          </w:tcPr>
          <w:p w14:paraId="38CC165E">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1856.65</w:t>
            </w:r>
          </w:p>
        </w:tc>
        <w:tc>
          <w:tcPr>
            <w:tcW w:w="0" w:type="auto"/>
            <w:tcBorders>
              <w:top w:val="double" w:color="auto" w:sz="4" w:space="0"/>
            </w:tcBorders>
            <w:vAlign w:val="center"/>
          </w:tcPr>
          <w:p w14:paraId="54F64EA1">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tcBorders>
              <w:top w:val="double" w:color="auto" w:sz="4" w:space="0"/>
            </w:tcBorders>
            <w:vAlign w:val="center"/>
          </w:tcPr>
          <w:p w14:paraId="5E69B778">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193.35</w:t>
            </w:r>
          </w:p>
        </w:tc>
        <w:tc>
          <w:tcPr>
            <w:tcW w:w="0" w:type="auto"/>
            <w:tcBorders>
              <w:top w:val="double" w:color="auto" w:sz="4" w:space="0"/>
            </w:tcBorders>
            <w:vAlign w:val="center"/>
          </w:tcPr>
          <w:p w14:paraId="6C581FCC">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r>
      <w:tr w14:paraId="1B70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restart"/>
            <w:vAlign w:val="center"/>
          </w:tcPr>
          <w:p w14:paraId="575CB7D9">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2</w:t>
            </w:r>
          </w:p>
        </w:tc>
        <w:tc>
          <w:tcPr>
            <w:tcW w:w="1899" w:type="dxa"/>
            <w:vMerge w:val="restart"/>
            <w:vAlign w:val="center"/>
          </w:tcPr>
          <w:p w14:paraId="4817106B">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《内蒙古自治区自然资源厅关于划定开发区区域评估工作界线的请示》（内自然资发[2021]191号）</w:t>
            </w:r>
          </w:p>
        </w:tc>
        <w:tc>
          <w:tcPr>
            <w:tcW w:w="993" w:type="dxa"/>
            <w:vMerge w:val="restart"/>
            <w:vAlign w:val="center"/>
          </w:tcPr>
          <w:p w14:paraId="02327C22">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1243.09</w:t>
            </w:r>
          </w:p>
        </w:tc>
        <w:tc>
          <w:tcPr>
            <w:tcW w:w="992" w:type="dxa"/>
            <w:vMerge w:val="restart"/>
            <w:vAlign w:val="center"/>
          </w:tcPr>
          <w:p w14:paraId="18CEE77D">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金山产业园</w:t>
            </w:r>
          </w:p>
        </w:tc>
        <w:tc>
          <w:tcPr>
            <w:tcW w:w="1558" w:type="dxa"/>
            <w:vAlign w:val="center"/>
          </w:tcPr>
          <w:p w14:paraId="65F74D56">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967.57</w:t>
            </w:r>
          </w:p>
        </w:tc>
        <w:tc>
          <w:tcPr>
            <w:tcW w:w="3911" w:type="dxa"/>
            <w:vAlign w:val="center"/>
          </w:tcPr>
          <w:p w14:paraId="748CE006">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北至：固阳大道，西至：国道210，东至：明登转盘，南至：胜利壕</w:t>
            </w:r>
          </w:p>
        </w:tc>
        <w:tc>
          <w:tcPr>
            <w:tcW w:w="0" w:type="auto"/>
            <w:vAlign w:val="center"/>
          </w:tcPr>
          <w:p w14:paraId="1FF86B60">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10CE443A">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5BA27826">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6B93078B">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r>
      <w:tr w14:paraId="11E30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continue"/>
            <w:vAlign w:val="center"/>
          </w:tcPr>
          <w:p w14:paraId="04E27D5F">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899" w:type="dxa"/>
            <w:vMerge w:val="continue"/>
            <w:vAlign w:val="center"/>
          </w:tcPr>
          <w:p w14:paraId="19C1F780">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3" w:type="dxa"/>
            <w:vMerge w:val="continue"/>
            <w:vAlign w:val="center"/>
          </w:tcPr>
          <w:p w14:paraId="69E6B181">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2" w:type="dxa"/>
            <w:vMerge w:val="continue"/>
            <w:vAlign w:val="center"/>
          </w:tcPr>
          <w:p w14:paraId="01C905DE">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558" w:type="dxa"/>
            <w:vAlign w:val="center"/>
          </w:tcPr>
          <w:p w14:paraId="7CD0DCA7">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158.73</w:t>
            </w:r>
          </w:p>
        </w:tc>
        <w:tc>
          <w:tcPr>
            <w:tcW w:w="3911" w:type="dxa"/>
            <w:vAlign w:val="center"/>
          </w:tcPr>
          <w:p w14:paraId="48025021">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东至：园区经四路延长线，南至：民胜村采矿场，西至：园区经二路延长线，北至：园区纬三路</w:t>
            </w:r>
          </w:p>
        </w:tc>
        <w:tc>
          <w:tcPr>
            <w:tcW w:w="0" w:type="auto"/>
            <w:vAlign w:val="center"/>
          </w:tcPr>
          <w:p w14:paraId="28D2D949">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55596824">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65284B45">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5651D408">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r>
      <w:tr w14:paraId="58DE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continue"/>
            <w:vAlign w:val="center"/>
          </w:tcPr>
          <w:p w14:paraId="7561A6A8">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899" w:type="dxa"/>
            <w:vMerge w:val="continue"/>
            <w:vAlign w:val="center"/>
          </w:tcPr>
          <w:p w14:paraId="71A58B41">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3" w:type="dxa"/>
            <w:vMerge w:val="continue"/>
            <w:vAlign w:val="center"/>
          </w:tcPr>
          <w:p w14:paraId="1C0C5DCA">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2" w:type="dxa"/>
            <w:vMerge w:val="continue"/>
            <w:vAlign w:val="center"/>
          </w:tcPr>
          <w:p w14:paraId="4876663F">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558" w:type="dxa"/>
            <w:vAlign w:val="center"/>
          </w:tcPr>
          <w:p w14:paraId="03B1DAA9">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5.33</w:t>
            </w:r>
          </w:p>
        </w:tc>
        <w:tc>
          <w:tcPr>
            <w:tcW w:w="3911" w:type="dxa"/>
            <w:vAlign w:val="center"/>
          </w:tcPr>
          <w:p w14:paraId="5A1D23A6">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东至：园区经四路延长线，南至小川口搅拌站，西至：小川口，北至：园区纬三路</w:t>
            </w:r>
          </w:p>
        </w:tc>
        <w:tc>
          <w:tcPr>
            <w:tcW w:w="0" w:type="auto"/>
            <w:vAlign w:val="center"/>
          </w:tcPr>
          <w:p w14:paraId="784D92E8">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3BC591CA">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35947505">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5DC9E2AF">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r>
      <w:tr w14:paraId="7585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continue"/>
            <w:vAlign w:val="center"/>
          </w:tcPr>
          <w:p w14:paraId="2DB47097">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899" w:type="dxa"/>
            <w:vMerge w:val="continue"/>
            <w:vAlign w:val="center"/>
          </w:tcPr>
          <w:p w14:paraId="39C1D068">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3" w:type="dxa"/>
            <w:vMerge w:val="continue"/>
            <w:vAlign w:val="center"/>
          </w:tcPr>
          <w:p w14:paraId="4322DCD1">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2" w:type="dxa"/>
            <w:vMerge w:val="continue"/>
            <w:vAlign w:val="center"/>
          </w:tcPr>
          <w:p w14:paraId="6256A572">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558" w:type="dxa"/>
            <w:vAlign w:val="center"/>
          </w:tcPr>
          <w:p w14:paraId="4A453488">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10.35</w:t>
            </w:r>
          </w:p>
        </w:tc>
        <w:tc>
          <w:tcPr>
            <w:tcW w:w="3911" w:type="dxa"/>
            <w:vAlign w:val="center"/>
          </w:tcPr>
          <w:p w14:paraId="59BD2F5A">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东至：泰恒钢铁厂，南至：红岩湾沙场，西至：园区经四路延长线，北至：小川口搅拌站</w:t>
            </w:r>
          </w:p>
        </w:tc>
        <w:tc>
          <w:tcPr>
            <w:tcW w:w="0" w:type="auto"/>
            <w:vAlign w:val="center"/>
          </w:tcPr>
          <w:p w14:paraId="01226351">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3841BA7C">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78CF2257">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4DD536CF">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r>
      <w:tr w14:paraId="524A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0" w:type="auto"/>
            <w:vMerge w:val="continue"/>
            <w:vAlign w:val="center"/>
          </w:tcPr>
          <w:p w14:paraId="1BACB654">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899" w:type="dxa"/>
            <w:vMerge w:val="continue"/>
            <w:vAlign w:val="center"/>
          </w:tcPr>
          <w:p w14:paraId="0DE2B68B">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3" w:type="dxa"/>
            <w:vMerge w:val="continue"/>
            <w:vAlign w:val="center"/>
          </w:tcPr>
          <w:p w14:paraId="7440A972">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2" w:type="dxa"/>
            <w:vMerge w:val="continue"/>
            <w:vAlign w:val="center"/>
          </w:tcPr>
          <w:p w14:paraId="5D1D8711">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558" w:type="dxa"/>
            <w:vAlign w:val="center"/>
          </w:tcPr>
          <w:p w14:paraId="1D084E40">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91.24</w:t>
            </w:r>
          </w:p>
        </w:tc>
        <w:tc>
          <w:tcPr>
            <w:tcW w:w="3911" w:type="dxa"/>
            <w:vAlign w:val="center"/>
          </w:tcPr>
          <w:p w14:paraId="5494CF8F">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东至：沙明线，南至：李老壕，西至：小川口，北至：红岩湾矿场</w:t>
            </w:r>
          </w:p>
        </w:tc>
        <w:tc>
          <w:tcPr>
            <w:tcW w:w="0" w:type="auto"/>
            <w:vAlign w:val="center"/>
          </w:tcPr>
          <w:p w14:paraId="4622409F">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249D8087">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05FCE998">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5773E22D">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r>
      <w:tr w14:paraId="6D70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0" w:type="auto"/>
            <w:vMerge w:val="continue"/>
            <w:vAlign w:val="center"/>
          </w:tcPr>
          <w:p w14:paraId="67F43E76">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899" w:type="dxa"/>
            <w:vMerge w:val="continue"/>
            <w:vAlign w:val="center"/>
          </w:tcPr>
          <w:p w14:paraId="7C18CBB9">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3" w:type="dxa"/>
            <w:vMerge w:val="continue"/>
            <w:vAlign w:val="center"/>
          </w:tcPr>
          <w:p w14:paraId="609EAF1E">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2" w:type="dxa"/>
            <w:vMerge w:val="continue"/>
            <w:vAlign w:val="center"/>
          </w:tcPr>
          <w:p w14:paraId="4786224E">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558" w:type="dxa"/>
            <w:vAlign w:val="center"/>
          </w:tcPr>
          <w:p w14:paraId="37AE7978">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1.35</w:t>
            </w:r>
          </w:p>
        </w:tc>
        <w:tc>
          <w:tcPr>
            <w:tcW w:w="3911" w:type="dxa"/>
            <w:vAlign w:val="center"/>
          </w:tcPr>
          <w:p w14:paraId="4EF46366">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东至：沙明线，南至：泰恒钢铁厂，西至：小川口搅拌站，北至：园区纬三路</w:t>
            </w:r>
          </w:p>
        </w:tc>
        <w:tc>
          <w:tcPr>
            <w:tcW w:w="0" w:type="auto"/>
            <w:vAlign w:val="center"/>
          </w:tcPr>
          <w:p w14:paraId="73A5FFEA">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69537AFD">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2BA889A3">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1624E81A">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r>
      <w:tr w14:paraId="0D73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0" w:type="auto"/>
            <w:vMerge w:val="continue"/>
            <w:vAlign w:val="center"/>
          </w:tcPr>
          <w:p w14:paraId="51DBAD9C">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899" w:type="dxa"/>
            <w:vMerge w:val="continue"/>
            <w:vAlign w:val="center"/>
          </w:tcPr>
          <w:p w14:paraId="7FC20A86">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3" w:type="dxa"/>
            <w:vMerge w:val="continue"/>
            <w:vAlign w:val="center"/>
          </w:tcPr>
          <w:p w14:paraId="0972BB6B">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2" w:type="dxa"/>
            <w:vMerge w:val="continue"/>
            <w:vAlign w:val="center"/>
          </w:tcPr>
          <w:p w14:paraId="362B5887">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558" w:type="dxa"/>
            <w:vAlign w:val="center"/>
          </w:tcPr>
          <w:p w14:paraId="11A17FAC">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3.16</w:t>
            </w:r>
          </w:p>
        </w:tc>
        <w:tc>
          <w:tcPr>
            <w:tcW w:w="3911" w:type="dxa"/>
            <w:vAlign w:val="center"/>
          </w:tcPr>
          <w:p w14:paraId="223BD7AD">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东至：沙明线，南至：泰恒钢铁厂，西至：小川口，北至：园区纬三路</w:t>
            </w:r>
          </w:p>
        </w:tc>
        <w:tc>
          <w:tcPr>
            <w:tcW w:w="0" w:type="auto"/>
            <w:vAlign w:val="center"/>
          </w:tcPr>
          <w:p w14:paraId="307B602C">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79C58432">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2D14ABD0">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5199DA61">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r>
      <w:tr w14:paraId="079D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0" w:type="auto"/>
            <w:vMerge w:val="continue"/>
            <w:vAlign w:val="center"/>
          </w:tcPr>
          <w:p w14:paraId="4121AE62">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899" w:type="dxa"/>
            <w:vMerge w:val="continue"/>
            <w:vAlign w:val="center"/>
          </w:tcPr>
          <w:p w14:paraId="13F4DB61">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3" w:type="dxa"/>
            <w:vMerge w:val="continue"/>
            <w:vAlign w:val="center"/>
          </w:tcPr>
          <w:p w14:paraId="4DDD32FF">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2" w:type="dxa"/>
            <w:vMerge w:val="continue"/>
            <w:vAlign w:val="center"/>
          </w:tcPr>
          <w:p w14:paraId="5FC2B5E7">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558" w:type="dxa"/>
            <w:vAlign w:val="center"/>
          </w:tcPr>
          <w:p w14:paraId="70A76FDB">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5.36</w:t>
            </w:r>
          </w:p>
        </w:tc>
        <w:tc>
          <w:tcPr>
            <w:tcW w:w="3911" w:type="dxa"/>
            <w:vAlign w:val="center"/>
          </w:tcPr>
          <w:p w14:paraId="7C9107B2">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东至：沙明线，南至：泰恒钢铁厂，西至：小川口，北至：小井沟村</w:t>
            </w:r>
          </w:p>
        </w:tc>
        <w:tc>
          <w:tcPr>
            <w:tcW w:w="0" w:type="auto"/>
            <w:vAlign w:val="center"/>
          </w:tcPr>
          <w:p w14:paraId="1326BB0F">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1E1CE181">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64301D60">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6AE4E433">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r>
      <w:tr w14:paraId="2F6B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0BAA9169">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3</w:t>
            </w:r>
          </w:p>
        </w:tc>
        <w:tc>
          <w:tcPr>
            <w:tcW w:w="1899" w:type="dxa"/>
            <w:vMerge w:val="restart"/>
            <w:vAlign w:val="center"/>
          </w:tcPr>
          <w:p w14:paraId="6E2ABB02">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内蒙古包头钢铁冶金开发区（金山产业园）开发区四至范围调整论证报告（2021年开发区四至划定情况）</w:t>
            </w:r>
          </w:p>
        </w:tc>
        <w:tc>
          <w:tcPr>
            <w:tcW w:w="993" w:type="dxa"/>
            <w:vMerge w:val="restart"/>
            <w:vAlign w:val="center"/>
          </w:tcPr>
          <w:p w14:paraId="5F6ED7E3">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1251.73</w:t>
            </w:r>
          </w:p>
        </w:tc>
        <w:tc>
          <w:tcPr>
            <w:tcW w:w="992" w:type="dxa"/>
            <w:vAlign w:val="center"/>
          </w:tcPr>
          <w:p w14:paraId="6D89BA7B">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地块1</w:t>
            </w:r>
          </w:p>
        </w:tc>
        <w:tc>
          <w:tcPr>
            <w:tcW w:w="1558" w:type="dxa"/>
            <w:vAlign w:val="center"/>
          </w:tcPr>
          <w:p w14:paraId="71FC7E6F">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989.168</w:t>
            </w:r>
          </w:p>
        </w:tc>
        <w:tc>
          <w:tcPr>
            <w:tcW w:w="3911" w:type="dxa"/>
            <w:vAlign w:val="center"/>
          </w:tcPr>
          <w:p w14:paraId="4C409ED2">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北至：固阳大道，西至：国道210，东至：明登转盘，南至：胜利壕</w:t>
            </w:r>
          </w:p>
        </w:tc>
        <w:tc>
          <w:tcPr>
            <w:tcW w:w="0" w:type="auto"/>
            <w:vAlign w:val="center"/>
          </w:tcPr>
          <w:p w14:paraId="4ADB43AF">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667.59</w:t>
            </w:r>
          </w:p>
        </w:tc>
        <w:tc>
          <w:tcPr>
            <w:tcW w:w="0" w:type="auto"/>
            <w:vAlign w:val="center"/>
          </w:tcPr>
          <w:p w14:paraId="111AD163">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154.55</w:t>
            </w:r>
          </w:p>
        </w:tc>
        <w:tc>
          <w:tcPr>
            <w:tcW w:w="0" w:type="auto"/>
            <w:vAlign w:val="center"/>
          </w:tcPr>
          <w:p w14:paraId="043486A8">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167.04</w:t>
            </w:r>
          </w:p>
        </w:tc>
        <w:tc>
          <w:tcPr>
            <w:tcW w:w="0" w:type="auto"/>
            <w:vAlign w:val="center"/>
          </w:tcPr>
          <w:p w14:paraId="1762D774">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城镇集中建设区667.59hm²，城镇弹性发展区167.04hm²，特别用途154.55hm²。</w:t>
            </w:r>
          </w:p>
        </w:tc>
      </w:tr>
      <w:tr w14:paraId="38AB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2ADCB51A">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899" w:type="dxa"/>
            <w:vMerge w:val="continue"/>
            <w:vAlign w:val="center"/>
          </w:tcPr>
          <w:p w14:paraId="6E68B9F6">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3" w:type="dxa"/>
            <w:vMerge w:val="continue"/>
            <w:vAlign w:val="center"/>
          </w:tcPr>
          <w:p w14:paraId="673BEA8F">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2" w:type="dxa"/>
            <w:vAlign w:val="center"/>
          </w:tcPr>
          <w:p w14:paraId="1DB53074">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地块2</w:t>
            </w:r>
          </w:p>
        </w:tc>
        <w:tc>
          <w:tcPr>
            <w:tcW w:w="1558" w:type="dxa"/>
            <w:vAlign w:val="center"/>
          </w:tcPr>
          <w:p w14:paraId="332280C2">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166.48</w:t>
            </w:r>
          </w:p>
        </w:tc>
        <w:tc>
          <w:tcPr>
            <w:tcW w:w="3911" w:type="dxa"/>
            <w:vAlign w:val="center"/>
          </w:tcPr>
          <w:p w14:paraId="4B3641F6">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东至：园区经四路延长线，南至：民胜村采矿场，西至：园区经二路延长线，北至：园区纬三路</w:t>
            </w:r>
          </w:p>
        </w:tc>
        <w:tc>
          <w:tcPr>
            <w:tcW w:w="0" w:type="auto"/>
            <w:vAlign w:val="center"/>
          </w:tcPr>
          <w:p w14:paraId="06FBE113">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116.84</w:t>
            </w:r>
          </w:p>
        </w:tc>
        <w:tc>
          <w:tcPr>
            <w:tcW w:w="0" w:type="auto"/>
            <w:vAlign w:val="center"/>
          </w:tcPr>
          <w:p w14:paraId="0EB73D0D">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49.64</w:t>
            </w:r>
          </w:p>
        </w:tc>
        <w:tc>
          <w:tcPr>
            <w:tcW w:w="0" w:type="auto"/>
            <w:vAlign w:val="center"/>
          </w:tcPr>
          <w:p w14:paraId="615EB6FF">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66F6BB10">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城镇集中建设区116.84hm²，特别用途区49.64hm²。</w:t>
            </w:r>
          </w:p>
        </w:tc>
      </w:tr>
      <w:tr w14:paraId="71B6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42D52317">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899" w:type="dxa"/>
            <w:vMerge w:val="continue"/>
            <w:vAlign w:val="center"/>
          </w:tcPr>
          <w:p w14:paraId="5C0F3E41">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3" w:type="dxa"/>
            <w:vMerge w:val="continue"/>
            <w:vAlign w:val="center"/>
          </w:tcPr>
          <w:p w14:paraId="29006493">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2" w:type="dxa"/>
            <w:vAlign w:val="center"/>
          </w:tcPr>
          <w:p w14:paraId="4324E0E8">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地块3</w:t>
            </w:r>
          </w:p>
        </w:tc>
        <w:tc>
          <w:tcPr>
            <w:tcW w:w="1558" w:type="dxa"/>
            <w:vAlign w:val="center"/>
          </w:tcPr>
          <w:p w14:paraId="03621981">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96.07</w:t>
            </w:r>
          </w:p>
        </w:tc>
        <w:tc>
          <w:tcPr>
            <w:tcW w:w="3911" w:type="dxa"/>
            <w:vAlign w:val="center"/>
          </w:tcPr>
          <w:p w14:paraId="67DB9484">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东至：沙明线，南至：李老壕，西至：小川口，北至：红岩湾矿场</w:t>
            </w:r>
          </w:p>
        </w:tc>
        <w:tc>
          <w:tcPr>
            <w:tcW w:w="0" w:type="auto"/>
            <w:vAlign w:val="center"/>
          </w:tcPr>
          <w:p w14:paraId="6A3F4D57">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87.73</w:t>
            </w:r>
          </w:p>
        </w:tc>
        <w:tc>
          <w:tcPr>
            <w:tcW w:w="0" w:type="auto"/>
            <w:vAlign w:val="center"/>
          </w:tcPr>
          <w:p w14:paraId="231AB742">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8.34</w:t>
            </w:r>
          </w:p>
        </w:tc>
        <w:tc>
          <w:tcPr>
            <w:tcW w:w="0" w:type="auto"/>
            <w:vAlign w:val="center"/>
          </w:tcPr>
          <w:p w14:paraId="19172691">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18EF3D9F">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城镇集中建设区87.73hm²，特别用途区8.34hm²。</w:t>
            </w:r>
          </w:p>
        </w:tc>
      </w:tr>
      <w:tr w14:paraId="53E8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1E36FC14">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4</w:t>
            </w:r>
          </w:p>
        </w:tc>
        <w:tc>
          <w:tcPr>
            <w:tcW w:w="1899" w:type="dxa"/>
            <w:vMerge w:val="restart"/>
            <w:vAlign w:val="center"/>
          </w:tcPr>
          <w:p w14:paraId="10639ED6">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bookmarkStart w:id="80" w:name="_Hlk150578519"/>
            <w:r>
              <w:rPr>
                <w:rFonts w:ascii="Times New Roman" w:hAnsi="Times New Roman" w:cs="Times New Roman"/>
                <w:color w:val="000000" w:themeColor="text1"/>
                <w:sz w:val="21"/>
                <w:szCs w:val="21"/>
                <w14:textFill>
                  <w14:solidFill>
                    <w14:schemeClr w14:val="tx1"/>
                  </w14:solidFill>
                </w14:textFill>
              </w:rPr>
              <w:t>内蒙古包头钢铁冶金开发区（金山产业园）</w:t>
            </w:r>
            <w:bookmarkEnd w:id="80"/>
            <w:r>
              <w:rPr>
                <w:rFonts w:ascii="Times New Roman" w:hAnsi="Times New Roman" w:cs="Times New Roman"/>
                <w:color w:val="000000" w:themeColor="text1"/>
                <w:sz w:val="21"/>
                <w:szCs w:val="21"/>
                <w14:textFill>
                  <w14:solidFill>
                    <w14:schemeClr w14:val="tx1"/>
                  </w14:solidFill>
                </w14:textFill>
              </w:rPr>
              <w:t>开发区四至范围调整论证报告（2022年11月开发区四至划定情况）</w:t>
            </w:r>
          </w:p>
        </w:tc>
        <w:tc>
          <w:tcPr>
            <w:tcW w:w="993" w:type="dxa"/>
            <w:vMerge w:val="restart"/>
            <w:vAlign w:val="center"/>
          </w:tcPr>
          <w:p w14:paraId="4551E728">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1267.72</w:t>
            </w:r>
          </w:p>
        </w:tc>
        <w:tc>
          <w:tcPr>
            <w:tcW w:w="992" w:type="dxa"/>
            <w:vAlign w:val="center"/>
          </w:tcPr>
          <w:p w14:paraId="328E7831">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金山产业园</w:t>
            </w:r>
          </w:p>
        </w:tc>
        <w:tc>
          <w:tcPr>
            <w:tcW w:w="1558" w:type="dxa"/>
            <w:vAlign w:val="center"/>
          </w:tcPr>
          <w:p w14:paraId="72584630">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1114.62</w:t>
            </w:r>
          </w:p>
        </w:tc>
        <w:tc>
          <w:tcPr>
            <w:tcW w:w="3911" w:type="dxa"/>
            <w:vAlign w:val="center"/>
          </w:tcPr>
          <w:p w14:paraId="2ED85355">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北至：固阳大道，西至：国道210，东至：明登转盘，南至：胜利壕</w:t>
            </w:r>
          </w:p>
        </w:tc>
        <w:tc>
          <w:tcPr>
            <w:tcW w:w="0" w:type="auto"/>
            <w:vAlign w:val="center"/>
          </w:tcPr>
          <w:p w14:paraId="7DDBDC47">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1114.62</w:t>
            </w:r>
          </w:p>
        </w:tc>
        <w:tc>
          <w:tcPr>
            <w:tcW w:w="0" w:type="auto"/>
            <w:vAlign w:val="center"/>
          </w:tcPr>
          <w:p w14:paraId="63147434">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0</w:t>
            </w:r>
          </w:p>
        </w:tc>
        <w:tc>
          <w:tcPr>
            <w:tcW w:w="0" w:type="auto"/>
            <w:vAlign w:val="center"/>
          </w:tcPr>
          <w:p w14:paraId="372DBF1F">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0</w:t>
            </w:r>
          </w:p>
        </w:tc>
        <w:tc>
          <w:tcPr>
            <w:tcW w:w="0" w:type="auto"/>
            <w:vAlign w:val="center"/>
          </w:tcPr>
          <w:p w14:paraId="3FF86216">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r>
      <w:tr w14:paraId="7C423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0DB8AE79">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899" w:type="dxa"/>
            <w:vMerge w:val="continue"/>
            <w:vAlign w:val="center"/>
          </w:tcPr>
          <w:p w14:paraId="2737F67B">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3" w:type="dxa"/>
            <w:vMerge w:val="continue"/>
            <w:vAlign w:val="center"/>
          </w:tcPr>
          <w:p w14:paraId="2187B20D">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2" w:type="dxa"/>
            <w:vAlign w:val="center"/>
          </w:tcPr>
          <w:p w14:paraId="4C5033FF">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金山产业园</w:t>
            </w:r>
          </w:p>
        </w:tc>
        <w:tc>
          <w:tcPr>
            <w:tcW w:w="1558" w:type="dxa"/>
            <w:vAlign w:val="center"/>
          </w:tcPr>
          <w:p w14:paraId="7C3F14B1">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153.10</w:t>
            </w:r>
          </w:p>
        </w:tc>
        <w:tc>
          <w:tcPr>
            <w:tcW w:w="3911" w:type="dxa"/>
            <w:vAlign w:val="center"/>
          </w:tcPr>
          <w:p w14:paraId="53761DD7">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北至：省道311，西至：白银合套，东至：学田会，南至：白银合套</w:t>
            </w:r>
          </w:p>
        </w:tc>
        <w:tc>
          <w:tcPr>
            <w:tcW w:w="0" w:type="auto"/>
            <w:vAlign w:val="center"/>
          </w:tcPr>
          <w:p w14:paraId="4FAF78BC">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153.10</w:t>
            </w:r>
          </w:p>
        </w:tc>
        <w:tc>
          <w:tcPr>
            <w:tcW w:w="0" w:type="auto"/>
            <w:vAlign w:val="center"/>
          </w:tcPr>
          <w:p w14:paraId="4E20EF58">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285DA14C">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2DB0F53E">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r>
      <w:tr w14:paraId="47121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0BA3C2AB">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5</w:t>
            </w:r>
          </w:p>
        </w:tc>
        <w:tc>
          <w:tcPr>
            <w:tcW w:w="1899" w:type="dxa"/>
            <w:vMerge w:val="restart"/>
            <w:vAlign w:val="center"/>
          </w:tcPr>
          <w:p w14:paraId="377AEF3C">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包头市人民政府关于确认开发区四至范围划定成果的函（2023.02.28）</w:t>
            </w:r>
          </w:p>
        </w:tc>
        <w:tc>
          <w:tcPr>
            <w:tcW w:w="993" w:type="dxa"/>
            <w:vMerge w:val="restart"/>
            <w:vAlign w:val="center"/>
          </w:tcPr>
          <w:p w14:paraId="45EA6209">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1267.72</w:t>
            </w:r>
          </w:p>
        </w:tc>
        <w:tc>
          <w:tcPr>
            <w:tcW w:w="992" w:type="dxa"/>
            <w:vAlign w:val="center"/>
          </w:tcPr>
          <w:p w14:paraId="6646517C">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地块1</w:t>
            </w:r>
          </w:p>
        </w:tc>
        <w:tc>
          <w:tcPr>
            <w:tcW w:w="1558" w:type="dxa"/>
            <w:vAlign w:val="center"/>
          </w:tcPr>
          <w:p w14:paraId="1C39927F">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1114.62</w:t>
            </w:r>
          </w:p>
        </w:tc>
        <w:tc>
          <w:tcPr>
            <w:tcW w:w="3911" w:type="dxa"/>
            <w:vAlign w:val="center"/>
          </w:tcPr>
          <w:p w14:paraId="0460CC5C">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东至明登转盘、南至胜利境、西至国道210北至固阳大道</w:t>
            </w:r>
          </w:p>
        </w:tc>
        <w:tc>
          <w:tcPr>
            <w:tcW w:w="0" w:type="auto"/>
            <w:vAlign w:val="center"/>
          </w:tcPr>
          <w:p w14:paraId="1F89F5E7">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1114.62</w:t>
            </w:r>
          </w:p>
        </w:tc>
        <w:tc>
          <w:tcPr>
            <w:tcW w:w="0" w:type="auto"/>
            <w:vAlign w:val="center"/>
          </w:tcPr>
          <w:p w14:paraId="0BA9CDC4">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74981ADC">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7CAFA167">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r>
      <w:tr w14:paraId="480A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14A86EF4">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1899" w:type="dxa"/>
            <w:vMerge w:val="continue"/>
            <w:vAlign w:val="center"/>
          </w:tcPr>
          <w:p w14:paraId="7269D2E4">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3" w:type="dxa"/>
            <w:vMerge w:val="continue"/>
            <w:vAlign w:val="center"/>
          </w:tcPr>
          <w:p w14:paraId="5341D37C">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992" w:type="dxa"/>
            <w:vAlign w:val="center"/>
          </w:tcPr>
          <w:p w14:paraId="0C9AF279">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地块2</w:t>
            </w:r>
          </w:p>
        </w:tc>
        <w:tc>
          <w:tcPr>
            <w:tcW w:w="1558" w:type="dxa"/>
            <w:vAlign w:val="center"/>
          </w:tcPr>
          <w:p w14:paraId="0BA7BCD6">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153.10</w:t>
            </w:r>
          </w:p>
        </w:tc>
        <w:tc>
          <w:tcPr>
            <w:tcW w:w="3911" w:type="dxa"/>
            <w:vAlign w:val="center"/>
          </w:tcPr>
          <w:p w14:paraId="06E2C938">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东至学田会、南至白银合套、西至白银合套，北至省道311</w:t>
            </w:r>
          </w:p>
        </w:tc>
        <w:tc>
          <w:tcPr>
            <w:tcW w:w="0" w:type="auto"/>
            <w:vAlign w:val="center"/>
          </w:tcPr>
          <w:p w14:paraId="7AE44067">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153.10</w:t>
            </w:r>
          </w:p>
        </w:tc>
        <w:tc>
          <w:tcPr>
            <w:tcW w:w="0" w:type="auto"/>
            <w:vAlign w:val="center"/>
          </w:tcPr>
          <w:p w14:paraId="317F44A0">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523930EE">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c>
          <w:tcPr>
            <w:tcW w:w="0" w:type="auto"/>
            <w:vAlign w:val="center"/>
          </w:tcPr>
          <w:p w14:paraId="250F4940">
            <w:pPr>
              <w:widowControl w:val="0"/>
              <w:spacing w:line="240" w:lineRule="auto"/>
              <w:ind w:firstLine="0" w:firstLineChars="0"/>
              <w:jc w:val="center"/>
              <w:rPr>
                <w:rFonts w:ascii="Times New Roman" w:hAnsi="Times New Roman" w:cs="Times New Roman"/>
                <w:color w:val="000000" w:themeColor="text1"/>
                <w:sz w:val="21"/>
                <w:szCs w:val="21"/>
                <w14:textFill>
                  <w14:solidFill>
                    <w14:schemeClr w14:val="tx1"/>
                  </w14:solidFill>
                </w14:textFill>
              </w:rPr>
            </w:pPr>
          </w:p>
        </w:tc>
      </w:tr>
    </w:tbl>
    <w:p w14:paraId="3D40D29A">
      <w:pPr>
        <w:widowControl w:val="0"/>
        <w:ind w:firstLine="480"/>
        <w:rPr>
          <w:rFonts w:cs="Times New Roman"/>
          <w:color w:val="000000" w:themeColor="text1"/>
          <w14:textFill>
            <w14:solidFill>
              <w14:schemeClr w14:val="tx1"/>
            </w14:solidFill>
          </w14:textFill>
        </w:rPr>
        <w:sectPr>
          <w:footerReference r:id="rId14" w:type="default"/>
          <w:pgSz w:w="16838" w:h="11906" w:orient="landscape"/>
          <w:pgMar w:top="1418" w:right="1418" w:bottom="1418" w:left="1418" w:header="850" w:footer="850" w:gutter="0"/>
          <w:cols w:space="720" w:num="1"/>
          <w:docGrid w:linePitch="326" w:charSpace="0"/>
        </w:sectPr>
      </w:pPr>
    </w:p>
    <w:p w14:paraId="62F762ED">
      <w:pPr>
        <w:pStyle w:val="4"/>
        <w:spacing w:before="120" w:after="120"/>
      </w:pPr>
      <w:bookmarkStart w:id="81" w:name="_Toc85444528"/>
      <w:r>
        <w:t>规划年限</w:t>
      </w:r>
      <w:bookmarkEnd w:id="81"/>
    </w:p>
    <w:p w14:paraId="37DF840F">
      <w:pPr>
        <w:widowControl w:val="0"/>
        <w:spacing w:line="336" w:lineRule="auto"/>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包头金山经济开发区于2009年5月开始规划建设园区，园区总体规划最初于2009年提出，规划期限为2009年至2020年。最初总体规划于2013年7月通过了包头</w:t>
      </w:r>
      <w:r>
        <w:rPr>
          <w:rFonts w:hint="eastAsia" w:cs="Times New Roman"/>
          <w:color w:val="000000" w:themeColor="text1"/>
          <w:lang w:eastAsia="zh-CN"/>
          <w14:textFill>
            <w14:solidFill>
              <w14:schemeClr w14:val="tx1"/>
            </w14:solidFill>
          </w14:textFill>
        </w:rPr>
        <w:t>市规划和自然资源局</w:t>
      </w:r>
      <w:r>
        <w:rPr>
          <w:rFonts w:cs="Times New Roman"/>
          <w:color w:val="000000" w:themeColor="text1"/>
          <w14:textFill>
            <w14:solidFill>
              <w14:schemeClr w14:val="tx1"/>
            </w14:solidFill>
          </w14:textFill>
        </w:rPr>
        <w:t>审查，同年12月在内蒙古自治区住房和城乡建设厅审查时提出将规划期限改为2014年-2020年，2014年5月由包头市人民政府向自治区人民政府提出审批请示，2014年10月《包头金山工业园区总体规划（2014—2020）》获得了内蒙古自治区住房和城乡建设厅正式批复。</w:t>
      </w:r>
    </w:p>
    <w:p w14:paraId="5BECF434">
      <w:pPr>
        <w:widowControl w:val="0"/>
        <w:spacing w:line="336" w:lineRule="auto"/>
        <w:ind w:firstLine="480"/>
        <w:rPr>
          <w:rFonts w:cs="Times New Roman"/>
          <w:b/>
          <w:color w:val="000000" w:themeColor="text1"/>
          <w:sz w:val="28"/>
          <w:szCs w:val="28"/>
          <w14:textFill>
            <w14:solidFill>
              <w14:schemeClr w14:val="tx1"/>
            </w14:solidFill>
          </w14:textFill>
        </w:rPr>
      </w:pPr>
      <w:r>
        <w:rPr>
          <w:rFonts w:cs="Times New Roman"/>
          <w:color w:val="000000" w:themeColor="text1"/>
          <w14:textFill>
            <w14:solidFill>
              <w14:schemeClr w14:val="tx1"/>
            </w14:solidFill>
          </w14:textFill>
        </w:rPr>
        <w:t>目前，《包头金山工业园区总体规划（2014—2020）》规划与客观实际情况有所偏差，已委托中国城市建设研究院有限公司编制完成《包头金山工业园区总体规划（2023—2035）》，对应的规划年限为2023-2035年，即为本次水土保持区域评估对应的评估期。</w:t>
      </w:r>
    </w:p>
    <w:p w14:paraId="7A149233">
      <w:pPr>
        <w:pStyle w:val="4"/>
        <w:spacing w:before="120" w:after="120"/>
      </w:pPr>
      <w:bookmarkStart w:id="82" w:name="_Toc85444529"/>
      <w:r>
        <w:t>进度安排</w:t>
      </w:r>
      <w:bookmarkEnd w:id="82"/>
    </w:p>
    <w:p w14:paraId="06424488">
      <w:pPr>
        <w:widowControl w:val="0"/>
        <w:spacing w:line="336" w:lineRule="auto"/>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包头金山经济开发区截止到2023年11月，</w:t>
      </w:r>
      <w:r>
        <w:rPr>
          <w:rFonts w:hint="eastAsia" w:cs="Times New Roman"/>
          <w:color w:val="000000" w:themeColor="text1"/>
          <w14:textFill>
            <w14:solidFill>
              <w14:schemeClr w14:val="tx1"/>
            </w14:solidFill>
          </w14:textFill>
        </w:rPr>
        <w:t>地块</w:t>
      </w:r>
      <w:r>
        <w:rPr>
          <w:rFonts w:cs="Times New Roman"/>
          <w:color w:val="000000" w:themeColor="text1"/>
          <w14:textFill>
            <w14:solidFill>
              <w14:schemeClr w14:val="tx1"/>
            </w14:solidFill>
          </w14:textFill>
        </w:rPr>
        <w:t>1</w:t>
      </w:r>
      <w:r>
        <w:rPr>
          <w:rFonts w:hint="eastAsia" w:cs="Times New Roman"/>
          <w:color w:val="000000" w:themeColor="text1"/>
          <w14:textFill>
            <w14:solidFill>
              <w14:schemeClr w14:val="tx1"/>
            </w14:solidFill>
          </w14:textFill>
        </w:rPr>
        <w:t>（金山产业园北区）城镇建设区面积</w:t>
      </w:r>
      <w:r>
        <w:rPr>
          <w:rFonts w:cs="Times New Roman"/>
          <w:color w:val="000000" w:themeColor="text1"/>
          <w14:textFill>
            <w14:solidFill>
              <w14:schemeClr w14:val="tx1"/>
            </w14:solidFill>
          </w14:textFill>
        </w:rPr>
        <w:t>1114.62hm²</w:t>
      </w:r>
      <w:r>
        <w:rPr>
          <w:rFonts w:hint="eastAsia" w:cs="Times New Roman"/>
          <w:color w:val="000000" w:themeColor="text1"/>
          <w14:textFill>
            <w14:solidFill>
              <w14:schemeClr w14:val="tx1"/>
            </w14:solidFill>
          </w14:textFill>
        </w:rPr>
        <w:t>，建成区面积</w:t>
      </w:r>
      <w:r>
        <w:rPr>
          <w:rFonts w:cs="Times New Roman"/>
          <w:color w:val="000000" w:themeColor="text1"/>
          <w14:textFill>
            <w14:solidFill>
              <w14:schemeClr w14:val="tx1"/>
            </w14:solidFill>
          </w14:textFill>
        </w:rPr>
        <w:t>798.81hm²</w:t>
      </w:r>
      <w:r>
        <w:rPr>
          <w:rFonts w:hint="eastAsia" w:cs="Times New Roman"/>
          <w:color w:val="000000" w:themeColor="text1"/>
          <w14:textFill>
            <w14:solidFill>
              <w14:schemeClr w14:val="tx1"/>
            </w14:solidFill>
          </w14:textFill>
        </w:rPr>
        <w:t>，未建区面积为</w:t>
      </w:r>
      <w:r>
        <w:rPr>
          <w:rFonts w:cs="Times New Roman"/>
          <w:color w:val="000000" w:themeColor="text1"/>
          <w14:textFill>
            <w14:solidFill>
              <w14:schemeClr w14:val="tx1"/>
            </w14:solidFill>
          </w14:textFill>
        </w:rPr>
        <w:t>315.81hm²</w:t>
      </w:r>
      <w:r>
        <w:rPr>
          <w:rFonts w:hint="eastAsia" w:cs="Times New Roman"/>
          <w:color w:val="000000" w:themeColor="text1"/>
          <w14:textFill>
            <w14:solidFill>
              <w14:schemeClr w14:val="tx1"/>
            </w14:solidFill>
          </w14:textFill>
        </w:rPr>
        <w:t>。地块</w:t>
      </w:r>
      <w:r>
        <w:rPr>
          <w:rFonts w:cs="Times New Roman"/>
          <w:color w:val="000000" w:themeColor="text1"/>
          <w14:textFill>
            <w14:solidFill>
              <w14:schemeClr w14:val="tx1"/>
            </w14:solidFill>
          </w14:textFill>
        </w:rPr>
        <w:t>2</w:t>
      </w:r>
      <w:r>
        <w:rPr>
          <w:rFonts w:hint="eastAsia" w:cs="Times New Roman"/>
          <w:color w:val="000000" w:themeColor="text1"/>
          <w14:textFill>
            <w14:solidFill>
              <w14:schemeClr w14:val="tx1"/>
            </w14:solidFill>
          </w14:textFill>
        </w:rPr>
        <w:t>（下湿壕片区）城镇建设区面积</w:t>
      </w:r>
      <w:r>
        <w:rPr>
          <w:rFonts w:cs="Times New Roman"/>
          <w:color w:val="000000" w:themeColor="text1"/>
          <w14:textFill>
            <w14:solidFill>
              <w14:schemeClr w14:val="tx1"/>
            </w14:solidFill>
          </w14:textFill>
        </w:rPr>
        <w:t>153.10hm²</w:t>
      </w:r>
      <w:r>
        <w:rPr>
          <w:rFonts w:hint="eastAsia" w:cs="Times New Roman"/>
          <w:color w:val="000000" w:themeColor="text1"/>
          <w14:textFill>
            <w14:solidFill>
              <w14:schemeClr w14:val="tx1"/>
            </w14:solidFill>
          </w14:textFill>
        </w:rPr>
        <w:t>，建成区面积</w:t>
      </w:r>
      <w:r>
        <w:rPr>
          <w:rFonts w:cs="Times New Roman"/>
          <w:color w:val="000000" w:themeColor="text1"/>
          <w14:textFill>
            <w14:solidFill>
              <w14:schemeClr w14:val="tx1"/>
            </w14:solidFill>
          </w14:textFill>
        </w:rPr>
        <w:t>153.10hm²</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重点发展新型化工和新兴镁金材料产业；入驻企业项目66个。地块1（金山产业园北区）内规划建设道路12条，长度28.52km，已建25.98km，地块2（下湿壕片区）目前已建道路长度2.02km。园区各类管网，包括污水管网，雨水管网，生活给水管网等基本完成，园区防护绿地建设基本形成；已建供水厂、污水处理厂，变电站等公用设施。计划于2035年完成规划园区的全部建设。</w:t>
      </w:r>
    </w:p>
    <w:p w14:paraId="30DD1A39">
      <w:pPr>
        <w:widowControl w:val="0"/>
        <w:spacing w:line="336" w:lineRule="auto"/>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根据《包头金山工业园区总体规划（2023—2035）》，结合现场踏勘，工程施工进度设计至2035年12月，工程施工总体进度情况见表1-3和1-4。</w:t>
      </w:r>
    </w:p>
    <w:p w14:paraId="721DBA74">
      <w:pPr>
        <w:widowControl w:val="0"/>
        <w:spacing w:line="336" w:lineRule="auto"/>
        <w:ind w:firstLine="480"/>
        <w:rPr>
          <w:rFonts w:cs="Times New Roman"/>
          <w:color w:val="000000" w:themeColor="text1"/>
          <w14:textFill>
            <w14:solidFill>
              <w14:schemeClr w14:val="tx1"/>
            </w14:solidFill>
          </w14:textFill>
        </w:rPr>
        <w:sectPr>
          <w:footerReference r:id="rId15" w:type="default"/>
          <w:pgSz w:w="11906" w:h="16838"/>
          <w:pgMar w:top="1418" w:right="1418" w:bottom="1418" w:left="1418" w:header="850" w:footer="850" w:gutter="0"/>
          <w:cols w:space="720" w:num="1"/>
          <w:docGrid w:linePitch="326" w:charSpace="0"/>
        </w:sectPr>
      </w:pPr>
    </w:p>
    <w:p w14:paraId="0E48E93E">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表1-3                                                                   地块1（金山产业园北区）工程施工进度安排</w:t>
      </w:r>
    </w:p>
    <w:tbl>
      <w:tblPr>
        <w:tblStyle w:val="27"/>
        <w:tblW w:w="5000" w:type="pct"/>
        <w:jc w:val="center"/>
        <w:tblBorders>
          <w:top w:val="double" w:color="000000" w:sz="4" w:space="0"/>
          <w:left w:val="double" w:color="000000" w:sz="4" w:space="0"/>
          <w:bottom w:val="single" w:color="000000" w:sz="4" w:space="0"/>
          <w:right w:val="doub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27"/>
        <w:gridCol w:w="487"/>
        <w:gridCol w:w="487"/>
        <w:gridCol w:w="487"/>
        <w:gridCol w:w="487"/>
        <w:gridCol w:w="487"/>
        <w:gridCol w:w="490"/>
        <w:gridCol w:w="490"/>
        <w:gridCol w:w="476"/>
        <w:gridCol w:w="473"/>
        <w:gridCol w:w="473"/>
        <w:gridCol w:w="476"/>
        <w:gridCol w:w="468"/>
        <w:gridCol w:w="468"/>
        <w:gridCol w:w="468"/>
        <w:gridCol w:w="468"/>
        <w:gridCol w:w="468"/>
        <w:gridCol w:w="459"/>
        <w:gridCol w:w="460"/>
        <w:gridCol w:w="449"/>
        <w:gridCol w:w="449"/>
        <w:gridCol w:w="449"/>
        <w:gridCol w:w="449"/>
        <w:gridCol w:w="449"/>
        <w:gridCol w:w="449"/>
        <w:gridCol w:w="449"/>
        <w:gridCol w:w="449"/>
        <w:gridCol w:w="441"/>
      </w:tblGrid>
      <w:tr w14:paraId="74A6A054">
        <w:tblPrEx>
          <w:tblBorders>
            <w:top w:val="double" w:color="000000" w:sz="4" w:space="0"/>
            <w:left w:val="double" w:color="000000" w:sz="4" w:space="0"/>
            <w:bottom w:val="sing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jc w:val="center"/>
        </w:trPr>
        <w:tc>
          <w:tcPr>
            <w:tcW w:w="509" w:type="pct"/>
            <w:tcBorders>
              <w:top w:val="single" w:color="auto" w:sz="12" w:space="0"/>
              <w:left w:val="single" w:color="auto" w:sz="12" w:space="0"/>
              <w:bottom w:val="double" w:color="auto" w:sz="4" w:space="0"/>
            </w:tcBorders>
            <w:tcMar>
              <w:top w:w="12" w:type="dxa"/>
              <w:left w:w="12" w:type="dxa"/>
              <w:right w:w="12" w:type="dxa"/>
            </w:tcMar>
            <w:vAlign w:val="center"/>
          </w:tcPr>
          <w:p w14:paraId="14FB64C7">
            <w:pPr>
              <w:pStyle w:val="33"/>
              <w:rPr>
                <w:b/>
                <w:color w:val="000000" w:themeColor="text1"/>
                <w14:textFill>
                  <w14:solidFill>
                    <w14:schemeClr w14:val="tx1"/>
                  </w14:solidFill>
                </w14:textFill>
              </w:rPr>
            </w:pPr>
            <w:r>
              <w:rPr>
                <w:color w:val="000000" w:themeColor="text1"/>
                <w:lang w:bidi="ar"/>
                <w14:textFill>
                  <w14:solidFill>
                    <w14:schemeClr w14:val="tx1"/>
                  </w14:solidFill>
                </w14:textFill>
              </w:rPr>
              <w:t>施工内容</w:t>
            </w:r>
          </w:p>
        </w:tc>
        <w:tc>
          <w:tcPr>
            <w:tcW w:w="174" w:type="pct"/>
            <w:tcBorders>
              <w:top w:val="single" w:color="auto" w:sz="12" w:space="0"/>
              <w:bottom w:val="double" w:color="auto" w:sz="4" w:space="0"/>
            </w:tcBorders>
          </w:tcPr>
          <w:p w14:paraId="0484B436">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2009年</w:t>
            </w:r>
          </w:p>
        </w:tc>
        <w:tc>
          <w:tcPr>
            <w:tcW w:w="174" w:type="pct"/>
            <w:tcBorders>
              <w:top w:val="single" w:color="auto" w:sz="12" w:space="0"/>
              <w:bottom w:val="double" w:color="auto" w:sz="4" w:space="0"/>
            </w:tcBorders>
          </w:tcPr>
          <w:p w14:paraId="23B65E61">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2010年</w:t>
            </w:r>
          </w:p>
        </w:tc>
        <w:tc>
          <w:tcPr>
            <w:tcW w:w="174" w:type="pct"/>
            <w:tcBorders>
              <w:top w:val="single" w:color="auto" w:sz="12" w:space="0"/>
              <w:bottom w:val="double" w:color="auto" w:sz="4" w:space="0"/>
            </w:tcBorders>
          </w:tcPr>
          <w:p w14:paraId="7C697D04">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2011年</w:t>
            </w:r>
          </w:p>
        </w:tc>
        <w:tc>
          <w:tcPr>
            <w:tcW w:w="174" w:type="pct"/>
            <w:tcBorders>
              <w:top w:val="single" w:color="auto" w:sz="12" w:space="0"/>
              <w:bottom w:val="double" w:color="auto" w:sz="4" w:space="0"/>
            </w:tcBorders>
          </w:tcPr>
          <w:p w14:paraId="0F92802D">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2012年</w:t>
            </w:r>
          </w:p>
        </w:tc>
        <w:tc>
          <w:tcPr>
            <w:tcW w:w="174" w:type="pct"/>
            <w:tcBorders>
              <w:top w:val="single" w:color="auto" w:sz="12" w:space="0"/>
              <w:bottom w:val="double" w:color="auto" w:sz="4" w:space="0"/>
            </w:tcBorders>
          </w:tcPr>
          <w:p w14:paraId="6B41BD79">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2013年</w:t>
            </w:r>
          </w:p>
        </w:tc>
        <w:tc>
          <w:tcPr>
            <w:tcW w:w="175" w:type="pct"/>
            <w:tcBorders>
              <w:top w:val="single" w:color="auto" w:sz="12" w:space="0"/>
              <w:bottom w:val="double" w:color="auto" w:sz="4" w:space="0"/>
            </w:tcBorders>
          </w:tcPr>
          <w:p w14:paraId="4AAACFBC">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2014年</w:t>
            </w:r>
          </w:p>
        </w:tc>
        <w:tc>
          <w:tcPr>
            <w:tcW w:w="175" w:type="pct"/>
            <w:tcBorders>
              <w:top w:val="single" w:color="auto" w:sz="12" w:space="0"/>
              <w:bottom w:val="double" w:color="auto" w:sz="4" w:space="0"/>
            </w:tcBorders>
            <w:tcMar>
              <w:top w:w="12" w:type="dxa"/>
              <w:left w:w="12" w:type="dxa"/>
              <w:right w:w="12" w:type="dxa"/>
            </w:tcMar>
            <w:vAlign w:val="center"/>
          </w:tcPr>
          <w:p w14:paraId="79A50500">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2015年</w:t>
            </w:r>
          </w:p>
        </w:tc>
        <w:tc>
          <w:tcPr>
            <w:tcW w:w="170" w:type="pct"/>
            <w:tcBorders>
              <w:top w:val="single" w:color="auto" w:sz="12" w:space="0"/>
              <w:bottom w:val="double" w:color="auto" w:sz="4" w:space="0"/>
            </w:tcBorders>
            <w:tcMar>
              <w:top w:w="12" w:type="dxa"/>
              <w:left w:w="12" w:type="dxa"/>
              <w:right w:w="12" w:type="dxa"/>
            </w:tcMar>
            <w:vAlign w:val="center"/>
          </w:tcPr>
          <w:p w14:paraId="60BB9C5C">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2016年</w:t>
            </w:r>
          </w:p>
        </w:tc>
        <w:tc>
          <w:tcPr>
            <w:tcW w:w="169" w:type="pct"/>
            <w:tcBorders>
              <w:top w:val="single" w:color="auto" w:sz="12" w:space="0"/>
              <w:bottom w:val="double" w:color="auto" w:sz="4" w:space="0"/>
            </w:tcBorders>
            <w:tcMar>
              <w:top w:w="12" w:type="dxa"/>
              <w:left w:w="12" w:type="dxa"/>
              <w:right w:w="12" w:type="dxa"/>
            </w:tcMar>
            <w:vAlign w:val="center"/>
          </w:tcPr>
          <w:p w14:paraId="7CDE8738">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2017年</w:t>
            </w:r>
          </w:p>
        </w:tc>
        <w:tc>
          <w:tcPr>
            <w:tcW w:w="169" w:type="pct"/>
            <w:tcBorders>
              <w:top w:val="single" w:color="auto" w:sz="12" w:space="0"/>
              <w:bottom w:val="double" w:color="auto" w:sz="4" w:space="0"/>
            </w:tcBorders>
            <w:tcMar>
              <w:top w:w="12" w:type="dxa"/>
              <w:left w:w="12" w:type="dxa"/>
              <w:right w:w="12" w:type="dxa"/>
            </w:tcMar>
            <w:vAlign w:val="center"/>
          </w:tcPr>
          <w:p w14:paraId="425BB61A">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2018年</w:t>
            </w:r>
          </w:p>
        </w:tc>
        <w:tc>
          <w:tcPr>
            <w:tcW w:w="170" w:type="pct"/>
            <w:tcBorders>
              <w:top w:val="single" w:color="auto" w:sz="12" w:space="0"/>
              <w:bottom w:val="double" w:color="auto" w:sz="4" w:space="0"/>
            </w:tcBorders>
            <w:tcMar>
              <w:top w:w="12" w:type="dxa"/>
              <w:left w:w="12" w:type="dxa"/>
              <w:right w:w="12" w:type="dxa"/>
            </w:tcMar>
            <w:vAlign w:val="center"/>
          </w:tcPr>
          <w:p w14:paraId="04C06B50">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2019年</w:t>
            </w:r>
          </w:p>
        </w:tc>
        <w:tc>
          <w:tcPr>
            <w:tcW w:w="167" w:type="pct"/>
            <w:tcBorders>
              <w:top w:val="single" w:color="auto" w:sz="12" w:space="0"/>
              <w:bottom w:val="double" w:color="auto" w:sz="4" w:space="0"/>
            </w:tcBorders>
            <w:vAlign w:val="center"/>
          </w:tcPr>
          <w:p w14:paraId="55BB2702">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2020年</w:t>
            </w:r>
          </w:p>
        </w:tc>
        <w:tc>
          <w:tcPr>
            <w:tcW w:w="167" w:type="pct"/>
            <w:tcBorders>
              <w:top w:val="single" w:color="auto" w:sz="12" w:space="0"/>
              <w:bottom w:val="double" w:color="auto" w:sz="4" w:space="0"/>
            </w:tcBorders>
            <w:vAlign w:val="center"/>
          </w:tcPr>
          <w:p w14:paraId="1A44340D">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2021年</w:t>
            </w:r>
          </w:p>
        </w:tc>
        <w:tc>
          <w:tcPr>
            <w:tcW w:w="167" w:type="pct"/>
            <w:tcBorders>
              <w:top w:val="single" w:color="auto" w:sz="12" w:space="0"/>
              <w:bottom w:val="double" w:color="auto" w:sz="4" w:space="0"/>
            </w:tcBorders>
            <w:vAlign w:val="center"/>
          </w:tcPr>
          <w:p w14:paraId="09E3FD25">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2022年</w:t>
            </w:r>
          </w:p>
        </w:tc>
        <w:tc>
          <w:tcPr>
            <w:tcW w:w="167" w:type="pct"/>
            <w:tcBorders>
              <w:top w:val="single" w:color="auto" w:sz="12" w:space="0"/>
              <w:bottom w:val="double" w:color="auto" w:sz="4" w:space="0"/>
            </w:tcBorders>
            <w:vAlign w:val="center"/>
          </w:tcPr>
          <w:p w14:paraId="14F9E472">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2023年</w:t>
            </w:r>
          </w:p>
        </w:tc>
        <w:tc>
          <w:tcPr>
            <w:tcW w:w="167" w:type="pct"/>
            <w:tcBorders>
              <w:top w:val="single" w:color="auto" w:sz="12" w:space="0"/>
              <w:bottom w:val="double" w:color="auto" w:sz="4" w:space="0"/>
            </w:tcBorders>
            <w:vAlign w:val="center"/>
          </w:tcPr>
          <w:p w14:paraId="744078F3">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2024年</w:t>
            </w:r>
          </w:p>
        </w:tc>
        <w:tc>
          <w:tcPr>
            <w:tcW w:w="164" w:type="pct"/>
            <w:tcBorders>
              <w:top w:val="single" w:color="auto" w:sz="12" w:space="0"/>
              <w:bottom w:val="double" w:color="auto" w:sz="4" w:space="0"/>
              <w:right w:val="single" w:color="auto" w:sz="12" w:space="0"/>
            </w:tcBorders>
            <w:vAlign w:val="center"/>
          </w:tcPr>
          <w:p w14:paraId="3C4D623A">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2025年</w:t>
            </w:r>
          </w:p>
        </w:tc>
        <w:tc>
          <w:tcPr>
            <w:tcW w:w="164" w:type="pct"/>
            <w:tcBorders>
              <w:top w:val="single" w:color="auto" w:sz="12" w:space="0"/>
              <w:bottom w:val="double" w:color="auto" w:sz="4" w:space="0"/>
              <w:right w:val="single" w:color="auto" w:sz="12" w:space="0"/>
            </w:tcBorders>
          </w:tcPr>
          <w:p w14:paraId="72425CB7">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2026年</w:t>
            </w:r>
          </w:p>
        </w:tc>
        <w:tc>
          <w:tcPr>
            <w:tcW w:w="160" w:type="pct"/>
            <w:tcBorders>
              <w:top w:val="single" w:color="auto" w:sz="12" w:space="0"/>
              <w:bottom w:val="double" w:color="auto" w:sz="4" w:space="0"/>
            </w:tcBorders>
          </w:tcPr>
          <w:p w14:paraId="0829CB2D">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2027年</w:t>
            </w:r>
          </w:p>
        </w:tc>
        <w:tc>
          <w:tcPr>
            <w:tcW w:w="160" w:type="pct"/>
            <w:tcBorders>
              <w:top w:val="single" w:color="auto" w:sz="12" w:space="0"/>
              <w:bottom w:val="double" w:color="auto" w:sz="4" w:space="0"/>
            </w:tcBorders>
          </w:tcPr>
          <w:p w14:paraId="72EB1DC0">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2028年</w:t>
            </w:r>
          </w:p>
        </w:tc>
        <w:tc>
          <w:tcPr>
            <w:tcW w:w="160" w:type="pct"/>
            <w:tcBorders>
              <w:top w:val="single" w:color="auto" w:sz="12" w:space="0"/>
              <w:bottom w:val="double" w:color="auto" w:sz="4" w:space="0"/>
            </w:tcBorders>
          </w:tcPr>
          <w:p w14:paraId="747D36F4">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2029年</w:t>
            </w:r>
          </w:p>
        </w:tc>
        <w:tc>
          <w:tcPr>
            <w:tcW w:w="160" w:type="pct"/>
            <w:tcBorders>
              <w:top w:val="single" w:color="auto" w:sz="12" w:space="0"/>
              <w:bottom w:val="double" w:color="auto" w:sz="4" w:space="0"/>
            </w:tcBorders>
          </w:tcPr>
          <w:p w14:paraId="5DB0C81A">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2030年</w:t>
            </w:r>
          </w:p>
        </w:tc>
        <w:tc>
          <w:tcPr>
            <w:tcW w:w="160" w:type="pct"/>
            <w:tcBorders>
              <w:top w:val="single" w:color="auto" w:sz="12" w:space="0"/>
              <w:bottom w:val="double" w:color="auto" w:sz="4" w:space="0"/>
            </w:tcBorders>
          </w:tcPr>
          <w:p w14:paraId="0C080FF7">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2031年</w:t>
            </w:r>
          </w:p>
        </w:tc>
        <w:tc>
          <w:tcPr>
            <w:tcW w:w="160" w:type="pct"/>
            <w:tcBorders>
              <w:top w:val="single" w:color="auto" w:sz="12" w:space="0"/>
              <w:bottom w:val="double" w:color="auto" w:sz="4" w:space="0"/>
            </w:tcBorders>
          </w:tcPr>
          <w:p w14:paraId="63A6ACB2">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2032年</w:t>
            </w:r>
          </w:p>
        </w:tc>
        <w:tc>
          <w:tcPr>
            <w:tcW w:w="160" w:type="pct"/>
            <w:tcBorders>
              <w:top w:val="single" w:color="auto" w:sz="12" w:space="0"/>
              <w:bottom w:val="double" w:color="auto" w:sz="4" w:space="0"/>
            </w:tcBorders>
          </w:tcPr>
          <w:p w14:paraId="4BD549D3">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2033年</w:t>
            </w:r>
          </w:p>
        </w:tc>
        <w:tc>
          <w:tcPr>
            <w:tcW w:w="160" w:type="pct"/>
            <w:tcBorders>
              <w:top w:val="single" w:color="auto" w:sz="12" w:space="0"/>
              <w:bottom w:val="double" w:color="auto" w:sz="4" w:space="0"/>
            </w:tcBorders>
          </w:tcPr>
          <w:p w14:paraId="2E94CADA">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2034年</w:t>
            </w:r>
          </w:p>
        </w:tc>
        <w:tc>
          <w:tcPr>
            <w:tcW w:w="157" w:type="pct"/>
            <w:tcBorders>
              <w:top w:val="single" w:color="auto" w:sz="12" w:space="0"/>
              <w:bottom w:val="double" w:color="auto" w:sz="4" w:space="0"/>
              <w:right w:val="single" w:color="auto" w:sz="12" w:space="0"/>
            </w:tcBorders>
          </w:tcPr>
          <w:p w14:paraId="6226879F">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2035年</w:t>
            </w:r>
          </w:p>
        </w:tc>
      </w:tr>
      <w:tr w14:paraId="5DFD2826">
        <w:tblPrEx>
          <w:tblBorders>
            <w:top w:val="double" w:color="000000" w:sz="4" w:space="0"/>
            <w:left w:val="double" w:color="000000" w:sz="4" w:space="0"/>
            <w:bottom w:val="sing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09" w:type="pct"/>
            <w:tcBorders>
              <w:top w:val="double" w:color="auto" w:sz="4" w:space="0"/>
              <w:left w:val="single" w:color="auto" w:sz="12" w:space="0"/>
            </w:tcBorders>
            <w:shd w:val="clear" w:color="auto" w:fill="auto"/>
            <w:tcMar>
              <w:top w:w="12" w:type="dxa"/>
              <w:left w:w="12" w:type="dxa"/>
              <w:right w:w="12" w:type="dxa"/>
            </w:tcMar>
            <w:vAlign w:val="center"/>
          </w:tcPr>
          <w:p w14:paraId="43903F7E">
            <w:pPr>
              <w:pStyle w:val="33"/>
              <w:rPr>
                <w:color w:val="000000" w:themeColor="text1"/>
                <w14:textFill>
                  <w14:solidFill>
                    <w14:schemeClr w14:val="tx1"/>
                  </w14:solidFill>
                </w14:textFill>
              </w:rPr>
            </w:pPr>
            <w:r>
              <w:rPr>
                <w:color w:val="000000" w:themeColor="text1"/>
                <w14:textFill>
                  <w14:solidFill>
                    <w14:schemeClr w14:val="tx1"/>
                  </w14:solidFill>
                </w14:textFill>
              </w:rPr>
              <w:t>公共管理与公共服务用地</w:t>
            </w:r>
          </w:p>
        </w:tc>
        <w:tc>
          <w:tcPr>
            <w:tcW w:w="174" w:type="pct"/>
            <w:tcBorders>
              <w:top w:val="double" w:color="auto" w:sz="4" w:space="0"/>
              <w:bottom w:val="single" w:color="000000" w:sz="4" w:space="0"/>
            </w:tcBorders>
            <w:shd w:val="clear" w:color="auto" w:fill="auto"/>
            <w:vAlign w:val="center"/>
          </w:tcPr>
          <w:p w14:paraId="0E3744CF">
            <w:pPr>
              <w:pStyle w:val="33"/>
              <w:rPr>
                <w:color w:val="000000" w:themeColor="text1"/>
                <w14:textFill>
                  <w14:solidFill>
                    <w14:schemeClr w14:val="tx1"/>
                  </w14:solidFill>
                </w14:textFill>
              </w:rPr>
            </w:pPr>
          </w:p>
        </w:tc>
        <w:tc>
          <w:tcPr>
            <w:tcW w:w="174" w:type="pct"/>
            <w:tcBorders>
              <w:top w:val="double" w:color="auto" w:sz="4" w:space="0"/>
              <w:bottom w:val="single" w:color="000000" w:sz="4" w:space="0"/>
            </w:tcBorders>
            <w:shd w:val="clear" w:color="auto" w:fill="auto"/>
            <w:vAlign w:val="center"/>
          </w:tcPr>
          <w:p w14:paraId="23034E2C">
            <w:pPr>
              <w:pStyle w:val="33"/>
              <w:rPr>
                <w:color w:val="000000" w:themeColor="text1"/>
                <w14:textFill>
                  <w14:solidFill>
                    <w14:schemeClr w14:val="tx1"/>
                  </w14:solidFill>
                </w14:textFill>
              </w:rPr>
            </w:pPr>
          </w:p>
        </w:tc>
        <w:tc>
          <w:tcPr>
            <w:tcW w:w="174" w:type="pct"/>
            <w:tcBorders>
              <w:top w:val="double" w:color="auto" w:sz="4" w:space="0"/>
              <w:bottom w:val="single" w:color="000000" w:sz="4" w:space="0"/>
            </w:tcBorders>
            <w:shd w:val="clear" w:color="auto" w:fill="auto"/>
            <w:vAlign w:val="center"/>
          </w:tcPr>
          <w:p w14:paraId="2BEB43BF">
            <w:pPr>
              <w:pStyle w:val="33"/>
              <w:rPr>
                <w:color w:val="000000" w:themeColor="text1"/>
                <w14:textFill>
                  <w14:solidFill>
                    <w14:schemeClr w14:val="tx1"/>
                  </w14:solidFill>
                </w14:textFill>
              </w:rPr>
            </w:pPr>
          </w:p>
        </w:tc>
        <w:tc>
          <w:tcPr>
            <w:tcW w:w="174" w:type="pct"/>
            <w:tcBorders>
              <w:top w:val="double" w:color="auto" w:sz="4" w:space="0"/>
              <w:bottom w:val="single" w:color="000000" w:sz="4" w:space="0"/>
            </w:tcBorders>
            <w:shd w:val="clear" w:color="auto" w:fill="92D050"/>
            <w:vAlign w:val="center"/>
          </w:tcPr>
          <w:p w14:paraId="6058B62A">
            <w:pPr>
              <w:pStyle w:val="33"/>
              <w:rPr>
                <w:color w:val="000000" w:themeColor="text1"/>
                <w14:textFill>
                  <w14:solidFill>
                    <w14:schemeClr w14:val="tx1"/>
                  </w14:solidFill>
                </w14:textFill>
              </w:rPr>
            </w:pPr>
          </w:p>
        </w:tc>
        <w:tc>
          <w:tcPr>
            <w:tcW w:w="174" w:type="pct"/>
            <w:tcBorders>
              <w:top w:val="double" w:color="auto" w:sz="4" w:space="0"/>
              <w:bottom w:val="single" w:color="000000" w:sz="4" w:space="0"/>
            </w:tcBorders>
            <w:shd w:val="clear" w:color="auto" w:fill="92D050"/>
            <w:vAlign w:val="center"/>
          </w:tcPr>
          <w:p w14:paraId="28087F86">
            <w:pPr>
              <w:pStyle w:val="33"/>
              <w:rPr>
                <w:color w:val="000000" w:themeColor="text1"/>
                <w14:textFill>
                  <w14:solidFill>
                    <w14:schemeClr w14:val="tx1"/>
                  </w14:solidFill>
                </w14:textFill>
              </w:rPr>
            </w:pPr>
          </w:p>
        </w:tc>
        <w:tc>
          <w:tcPr>
            <w:tcW w:w="175" w:type="pct"/>
            <w:tcBorders>
              <w:top w:val="double" w:color="auto" w:sz="4" w:space="0"/>
            </w:tcBorders>
            <w:shd w:val="clear" w:color="auto" w:fill="auto"/>
            <w:vAlign w:val="center"/>
          </w:tcPr>
          <w:p w14:paraId="02716FF7">
            <w:pPr>
              <w:pStyle w:val="33"/>
              <w:rPr>
                <w:color w:val="000000" w:themeColor="text1"/>
                <w14:textFill>
                  <w14:solidFill>
                    <w14:schemeClr w14:val="tx1"/>
                  </w14:solidFill>
                </w14:textFill>
              </w:rPr>
            </w:pPr>
          </w:p>
        </w:tc>
        <w:tc>
          <w:tcPr>
            <w:tcW w:w="175" w:type="pct"/>
            <w:tcBorders>
              <w:top w:val="double" w:color="auto" w:sz="4" w:space="0"/>
            </w:tcBorders>
            <w:shd w:val="clear" w:color="auto" w:fill="auto"/>
            <w:tcMar>
              <w:top w:w="12" w:type="dxa"/>
              <w:left w:w="12" w:type="dxa"/>
              <w:right w:w="12" w:type="dxa"/>
            </w:tcMar>
            <w:vAlign w:val="center"/>
          </w:tcPr>
          <w:p w14:paraId="14DE783D">
            <w:pPr>
              <w:pStyle w:val="33"/>
              <w:rPr>
                <w:color w:val="000000" w:themeColor="text1"/>
                <w14:textFill>
                  <w14:solidFill>
                    <w14:schemeClr w14:val="tx1"/>
                  </w14:solidFill>
                </w14:textFill>
              </w:rPr>
            </w:pPr>
          </w:p>
        </w:tc>
        <w:tc>
          <w:tcPr>
            <w:tcW w:w="170" w:type="pct"/>
            <w:tcBorders>
              <w:top w:val="double" w:color="auto" w:sz="4" w:space="0"/>
            </w:tcBorders>
            <w:shd w:val="clear" w:color="auto" w:fill="auto"/>
            <w:tcMar>
              <w:top w:w="12" w:type="dxa"/>
              <w:left w:w="12" w:type="dxa"/>
              <w:right w:w="12" w:type="dxa"/>
            </w:tcMar>
            <w:vAlign w:val="center"/>
          </w:tcPr>
          <w:p w14:paraId="27F0D6C6">
            <w:pPr>
              <w:pStyle w:val="33"/>
              <w:rPr>
                <w:color w:val="000000" w:themeColor="text1"/>
                <w14:textFill>
                  <w14:solidFill>
                    <w14:schemeClr w14:val="tx1"/>
                  </w14:solidFill>
                </w14:textFill>
              </w:rPr>
            </w:pPr>
          </w:p>
        </w:tc>
        <w:tc>
          <w:tcPr>
            <w:tcW w:w="169" w:type="pct"/>
            <w:tcBorders>
              <w:top w:val="double" w:color="auto" w:sz="4" w:space="0"/>
            </w:tcBorders>
            <w:shd w:val="clear" w:color="auto" w:fill="auto"/>
            <w:tcMar>
              <w:top w:w="12" w:type="dxa"/>
              <w:left w:w="12" w:type="dxa"/>
              <w:right w:w="12" w:type="dxa"/>
            </w:tcMar>
            <w:vAlign w:val="center"/>
          </w:tcPr>
          <w:p w14:paraId="03FB352A">
            <w:pPr>
              <w:pStyle w:val="33"/>
              <w:rPr>
                <w:color w:val="000000" w:themeColor="text1"/>
                <w14:textFill>
                  <w14:solidFill>
                    <w14:schemeClr w14:val="tx1"/>
                  </w14:solidFill>
                </w14:textFill>
              </w:rPr>
            </w:pPr>
          </w:p>
        </w:tc>
        <w:tc>
          <w:tcPr>
            <w:tcW w:w="169" w:type="pct"/>
            <w:tcBorders>
              <w:top w:val="double" w:color="auto" w:sz="4" w:space="0"/>
            </w:tcBorders>
            <w:shd w:val="clear" w:color="auto" w:fill="auto"/>
            <w:tcMar>
              <w:top w:w="12" w:type="dxa"/>
              <w:left w:w="12" w:type="dxa"/>
              <w:right w:w="12" w:type="dxa"/>
            </w:tcMar>
            <w:vAlign w:val="center"/>
          </w:tcPr>
          <w:p w14:paraId="216B4721">
            <w:pPr>
              <w:pStyle w:val="33"/>
              <w:rPr>
                <w:color w:val="000000" w:themeColor="text1"/>
                <w14:textFill>
                  <w14:solidFill>
                    <w14:schemeClr w14:val="tx1"/>
                  </w14:solidFill>
                </w14:textFill>
              </w:rPr>
            </w:pPr>
          </w:p>
        </w:tc>
        <w:tc>
          <w:tcPr>
            <w:tcW w:w="170" w:type="pct"/>
            <w:tcBorders>
              <w:top w:val="double" w:color="auto" w:sz="4" w:space="0"/>
            </w:tcBorders>
            <w:shd w:val="clear" w:color="auto" w:fill="auto"/>
            <w:tcMar>
              <w:top w:w="12" w:type="dxa"/>
              <w:left w:w="12" w:type="dxa"/>
              <w:right w:w="12" w:type="dxa"/>
            </w:tcMar>
            <w:vAlign w:val="center"/>
          </w:tcPr>
          <w:p w14:paraId="3280B2A4">
            <w:pPr>
              <w:pStyle w:val="33"/>
              <w:rPr>
                <w:color w:val="000000" w:themeColor="text1"/>
                <w14:textFill>
                  <w14:solidFill>
                    <w14:schemeClr w14:val="tx1"/>
                  </w14:solidFill>
                </w14:textFill>
              </w:rPr>
            </w:pPr>
          </w:p>
        </w:tc>
        <w:tc>
          <w:tcPr>
            <w:tcW w:w="167" w:type="pct"/>
            <w:tcBorders>
              <w:top w:val="double" w:color="auto" w:sz="4" w:space="0"/>
            </w:tcBorders>
            <w:shd w:val="clear" w:color="auto" w:fill="auto"/>
            <w:vAlign w:val="center"/>
          </w:tcPr>
          <w:p w14:paraId="218BBBB8">
            <w:pPr>
              <w:pStyle w:val="33"/>
              <w:rPr>
                <w:color w:val="000000" w:themeColor="text1"/>
                <w14:textFill>
                  <w14:solidFill>
                    <w14:schemeClr w14:val="tx1"/>
                  </w14:solidFill>
                </w14:textFill>
              </w:rPr>
            </w:pPr>
          </w:p>
        </w:tc>
        <w:tc>
          <w:tcPr>
            <w:tcW w:w="167" w:type="pct"/>
            <w:tcBorders>
              <w:top w:val="double" w:color="auto" w:sz="4" w:space="0"/>
            </w:tcBorders>
            <w:shd w:val="clear" w:color="auto" w:fill="auto"/>
            <w:vAlign w:val="center"/>
          </w:tcPr>
          <w:p w14:paraId="29B081C6">
            <w:pPr>
              <w:pStyle w:val="33"/>
              <w:rPr>
                <w:color w:val="000000" w:themeColor="text1"/>
                <w14:textFill>
                  <w14:solidFill>
                    <w14:schemeClr w14:val="tx1"/>
                  </w14:solidFill>
                </w14:textFill>
              </w:rPr>
            </w:pPr>
          </w:p>
        </w:tc>
        <w:tc>
          <w:tcPr>
            <w:tcW w:w="167" w:type="pct"/>
            <w:tcBorders>
              <w:top w:val="double" w:color="auto" w:sz="4" w:space="0"/>
            </w:tcBorders>
            <w:shd w:val="clear" w:color="auto" w:fill="auto"/>
            <w:vAlign w:val="center"/>
          </w:tcPr>
          <w:p w14:paraId="27AC4697">
            <w:pPr>
              <w:pStyle w:val="33"/>
              <w:rPr>
                <w:color w:val="000000" w:themeColor="text1"/>
                <w14:textFill>
                  <w14:solidFill>
                    <w14:schemeClr w14:val="tx1"/>
                  </w14:solidFill>
                </w14:textFill>
              </w:rPr>
            </w:pPr>
          </w:p>
        </w:tc>
        <w:tc>
          <w:tcPr>
            <w:tcW w:w="167" w:type="pct"/>
            <w:tcBorders>
              <w:top w:val="double" w:color="auto" w:sz="4" w:space="0"/>
              <w:bottom w:val="single" w:color="000000" w:sz="4" w:space="0"/>
            </w:tcBorders>
            <w:shd w:val="clear" w:color="auto" w:fill="auto"/>
            <w:vAlign w:val="center"/>
          </w:tcPr>
          <w:p w14:paraId="112D084E">
            <w:pPr>
              <w:pStyle w:val="33"/>
              <w:rPr>
                <w:color w:val="000000" w:themeColor="text1"/>
                <w14:textFill>
                  <w14:solidFill>
                    <w14:schemeClr w14:val="tx1"/>
                  </w14:solidFill>
                </w14:textFill>
              </w:rPr>
            </w:pPr>
          </w:p>
        </w:tc>
        <w:tc>
          <w:tcPr>
            <w:tcW w:w="167" w:type="pct"/>
            <w:tcBorders>
              <w:top w:val="double" w:color="auto" w:sz="4" w:space="0"/>
              <w:bottom w:val="single" w:color="000000" w:sz="4" w:space="0"/>
            </w:tcBorders>
            <w:shd w:val="clear" w:color="auto" w:fill="auto"/>
            <w:vAlign w:val="center"/>
          </w:tcPr>
          <w:p w14:paraId="11C3210E">
            <w:pPr>
              <w:pStyle w:val="33"/>
              <w:rPr>
                <w:color w:val="000000" w:themeColor="text1"/>
                <w14:textFill>
                  <w14:solidFill>
                    <w14:schemeClr w14:val="tx1"/>
                  </w14:solidFill>
                </w14:textFill>
              </w:rPr>
            </w:pPr>
          </w:p>
        </w:tc>
        <w:tc>
          <w:tcPr>
            <w:tcW w:w="164" w:type="pct"/>
            <w:tcBorders>
              <w:top w:val="double" w:color="auto" w:sz="4" w:space="0"/>
              <w:bottom w:val="single" w:color="000000" w:sz="4" w:space="0"/>
              <w:right w:val="single" w:color="auto" w:sz="12" w:space="0"/>
            </w:tcBorders>
            <w:shd w:val="clear" w:color="auto" w:fill="auto"/>
            <w:vAlign w:val="center"/>
          </w:tcPr>
          <w:p w14:paraId="218920A5">
            <w:pPr>
              <w:pStyle w:val="33"/>
              <w:rPr>
                <w:color w:val="000000" w:themeColor="text1"/>
                <w14:textFill>
                  <w14:solidFill>
                    <w14:schemeClr w14:val="tx1"/>
                  </w14:solidFill>
                </w14:textFill>
              </w:rPr>
            </w:pPr>
          </w:p>
        </w:tc>
        <w:tc>
          <w:tcPr>
            <w:tcW w:w="164" w:type="pct"/>
            <w:tcBorders>
              <w:top w:val="double" w:color="auto" w:sz="4" w:space="0"/>
              <w:bottom w:val="single" w:color="000000" w:sz="4" w:space="0"/>
              <w:right w:val="single" w:color="auto" w:sz="12" w:space="0"/>
            </w:tcBorders>
          </w:tcPr>
          <w:p w14:paraId="5F5477F9">
            <w:pPr>
              <w:pStyle w:val="33"/>
              <w:rPr>
                <w:color w:val="000000" w:themeColor="text1"/>
                <w14:textFill>
                  <w14:solidFill>
                    <w14:schemeClr w14:val="tx1"/>
                  </w14:solidFill>
                </w14:textFill>
              </w:rPr>
            </w:pPr>
          </w:p>
        </w:tc>
        <w:tc>
          <w:tcPr>
            <w:tcW w:w="160" w:type="pct"/>
            <w:tcBorders>
              <w:top w:val="double" w:color="auto" w:sz="4" w:space="0"/>
              <w:bottom w:val="single" w:color="000000" w:sz="4" w:space="0"/>
            </w:tcBorders>
          </w:tcPr>
          <w:p w14:paraId="02B7C587">
            <w:pPr>
              <w:pStyle w:val="33"/>
              <w:rPr>
                <w:color w:val="000000" w:themeColor="text1"/>
                <w14:textFill>
                  <w14:solidFill>
                    <w14:schemeClr w14:val="tx1"/>
                  </w14:solidFill>
                </w14:textFill>
              </w:rPr>
            </w:pPr>
          </w:p>
        </w:tc>
        <w:tc>
          <w:tcPr>
            <w:tcW w:w="160" w:type="pct"/>
            <w:tcBorders>
              <w:top w:val="double" w:color="auto" w:sz="4" w:space="0"/>
              <w:bottom w:val="single" w:color="000000" w:sz="4" w:space="0"/>
            </w:tcBorders>
          </w:tcPr>
          <w:p w14:paraId="3775E3F0">
            <w:pPr>
              <w:pStyle w:val="33"/>
              <w:rPr>
                <w:color w:val="000000" w:themeColor="text1"/>
                <w14:textFill>
                  <w14:solidFill>
                    <w14:schemeClr w14:val="tx1"/>
                  </w14:solidFill>
                </w14:textFill>
              </w:rPr>
            </w:pPr>
          </w:p>
        </w:tc>
        <w:tc>
          <w:tcPr>
            <w:tcW w:w="160" w:type="pct"/>
            <w:tcBorders>
              <w:top w:val="double" w:color="auto" w:sz="4" w:space="0"/>
              <w:bottom w:val="single" w:color="000000" w:sz="4" w:space="0"/>
            </w:tcBorders>
          </w:tcPr>
          <w:p w14:paraId="5FC38A7D">
            <w:pPr>
              <w:pStyle w:val="33"/>
              <w:rPr>
                <w:color w:val="000000" w:themeColor="text1"/>
                <w14:textFill>
                  <w14:solidFill>
                    <w14:schemeClr w14:val="tx1"/>
                  </w14:solidFill>
                </w14:textFill>
              </w:rPr>
            </w:pPr>
          </w:p>
        </w:tc>
        <w:tc>
          <w:tcPr>
            <w:tcW w:w="160" w:type="pct"/>
            <w:tcBorders>
              <w:top w:val="double" w:color="auto" w:sz="4" w:space="0"/>
              <w:bottom w:val="single" w:color="000000" w:sz="4" w:space="0"/>
            </w:tcBorders>
          </w:tcPr>
          <w:p w14:paraId="7321C15D">
            <w:pPr>
              <w:pStyle w:val="33"/>
              <w:rPr>
                <w:color w:val="000000" w:themeColor="text1"/>
                <w14:textFill>
                  <w14:solidFill>
                    <w14:schemeClr w14:val="tx1"/>
                  </w14:solidFill>
                </w14:textFill>
              </w:rPr>
            </w:pPr>
          </w:p>
        </w:tc>
        <w:tc>
          <w:tcPr>
            <w:tcW w:w="160" w:type="pct"/>
            <w:tcBorders>
              <w:top w:val="double" w:color="auto" w:sz="4" w:space="0"/>
              <w:bottom w:val="single" w:color="000000" w:sz="4" w:space="0"/>
            </w:tcBorders>
          </w:tcPr>
          <w:p w14:paraId="7EADE7A5">
            <w:pPr>
              <w:pStyle w:val="33"/>
              <w:rPr>
                <w:color w:val="000000" w:themeColor="text1"/>
                <w14:textFill>
                  <w14:solidFill>
                    <w14:schemeClr w14:val="tx1"/>
                  </w14:solidFill>
                </w14:textFill>
              </w:rPr>
            </w:pPr>
          </w:p>
        </w:tc>
        <w:tc>
          <w:tcPr>
            <w:tcW w:w="160" w:type="pct"/>
            <w:tcBorders>
              <w:top w:val="double" w:color="auto" w:sz="4" w:space="0"/>
              <w:bottom w:val="single" w:color="000000" w:sz="4" w:space="0"/>
            </w:tcBorders>
          </w:tcPr>
          <w:p w14:paraId="38E79FF9">
            <w:pPr>
              <w:pStyle w:val="33"/>
              <w:rPr>
                <w:color w:val="000000" w:themeColor="text1"/>
                <w14:textFill>
                  <w14:solidFill>
                    <w14:schemeClr w14:val="tx1"/>
                  </w14:solidFill>
                </w14:textFill>
              </w:rPr>
            </w:pPr>
          </w:p>
        </w:tc>
        <w:tc>
          <w:tcPr>
            <w:tcW w:w="160" w:type="pct"/>
            <w:tcBorders>
              <w:top w:val="double" w:color="auto" w:sz="4" w:space="0"/>
              <w:bottom w:val="single" w:color="000000" w:sz="4" w:space="0"/>
            </w:tcBorders>
          </w:tcPr>
          <w:p w14:paraId="1347AC6B">
            <w:pPr>
              <w:pStyle w:val="33"/>
              <w:rPr>
                <w:color w:val="000000" w:themeColor="text1"/>
                <w14:textFill>
                  <w14:solidFill>
                    <w14:schemeClr w14:val="tx1"/>
                  </w14:solidFill>
                </w14:textFill>
              </w:rPr>
            </w:pPr>
          </w:p>
        </w:tc>
        <w:tc>
          <w:tcPr>
            <w:tcW w:w="160" w:type="pct"/>
            <w:tcBorders>
              <w:top w:val="double" w:color="auto" w:sz="4" w:space="0"/>
              <w:bottom w:val="single" w:color="000000" w:sz="4" w:space="0"/>
            </w:tcBorders>
          </w:tcPr>
          <w:p w14:paraId="1FA60335">
            <w:pPr>
              <w:pStyle w:val="33"/>
              <w:rPr>
                <w:color w:val="000000" w:themeColor="text1"/>
                <w14:textFill>
                  <w14:solidFill>
                    <w14:schemeClr w14:val="tx1"/>
                  </w14:solidFill>
                </w14:textFill>
              </w:rPr>
            </w:pPr>
          </w:p>
        </w:tc>
        <w:tc>
          <w:tcPr>
            <w:tcW w:w="157" w:type="pct"/>
            <w:tcBorders>
              <w:top w:val="double" w:color="auto" w:sz="4" w:space="0"/>
              <w:bottom w:val="single" w:color="000000" w:sz="4" w:space="0"/>
              <w:right w:val="single" w:color="auto" w:sz="12" w:space="0"/>
            </w:tcBorders>
          </w:tcPr>
          <w:p w14:paraId="1689C797">
            <w:pPr>
              <w:pStyle w:val="33"/>
              <w:rPr>
                <w:color w:val="000000" w:themeColor="text1"/>
                <w14:textFill>
                  <w14:solidFill>
                    <w14:schemeClr w14:val="tx1"/>
                  </w14:solidFill>
                </w14:textFill>
              </w:rPr>
            </w:pPr>
          </w:p>
        </w:tc>
      </w:tr>
      <w:tr w14:paraId="3DFE947D">
        <w:tblPrEx>
          <w:tblBorders>
            <w:top w:val="double" w:color="000000" w:sz="4" w:space="0"/>
            <w:left w:val="double" w:color="000000" w:sz="4" w:space="0"/>
            <w:bottom w:val="sing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09" w:type="pct"/>
            <w:tcBorders>
              <w:left w:val="single" w:color="auto" w:sz="12" w:space="0"/>
            </w:tcBorders>
            <w:shd w:val="clear" w:color="auto" w:fill="auto"/>
            <w:tcMar>
              <w:top w:w="12" w:type="dxa"/>
              <w:left w:w="12" w:type="dxa"/>
              <w:right w:w="12" w:type="dxa"/>
            </w:tcMar>
            <w:vAlign w:val="center"/>
          </w:tcPr>
          <w:p w14:paraId="59177B62">
            <w:pPr>
              <w:pStyle w:val="33"/>
              <w:rPr>
                <w:color w:val="000000" w:themeColor="text1"/>
                <w14:textFill>
                  <w14:solidFill>
                    <w14:schemeClr w14:val="tx1"/>
                  </w14:solidFill>
                </w14:textFill>
              </w:rPr>
            </w:pPr>
            <w:r>
              <w:rPr>
                <w:color w:val="000000" w:themeColor="text1"/>
                <w14:textFill>
                  <w14:solidFill>
                    <w14:schemeClr w14:val="tx1"/>
                  </w14:solidFill>
                </w14:textFill>
              </w:rPr>
              <w:t>商业服务业用地</w:t>
            </w:r>
          </w:p>
        </w:tc>
        <w:tc>
          <w:tcPr>
            <w:tcW w:w="174" w:type="pct"/>
            <w:tcBorders>
              <w:top w:val="single" w:color="000000" w:sz="4" w:space="0"/>
              <w:bottom w:val="single" w:color="000000" w:sz="4" w:space="0"/>
            </w:tcBorders>
            <w:shd w:val="clear" w:color="auto" w:fill="auto"/>
            <w:vAlign w:val="center"/>
          </w:tcPr>
          <w:p w14:paraId="6DC1DAED">
            <w:pPr>
              <w:pStyle w:val="33"/>
              <w:rPr>
                <w:color w:val="000000" w:themeColor="text1"/>
                <w14:textFill>
                  <w14:solidFill>
                    <w14:schemeClr w14:val="tx1"/>
                  </w14:solidFill>
                </w14:textFill>
              </w:rPr>
            </w:pPr>
          </w:p>
        </w:tc>
        <w:tc>
          <w:tcPr>
            <w:tcW w:w="174" w:type="pct"/>
            <w:tcBorders>
              <w:top w:val="single" w:color="000000" w:sz="4" w:space="0"/>
              <w:bottom w:val="single" w:color="000000" w:sz="4" w:space="0"/>
            </w:tcBorders>
            <w:shd w:val="clear" w:color="auto" w:fill="auto"/>
            <w:vAlign w:val="center"/>
          </w:tcPr>
          <w:p w14:paraId="17C62F96">
            <w:pPr>
              <w:pStyle w:val="33"/>
              <w:rPr>
                <w:color w:val="000000" w:themeColor="text1"/>
                <w14:textFill>
                  <w14:solidFill>
                    <w14:schemeClr w14:val="tx1"/>
                  </w14:solidFill>
                </w14:textFill>
              </w:rPr>
            </w:pPr>
          </w:p>
        </w:tc>
        <w:tc>
          <w:tcPr>
            <w:tcW w:w="174" w:type="pct"/>
            <w:tcBorders>
              <w:top w:val="single" w:color="000000" w:sz="4" w:space="0"/>
              <w:bottom w:val="single" w:color="000000" w:sz="4" w:space="0"/>
            </w:tcBorders>
            <w:shd w:val="clear" w:color="auto" w:fill="auto"/>
            <w:vAlign w:val="center"/>
          </w:tcPr>
          <w:p w14:paraId="5DF74BCD">
            <w:pPr>
              <w:pStyle w:val="33"/>
              <w:rPr>
                <w:color w:val="000000" w:themeColor="text1"/>
                <w14:textFill>
                  <w14:solidFill>
                    <w14:schemeClr w14:val="tx1"/>
                  </w14:solidFill>
                </w14:textFill>
              </w:rPr>
            </w:pPr>
          </w:p>
        </w:tc>
        <w:tc>
          <w:tcPr>
            <w:tcW w:w="174" w:type="pct"/>
            <w:tcBorders>
              <w:top w:val="single" w:color="000000" w:sz="4" w:space="0"/>
              <w:bottom w:val="single" w:color="000000" w:sz="4" w:space="0"/>
            </w:tcBorders>
            <w:shd w:val="clear" w:color="auto" w:fill="auto"/>
            <w:vAlign w:val="center"/>
          </w:tcPr>
          <w:p w14:paraId="3152AB70">
            <w:pPr>
              <w:pStyle w:val="33"/>
              <w:rPr>
                <w:color w:val="000000" w:themeColor="text1"/>
                <w14:textFill>
                  <w14:solidFill>
                    <w14:schemeClr w14:val="tx1"/>
                  </w14:solidFill>
                </w14:textFill>
              </w:rPr>
            </w:pPr>
          </w:p>
        </w:tc>
        <w:tc>
          <w:tcPr>
            <w:tcW w:w="174" w:type="pct"/>
            <w:tcBorders>
              <w:top w:val="single" w:color="000000" w:sz="4" w:space="0"/>
              <w:bottom w:val="single" w:color="000000" w:sz="4" w:space="0"/>
            </w:tcBorders>
            <w:shd w:val="clear" w:color="auto" w:fill="auto"/>
            <w:vAlign w:val="center"/>
          </w:tcPr>
          <w:p w14:paraId="64EDB76B">
            <w:pPr>
              <w:pStyle w:val="33"/>
              <w:rPr>
                <w:color w:val="000000" w:themeColor="text1"/>
                <w14:textFill>
                  <w14:solidFill>
                    <w14:schemeClr w14:val="tx1"/>
                  </w14:solidFill>
                </w14:textFill>
              </w:rPr>
            </w:pPr>
          </w:p>
        </w:tc>
        <w:tc>
          <w:tcPr>
            <w:tcW w:w="175" w:type="pct"/>
            <w:tcBorders>
              <w:top w:val="single" w:color="000000" w:sz="4" w:space="0"/>
              <w:bottom w:val="single" w:color="000000" w:sz="4" w:space="0"/>
            </w:tcBorders>
            <w:shd w:val="clear" w:color="auto" w:fill="auto"/>
            <w:vAlign w:val="center"/>
          </w:tcPr>
          <w:p w14:paraId="592E4376">
            <w:pPr>
              <w:pStyle w:val="33"/>
              <w:rPr>
                <w:color w:val="000000" w:themeColor="text1"/>
                <w14:textFill>
                  <w14:solidFill>
                    <w14:schemeClr w14:val="tx1"/>
                  </w14:solidFill>
                </w14:textFill>
              </w:rPr>
            </w:pPr>
          </w:p>
        </w:tc>
        <w:tc>
          <w:tcPr>
            <w:tcW w:w="175" w:type="pct"/>
            <w:tcBorders>
              <w:top w:val="single" w:color="000000" w:sz="4" w:space="0"/>
              <w:bottom w:val="single" w:color="000000" w:sz="4" w:space="0"/>
            </w:tcBorders>
            <w:shd w:val="clear" w:color="auto" w:fill="auto"/>
            <w:tcMar>
              <w:top w:w="12" w:type="dxa"/>
              <w:left w:w="12" w:type="dxa"/>
              <w:right w:w="12" w:type="dxa"/>
            </w:tcMar>
            <w:vAlign w:val="center"/>
          </w:tcPr>
          <w:p w14:paraId="4022D64D">
            <w:pPr>
              <w:pStyle w:val="33"/>
              <w:rPr>
                <w:color w:val="000000" w:themeColor="text1"/>
                <w14:textFill>
                  <w14:solidFill>
                    <w14:schemeClr w14:val="tx1"/>
                  </w14:solidFill>
                </w14:textFill>
              </w:rPr>
            </w:pPr>
          </w:p>
        </w:tc>
        <w:tc>
          <w:tcPr>
            <w:tcW w:w="170" w:type="pct"/>
            <w:tcBorders>
              <w:top w:val="single" w:color="000000" w:sz="4" w:space="0"/>
              <w:bottom w:val="single" w:color="000000" w:sz="4" w:space="0"/>
            </w:tcBorders>
            <w:shd w:val="clear" w:color="auto" w:fill="auto"/>
            <w:tcMar>
              <w:top w:w="12" w:type="dxa"/>
              <w:left w:w="12" w:type="dxa"/>
              <w:right w:w="12" w:type="dxa"/>
            </w:tcMar>
            <w:vAlign w:val="center"/>
          </w:tcPr>
          <w:p w14:paraId="16831611">
            <w:pPr>
              <w:pStyle w:val="33"/>
              <w:rPr>
                <w:color w:val="000000" w:themeColor="text1"/>
                <w14:textFill>
                  <w14:solidFill>
                    <w14:schemeClr w14:val="tx1"/>
                  </w14:solidFill>
                </w14:textFill>
              </w:rPr>
            </w:pPr>
          </w:p>
        </w:tc>
        <w:tc>
          <w:tcPr>
            <w:tcW w:w="169" w:type="pct"/>
            <w:tcBorders>
              <w:top w:val="single" w:color="000000" w:sz="4" w:space="0"/>
              <w:bottom w:val="single" w:color="000000" w:sz="4" w:space="0"/>
            </w:tcBorders>
            <w:shd w:val="clear" w:color="auto" w:fill="auto"/>
            <w:tcMar>
              <w:top w:w="12" w:type="dxa"/>
              <w:left w:w="12" w:type="dxa"/>
              <w:right w:w="12" w:type="dxa"/>
            </w:tcMar>
            <w:vAlign w:val="center"/>
          </w:tcPr>
          <w:p w14:paraId="23B974AD">
            <w:pPr>
              <w:pStyle w:val="33"/>
              <w:rPr>
                <w:color w:val="000000" w:themeColor="text1"/>
                <w14:textFill>
                  <w14:solidFill>
                    <w14:schemeClr w14:val="tx1"/>
                  </w14:solidFill>
                </w14:textFill>
              </w:rPr>
            </w:pPr>
          </w:p>
        </w:tc>
        <w:tc>
          <w:tcPr>
            <w:tcW w:w="169" w:type="pct"/>
            <w:tcBorders>
              <w:top w:val="single" w:color="000000" w:sz="4" w:space="0"/>
            </w:tcBorders>
            <w:shd w:val="clear" w:color="auto" w:fill="auto"/>
            <w:tcMar>
              <w:top w:w="12" w:type="dxa"/>
              <w:left w:w="12" w:type="dxa"/>
              <w:right w:w="12" w:type="dxa"/>
            </w:tcMar>
            <w:vAlign w:val="center"/>
          </w:tcPr>
          <w:p w14:paraId="7B1E0A2D">
            <w:pPr>
              <w:pStyle w:val="33"/>
              <w:rPr>
                <w:color w:val="000000" w:themeColor="text1"/>
                <w14:textFill>
                  <w14:solidFill>
                    <w14:schemeClr w14:val="tx1"/>
                  </w14:solidFill>
                </w14:textFill>
              </w:rPr>
            </w:pPr>
          </w:p>
        </w:tc>
        <w:tc>
          <w:tcPr>
            <w:tcW w:w="170" w:type="pct"/>
            <w:tcBorders>
              <w:top w:val="single" w:color="000000" w:sz="4" w:space="0"/>
            </w:tcBorders>
            <w:shd w:val="clear" w:color="auto" w:fill="auto"/>
            <w:tcMar>
              <w:top w:w="12" w:type="dxa"/>
              <w:left w:w="12" w:type="dxa"/>
              <w:right w:w="12" w:type="dxa"/>
            </w:tcMar>
            <w:vAlign w:val="center"/>
          </w:tcPr>
          <w:p w14:paraId="739D40DC">
            <w:pPr>
              <w:pStyle w:val="33"/>
              <w:rPr>
                <w:color w:val="000000" w:themeColor="text1"/>
                <w14:textFill>
                  <w14:solidFill>
                    <w14:schemeClr w14:val="tx1"/>
                  </w14:solidFill>
                </w14:textFill>
              </w:rPr>
            </w:pPr>
          </w:p>
        </w:tc>
        <w:tc>
          <w:tcPr>
            <w:tcW w:w="167" w:type="pct"/>
            <w:tcBorders>
              <w:top w:val="single" w:color="000000" w:sz="4" w:space="0"/>
            </w:tcBorders>
            <w:shd w:val="clear" w:color="auto" w:fill="auto"/>
            <w:vAlign w:val="center"/>
          </w:tcPr>
          <w:p w14:paraId="286FE65C">
            <w:pPr>
              <w:pStyle w:val="33"/>
              <w:rPr>
                <w:color w:val="000000" w:themeColor="text1"/>
                <w14:textFill>
                  <w14:solidFill>
                    <w14:schemeClr w14:val="tx1"/>
                  </w14:solidFill>
                </w14:textFill>
              </w:rPr>
            </w:pPr>
          </w:p>
        </w:tc>
        <w:tc>
          <w:tcPr>
            <w:tcW w:w="167" w:type="pct"/>
            <w:tcBorders>
              <w:top w:val="single" w:color="000000" w:sz="4" w:space="0"/>
            </w:tcBorders>
            <w:shd w:val="clear" w:color="auto" w:fill="92D050"/>
            <w:vAlign w:val="center"/>
          </w:tcPr>
          <w:p w14:paraId="59B1B584">
            <w:pPr>
              <w:pStyle w:val="33"/>
              <w:rPr>
                <w:color w:val="000000" w:themeColor="text1"/>
                <w14:textFill>
                  <w14:solidFill>
                    <w14:schemeClr w14:val="tx1"/>
                  </w14:solidFill>
                </w14:textFill>
              </w:rPr>
            </w:pPr>
          </w:p>
        </w:tc>
        <w:tc>
          <w:tcPr>
            <w:tcW w:w="167" w:type="pct"/>
            <w:tcBorders>
              <w:top w:val="single" w:color="000000" w:sz="4" w:space="0"/>
            </w:tcBorders>
            <w:shd w:val="clear" w:color="auto" w:fill="92D050"/>
            <w:vAlign w:val="center"/>
          </w:tcPr>
          <w:p w14:paraId="3C71D6A3">
            <w:pPr>
              <w:pStyle w:val="33"/>
              <w:rPr>
                <w:color w:val="000000" w:themeColor="text1"/>
                <w14:textFill>
                  <w14:solidFill>
                    <w14:schemeClr w14:val="tx1"/>
                  </w14:solidFill>
                </w14:textFill>
              </w:rPr>
            </w:pPr>
          </w:p>
        </w:tc>
        <w:tc>
          <w:tcPr>
            <w:tcW w:w="167" w:type="pct"/>
            <w:tcBorders>
              <w:top w:val="single" w:color="000000" w:sz="4" w:space="0"/>
            </w:tcBorders>
            <w:shd w:val="clear" w:color="auto" w:fill="92D050"/>
            <w:vAlign w:val="center"/>
          </w:tcPr>
          <w:p w14:paraId="198C0858">
            <w:pPr>
              <w:pStyle w:val="33"/>
              <w:rPr>
                <w:color w:val="000000" w:themeColor="text1"/>
                <w14:textFill>
                  <w14:solidFill>
                    <w14:schemeClr w14:val="tx1"/>
                  </w14:solidFill>
                </w14:textFill>
              </w:rPr>
            </w:pPr>
          </w:p>
        </w:tc>
        <w:tc>
          <w:tcPr>
            <w:tcW w:w="167" w:type="pct"/>
            <w:tcBorders>
              <w:top w:val="single" w:color="000000" w:sz="4" w:space="0"/>
              <w:bottom w:val="single" w:color="000000" w:sz="4" w:space="0"/>
            </w:tcBorders>
            <w:shd w:val="clear" w:color="auto" w:fill="auto"/>
            <w:vAlign w:val="center"/>
          </w:tcPr>
          <w:p w14:paraId="0D684EAE">
            <w:pPr>
              <w:pStyle w:val="33"/>
              <w:rPr>
                <w:color w:val="000000" w:themeColor="text1"/>
                <w14:textFill>
                  <w14:solidFill>
                    <w14:schemeClr w14:val="tx1"/>
                  </w14:solidFill>
                </w14:textFill>
              </w:rPr>
            </w:pPr>
          </w:p>
        </w:tc>
        <w:tc>
          <w:tcPr>
            <w:tcW w:w="164" w:type="pct"/>
            <w:tcBorders>
              <w:top w:val="single" w:color="000000" w:sz="4" w:space="0"/>
              <w:bottom w:val="single" w:color="000000" w:sz="4" w:space="0"/>
              <w:right w:val="single" w:color="auto" w:sz="12" w:space="0"/>
            </w:tcBorders>
            <w:shd w:val="clear" w:color="auto" w:fill="auto"/>
            <w:vAlign w:val="center"/>
          </w:tcPr>
          <w:p w14:paraId="340AF41A">
            <w:pPr>
              <w:pStyle w:val="33"/>
              <w:rPr>
                <w:color w:val="000000" w:themeColor="text1"/>
                <w14:textFill>
                  <w14:solidFill>
                    <w14:schemeClr w14:val="tx1"/>
                  </w14:solidFill>
                </w14:textFill>
              </w:rPr>
            </w:pPr>
          </w:p>
        </w:tc>
        <w:tc>
          <w:tcPr>
            <w:tcW w:w="164" w:type="pct"/>
            <w:tcBorders>
              <w:top w:val="single" w:color="000000" w:sz="4" w:space="0"/>
              <w:bottom w:val="single" w:color="000000" w:sz="4" w:space="0"/>
              <w:right w:val="single" w:color="auto" w:sz="12" w:space="0"/>
            </w:tcBorders>
          </w:tcPr>
          <w:p w14:paraId="341BFE7B">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0419EEDB">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3E4D717D">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4C5A7232">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2EDDD77A">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172F7201">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3C3335D9">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10EB8DDE">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279E70DF">
            <w:pPr>
              <w:pStyle w:val="33"/>
              <w:rPr>
                <w:color w:val="000000" w:themeColor="text1"/>
                <w14:textFill>
                  <w14:solidFill>
                    <w14:schemeClr w14:val="tx1"/>
                  </w14:solidFill>
                </w14:textFill>
              </w:rPr>
            </w:pPr>
          </w:p>
        </w:tc>
        <w:tc>
          <w:tcPr>
            <w:tcW w:w="157" w:type="pct"/>
            <w:tcBorders>
              <w:top w:val="single" w:color="000000" w:sz="4" w:space="0"/>
              <w:bottom w:val="single" w:color="000000" w:sz="4" w:space="0"/>
              <w:right w:val="single" w:color="auto" w:sz="12" w:space="0"/>
            </w:tcBorders>
          </w:tcPr>
          <w:p w14:paraId="0C54B8EA">
            <w:pPr>
              <w:pStyle w:val="33"/>
              <w:rPr>
                <w:color w:val="000000" w:themeColor="text1"/>
                <w14:textFill>
                  <w14:solidFill>
                    <w14:schemeClr w14:val="tx1"/>
                  </w14:solidFill>
                </w14:textFill>
              </w:rPr>
            </w:pPr>
          </w:p>
        </w:tc>
      </w:tr>
      <w:tr w14:paraId="1F556EEB">
        <w:tblPrEx>
          <w:tblBorders>
            <w:top w:val="double" w:color="000000" w:sz="4" w:space="0"/>
            <w:left w:val="double" w:color="000000" w:sz="4" w:space="0"/>
            <w:bottom w:val="sing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09" w:type="pct"/>
            <w:tcBorders>
              <w:left w:val="single" w:color="auto" w:sz="12" w:space="0"/>
            </w:tcBorders>
            <w:shd w:val="clear" w:color="auto" w:fill="auto"/>
            <w:tcMar>
              <w:top w:w="12" w:type="dxa"/>
              <w:left w:w="12" w:type="dxa"/>
              <w:right w:w="12" w:type="dxa"/>
            </w:tcMar>
            <w:vAlign w:val="center"/>
          </w:tcPr>
          <w:p w14:paraId="5F6FED74">
            <w:pPr>
              <w:pStyle w:val="33"/>
              <w:rPr>
                <w:color w:val="000000" w:themeColor="text1"/>
                <w14:textFill>
                  <w14:solidFill>
                    <w14:schemeClr w14:val="tx1"/>
                  </w14:solidFill>
                </w14:textFill>
              </w:rPr>
            </w:pPr>
            <w:r>
              <w:rPr>
                <w:color w:val="000000" w:themeColor="text1"/>
                <w14:textFill>
                  <w14:solidFill>
                    <w14:schemeClr w14:val="tx1"/>
                  </w14:solidFill>
                </w14:textFill>
              </w:rPr>
              <w:t>工矿用地</w:t>
            </w:r>
          </w:p>
        </w:tc>
        <w:tc>
          <w:tcPr>
            <w:tcW w:w="174" w:type="pct"/>
            <w:tcBorders>
              <w:top w:val="single" w:color="000000" w:sz="4" w:space="0"/>
            </w:tcBorders>
            <w:shd w:val="clear" w:color="auto" w:fill="92D050"/>
            <w:vAlign w:val="center"/>
          </w:tcPr>
          <w:p w14:paraId="50FCD9DE">
            <w:pPr>
              <w:pStyle w:val="33"/>
              <w:rPr>
                <w:color w:val="000000" w:themeColor="text1"/>
                <w14:textFill>
                  <w14:solidFill>
                    <w14:schemeClr w14:val="tx1"/>
                  </w14:solidFill>
                </w14:textFill>
              </w:rPr>
            </w:pPr>
          </w:p>
        </w:tc>
        <w:tc>
          <w:tcPr>
            <w:tcW w:w="174" w:type="pct"/>
            <w:tcBorders>
              <w:top w:val="single" w:color="000000" w:sz="4" w:space="0"/>
            </w:tcBorders>
            <w:shd w:val="clear" w:color="auto" w:fill="92D050"/>
            <w:vAlign w:val="center"/>
          </w:tcPr>
          <w:p w14:paraId="329D1616">
            <w:pPr>
              <w:pStyle w:val="33"/>
              <w:rPr>
                <w:color w:val="000000" w:themeColor="text1"/>
                <w14:textFill>
                  <w14:solidFill>
                    <w14:schemeClr w14:val="tx1"/>
                  </w14:solidFill>
                </w14:textFill>
              </w:rPr>
            </w:pPr>
          </w:p>
        </w:tc>
        <w:tc>
          <w:tcPr>
            <w:tcW w:w="174" w:type="pct"/>
            <w:tcBorders>
              <w:top w:val="single" w:color="000000" w:sz="4" w:space="0"/>
            </w:tcBorders>
            <w:shd w:val="clear" w:color="auto" w:fill="92D050"/>
            <w:vAlign w:val="center"/>
          </w:tcPr>
          <w:p w14:paraId="05EC8F07">
            <w:pPr>
              <w:pStyle w:val="33"/>
              <w:rPr>
                <w:color w:val="000000" w:themeColor="text1"/>
                <w14:textFill>
                  <w14:solidFill>
                    <w14:schemeClr w14:val="tx1"/>
                  </w14:solidFill>
                </w14:textFill>
              </w:rPr>
            </w:pPr>
          </w:p>
        </w:tc>
        <w:tc>
          <w:tcPr>
            <w:tcW w:w="174" w:type="pct"/>
            <w:tcBorders>
              <w:top w:val="single" w:color="000000" w:sz="4" w:space="0"/>
            </w:tcBorders>
            <w:shd w:val="clear" w:color="auto" w:fill="92D050"/>
            <w:vAlign w:val="center"/>
          </w:tcPr>
          <w:p w14:paraId="565A6AD4">
            <w:pPr>
              <w:pStyle w:val="33"/>
              <w:rPr>
                <w:color w:val="000000" w:themeColor="text1"/>
                <w14:textFill>
                  <w14:solidFill>
                    <w14:schemeClr w14:val="tx1"/>
                  </w14:solidFill>
                </w14:textFill>
              </w:rPr>
            </w:pPr>
          </w:p>
        </w:tc>
        <w:tc>
          <w:tcPr>
            <w:tcW w:w="174" w:type="pct"/>
            <w:tcBorders>
              <w:top w:val="single" w:color="000000" w:sz="4" w:space="0"/>
              <w:bottom w:val="single" w:color="000000" w:sz="4" w:space="0"/>
            </w:tcBorders>
            <w:shd w:val="clear" w:color="auto" w:fill="92D050"/>
            <w:vAlign w:val="center"/>
          </w:tcPr>
          <w:p w14:paraId="65A829C2">
            <w:pPr>
              <w:pStyle w:val="33"/>
              <w:rPr>
                <w:color w:val="000000" w:themeColor="text1"/>
                <w14:textFill>
                  <w14:solidFill>
                    <w14:schemeClr w14:val="tx1"/>
                  </w14:solidFill>
                </w14:textFill>
              </w:rPr>
            </w:pPr>
          </w:p>
        </w:tc>
        <w:tc>
          <w:tcPr>
            <w:tcW w:w="175" w:type="pct"/>
            <w:tcBorders>
              <w:top w:val="single" w:color="000000" w:sz="4" w:space="0"/>
              <w:bottom w:val="single" w:color="000000" w:sz="4" w:space="0"/>
            </w:tcBorders>
            <w:shd w:val="clear" w:color="auto" w:fill="92D050"/>
            <w:vAlign w:val="center"/>
          </w:tcPr>
          <w:p w14:paraId="19449DD4">
            <w:pPr>
              <w:pStyle w:val="33"/>
              <w:rPr>
                <w:color w:val="000000" w:themeColor="text1"/>
                <w14:textFill>
                  <w14:solidFill>
                    <w14:schemeClr w14:val="tx1"/>
                  </w14:solidFill>
                </w14:textFill>
              </w:rPr>
            </w:pPr>
          </w:p>
        </w:tc>
        <w:tc>
          <w:tcPr>
            <w:tcW w:w="175" w:type="pct"/>
            <w:tcBorders>
              <w:top w:val="single" w:color="000000" w:sz="4" w:space="0"/>
              <w:bottom w:val="single" w:color="000000" w:sz="4" w:space="0"/>
            </w:tcBorders>
            <w:shd w:val="clear" w:color="auto" w:fill="92D050"/>
            <w:tcMar>
              <w:top w:w="12" w:type="dxa"/>
              <w:left w:w="12" w:type="dxa"/>
              <w:right w:w="12" w:type="dxa"/>
            </w:tcMar>
            <w:vAlign w:val="center"/>
          </w:tcPr>
          <w:p w14:paraId="5BE6A094">
            <w:pPr>
              <w:pStyle w:val="33"/>
              <w:rPr>
                <w:color w:val="000000" w:themeColor="text1"/>
                <w14:textFill>
                  <w14:solidFill>
                    <w14:schemeClr w14:val="tx1"/>
                  </w14:solidFill>
                </w14:textFill>
              </w:rPr>
            </w:pPr>
          </w:p>
        </w:tc>
        <w:tc>
          <w:tcPr>
            <w:tcW w:w="170" w:type="pct"/>
            <w:tcBorders>
              <w:top w:val="single" w:color="000000" w:sz="4" w:space="0"/>
              <w:bottom w:val="single" w:color="000000" w:sz="4" w:space="0"/>
            </w:tcBorders>
            <w:shd w:val="clear" w:color="auto" w:fill="92D050"/>
            <w:tcMar>
              <w:top w:w="12" w:type="dxa"/>
              <w:left w:w="12" w:type="dxa"/>
              <w:right w:w="12" w:type="dxa"/>
            </w:tcMar>
            <w:vAlign w:val="center"/>
          </w:tcPr>
          <w:p w14:paraId="05A6A93C">
            <w:pPr>
              <w:pStyle w:val="33"/>
              <w:rPr>
                <w:color w:val="000000" w:themeColor="text1"/>
                <w14:textFill>
                  <w14:solidFill>
                    <w14:schemeClr w14:val="tx1"/>
                  </w14:solidFill>
                </w14:textFill>
              </w:rPr>
            </w:pPr>
          </w:p>
        </w:tc>
        <w:tc>
          <w:tcPr>
            <w:tcW w:w="169" w:type="pct"/>
            <w:tcBorders>
              <w:top w:val="single" w:color="000000" w:sz="4" w:space="0"/>
            </w:tcBorders>
            <w:shd w:val="clear" w:color="auto" w:fill="92D050"/>
            <w:tcMar>
              <w:top w:w="12" w:type="dxa"/>
              <w:left w:w="12" w:type="dxa"/>
              <w:right w:w="12" w:type="dxa"/>
            </w:tcMar>
            <w:vAlign w:val="center"/>
          </w:tcPr>
          <w:p w14:paraId="4E62EE05">
            <w:pPr>
              <w:pStyle w:val="33"/>
              <w:rPr>
                <w:color w:val="000000" w:themeColor="text1"/>
                <w14:textFill>
                  <w14:solidFill>
                    <w14:schemeClr w14:val="tx1"/>
                  </w14:solidFill>
                </w14:textFill>
              </w:rPr>
            </w:pPr>
          </w:p>
        </w:tc>
        <w:tc>
          <w:tcPr>
            <w:tcW w:w="169" w:type="pct"/>
            <w:tcBorders>
              <w:top w:val="single" w:color="000000" w:sz="4" w:space="0"/>
            </w:tcBorders>
            <w:shd w:val="clear" w:color="auto" w:fill="92D050"/>
            <w:tcMar>
              <w:top w:w="12" w:type="dxa"/>
              <w:left w:w="12" w:type="dxa"/>
              <w:right w:w="12" w:type="dxa"/>
            </w:tcMar>
            <w:vAlign w:val="center"/>
          </w:tcPr>
          <w:p w14:paraId="1D1619A2">
            <w:pPr>
              <w:pStyle w:val="33"/>
              <w:rPr>
                <w:color w:val="000000" w:themeColor="text1"/>
                <w14:textFill>
                  <w14:solidFill>
                    <w14:schemeClr w14:val="tx1"/>
                  </w14:solidFill>
                </w14:textFill>
              </w:rPr>
            </w:pPr>
          </w:p>
        </w:tc>
        <w:tc>
          <w:tcPr>
            <w:tcW w:w="170" w:type="pct"/>
            <w:tcBorders>
              <w:top w:val="single" w:color="000000" w:sz="4" w:space="0"/>
            </w:tcBorders>
            <w:shd w:val="clear" w:color="auto" w:fill="92D050"/>
            <w:tcMar>
              <w:top w:w="12" w:type="dxa"/>
              <w:left w:w="12" w:type="dxa"/>
              <w:right w:w="12" w:type="dxa"/>
            </w:tcMar>
            <w:vAlign w:val="center"/>
          </w:tcPr>
          <w:p w14:paraId="2AB4903F">
            <w:pPr>
              <w:pStyle w:val="33"/>
              <w:rPr>
                <w:color w:val="000000" w:themeColor="text1"/>
                <w14:textFill>
                  <w14:solidFill>
                    <w14:schemeClr w14:val="tx1"/>
                  </w14:solidFill>
                </w14:textFill>
              </w:rPr>
            </w:pPr>
          </w:p>
        </w:tc>
        <w:tc>
          <w:tcPr>
            <w:tcW w:w="167" w:type="pct"/>
            <w:tcBorders>
              <w:top w:val="single" w:color="000000" w:sz="4" w:space="0"/>
            </w:tcBorders>
            <w:shd w:val="clear" w:color="auto" w:fill="92D050"/>
            <w:vAlign w:val="center"/>
          </w:tcPr>
          <w:p w14:paraId="62836B71">
            <w:pPr>
              <w:pStyle w:val="33"/>
              <w:rPr>
                <w:color w:val="000000" w:themeColor="text1"/>
                <w14:textFill>
                  <w14:solidFill>
                    <w14:schemeClr w14:val="tx1"/>
                  </w14:solidFill>
                </w14:textFill>
              </w:rPr>
            </w:pPr>
          </w:p>
        </w:tc>
        <w:tc>
          <w:tcPr>
            <w:tcW w:w="167" w:type="pct"/>
            <w:tcBorders>
              <w:top w:val="single" w:color="000000" w:sz="4" w:space="0"/>
            </w:tcBorders>
            <w:shd w:val="clear" w:color="auto" w:fill="92D050"/>
            <w:vAlign w:val="center"/>
          </w:tcPr>
          <w:p w14:paraId="472B3936">
            <w:pPr>
              <w:pStyle w:val="33"/>
              <w:rPr>
                <w:color w:val="000000" w:themeColor="text1"/>
                <w14:textFill>
                  <w14:solidFill>
                    <w14:schemeClr w14:val="tx1"/>
                  </w14:solidFill>
                </w14:textFill>
              </w:rPr>
            </w:pPr>
          </w:p>
        </w:tc>
        <w:tc>
          <w:tcPr>
            <w:tcW w:w="167" w:type="pct"/>
            <w:tcBorders>
              <w:top w:val="single" w:color="000000" w:sz="4" w:space="0"/>
            </w:tcBorders>
            <w:shd w:val="clear" w:color="auto" w:fill="92D050"/>
            <w:vAlign w:val="center"/>
          </w:tcPr>
          <w:p w14:paraId="3B68029E">
            <w:pPr>
              <w:pStyle w:val="33"/>
              <w:rPr>
                <w:color w:val="000000" w:themeColor="text1"/>
                <w14:textFill>
                  <w14:solidFill>
                    <w14:schemeClr w14:val="tx1"/>
                  </w14:solidFill>
                </w14:textFill>
              </w:rPr>
            </w:pPr>
          </w:p>
        </w:tc>
        <w:tc>
          <w:tcPr>
            <w:tcW w:w="167" w:type="pct"/>
            <w:tcBorders>
              <w:top w:val="single" w:color="000000" w:sz="4" w:space="0"/>
            </w:tcBorders>
            <w:shd w:val="clear" w:color="auto" w:fill="92D050"/>
            <w:vAlign w:val="center"/>
          </w:tcPr>
          <w:p w14:paraId="46008649">
            <w:pPr>
              <w:pStyle w:val="33"/>
              <w:rPr>
                <w:color w:val="000000" w:themeColor="text1"/>
                <w14:textFill>
                  <w14:solidFill>
                    <w14:schemeClr w14:val="tx1"/>
                  </w14:solidFill>
                </w14:textFill>
              </w:rPr>
            </w:pPr>
          </w:p>
        </w:tc>
        <w:tc>
          <w:tcPr>
            <w:tcW w:w="167" w:type="pct"/>
            <w:tcBorders>
              <w:top w:val="single" w:color="000000" w:sz="4" w:space="0"/>
            </w:tcBorders>
            <w:shd w:val="clear" w:color="auto" w:fill="92D050"/>
            <w:vAlign w:val="center"/>
          </w:tcPr>
          <w:p w14:paraId="4A0267D3">
            <w:pPr>
              <w:pStyle w:val="33"/>
              <w:rPr>
                <w:color w:val="000000" w:themeColor="text1"/>
                <w14:textFill>
                  <w14:solidFill>
                    <w14:schemeClr w14:val="tx1"/>
                  </w14:solidFill>
                </w14:textFill>
              </w:rPr>
            </w:pPr>
          </w:p>
        </w:tc>
        <w:tc>
          <w:tcPr>
            <w:tcW w:w="164" w:type="pct"/>
            <w:tcBorders>
              <w:top w:val="single" w:color="000000" w:sz="4" w:space="0"/>
              <w:right w:val="single" w:color="auto" w:sz="12" w:space="0"/>
            </w:tcBorders>
            <w:shd w:val="clear" w:color="auto" w:fill="92D050"/>
            <w:vAlign w:val="center"/>
          </w:tcPr>
          <w:p w14:paraId="2BBD939E">
            <w:pPr>
              <w:pStyle w:val="33"/>
              <w:rPr>
                <w:color w:val="000000" w:themeColor="text1"/>
                <w14:textFill>
                  <w14:solidFill>
                    <w14:schemeClr w14:val="tx1"/>
                  </w14:solidFill>
                </w14:textFill>
              </w:rPr>
            </w:pPr>
          </w:p>
        </w:tc>
        <w:tc>
          <w:tcPr>
            <w:tcW w:w="164" w:type="pct"/>
            <w:tcBorders>
              <w:top w:val="single" w:color="000000" w:sz="4" w:space="0"/>
              <w:right w:val="single" w:color="auto" w:sz="12" w:space="0"/>
            </w:tcBorders>
            <w:shd w:val="clear" w:color="auto" w:fill="92D050"/>
          </w:tcPr>
          <w:p w14:paraId="580B9C4D">
            <w:pPr>
              <w:pStyle w:val="33"/>
              <w:rPr>
                <w:color w:val="000000" w:themeColor="text1"/>
                <w14:textFill>
                  <w14:solidFill>
                    <w14:schemeClr w14:val="tx1"/>
                  </w14:solidFill>
                </w14:textFill>
              </w:rPr>
            </w:pPr>
          </w:p>
        </w:tc>
        <w:tc>
          <w:tcPr>
            <w:tcW w:w="160" w:type="pct"/>
            <w:tcBorders>
              <w:top w:val="single" w:color="000000" w:sz="4" w:space="0"/>
            </w:tcBorders>
            <w:shd w:val="clear" w:color="auto" w:fill="92D050"/>
          </w:tcPr>
          <w:p w14:paraId="021746F9">
            <w:pPr>
              <w:pStyle w:val="33"/>
              <w:rPr>
                <w:color w:val="000000" w:themeColor="text1"/>
                <w14:textFill>
                  <w14:solidFill>
                    <w14:schemeClr w14:val="tx1"/>
                  </w14:solidFill>
                </w14:textFill>
              </w:rPr>
            </w:pPr>
          </w:p>
        </w:tc>
        <w:tc>
          <w:tcPr>
            <w:tcW w:w="160" w:type="pct"/>
            <w:tcBorders>
              <w:top w:val="single" w:color="000000" w:sz="4" w:space="0"/>
            </w:tcBorders>
            <w:shd w:val="clear" w:color="auto" w:fill="92D050"/>
          </w:tcPr>
          <w:p w14:paraId="2A882F61">
            <w:pPr>
              <w:pStyle w:val="33"/>
              <w:rPr>
                <w:color w:val="000000" w:themeColor="text1"/>
                <w14:textFill>
                  <w14:solidFill>
                    <w14:schemeClr w14:val="tx1"/>
                  </w14:solidFill>
                </w14:textFill>
              </w:rPr>
            </w:pPr>
          </w:p>
        </w:tc>
        <w:tc>
          <w:tcPr>
            <w:tcW w:w="160" w:type="pct"/>
            <w:tcBorders>
              <w:top w:val="single" w:color="000000" w:sz="4" w:space="0"/>
            </w:tcBorders>
            <w:shd w:val="clear" w:color="auto" w:fill="92D050"/>
          </w:tcPr>
          <w:p w14:paraId="2B29E44E">
            <w:pPr>
              <w:pStyle w:val="33"/>
              <w:rPr>
                <w:color w:val="000000" w:themeColor="text1"/>
                <w14:textFill>
                  <w14:solidFill>
                    <w14:schemeClr w14:val="tx1"/>
                  </w14:solidFill>
                </w14:textFill>
              </w:rPr>
            </w:pPr>
          </w:p>
        </w:tc>
        <w:tc>
          <w:tcPr>
            <w:tcW w:w="160" w:type="pct"/>
            <w:tcBorders>
              <w:top w:val="single" w:color="000000" w:sz="4" w:space="0"/>
            </w:tcBorders>
            <w:shd w:val="clear" w:color="auto" w:fill="92D050"/>
          </w:tcPr>
          <w:p w14:paraId="6BA85607">
            <w:pPr>
              <w:pStyle w:val="33"/>
              <w:rPr>
                <w:color w:val="000000" w:themeColor="text1"/>
                <w14:textFill>
                  <w14:solidFill>
                    <w14:schemeClr w14:val="tx1"/>
                  </w14:solidFill>
                </w14:textFill>
              </w:rPr>
            </w:pPr>
          </w:p>
        </w:tc>
        <w:tc>
          <w:tcPr>
            <w:tcW w:w="160" w:type="pct"/>
            <w:tcBorders>
              <w:top w:val="single" w:color="000000" w:sz="4" w:space="0"/>
            </w:tcBorders>
            <w:shd w:val="clear" w:color="auto" w:fill="92D050"/>
          </w:tcPr>
          <w:p w14:paraId="6854F754">
            <w:pPr>
              <w:pStyle w:val="33"/>
              <w:rPr>
                <w:color w:val="000000" w:themeColor="text1"/>
                <w14:textFill>
                  <w14:solidFill>
                    <w14:schemeClr w14:val="tx1"/>
                  </w14:solidFill>
                </w14:textFill>
              </w:rPr>
            </w:pPr>
          </w:p>
        </w:tc>
        <w:tc>
          <w:tcPr>
            <w:tcW w:w="160" w:type="pct"/>
            <w:tcBorders>
              <w:top w:val="single" w:color="000000" w:sz="4" w:space="0"/>
            </w:tcBorders>
            <w:shd w:val="clear" w:color="auto" w:fill="92D050"/>
          </w:tcPr>
          <w:p w14:paraId="5206AED8">
            <w:pPr>
              <w:pStyle w:val="33"/>
              <w:rPr>
                <w:color w:val="000000" w:themeColor="text1"/>
                <w14:textFill>
                  <w14:solidFill>
                    <w14:schemeClr w14:val="tx1"/>
                  </w14:solidFill>
                </w14:textFill>
              </w:rPr>
            </w:pPr>
          </w:p>
        </w:tc>
        <w:tc>
          <w:tcPr>
            <w:tcW w:w="160" w:type="pct"/>
            <w:tcBorders>
              <w:top w:val="single" w:color="000000" w:sz="4" w:space="0"/>
            </w:tcBorders>
            <w:shd w:val="clear" w:color="auto" w:fill="92D050"/>
          </w:tcPr>
          <w:p w14:paraId="43829D41">
            <w:pPr>
              <w:pStyle w:val="33"/>
              <w:rPr>
                <w:color w:val="000000" w:themeColor="text1"/>
                <w14:textFill>
                  <w14:solidFill>
                    <w14:schemeClr w14:val="tx1"/>
                  </w14:solidFill>
                </w14:textFill>
              </w:rPr>
            </w:pPr>
          </w:p>
        </w:tc>
        <w:tc>
          <w:tcPr>
            <w:tcW w:w="160" w:type="pct"/>
            <w:tcBorders>
              <w:top w:val="single" w:color="000000" w:sz="4" w:space="0"/>
            </w:tcBorders>
            <w:shd w:val="clear" w:color="auto" w:fill="92D050"/>
          </w:tcPr>
          <w:p w14:paraId="691AF61E">
            <w:pPr>
              <w:pStyle w:val="33"/>
              <w:rPr>
                <w:color w:val="000000" w:themeColor="text1"/>
                <w14:textFill>
                  <w14:solidFill>
                    <w14:schemeClr w14:val="tx1"/>
                  </w14:solidFill>
                </w14:textFill>
              </w:rPr>
            </w:pPr>
          </w:p>
        </w:tc>
        <w:tc>
          <w:tcPr>
            <w:tcW w:w="157" w:type="pct"/>
            <w:tcBorders>
              <w:top w:val="single" w:color="000000" w:sz="4" w:space="0"/>
              <w:right w:val="single" w:color="auto" w:sz="12" w:space="0"/>
            </w:tcBorders>
          </w:tcPr>
          <w:p w14:paraId="7ED73605">
            <w:pPr>
              <w:pStyle w:val="33"/>
              <w:rPr>
                <w:color w:val="000000" w:themeColor="text1"/>
                <w14:textFill>
                  <w14:solidFill>
                    <w14:schemeClr w14:val="tx1"/>
                  </w14:solidFill>
                </w14:textFill>
              </w:rPr>
            </w:pPr>
          </w:p>
        </w:tc>
      </w:tr>
      <w:tr w14:paraId="1FA96767">
        <w:tblPrEx>
          <w:tblBorders>
            <w:top w:val="double" w:color="000000" w:sz="4" w:space="0"/>
            <w:left w:val="double" w:color="000000" w:sz="4" w:space="0"/>
            <w:bottom w:val="sing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09" w:type="pct"/>
            <w:tcBorders>
              <w:left w:val="single" w:color="auto" w:sz="12" w:space="0"/>
            </w:tcBorders>
            <w:shd w:val="clear" w:color="auto" w:fill="auto"/>
            <w:tcMar>
              <w:top w:w="12" w:type="dxa"/>
              <w:left w:w="12" w:type="dxa"/>
              <w:right w:w="12" w:type="dxa"/>
            </w:tcMar>
            <w:vAlign w:val="center"/>
          </w:tcPr>
          <w:p w14:paraId="6771885F">
            <w:pPr>
              <w:pStyle w:val="33"/>
              <w:rPr>
                <w:color w:val="000000" w:themeColor="text1"/>
                <w14:textFill>
                  <w14:solidFill>
                    <w14:schemeClr w14:val="tx1"/>
                  </w14:solidFill>
                </w14:textFill>
              </w:rPr>
            </w:pPr>
            <w:r>
              <w:rPr>
                <w:color w:val="000000" w:themeColor="text1"/>
                <w14:textFill>
                  <w14:solidFill>
                    <w14:schemeClr w14:val="tx1"/>
                  </w14:solidFill>
                </w14:textFill>
              </w:rPr>
              <w:t>交通运输用地</w:t>
            </w:r>
          </w:p>
        </w:tc>
        <w:tc>
          <w:tcPr>
            <w:tcW w:w="174" w:type="pct"/>
            <w:tcBorders>
              <w:top w:val="single" w:color="000000" w:sz="4" w:space="0"/>
            </w:tcBorders>
            <w:shd w:val="clear" w:color="auto" w:fill="auto"/>
            <w:vAlign w:val="center"/>
          </w:tcPr>
          <w:p w14:paraId="103C6DF5">
            <w:pPr>
              <w:pStyle w:val="33"/>
              <w:rPr>
                <w:color w:val="000000" w:themeColor="text1"/>
                <w14:textFill>
                  <w14:solidFill>
                    <w14:schemeClr w14:val="tx1"/>
                  </w14:solidFill>
                </w14:textFill>
              </w:rPr>
            </w:pPr>
          </w:p>
        </w:tc>
        <w:tc>
          <w:tcPr>
            <w:tcW w:w="174" w:type="pct"/>
            <w:tcBorders>
              <w:top w:val="single" w:color="000000" w:sz="4" w:space="0"/>
            </w:tcBorders>
            <w:shd w:val="clear" w:color="auto" w:fill="auto"/>
            <w:vAlign w:val="center"/>
          </w:tcPr>
          <w:p w14:paraId="02BB59F6">
            <w:pPr>
              <w:pStyle w:val="33"/>
              <w:rPr>
                <w:color w:val="000000" w:themeColor="text1"/>
                <w14:textFill>
                  <w14:solidFill>
                    <w14:schemeClr w14:val="tx1"/>
                  </w14:solidFill>
                </w14:textFill>
              </w:rPr>
            </w:pPr>
          </w:p>
        </w:tc>
        <w:tc>
          <w:tcPr>
            <w:tcW w:w="174" w:type="pct"/>
            <w:tcBorders>
              <w:top w:val="single" w:color="000000" w:sz="4" w:space="0"/>
            </w:tcBorders>
            <w:shd w:val="clear" w:color="auto" w:fill="auto"/>
            <w:vAlign w:val="center"/>
          </w:tcPr>
          <w:p w14:paraId="222E6B8C">
            <w:pPr>
              <w:pStyle w:val="33"/>
              <w:rPr>
                <w:color w:val="000000" w:themeColor="text1"/>
                <w14:textFill>
                  <w14:solidFill>
                    <w14:schemeClr w14:val="tx1"/>
                  </w14:solidFill>
                </w14:textFill>
              </w:rPr>
            </w:pPr>
          </w:p>
        </w:tc>
        <w:tc>
          <w:tcPr>
            <w:tcW w:w="174" w:type="pct"/>
            <w:tcBorders>
              <w:top w:val="single" w:color="000000" w:sz="4" w:space="0"/>
            </w:tcBorders>
            <w:shd w:val="clear" w:color="auto" w:fill="92D050"/>
            <w:vAlign w:val="center"/>
          </w:tcPr>
          <w:p w14:paraId="30D317A3">
            <w:pPr>
              <w:pStyle w:val="33"/>
              <w:rPr>
                <w:color w:val="000000" w:themeColor="text1"/>
                <w14:textFill>
                  <w14:solidFill>
                    <w14:schemeClr w14:val="tx1"/>
                  </w14:solidFill>
                </w14:textFill>
              </w:rPr>
            </w:pPr>
          </w:p>
        </w:tc>
        <w:tc>
          <w:tcPr>
            <w:tcW w:w="174" w:type="pct"/>
            <w:tcBorders>
              <w:top w:val="single" w:color="000000" w:sz="4" w:space="0"/>
            </w:tcBorders>
            <w:shd w:val="clear" w:color="auto" w:fill="92D050"/>
            <w:vAlign w:val="center"/>
          </w:tcPr>
          <w:p w14:paraId="496DC607">
            <w:pPr>
              <w:pStyle w:val="33"/>
              <w:rPr>
                <w:color w:val="000000" w:themeColor="text1"/>
                <w14:textFill>
                  <w14:solidFill>
                    <w14:schemeClr w14:val="tx1"/>
                  </w14:solidFill>
                </w14:textFill>
              </w:rPr>
            </w:pPr>
          </w:p>
        </w:tc>
        <w:tc>
          <w:tcPr>
            <w:tcW w:w="175" w:type="pct"/>
            <w:tcBorders>
              <w:top w:val="single" w:color="000000" w:sz="4" w:space="0"/>
              <w:bottom w:val="single" w:color="000000" w:sz="4" w:space="0"/>
            </w:tcBorders>
            <w:shd w:val="clear" w:color="auto" w:fill="92D050"/>
            <w:vAlign w:val="center"/>
          </w:tcPr>
          <w:p w14:paraId="22083835">
            <w:pPr>
              <w:pStyle w:val="33"/>
              <w:rPr>
                <w:color w:val="000000" w:themeColor="text1"/>
                <w14:textFill>
                  <w14:solidFill>
                    <w14:schemeClr w14:val="tx1"/>
                  </w14:solidFill>
                </w14:textFill>
              </w:rPr>
            </w:pPr>
          </w:p>
        </w:tc>
        <w:tc>
          <w:tcPr>
            <w:tcW w:w="175" w:type="pct"/>
            <w:tcBorders>
              <w:top w:val="single" w:color="000000" w:sz="4" w:space="0"/>
              <w:bottom w:val="single" w:color="000000" w:sz="4" w:space="0"/>
            </w:tcBorders>
            <w:shd w:val="clear" w:color="auto" w:fill="92D050"/>
            <w:tcMar>
              <w:top w:w="12" w:type="dxa"/>
              <w:left w:w="12" w:type="dxa"/>
              <w:right w:w="12" w:type="dxa"/>
            </w:tcMar>
            <w:vAlign w:val="center"/>
          </w:tcPr>
          <w:p w14:paraId="0DDC6EA5">
            <w:pPr>
              <w:pStyle w:val="33"/>
              <w:rPr>
                <w:color w:val="000000" w:themeColor="text1"/>
                <w14:textFill>
                  <w14:solidFill>
                    <w14:schemeClr w14:val="tx1"/>
                  </w14:solidFill>
                </w14:textFill>
              </w:rPr>
            </w:pPr>
          </w:p>
        </w:tc>
        <w:tc>
          <w:tcPr>
            <w:tcW w:w="170" w:type="pct"/>
            <w:tcBorders>
              <w:top w:val="single" w:color="000000" w:sz="4" w:space="0"/>
              <w:bottom w:val="single" w:color="000000" w:sz="4" w:space="0"/>
            </w:tcBorders>
            <w:shd w:val="clear" w:color="auto" w:fill="92D050"/>
            <w:tcMar>
              <w:top w:w="12" w:type="dxa"/>
              <w:left w:w="12" w:type="dxa"/>
              <w:right w:w="12" w:type="dxa"/>
            </w:tcMar>
            <w:vAlign w:val="center"/>
          </w:tcPr>
          <w:p w14:paraId="1A183F8C">
            <w:pPr>
              <w:pStyle w:val="33"/>
              <w:rPr>
                <w:color w:val="000000" w:themeColor="text1"/>
                <w14:textFill>
                  <w14:solidFill>
                    <w14:schemeClr w14:val="tx1"/>
                  </w14:solidFill>
                </w14:textFill>
              </w:rPr>
            </w:pPr>
          </w:p>
        </w:tc>
        <w:tc>
          <w:tcPr>
            <w:tcW w:w="169" w:type="pct"/>
            <w:tcBorders>
              <w:top w:val="single" w:color="000000" w:sz="4" w:space="0"/>
              <w:bottom w:val="single" w:color="000000" w:sz="4" w:space="0"/>
            </w:tcBorders>
            <w:shd w:val="clear" w:color="auto" w:fill="92D050"/>
            <w:tcMar>
              <w:top w:w="12" w:type="dxa"/>
              <w:left w:w="12" w:type="dxa"/>
              <w:right w:w="12" w:type="dxa"/>
            </w:tcMar>
            <w:vAlign w:val="center"/>
          </w:tcPr>
          <w:p w14:paraId="03302326">
            <w:pPr>
              <w:pStyle w:val="33"/>
              <w:rPr>
                <w:color w:val="000000" w:themeColor="text1"/>
                <w14:textFill>
                  <w14:solidFill>
                    <w14:schemeClr w14:val="tx1"/>
                  </w14:solidFill>
                </w14:textFill>
              </w:rPr>
            </w:pPr>
          </w:p>
        </w:tc>
        <w:tc>
          <w:tcPr>
            <w:tcW w:w="169" w:type="pct"/>
            <w:tcBorders>
              <w:top w:val="single" w:color="000000" w:sz="4" w:space="0"/>
              <w:bottom w:val="single" w:color="000000" w:sz="4" w:space="0"/>
            </w:tcBorders>
            <w:shd w:val="clear" w:color="auto" w:fill="92D050"/>
            <w:tcMar>
              <w:top w:w="12" w:type="dxa"/>
              <w:left w:w="12" w:type="dxa"/>
              <w:right w:w="12" w:type="dxa"/>
            </w:tcMar>
            <w:vAlign w:val="center"/>
          </w:tcPr>
          <w:p w14:paraId="5D37DCEC">
            <w:pPr>
              <w:pStyle w:val="33"/>
              <w:rPr>
                <w:color w:val="000000" w:themeColor="text1"/>
                <w14:textFill>
                  <w14:solidFill>
                    <w14:schemeClr w14:val="tx1"/>
                  </w14:solidFill>
                </w14:textFill>
              </w:rPr>
            </w:pPr>
          </w:p>
        </w:tc>
        <w:tc>
          <w:tcPr>
            <w:tcW w:w="170" w:type="pct"/>
            <w:tcBorders>
              <w:top w:val="single" w:color="000000" w:sz="4" w:space="0"/>
              <w:bottom w:val="single" w:color="000000" w:sz="4" w:space="0"/>
            </w:tcBorders>
            <w:shd w:val="clear" w:color="auto" w:fill="92D050"/>
            <w:tcMar>
              <w:top w:w="12" w:type="dxa"/>
              <w:left w:w="12" w:type="dxa"/>
              <w:right w:w="12" w:type="dxa"/>
            </w:tcMar>
            <w:vAlign w:val="center"/>
          </w:tcPr>
          <w:p w14:paraId="3FF45184">
            <w:pPr>
              <w:pStyle w:val="33"/>
              <w:rPr>
                <w:color w:val="000000" w:themeColor="text1"/>
                <w14:textFill>
                  <w14:solidFill>
                    <w14:schemeClr w14:val="tx1"/>
                  </w14:solidFill>
                </w14:textFill>
              </w:rPr>
            </w:pPr>
          </w:p>
        </w:tc>
        <w:tc>
          <w:tcPr>
            <w:tcW w:w="167" w:type="pct"/>
            <w:tcBorders>
              <w:top w:val="single" w:color="000000" w:sz="4" w:space="0"/>
              <w:bottom w:val="single" w:color="000000" w:sz="4" w:space="0"/>
            </w:tcBorders>
            <w:shd w:val="clear" w:color="auto" w:fill="92D050"/>
            <w:vAlign w:val="center"/>
          </w:tcPr>
          <w:p w14:paraId="7422787B">
            <w:pPr>
              <w:pStyle w:val="33"/>
              <w:rPr>
                <w:color w:val="000000" w:themeColor="text1"/>
                <w14:textFill>
                  <w14:solidFill>
                    <w14:schemeClr w14:val="tx1"/>
                  </w14:solidFill>
                </w14:textFill>
              </w:rPr>
            </w:pPr>
          </w:p>
        </w:tc>
        <w:tc>
          <w:tcPr>
            <w:tcW w:w="167" w:type="pct"/>
            <w:tcBorders>
              <w:top w:val="single" w:color="000000" w:sz="4" w:space="0"/>
              <w:bottom w:val="single" w:color="000000" w:sz="4" w:space="0"/>
            </w:tcBorders>
            <w:shd w:val="clear" w:color="auto" w:fill="92D050"/>
            <w:vAlign w:val="center"/>
          </w:tcPr>
          <w:p w14:paraId="13DDD532">
            <w:pPr>
              <w:pStyle w:val="33"/>
              <w:rPr>
                <w:color w:val="000000" w:themeColor="text1"/>
                <w14:textFill>
                  <w14:solidFill>
                    <w14:schemeClr w14:val="tx1"/>
                  </w14:solidFill>
                </w14:textFill>
              </w:rPr>
            </w:pPr>
          </w:p>
        </w:tc>
        <w:tc>
          <w:tcPr>
            <w:tcW w:w="167" w:type="pct"/>
            <w:tcBorders>
              <w:top w:val="single" w:color="000000" w:sz="4" w:space="0"/>
              <w:bottom w:val="single" w:color="000000" w:sz="4" w:space="0"/>
            </w:tcBorders>
            <w:shd w:val="clear" w:color="auto" w:fill="92D050"/>
            <w:vAlign w:val="center"/>
          </w:tcPr>
          <w:p w14:paraId="6D064249">
            <w:pPr>
              <w:pStyle w:val="33"/>
              <w:rPr>
                <w:color w:val="000000" w:themeColor="text1"/>
                <w14:textFill>
                  <w14:solidFill>
                    <w14:schemeClr w14:val="tx1"/>
                  </w14:solidFill>
                </w14:textFill>
              </w:rPr>
            </w:pPr>
          </w:p>
        </w:tc>
        <w:tc>
          <w:tcPr>
            <w:tcW w:w="167" w:type="pct"/>
            <w:tcBorders>
              <w:top w:val="single" w:color="000000" w:sz="4" w:space="0"/>
              <w:bottom w:val="single" w:color="000000" w:sz="4" w:space="0"/>
            </w:tcBorders>
            <w:shd w:val="clear" w:color="auto" w:fill="92D050"/>
            <w:vAlign w:val="center"/>
          </w:tcPr>
          <w:p w14:paraId="3FF60799">
            <w:pPr>
              <w:pStyle w:val="33"/>
              <w:rPr>
                <w:color w:val="000000" w:themeColor="text1"/>
                <w14:textFill>
                  <w14:solidFill>
                    <w14:schemeClr w14:val="tx1"/>
                  </w14:solidFill>
                </w14:textFill>
              </w:rPr>
            </w:pPr>
          </w:p>
        </w:tc>
        <w:tc>
          <w:tcPr>
            <w:tcW w:w="167" w:type="pct"/>
            <w:tcBorders>
              <w:top w:val="single" w:color="000000" w:sz="4" w:space="0"/>
              <w:bottom w:val="single" w:color="000000" w:sz="4" w:space="0"/>
            </w:tcBorders>
            <w:shd w:val="clear" w:color="auto" w:fill="92D050"/>
            <w:vAlign w:val="center"/>
          </w:tcPr>
          <w:p w14:paraId="4626147D">
            <w:pPr>
              <w:pStyle w:val="33"/>
              <w:rPr>
                <w:color w:val="000000" w:themeColor="text1"/>
                <w14:textFill>
                  <w14:solidFill>
                    <w14:schemeClr w14:val="tx1"/>
                  </w14:solidFill>
                </w14:textFill>
              </w:rPr>
            </w:pPr>
          </w:p>
        </w:tc>
        <w:tc>
          <w:tcPr>
            <w:tcW w:w="164" w:type="pct"/>
            <w:tcBorders>
              <w:top w:val="single" w:color="000000" w:sz="4" w:space="0"/>
              <w:bottom w:val="single" w:color="000000" w:sz="4" w:space="0"/>
              <w:right w:val="single" w:color="auto" w:sz="12" w:space="0"/>
            </w:tcBorders>
            <w:shd w:val="clear" w:color="auto" w:fill="92D050"/>
            <w:vAlign w:val="center"/>
          </w:tcPr>
          <w:p w14:paraId="593EB911">
            <w:pPr>
              <w:pStyle w:val="33"/>
              <w:rPr>
                <w:color w:val="000000" w:themeColor="text1"/>
                <w14:textFill>
                  <w14:solidFill>
                    <w14:schemeClr w14:val="tx1"/>
                  </w14:solidFill>
                </w14:textFill>
              </w:rPr>
            </w:pPr>
          </w:p>
        </w:tc>
        <w:tc>
          <w:tcPr>
            <w:tcW w:w="164" w:type="pct"/>
            <w:tcBorders>
              <w:top w:val="single" w:color="000000" w:sz="4" w:space="0"/>
              <w:bottom w:val="single" w:color="000000" w:sz="4" w:space="0"/>
              <w:right w:val="single" w:color="auto" w:sz="12" w:space="0"/>
            </w:tcBorders>
            <w:shd w:val="clear" w:color="auto" w:fill="92D050"/>
          </w:tcPr>
          <w:p w14:paraId="155246C6">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shd w:val="clear" w:color="auto" w:fill="92D050"/>
          </w:tcPr>
          <w:p w14:paraId="2DE4BB15">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shd w:val="clear" w:color="auto" w:fill="92D050"/>
          </w:tcPr>
          <w:p w14:paraId="429044F0">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78CC3A76">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45FE2F1A">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0C149434">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36068C9A">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7F9FFDE3">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4F4E8363">
            <w:pPr>
              <w:pStyle w:val="33"/>
              <w:rPr>
                <w:color w:val="000000" w:themeColor="text1"/>
                <w14:textFill>
                  <w14:solidFill>
                    <w14:schemeClr w14:val="tx1"/>
                  </w14:solidFill>
                </w14:textFill>
              </w:rPr>
            </w:pPr>
          </w:p>
        </w:tc>
        <w:tc>
          <w:tcPr>
            <w:tcW w:w="157" w:type="pct"/>
            <w:tcBorders>
              <w:top w:val="single" w:color="000000" w:sz="4" w:space="0"/>
              <w:bottom w:val="single" w:color="000000" w:sz="4" w:space="0"/>
              <w:right w:val="single" w:color="auto" w:sz="12" w:space="0"/>
            </w:tcBorders>
          </w:tcPr>
          <w:p w14:paraId="4425E6D2">
            <w:pPr>
              <w:pStyle w:val="33"/>
              <w:rPr>
                <w:color w:val="000000" w:themeColor="text1"/>
                <w14:textFill>
                  <w14:solidFill>
                    <w14:schemeClr w14:val="tx1"/>
                  </w14:solidFill>
                </w14:textFill>
              </w:rPr>
            </w:pPr>
          </w:p>
        </w:tc>
      </w:tr>
      <w:tr w14:paraId="52758454">
        <w:tblPrEx>
          <w:tblBorders>
            <w:top w:val="double" w:color="000000" w:sz="4" w:space="0"/>
            <w:left w:val="double" w:color="000000" w:sz="4" w:space="0"/>
            <w:bottom w:val="sing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09" w:type="pct"/>
            <w:tcBorders>
              <w:left w:val="single" w:color="auto" w:sz="12" w:space="0"/>
            </w:tcBorders>
            <w:shd w:val="clear" w:color="auto" w:fill="auto"/>
            <w:tcMar>
              <w:top w:w="12" w:type="dxa"/>
              <w:left w:w="12" w:type="dxa"/>
              <w:right w:w="12" w:type="dxa"/>
            </w:tcMar>
            <w:vAlign w:val="center"/>
          </w:tcPr>
          <w:p w14:paraId="6D707E5A">
            <w:pPr>
              <w:pStyle w:val="33"/>
              <w:rPr>
                <w:color w:val="000000" w:themeColor="text1"/>
                <w:lang w:bidi="ar"/>
                <w14:textFill>
                  <w14:solidFill>
                    <w14:schemeClr w14:val="tx1"/>
                  </w14:solidFill>
                </w14:textFill>
              </w:rPr>
            </w:pPr>
            <w:r>
              <w:rPr>
                <w:color w:val="000000" w:themeColor="text1"/>
                <w14:textFill>
                  <w14:solidFill>
                    <w14:schemeClr w14:val="tx1"/>
                  </w14:solidFill>
                </w14:textFill>
              </w:rPr>
              <w:t>公用设施用地</w:t>
            </w:r>
          </w:p>
        </w:tc>
        <w:tc>
          <w:tcPr>
            <w:tcW w:w="174" w:type="pct"/>
            <w:tcBorders>
              <w:top w:val="single" w:color="000000" w:sz="4" w:space="0"/>
            </w:tcBorders>
            <w:shd w:val="clear" w:color="auto" w:fill="92D050"/>
            <w:vAlign w:val="center"/>
          </w:tcPr>
          <w:p w14:paraId="00DB6F87">
            <w:pPr>
              <w:pStyle w:val="33"/>
              <w:rPr>
                <w:color w:val="000000" w:themeColor="text1"/>
                <w14:textFill>
                  <w14:solidFill>
                    <w14:schemeClr w14:val="tx1"/>
                  </w14:solidFill>
                </w14:textFill>
              </w:rPr>
            </w:pPr>
          </w:p>
        </w:tc>
        <w:tc>
          <w:tcPr>
            <w:tcW w:w="174" w:type="pct"/>
            <w:tcBorders>
              <w:top w:val="single" w:color="000000" w:sz="4" w:space="0"/>
            </w:tcBorders>
            <w:shd w:val="clear" w:color="auto" w:fill="92D050"/>
            <w:vAlign w:val="center"/>
          </w:tcPr>
          <w:p w14:paraId="48503492">
            <w:pPr>
              <w:pStyle w:val="33"/>
              <w:rPr>
                <w:color w:val="000000" w:themeColor="text1"/>
                <w14:textFill>
                  <w14:solidFill>
                    <w14:schemeClr w14:val="tx1"/>
                  </w14:solidFill>
                </w14:textFill>
              </w:rPr>
            </w:pPr>
          </w:p>
        </w:tc>
        <w:tc>
          <w:tcPr>
            <w:tcW w:w="174" w:type="pct"/>
            <w:tcBorders>
              <w:top w:val="single" w:color="000000" w:sz="4" w:space="0"/>
            </w:tcBorders>
            <w:shd w:val="clear" w:color="auto" w:fill="auto"/>
            <w:vAlign w:val="center"/>
          </w:tcPr>
          <w:p w14:paraId="5B5513F6">
            <w:pPr>
              <w:pStyle w:val="33"/>
              <w:rPr>
                <w:color w:val="000000" w:themeColor="text1"/>
                <w14:textFill>
                  <w14:solidFill>
                    <w14:schemeClr w14:val="tx1"/>
                  </w14:solidFill>
                </w14:textFill>
              </w:rPr>
            </w:pPr>
          </w:p>
        </w:tc>
        <w:tc>
          <w:tcPr>
            <w:tcW w:w="174" w:type="pct"/>
            <w:tcBorders>
              <w:top w:val="single" w:color="000000" w:sz="4" w:space="0"/>
            </w:tcBorders>
            <w:shd w:val="clear" w:color="auto" w:fill="auto"/>
            <w:vAlign w:val="center"/>
          </w:tcPr>
          <w:p w14:paraId="5A98B792">
            <w:pPr>
              <w:pStyle w:val="33"/>
              <w:rPr>
                <w:color w:val="000000" w:themeColor="text1"/>
                <w14:textFill>
                  <w14:solidFill>
                    <w14:schemeClr w14:val="tx1"/>
                  </w14:solidFill>
                </w14:textFill>
              </w:rPr>
            </w:pPr>
          </w:p>
        </w:tc>
        <w:tc>
          <w:tcPr>
            <w:tcW w:w="174" w:type="pct"/>
            <w:tcBorders>
              <w:top w:val="single" w:color="000000" w:sz="4" w:space="0"/>
            </w:tcBorders>
            <w:shd w:val="clear" w:color="auto" w:fill="auto"/>
            <w:vAlign w:val="center"/>
          </w:tcPr>
          <w:p w14:paraId="1746AE99">
            <w:pPr>
              <w:pStyle w:val="33"/>
              <w:rPr>
                <w:color w:val="000000" w:themeColor="text1"/>
                <w14:textFill>
                  <w14:solidFill>
                    <w14:schemeClr w14:val="tx1"/>
                  </w14:solidFill>
                </w14:textFill>
              </w:rPr>
            </w:pPr>
          </w:p>
        </w:tc>
        <w:tc>
          <w:tcPr>
            <w:tcW w:w="175" w:type="pct"/>
            <w:tcBorders>
              <w:top w:val="single" w:color="000000" w:sz="4" w:space="0"/>
              <w:bottom w:val="single" w:color="000000" w:sz="4" w:space="0"/>
            </w:tcBorders>
            <w:shd w:val="clear" w:color="auto" w:fill="auto"/>
            <w:vAlign w:val="center"/>
          </w:tcPr>
          <w:p w14:paraId="5DBF50CA">
            <w:pPr>
              <w:pStyle w:val="33"/>
              <w:rPr>
                <w:color w:val="000000" w:themeColor="text1"/>
                <w14:textFill>
                  <w14:solidFill>
                    <w14:schemeClr w14:val="tx1"/>
                  </w14:solidFill>
                </w14:textFill>
              </w:rPr>
            </w:pPr>
          </w:p>
        </w:tc>
        <w:tc>
          <w:tcPr>
            <w:tcW w:w="175" w:type="pct"/>
            <w:tcBorders>
              <w:top w:val="single" w:color="000000" w:sz="4" w:space="0"/>
              <w:bottom w:val="single" w:color="000000" w:sz="4" w:space="0"/>
            </w:tcBorders>
            <w:shd w:val="clear" w:color="auto" w:fill="auto"/>
            <w:tcMar>
              <w:top w:w="12" w:type="dxa"/>
              <w:left w:w="12" w:type="dxa"/>
              <w:right w:w="12" w:type="dxa"/>
            </w:tcMar>
            <w:vAlign w:val="center"/>
          </w:tcPr>
          <w:p w14:paraId="4E4F7B81">
            <w:pPr>
              <w:pStyle w:val="33"/>
              <w:rPr>
                <w:color w:val="000000" w:themeColor="text1"/>
                <w14:textFill>
                  <w14:solidFill>
                    <w14:schemeClr w14:val="tx1"/>
                  </w14:solidFill>
                </w14:textFill>
              </w:rPr>
            </w:pPr>
          </w:p>
        </w:tc>
        <w:tc>
          <w:tcPr>
            <w:tcW w:w="170" w:type="pct"/>
            <w:tcBorders>
              <w:top w:val="single" w:color="000000" w:sz="4" w:space="0"/>
              <w:bottom w:val="single" w:color="000000" w:sz="4" w:space="0"/>
            </w:tcBorders>
            <w:shd w:val="clear" w:color="auto" w:fill="auto"/>
            <w:tcMar>
              <w:top w:w="12" w:type="dxa"/>
              <w:left w:w="12" w:type="dxa"/>
              <w:right w:w="12" w:type="dxa"/>
            </w:tcMar>
            <w:vAlign w:val="center"/>
          </w:tcPr>
          <w:p w14:paraId="28E12234">
            <w:pPr>
              <w:pStyle w:val="33"/>
              <w:rPr>
                <w:color w:val="000000" w:themeColor="text1"/>
                <w14:textFill>
                  <w14:solidFill>
                    <w14:schemeClr w14:val="tx1"/>
                  </w14:solidFill>
                </w14:textFill>
              </w:rPr>
            </w:pPr>
          </w:p>
        </w:tc>
        <w:tc>
          <w:tcPr>
            <w:tcW w:w="169" w:type="pct"/>
            <w:tcBorders>
              <w:top w:val="single" w:color="000000" w:sz="4" w:space="0"/>
              <w:bottom w:val="single" w:color="000000" w:sz="4" w:space="0"/>
            </w:tcBorders>
            <w:shd w:val="clear" w:color="auto" w:fill="auto"/>
            <w:tcMar>
              <w:top w:w="12" w:type="dxa"/>
              <w:left w:w="12" w:type="dxa"/>
              <w:right w:w="12" w:type="dxa"/>
            </w:tcMar>
            <w:vAlign w:val="center"/>
          </w:tcPr>
          <w:p w14:paraId="0EAAE4E6">
            <w:pPr>
              <w:pStyle w:val="33"/>
              <w:rPr>
                <w:color w:val="000000" w:themeColor="text1"/>
                <w14:textFill>
                  <w14:solidFill>
                    <w14:schemeClr w14:val="tx1"/>
                  </w14:solidFill>
                </w14:textFill>
              </w:rPr>
            </w:pPr>
          </w:p>
        </w:tc>
        <w:tc>
          <w:tcPr>
            <w:tcW w:w="169" w:type="pct"/>
            <w:tcBorders>
              <w:top w:val="single" w:color="000000" w:sz="4" w:space="0"/>
              <w:bottom w:val="single" w:color="000000" w:sz="4" w:space="0"/>
            </w:tcBorders>
            <w:shd w:val="clear" w:color="auto" w:fill="auto"/>
            <w:tcMar>
              <w:top w:w="12" w:type="dxa"/>
              <w:left w:w="12" w:type="dxa"/>
              <w:right w:w="12" w:type="dxa"/>
            </w:tcMar>
            <w:vAlign w:val="center"/>
          </w:tcPr>
          <w:p w14:paraId="2E90DEC0">
            <w:pPr>
              <w:pStyle w:val="33"/>
              <w:rPr>
                <w:color w:val="000000" w:themeColor="text1"/>
                <w14:textFill>
                  <w14:solidFill>
                    <w14:schemeClr w14:val="tx1"/>
                  </w14:solidFill>
                </w14:textFill>
              </w:rPr>
            </w:pPr>
          </w:p>
        </w:tc>
        <w:tc>
          <w:tcPr>
            <w:tcW w:w="170" w:type="pct"/>
            <w:tcBorders>
              <w:top w:val="single" w:color="000000" w:sz="4" w:space="0"/>
              <w:bottom w:val="single" w:color="000000" w:sz="4" w:space="0"/>
            </w:tcBorders>
            <w:shd w:val="clear" w:color="auto" w:fill="92D050"/>
            <w:tcMar>
              <w:top w:w="12" w:type="dxa"/>
              <w:left w:w="12" w:type="dxa"/>
              <w:right w:w="12" w:type="dxa"/>
            </w:tcMar>
            <w:vAlign w:val="center"/>
          </w:tcPr>
          <w:p w14:paraId="13881B9E">
            <w:pPr>
              <w:pStyle w:val="33"/>
              <w:rPr>
                <w:color w:val="000000" w:themeColor="text1"/>
                <w14:textFill>
                  <w14:solidFill>
                    <w14:schemeClr w14:val="tx1"/>
                  </w14:solidFill>
                </w14:textFill>
              </w:rPr>
            </w:pPr>
          </w:p>
        </w:tc>
        <w:tc>
          <w:tcPr>
            <w:tcW w:w="167" w:type="pct"/>
            <w:tcBorders>
              <w:top w:val="single" w:color="000000" w:sz="4" w:space="0"/>
              <w:bottom w:val="single" w:color="000000" w:sz="4" w:space="0"/>
            </w:tcBorders>
            <w:shd w:val="clear" w:color="auto" w:fill="92D050"/>
            <w:vAlign w:val="center"/>
          </w:tcPr>
          <w:p w14:paraId="76B1BDF4">
            <w:pPr>
              <w:pStyle w:val="33"/>
              <w:rPr>
                <w:color w:val="000000" w:themeColor="text1"/>
                <w14:textFill>
                  <w14:solidFill>
                    <w14:schemeClr w14:val="tx1"/>
                  </w14:solidFill>
                </w14:textFill>
              </w:rPr>
            </w:pPr>
          </w:p>
        </w:tc>
        <w:tc>
          <w:tcPr>
            <w:tcW w:w="167" w:type="pct"/>
            <w:tcBorders>
              <w:top w:val="single" w:color="000000" w:sz="4" w:space="0"/>
              <w:bottom w:val="single" w:color="000000" w:sz="4" w:space="0"/>
            </w:tcBorders>
            <w:shd w:val="clear" w:color="auto" w:fill="92D050"/>
            <w:vAlign w:val="center"/>
          </w:tcPr>
          <w:p w14:paraId="0DA74AA8">
            <w:pPr>
              <w:pStyle w:val="33"/>
              <w:rPr>
                <w:color w:val="000000" w:themeColor="text1"/>
                <w14:textFill>
                  <w14:solidFill>
                    <w14:schemeClr w14:val="tx1"/>
                  </w14:solidFill>
                </w14:textFill>
              </w:rPr>
            </w:pPr>
          </w:p>
        </w:tc>
        <w:tc>
          <w:tcPr>
            <w:tcW w:w="167" w:type="pct"/>
            <w:tcBorders>
              <w:top w:val="single" w:color="000000" w:sz="4" w:space="0"/>
              <w:bottom w:val="single" w:color="000000" w:sz="4" w:space="0"/>
            </w:tcBorders>
            <w:shd w:val="clear" w:color="auto" w:fill="auto"/>
            <w:vAlign w:val="center"/>
          </w:tcPr>
          <w:p w14:paraId="6554C873">
            <w:pPr>
              <w:pStyle w:val="33"/>
              <w:rPr>
                <w:color w:val="000000" w:themeColor="text1"/>
                <w14:textFill>
                  <w14:solidFill>
                    <w14:schemeClr w14:val="tx1"/>
                  </w14:solidFill>
                </w14:textFill>
              </w:rPr>
            </w:pPr>
          </w:p>
        </w:tc>
        <w:tc>
          <w:tcPr>
            <w:tcW w:w="167" w:type="pct"/>
            <w:tcBorders>
              <w:top w:val="single" w:color="000000" w:sz="4" w:space="0"/>
              <w:bottom w:val="single" w:color="000000" w:sz="4" w:space="0"/>
            </w:tcBorders>
            <w:shd w:val="clear" w:color="auto" w:fill="auto"/>
            <w:vAlign w:val="center"/>
          </w:tcPr>
          <w:p w14:paraId="66E3C331">
            <w:pPr>
              <w:pStyle w:val="33"/>
              <w:rPr>
                <w:color w:val="000000" w:themeColor="text1"/>
                <w14:textFill>
                  <w14:solidFill>
                    <w14:schemeClr w14:val="tx1"/>
                  </w14:solidFill>
                </w14:textFill>
              </w:rPr>
            </w:pPr>
          </w:p>
        </w:tc>
        <w:tc>
          <w:tcPr>
            <w:tcW w:w="167" w:type="pct"/>
            <w:tcBorders>
              <w:top w:val="single" w:color="000000" w:sz="4" w:space="0"/>
              <w:bottom w:val="single" w:color="000000" w:sz="4" w:space="0"/>
            </w:tcBorders>
            <w:shd w:val="clear" w:color="auto" w:fill="auto"/>
            <w:vAlign w:val="center"/>
          </w:tcPr>
          <w:p w14:paraId="6EF55B0D">
            <w:pPr>
              <w:pStyle w:val="33"/>
              <w:rPr>
                <w:color w:val="000000" w:themeColor="text1"/>
                <w14:textFill>
                  <w14:solidFill>
                    <w14:schemeClr w14:val="tx1"/>
                  </w14:solidFill>
                </w14:textFill>
              </w:rPr>
            </w:pPr>
          </w:p>
        </w:tc>
        <w:tc>
          <w:tcPr>
            <w:tcW w:w="164" w:type="pct"/>
            <w:tcBorders>
              <w:top w:val="single" w:color="000000" w:sz="4" w:space="0"/>
              <w:bottom w:val="single" w:color="000000" w:sz="4" w:space="0"/>
              <w:right w:val="single" w:color="auto" w:sz="12" w:space="0"/>
            </w:tcBorders>
            <w:shd w:val="clear" w:color="auto" w:fill="auto"/>
            <w:vAlign w:val="center"/>
          </w:tcPr>
          <w:p w14:paraId="5778F462">
            <w:pPr>
              <w:pStyle w:val="33"/>
              <w:rPr>
                <w:color w:val="000000" w:themeColor="text1"/>
                <w14:textFill>
                  <w14:solidFill>
                    <w14:schemeClr w14:val="tx1"/>
                  </w14:solidFill>
                </w14:textFill>
              </w:rPr>
            </w:pPr>
          </w:p>
        </w:tc>
        <w:tc>
          <w:tcPr>
            <w:tcW w:w="164" w:type="pct"/>
            <w:tcBorders>
              <w:top w:val="single" w:color="000000" w:sz="4" w:space="0"/>
              <w:bottom w:val="single" w:color="000000" w:sz="4" w:space="0"/>
              <w:right w:val="single" w:color="auto" w:sz="12" w:space="0"/>
            </w:tcBorders>
            <w:shd w:val="clear" w:color="auto" w:fill="auto"/>
          </w:tcPr>
          <w:p w14:paraId="1E52C133">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06349185">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723605CB">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53B6D605">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5B026FD1">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0F70B283">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36919D8A">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62013ACD">
            <w:pPr>
              <w:pStyle w:val="33"/>
              <w:rPr>
                <w:color w:val="000000" w:themeColor="text1"/>
                <w14:textFill>
                  <w14:solidFill>
                    <w14:schemeClr w14:val="tx1"/>
                  </w14:solidFill>
                </w14:textFill>
              </w:rPr>
            </w:pPr>
          </w:p>
        </w:tc>
        <w:tc>
          <w:tcPr>
            <w:tcW w:w="160" w:type="pct"/>
            <w:tcBorders>
              <w:top w:val="single" w:color="000000" w:sz="4" w:space="0"/>
              <w:bottom w:val="single" w:color="000000" w:sz="4" w:space="0"/>
            </w:tcBorders>
          </w:tcPr>
          <w:p w14:paraId="6B1B5527">
            <w:pPr>
              <w:pStyle w:val="33"/>
              <w:rPr>
                <w:color w:val="000000" w:themeColor="text1"/>
                <w14:textFill>
                  <w14:solidFill>
                    <w14:schemeClr w14:val="tx1"/>
                  </w14:solidFill>
                </w14:textFill>
              </w:rPr>
            </w:pPr>
          </w:p>
        </w:tc>
        <w:tc>
          <w:tcPr>
            <w:tcW w:w="157" w:type="pct"/>
            <w:tcBorders>
              <w:top w:val="single" w:color="000000" w:sz="4" w:space="0"/>
              <w:bottom w:val="single" w:color="000000" w:sz="4" w:space="0"/>
              <w:right w:val="single" w:color="auto" w:sz="12" w:space="0"/>
            </w:tcBorders>
          </w:tcPr>
          <w:p w14:paraId="35A5945D">
            <w:pPr>
              <w:pStyle w:val="33"/>
              <w:rPr>
                <w:color w:val="000000" w:themeColor="text1"/>
                <w14:textFill>
                  <w14:solidFill>
                    <w14:schemeClr w14:val="tx1"/>
                  </w14:solidFill>
                </w14:textFill>
              </w:rPr>
            </w:pPr>
          </w:p>
        </w:tc>
      </w:tr>
      <w:tr w14:paraId="723FC90F">
        <w:tblPrEx>
          <w:tblBorders>
            <w:top w:val="double" w:color="000000" w:sz="4" w:space="0"/>
            <w:left w:val="double" w:color="000000" w:sz="4" w:space="0"/>
            <w:bottom w:val="sing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09" w:type="pct"/>
            <w:tcBorders>
              <w:left w:val="single" w:color="auto" w:sz="12" w:space="0"/>
              <w:bottom w:val="single" w:color="auto" w:sz="12" w:space="0"/>
            </w:tcBorders>
            <w:shd w:val="clear" w:color="auto" w:fill="auto"/>
            <w:tcMar>
              <w:top w:w="12" w:type="dxa"/>
              <w:left w:w="12" w:type="dxa"/>
              <w:right w:w="12" w:type="dxa"/>
            </w:tcMar>
            <w:vAlign w:val="center"/>
          </w:tcPr>
          <w:p w14:paraId="5D590C33">
            <w:pPr>
              <w:pStyle w:val="33"/>
              <w:rPr>
                <w:color w:val="000000" w:themeColor="text1"/>
                <w:lang w:bidi="ar"/>
                <w14:textFill>
                  <w14:solidFill>
                    <w14:schemeClr w14:val="tx1"/>
                  </w14:solidFill>
                </w14:textFill>
              </w:rPr>
            </w:pPr>
            <w:r>
              <w:rPr>
                <w:color w:val="000000" w:themeColor="text1"/>
                <w14:textFill>
                  <w14:solidFill>
                    <w14:schemeClr w14:val="tx1"/>
                  </w14:solidFill>
                </w14:textFill>
              </w:rPr>
              <w:t>绿地与开敞空间用地</w:t>
            </w:r>
          </w:p>
        </w:tc>
        <w:tc>
          <w:tcPr>
            <w:tcW w:w="174" w:type="pct"/>
            <w:tcBorders>
              <w:bottom w:val="single" w:color="auto" w:sz="12" w:space="0"/>
            </w:tcBorders>
            <w:vAlign w:val="center"/>
          </w:tcPr>
          <w:p w14:paraId="53847BAA">
            <w:pPr>
              <w:pStyle w:val="33"/>
              <w:rPr>
                <w:color w:val="000000" w:themeColor="text1"/>
                <w14:textFill>
                  <w14:solidFill>
                    <w14:schemeClr w14:val="tx1"/>
                  </w14:solidFill>
                </w14:textFill>
              </w:rPr>
            </w:pPr>
          </w:p>
        </w:tc>
        <w:tc>
          <w:tcPr>
            <w:tcW w:w="174" w:type="pct"/>
            <w:tcBorders>
              <w:bottom w:val="single" w:color="auto" w:sz="12" w:space="0"/>
            </w:tcBorders>
            <w:vAlign w:val="center"/>
          </w:tcPr>
          <w:p w14:paraId="1B9581E9">
            <w:pPr>
              <w:pStyle w:val="33"/>
              <w:rPr>
                <w:color w:val="000000" w:themeColor="text1"/>
                <w14:textFill>
                  <w14:solidFill>
                    <w14:schemeClr w14:val="tx1"/>
                  </w14:solidFill>
                </w14:textFill>
              </w:rPr>
            </w:pPr>
          </w:p>
        </w:tc>
        <w:tc>
          <w:tcPr>
            <w:tcW w:w="174" w:type="pct"/>
            <w:tcBorders>
              <w:bottom w:val="single" w:color="auto" w:sz="12" w:space="0"/>
            </w:tcBorders>
            <w:vAlign w:val="center"/>
          </w:tcPr>
          <w:p w14:paraId="6C4CB744">
            <w:pPr>
              <w:pStyle w:val="33"/>
              <w:rPr>
                <w:color w:val="000000" w:themeColor="text1"/>
                <w14:textFill>
                  <w14:solidFill>
                    <w14:schemeClr w14:val="tx1"/>
                  </w14:solidFill>
                </w14:textFill>
              </w:rPr>
            </w:pPr>
          </w:p>
        </w:tc>
        <w:tc>
          <w:tcPr>
            <w:tcW w:w="174" w:type="pct"/>
            <w:tcBorders>
              <w:bottom w:val="single" w:color="auto" w:sz="12" w:space="0"/>
            </w:tcBorders>
            <w:shd w:val="clear" w:color="auto" w:fill="92D050"/>
            <w:vAlign w:val="center"/>
          </w:tcPr>
          <w:p w14:paraId="08A2C8EB">
            <w:pPr>
              <w:pStyle w:val="33"/>
              <w:rPr>
                <w:color w:val="000000" w:themeColor="text1"/>
                <w14:textFill>
                  <w14:solidFill>
                    <w14:schemeClr w14:val="tx1"/>
                  </w14:solidFill>
                </w14:textFill>
              </w:rPr>
            </w:pPr>
          </w:p>
        </w:tc>
        <w:tc>
          <w:tcPr>
            <w:tcW w:w="174" w:type="pct"/>
            <w:tcBorders>
              <w:bottom w:val="single" w:color="auto" w:sz="12" w:space="0"/>
            </w:tcBorders>
            <w:shd w:val="clear" w:color="auto" w:fill="92D050"/>
            <w:vAlign w:val="center"/>
          </w:tcPr>
          <w:p w14:paraId="6B9F12E5">
            <w:pPr>
              <w:pStyle w:val="33"/>
              <w:rPr>
                <w:color w:val="000000" w:themeColor="text1"/>
                <w14:textFill>
                  <w14:solidFill>
                    <w14:schemeClr w14:val="tx1"/>
                  </w14:solidFill>
                </w14:textFill>
              </w:rPr>
            </w:pPr>
          </w:p>
        </w:tc>
        <w:tc>
          <w:tcPr>
            <w:tcW w:w="175" w:type="pct"/>
            <w:tcBorders>
              <w:top w:val="single" w:color="000000" w:sz="4" w:space="0"/>
              <w:bottom w:val="single" w:color="auto" w:sz="12" w:space="0"/>
            </w:tcBorders>
            <w:shd w:val="clear" w:color="auto" w:fill="auto"/>
            <w:vAlign w:val="center"/>
          </w:tcPr>
          <w:p w14:paraId="097FC0C5">
            <w:pPr>
              <w:pStyle w:val="33"/>
              <w:rPr>
                <w:color w:val="000000" w:themeColor="text1"/>
                <w14:textFill>
                  <w14:solidFill>
                    <w14:schemeClr w14:val="tx1"/>
                  </w14:solidFill>
                </w14:textFill>
              </w:rPr>
            </w:pPr>
          </w:p>
        </w:tc>
        <w:tc>
          <w:tcPr>
            <w:tcW w:w="175" w:type="pct"/>
            <w:tcBorders>
              <w:top w:val="single" w:color="000000" w:sz="4" w:space="0"/>
              <w:bottom w:val="single" w:color="auto" w:sz="12" w:space="0"/>
            </w:tcBorders>
            <w:shd w:val="clear" w:color="auto" w:fill="auto"/>
            <w:tcMar>
              <w:top w:w="12" w:type="dxa"/>
              <w:left w:w="12" w:type="dxa"/>
              <w:right w:w="12" w:type="dxa"/>
            </w:tcMar>
            <w:vAlign w:val="center"/>
          </w:tcPr>
          <w:p w14:paraId="4D3C2746">
            <w:pPr>
              <w:pStyle w:val="33"/>
              <w:rPr>
                <w:color w:val="000000" w:themeColor="text1"/>
                <w14:textFill>
                  <w14:solidFill>
                    <w14:schemeClr w14:val="tx1"/>
                  </w14:solidFill>
                </w14:textFill>
              </w:rPr>
            </w:pPr>
          </w:p>
        </w:tc>
        <w:tc>
          <w:tcPr>
            <w:tcW w:w="170" w:type="pct"/>
            <w:tcBorders>
              <w:top w:val="single" w:color="000000" w:sz="4" w:space="0"/>
              <w:bottom w:val="single" w:color="auto" w:sz="12" w:space="0"/>
            </w:tcBorders>
            <w:shd w:val="clear" w:color="auto" w:fill="auto"/>
            <w:tcMar>
              <w:top w:w="12" w:type="dxa"/>
              <w:left w:w="12" w:type="dxa"/>
              <w:right w:w="12" w:type="dxa"/>
            </w:tcMar>
            <w:vAlign w:val="center"/>
          </w:tcPr>
          <w:p w14:paraId="0C1A5E00">
            <w:pPr>
              <w:pStyle w:val="33"/>
              <w:rPr>
                <w:color w:val="000000" w:themeColor="text1"/>
                <w14:textFill>
                  <w14:solidFill>
                    <w14:schemeClr w14:val="tx1"/>
                  </w14:solidFill>
                </w14:textFill>
              </w:rPr>
            </w:pPr>
          </w:p>
        </w:tc>
        <w:tc>
          <w:tcPr>
            <w:tcW w:w="169" w:type="pct"/>
            <w:tcBorders>
              <w:top w:val="single" w:color="000000" w:sz="4" w:space="0"/>
              <w:bottom w:val="single" w:color="auto" w:sz="12" w:space="0"/>
            </w:tcBorders>
            <w:shd w:val="clear" w:color="auto" w:fill="auto"/>
            <w:tcMar>
              <w:top w:w="12" w:type="dxa"/>
              <w:left w:w="12" w:type="dxa"/>
              <w:right w:w="12" w:type="dxa"/>
            </w:tcMar>
            <w:vAlign w:val="center"/>
          </w:tcPr>
          <w:p w14:paraId="19481E86">
            <w:pPr>
              <w:pStyle w:val="33"/>
              <w:rPr>
                <w:color w:val="000000" w:themeColor="text1"/>
                <w14:textFill>
                  <w14:solidFill>
                    <w14:schemeClr w14:val="tx1"/>
                  </w14:solidFill>
                </w14:textFill>
              </w:rPr>
            </w:pPr>
          </w:p>
        </w:tc>
        <w:tc>
          <w:tcPr>
            <w:tcW w:w="169" w:type="pct"/>
            <w:tcBorders>
              <w:top w:val="single" w:color="000000" w:sz="4" w:space="0"/>
              <w:bottom w:val="single" w:color="auto" w:sz="12" w:space="0"/>
            </w:tcBorders>
            <w:shd w:val="clear" w:color="auto" w:fill="auto"/>
            <w:tcMar>
              <w:top w:w="12" w:type="dxa"/>
              <w:left w:w="12" w:type="dxa"/>
              <w:right w:w="12" w:type="dxa"/>
            </w:tcMar>
            <w:vAlign w:val="center"/>
          </w:tcPr>
          <w:p w14:paraId="7D29EABE">
            <w:pPr>
              <w:pStyle w:val="33"/>
              <w:rPr>
                <w:color w:val="000000" w:themeColor="text1"/>
                <w14:textFill>
                  <w14:solidFill>
                    <w14:schemeClr w14:val="tx1"/>
                  </w14:solidFill>
                </w14:textFill>
              </w:rPr>
            </w:pPr>
          </w:p>
        </w:tc>
        <w:tc>
          <w:tcPr>
            <w:tcW w:w="170" w:type="pct"/>
            <w:tcBorders>
              <w:top w:val="single" w:color="000000" w:sz="4" w:space="0"/>
              <w:bottom w:val="single" w:color="auto" w:sz="12" w:space="0"/>
            </w:tcBorders>
            <w:shd w:val="clear" w:color="auto" w:fill="auto"/>
            <w:tcMar>
              <w:top w:w="12" w:type="dxa"/>
              <w:left w:w="12" w:type="dxa"/>
              <w:right w:w="12" w:type="dxa"/>
            </w:tcMar>
            <w:vAlign w:val="center"/>
          </w:tcPr>
          <w:p w14:paraId="2E9BB67E">
            <w:pPr>
              <w:pStyle w:val="33"/>
              <w:rPr>
                <w:color w:val="000000" w:themeColor="text1"/>
                <w14:textFill>
                  <w14:solidFill>
                    <w14:schemeClr w14:val="tx1"/>
                  </w14:solidFill>
                </w14:textFill>
              </w:rPr>
            </w:pPr>
          </w:p>
        </w:tc>
        <w:tc>
          <w:tcPr>
            <w:tcW w:w="167" w:type="pct"/>
            <w:tcBorders>
              <w:top w:val="single" w:color="000000" w:sz="4" w:space="0"/>
              <w:bottom w:val="single" w:color="auto" w:sz="12" w:space="0"/>
            </w:tcBorders>
            <w:shd w:val="clear" w:color="auto" w:fill="auto"/>
            <w:vAlign w:val="center"/>
          </w:tcPr>
          <w:p w14:paraId="6F343B36">
            <w:pPr>
              <w:pStyle w:val="33"/>
              <w:rPr>
                <w:color w:val="000000" w:themeColor="text1"/>
                <w14:textFill>
                  <w14:solidFill>
                    <w14:schemeClr w14:val="tx1"/>
                  </w14:solidFill>
                </w14:textFill>
              </w:rPr>
            </w:pPr>
          </w:p>
        </w:tc>
        <w:tc>
          <w:tcPr>
            <w:tcW w:w="167" w:type="pct"/>
            <w:tcBorders>
              <w:top w:val="single" w:color="000000" w:sz="4" w:space="0"/>
              <w:bottom w:val="single" w:color="auto" w:sz="12" w:space="0"/>
            </w:tcBorders>
            <w:shd w:val="clear" w:color="auto" w:fill="auto"/>
            <w:vAlign w:val="center"/>
          </w:tcPr>
          <w:p w14:paraId="64A1150B">
            <w:pPr>
              <w:pStyle w:val="33"/>
              <w:rPr>
                <w:color w:val="000000" w:themeColor="text1"/>
                <w14:textFill>
                  <w14:solidFill>
                    <w14:schemeClr w14:val="tx1"/>
                  </w14:solidFill>
                </w14:textFill>
              </w:rPr>
            </w:pPr>
          </w:p>
        </w:tc>
        <w:tc>
          <w:tcPr>
            <w:tcW w:w="167" w:type="pct"/>
            <w:tcBorders>
              <w:top w:val="single" w:color="000000" w:sz="4" w:space="0"/>
              <w:bottom w:val="single" w:color="auto" w:sz="12" w:space="0"/>
            </w:tcBorders>
            <w:shd w:val="clear" w:color="auto" w:fill="auto"/>
            <w:vAlign w:val="center"/>
          </w:tcPr>
          <w:p w14:paraId="7F9B26EE">
            <w:pPr>
              <w:pStyle w:val="33"/>
              <w:rPr>
                <w:color w:val="000000" w:themeColor="text1"/>
                <w14:textFill>
                  <w14:solidFill>
                    <w14:schemeClr w14:val="tx1"/>
                  </w14:solidFill>
                </w14:textFill>
              </w:rPr>
            </w:pPr>
          </w:p>
        </w:tc>
        <w:tc>
          <w:tcPr>
            <w:tcW w:w="167" w:type="pct"/>
            <w:tcBorders>
              <w:top w:val="single" w:color="000000" w:sz="4" w:space="0"/>
              <w:bottom w:val="single" w:color="auto" w:sz="12" w:space="0"/>
            </w:tcBorders>
            <w:shd w:val="clear" w:color="auto" w:fill="auto"/>
            <w:vAlign w:val="center"/>
          </w:tcPr>
          <w:p w14:paraId="0B834835">
            <w:pPr>
              <w:pStyle w:val="33"/>
              <w:rPr>
                <w:color w:val="000000" w:themeColor="text1"/>
                <w14:textFill>
                  <w14:solidFill>
                    <w14:schemeClr w14:val="tx1"/>
                  </w14:solidFill>
                </w14:textFill>
              </w:rPr>
            </w:pPr>
          </w:p>
        </w:tc>
        <w:tc>
          <w:tcPr>
            <w:tcW w:w="167" w:type="pct"/>
            <w:tcBorders>
              <w:top w:val="single" w:color="000000" w:sz="4" w:space="0"/>
              <w:bottom w:val="single" w:color="auto" w:sz="12" w:space="0"/>
            </w:tcBorders>
            <w:shd w:val="clear" w:color="auto" w:fill="auto"/>
            <w:vAlign w:val="center"/>
          </w:tcPr>
          <w:p w14:paraId="39DDE514">
            <w:pPr>
              <w:pStyle w:val="33"/>
              <w:rPr>
                <w:color w:val="000000" w:themeColor="text1"/>
                <w14:textFill>
                  <w14:solidFill>
                    <w14:schemeClr w14:val="tx1"/>
                  </w14:solidFill>
                </w14:textFill>
              </w:rPr>
            </w:pPr>
          </w:p>
        </w:tc>
        <w:tc>
          <w:tcPr>
            <w:tcW w:w="164" w:type="pct"/>
            <w:tcBorders>
              <w:top w:val="single" w:color="000000" w:sz="4" w:space="0"/>
              <w:bottom w:val="single" w:color="auto" w:sz="12" w:space="0"/>
              <w:right w:val="single" w:color="auto" w:sz="12" w:space="0"/>
            </w:tcBorders>
            <w:shd w:val="clear" w:color="auto" w:fill="auto"/>
            <w:vAlign w:val="center"/>
          </w:tcPr>
          <w:p w14:paraId="6EB7397C">
            <w:pPr>
              <w:pStyle w:val="33"/>
              <w:rPr>
                <w:color w:val="000000" w:themeColor="text1"/>
                <w14:textFill>
                  <w14:solidFill>
                    <w14:schemeClr w14:val="tx1"/>
                  </w14:solidFill>
                </w14:textFill>
              </w:rPr>
            </w:pPr>
          </w:p>
        </w:tc>
        <w:tc>
          <w:tcPr>
            <w:tcW w:w="164" w:type="pct"/>
            <w:tcBorders>
              <w:top w:val="single" w:color="000000" w:sz="4" w:space="0"/>
              <w:bottom w:val="single" w:color="auto" w:sz="12" w:space="0"/>
              <w:right w:val="single" w:color="auto" w:sz="12" w:space="0"/>
            </w:tcBorders>
            <w:shd w:val="clear" w:color="auto" w:fill="auto"/>
          </w:tcPr>
          <w:p w14:paraId="1FA3E2DA">
            <w:pPr>
              <w:pStyle w:val="33"/>
              <w:rPr>
                <w:color w:val="000000" w:themeColor="text1"/>
                <w14:textFill>
                  <w14:solidFill>
                    <w14:schemeClr w14:val="tx1"/>
                  </w14:solidFill>
                </w14:textFill>
              </w:rPr>
            </w:pPr>
          </w:p>
        </w:tc>
        <w:tc>
          <w:tcPr>
            <w:tcW w:w="160" w:type="pct"/>
            <w:tcBorders>
              <w:top w:val="single" w:color="000000" w:sz="4" w:space="0"/>
              <w:bottom w:val="single" w:color="auto" w:sz="12" w:space="0"/>
            </w:tcBorders>
            <w:shd w:val="clear" w:color="auto" w:fill="auto"/>
          </w:tcPr>
          <w:p w14:paraId="3B0D8775">
            <w:pPr>
              <w:pStyle w:val="33"/>
              <w:rPr>
                <w:color w:val="000000" w:themeColor="text1"/>
                <w14:textFill>
                  <w14:solidFill>
                    <w14:schemeClr w14:val="tx1"/>
                  </w14:solidFill>
                </w14:textFill>
              </w:rPr>
            </w:pPr>
          </w:p>
        </w:tc>
        <w:tc>
          <w:tcPr>
            <w:tcW w:w="160" w:type="pct"/>
            <w:tcBorders>
              <w:top w:val="single" w:color="000000" w:sz="4" w:space="0"/>
              <w:bottom w:val="single" w:color="auto" w:sz="12" w:space="0"/>
            </w:tcBorders>
            <w:shd w:val="clear" w:color="auto" w:fill="auto"/>
          </w:tcPr>
          <w:p w14:paraId="23F957A4">
            <w:pPr>
              <w:pStyle w:val="33"/>
              <w:rPr>
                <w:color w:val="000000" w:themeColor="text1"/>
                <w14:textFill>
                  <w14:solidFill>
                    <w14:schemeClr w14:val="tx1"/>
                  </w14:solidFill>
                </w14:textFill>
              </w:rPr>
            </w:pPr>
          </w:p>
        </w:tc>
        <w:tc>
          <w:tcPr>
            <w:tcW w:w="160" w:type="pct"/>
            <w:tcBorders>
              <w:top w:val="single" w:color="000000" w:sz="4" w:space="0"/>
              <w:bottom w:val="single" w:color="auto" w:sz="12" w:space="0"/>
            </w:tcBorders>
            <w:shd w:val="clear" w:color="auto" w:fill="auto"/>
          </w:tcPr>
          <w:p w14:paraId="1FED84E1">
            <w:pPr>
              <w:pStyle w:val="33"/>
              <w:rPr>
                <w:color w:val="000000" w:themeColor="text1"/>
                <w14:textFill>
                  <w14:solidFill>
                    <w14:schemeClr w14:val="tx1"/>
                  </w14:solidFill>
                </w14:textFill>
              </w:rPr>
            </w:pPr>
          </w:p>
        </w:tc>
        <w:tc>
          <w:tcPr>
            <w:tcW w:w="160" w:type="pct"/>
            <w:tcBorders>
              <w:top w:val="single" w:color="000000" w:sz="4" w:space="0"/>
              <w:bottom w:val="single" w:color="auto" w:sz="12" w:space="0"/>
            </w:tcBorders>
            <w:shd w:val="clear" w:color="auto" w:fill="auto"/>
          </w:tcPr>
          <w:p w14:paraId="7E80AA89">
            <w:pPr>
              <w:pStyle w:val="33"/>
              <w:rPr>
                <w:color w:val="000000" w:themeColor="text1"/>
                <w14:textFill>
                  <w14:solidFill>
                    <w14:schemeClr w14:val="tx1"/>
                  </w14:solidFill>
                </w14:textFill>
              </w:rPr>
            </w:pPr>
          </w:p>
        </w:tc>
        <w:tc>
          <w:tcPr>
            <w:tcW w:w="160" w:type="pct"/>
            <w:tcBorders>
              <w:top w:val="single" w:color="000000" w:sz="4" w:space="0"/>
              <w:bottom w:val="single" w:color="auto" w:sz="12" w:space="0"/>
            </w:tcBorders>
            <w:shd w:val="clear" w:color="auto" w:fill="auto"/>
          </w:tcPr>
          <w:p w14:paraId="04D2BAD8">
            <w:pPr>
              <w:pStyle w:val="33"/>
              <w:rPr>
                <w:color w:val="000000" w:themeColor="text1"/>
                <w14:textFill>
                  <w14:solidFill>
                    <w14:schemeClr w14:val="tx1"/>
                  </w14:solidFill>
                </w14:textFill>
              </w:rPr>
            </w:pPr>
          </w:p>
        </w:tc>
        <w:tc>
          <w:tcPr>
            <w:tcW w:w="160" w:type="pct"/>
            <w:tcBorders>
              <w:top w:val="single" w:color="000000" w:sz="4" w:space="0"/>
              <w:bottom w:val="single" w:color="auto" w:sz="12" w:space="0"/>
            </w:tcBorders>
            <w:shd w:val="clear" w:color="auto" w:fill="auto"/>
          </w:tcPr>
          <w:p w14:paraId="1A7E9ABC">
            <w:pPr>
              <w:pStyle w:val="33"/>
              <w:rPr>
                <w:color w:val="000000" w:themeColor="text1"/>
                <w14:textFill>
                  <w14:solidFill>
                    <w14:schemeClr w14:val="tx1"/>
                  </w14:solidFill>
                </w14:textFill>
              </w:rPr>
            </w:pPr>
          </w:p>
        </w:tc>
        <w:tc>
          <w:tcPr>
            <w:tcW w:w="160" w:type="pct"/>
            <w:tcBorders>
              <w:top w:val="single" w:color="000000" w:sz="4" w:space="0"/>
              <w:bottom w:val="single" w:color="auto" w:sz="12" w:space="0"/>
            </w:tcBorders>
            <w:shd w:val="clear" w:color="auto" w:fill="auto"/>
          </w:tcPr>
          <w:p w14:paraId="61A9A394">
            <w:pPr>
              <w:pStyle w:val="33"/>
              <w:rPr>
                <w:color w:val="000000" w:themeColor="text1"/>
                <w14:textFill>
                  <w14:solidFill>
                    <w14:schemeClr w14:val="tx1"/>
                  </w14:solidFill>
                </w14:textFill>
              </w:rPr>
            </w:pPr>
          </w:p>
        </w:tc>
        <w:tc>
          <w:tcPr>
            <w:tcW w:w="160" w:type="pct"/>
            <w:tcBorders>
              <w:top w:val="single" w:color="000000" w:sz="4" w:space="0"/>
              <w:bottom w:val="single" w:color="auto" w:sz="12" w:space="0"/>
            </w:tcBorders>
            <w:shd w:val="clear" w:color="auto" w:fill="auto"/>
          </w:tcPr>
          <w:p w14:paraId="1B3DE389">
            <w:pPr>
              <w:pStyle w:val="33"/>
              <w:rPr>
                <w:color w:val="000000" w:themeColor="text1"/>
                <w14:textFill>
                  <w14:solidFill>
                    <w14:schemeClr w14:val="tx1"/>
                  </w14:solidFill>
                </w14:textFill>
              </w:rPr>
            </w:pPr>
          </w:p>
        </w:tc>
        <w:tc>
          <w:tcPr>
            <w:tcW w:w="157" w:type="pct"/>
            <w:tcBorders>
              <w:top w:val="single" w:color="000000" w:sz="4" w:space="0"/>
              <w:bottom w:val="single" w:color="auto" w:sz="12" w:space="0"/>
              <w:right w:val="single" w:color="auto" w:sz="12" w:space="0"/>
            </w:tcBorders>
          </w:tcPr>
          <w:p w14:paraId="1D7CCFC1">
            <w:pPr>
              <w:pStyle w:val="33"/>
              <w:rPr>
                <w:color w:val="000000" w:themeColor="text1"/>
                <w14:textFill>
                  <w14:solidFill>
                    <w14:schemeClr w14:val="tx1"/>
                  </w14:solidFill>
                </w14:textFill>
              </w:rPr>
            </w:pPr>
          </w:p>
        </w:tc>
      </w:tr>
    </w:tbl>
    <w:p w14:paraId="69FDECF4">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表1-4                                                                      地块2（下湿壕片区）工程施工进度安排</w:t>
      </w:r>
    </w:p>
    <w:tbl>
      <w:tblPr>
        <w:tblStyle w:val="27"/>
        <w:tblW w:w="13992" w:type="dxa"/>
        <w:jc w:val="center"/>
        <w:tblBorders>
          <w:top w:val="double" w:color="000000" w:sz="4" w:space="0"/>
          <w:left w:val="double" w:color="000000" w:sz="4" w:space="0"/>
          <w:bottom w:val="single" w:color="000000" w:sz="4" w:space="0"/>
          <w:right w:val="doub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04"/>
        <w:gridCol w:w="430"/>
        <w:gridCol w:w="463"/>
        <w:gridCol w:w="463"/>
        <w:gridCol w:w="463"/>
        <w:gridCol w:w="463"/>
        <w:gridCol w:w="463"/>
        <w:gridCol w:w="477"/>
        <w:gridCol w:w="477"/>
        <w:gridCol w:w="477"/>
        <w:gridCol w:w="477"/>
        <w:gridCol w:w="477"/>
        <w:gridCol w:w="463"/>
        <w:gridCol w:w="463"/>
        <w:gridCol w:w="463"/>
        <w:gridCol w:w="463"/>
        <w:gridCol w:w="463"/>
        <w:gridCol w:w="473"/>
        <w:gridCol w:w="483"/>
        <w:gridCol w:w="473"/>
        <w:gridCol w:w="463"/>
        <w:gridCol w:w="463"/>
        <w:gridCol w:w="463"/>
        <w:gridCol w:w="463"/>
        <w:gridCol w:w="463"/>
        <w:gridCol w:w="463"/>
        <w:gridCol w:w="463"/>
        <w:gridCol w:w="473"/>
      </w:tblGrid>
      <w:tr w14:paraId="060F2CED">
        <w:tblPrEx>
          <w:tblBorders>
            <w:top w:val="double" w:color="000000" w:sz="4" w:space="0"/>
            <w:left w:val="double" w:color="000000" w:sz="4" w:space="0"/>
            <w:bottom w:val="sing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jc w:val="center"/>
        </w:trPr>
        <w:tc>
          <w:tcPr>
            <w:tcW w:w="1407" w:type="dxa"/>
            <w:tcBorders>
              <w:top w:val="single" w:color="auto" w:sz="12" w:space="0"/>
              <w:left w:val="single" w:color="auto" w:sz="12" w:space="0"/>
              <w:bottom w:val="double" w:color="auto" w:sz="4" w:space="0"/>
            </w:tcBorders>
            <w:tcMar>
              <w:top w:w="12" w:type="dxa"/>
              <w:left w:w="12" w:type="dxa"/>
              <w:right w:w="12" w:type="dxa"/>
            </w:tcMar>
            <w:vAlign w:val="center"/>
          </w:tcPr>
          <w:p w14:paraId="3EE4BFFC">
            <w:pPr>
              <w:pStyle w:val="33"/>
              <w:rPr>
                <w:b/>
                <w:color w:val="000000" w:themeColor="text1"/>
                <w14:textFill>
                  <w14:solidFill>
                    <w14:schemeClr w14:val="tx1"/>
                  </w14:solidFill>
                </w14:textFill>
              </w:rPr>
            </w:pPr>
            <w:r>
              <w:rPr>
                <w:color w:val="000000" w:themeColor="text1"/>
                <w:lang w:bidi="ar"/>
                <w14:textFill>
                  <w14:solidFill>
                    <w14:schemeClr w14:val="tx1"/>
                  </w14:solidFill>
                </w14:textFill>
              </w:rPr>
              <w:t>施工内容</w:t>
            </w:r>
          </w:p>
        </w:tc>
        <w:tc>
          <w:tcPr>
            <w:tcW w:w="20" w:type="dxa"/>
            <w:tcBorders>
              <w:top w:val="single" w:color="auto" w:sz="12" w:space="0"/>
              <w:bottom w:val="double" w:color="auto" w:sz="4" w:space="0"/>
            </w:tcBorders>
            <w:vAlign w:val="center"/>
          </w:tcPr>
          <w:p w14:paraId="2BD54A0B">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2009年</w:t>
            </w:r>
          </w:p>
        </w:tc>
        <w:tc>
          <w:tcPr>
            <w:tcW w:w="0" w:type="auto"/>
            <w:tcBorders>
              <w:top w:val="single" w:color="auto" w:sz="12" w:space="0"/>
              <w:bottom w:val="double" w:color="auto" w:sz="4" w:space="0"/>
            </w:tcBorders>
            <w:vAlign w:val="center"/>
          </w:tcPr>
          <w:p w14:paraId="12CA1259">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2010年</w:t>
            </w:r>
          </w:p>
        </w:tc>
        <w:tc>
          <w:tcPr>
            <w:tcW w:w="0" w:type="auto"/>
            <w:tcBorders>
              <w:top w:val="single" w:color="auto" w:sz="12" w:space="0"/>
              <w:bottom w:val="double" w:color="auto" w:sz="4" w:space="0"/>
            </w:tcBorders>
            <w:vAlign w:val="center"/>
          </w:tcPr>
          <w:p w14:paraId="728C51FE">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2011年</w:t>
            </w:r>
          </w:p>
        </w:tc>
        <w:tc>
          <w:tcPr>
            <w:tcW w:w="0" w:type="auto"/>
            <w:tcBorders>
              <w:top w:val="single" w:color="auto" w:sz="12" w:space="0"/>
              <w:bottom w:val="double" w:color="auto" w:sz="4" w:space="0"/>
            </w:tcBorders>
            <w:vAlign w:val="center"/>
          </w:tcPr>
          <w:p w14:paraId="71C09812">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2012年</w:t>
            </w:r>
          </w:p>
        </w:tc>
        <w:tc>
          <w:tcPr>
            <w:tcW w:w="0" w:type="auto"/>
            <w:tcBorders>
              <w:top w:val="single" w:color="auto" w:sz="12" w:space="0"/>
              <w:bottom w:val="double" w:color="auto" w:sz="4" w:space="0"/>
            </w:tcBorders>
            <w:vAlign w:val="center"/>
          </w:tcPr>
          <w:p w14:paraId="63D3EFE1">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2013年</w:t>
            </w:r>
          </w:p>
        </w:tc>
        <w:tc>
          <w:tcPr>
            <w:tcW w:w="0" w:type="auto"/>
            <w:tcBorders>
              <w:top w:val="single" w:color="auto" w:sz="12" w:space="0"/>
              <w:bottom w:val="double" w:color="auto" w:sz="4" w:space="0"/>
            </w:tcBorders>
            <w:vAlign w:val="center"/>
          </w:tcPr>
          <w:p w14:paraId="478AF94A">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2014年</w:t>
            </w:r>
          </w:p>
        </w:tc>
        <w:tc>
          <w:tcPr>
            <w:tcW w:w="0" w:type="auto"/>
            <w:tcBorders>
              <w:top w:val="single" w:color="auto" w:sz="12" w:space="0"/>
              <w:bottom w:val="double" w:color="auto" w:sz="4" w:space="0"/>
            </w:tcBorders>
            <w:tcMar>
              <w:top w:w="12" w:type="dxa"/>
              <w:left w:w="12" w:type="dxa"/>
              <w:right w:w="12" w:type="dxa"/>
            </w:tcMar>
            <w:vAlign w:val="center"/>
          </w:tcPr>
          <w:p w14:paraId="23586477">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2015年</w:t>
            </w:r>
          </w:p>
        </w:tc>
        <w:tc>
          <w:tcPr>
            <w:tcW w:w="0" w:type="auto"/>
            <w:tcBorders>
              <w:top w:val="single" w:color="auto" w:sz="12" w:space="0"/>
              <w:bottom w:val="double" w:color="auto" w:sz="4" w:space="0"/>
            </w:tcBorders>
            <w:tcMar>
              <w:top w:w="12" w:type="dxa"/>
              <w:left w:w="12" w:type="dxa"/>
              <w:right w:w="12" w:type="dxa"/>
            </w:tcMar>
            <w:vAlign w:val="center"/>
          </w:tcPr>
          <w:p w14:paraId="594D5482">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2016年</w:t>
            </w:r>
          </w:p>
        </w:tc>
        <w:tc>
          <w:tcPr>
            <w:tcW w:w="0" w:type="auto"/>
            <w:tcBorders>
              <w:top w:val="single" w:color="auto" w:sz="12" w:space="0"/>
              <w:bottom w:val="double" w:color="auto" w:sz="4" w:space="0"/>
            </w:tcBorders>
            <w:tcMar>
              <w:top w:w="12" w:type="dxa"/>
              <w:left w:w="12" w:type="dxa"/>
              <w:right w:w="12" w:type="dxa"/>
            </w:tcMar>
            <w:vAlign w:val="center"/>
          </w:tcPr>
          <w:p w14:paraId="78B7626F">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2017年</w:t>
            </w:r>
          </w:p>
        </w:tc>
        <w:tc>
          <w:tcPr>
            <w:tcW w:w="0" w:type="auto"/>
            <w:tcBorders>
              <w:top w:val="single" w:color="auto" w:sz="12" w:space="0"/>
              <w:bottom w:val="double" w:color="auto" w:sz="4" w:space="0"/>
            </w:tcBorders>
            <w:tcMar>
              <w:top w:w="12" w:type="dxa"/>
              <w:left w:w="12" w:type="dxa"/>
              <w:right w:w="12" w:type="dxa"/>
            </w:tcMar>
            <w:vAlign w:val="center"/>
          </w:tcPr>
          <w:p w14:paraId="6530517A">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2018年</w:t>
            </w:r>
          </w:p>
        </w:tc>
        <w:tc>
          <w:tcPr>
            <w:tcW w:w="0" w:type="auto"/>
            <w:tcBorders>
              <w:top w:val="single" w:color="auto" w:sz="12" w:space="0"/>
              <w:bottom w:val="double" w:color="auto" w:sz="4" w:space="0"/>
            </w:tcBorders>
            <w:tcMar>
              <w:top w:w="12" w:type="dxa"/>
              <w:left w:w="12" w:type="dxa"/>
              <w:right w:w="12" w:type="dxa"/>
            </w:tcMar>
            <w:vAlign w:val="center"/>
          </w:tcPr>
          <w:p w14:paraId="3687933A">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2019年</w:t>
            </w:r>
          </w:p>
        </w:tc>
        <w:tc>
          <w:tcPr>
            <w:tcW w:w="0" w:type="auto"/>
            <w:tcBorders>
              <w:top w:val="single" w:color="auto" w:sz="12" w:space="0"/>
              <w:bottom w:val="double" w:color="auto" w:sz="4" w:space="0"/>
            </w:tcBorders>
            <w:vAlign w:val="center"/>
          </w:tcPr>
          <w:p w14:paraId="0FF9524A">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2020年</w:t>
            </w:r>
          </w:p>
        </w:tc>
        <w:tc>
          <w:tcPr>
            <w:tcW w:w="0" w:type="auto"/>
            <w:tcBorders>
              <w:top w:val="single" w:color="auto" w:sz="12" w:space="0"/>
              <w:bottom w:val="double" w:color="auto" w:sz="4" w:space="0"/>
            </w:tcBorders>
            <w:vAlign w:val="center"/>
          </w:tcPr>
          <w:p w14:paraId="7CD8914A">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2021年</w:t>
            </w:r>
          </w:p>
        </w:tc>
        <w:tc>
          <w:tcPr>
            <w:tcW w:w="0" w:type="auto"/>
            <w:tcBorders>
              <w:top w:val="single" w:color="auto" w:sz="12" w:space="0"/>
              <w:bottom w:val="double" w:color="auto" w:sz="4" w:space="0"/>
            </w:tcBorders>
            <w:vAlign w:val="center"/>
          </w:tcPr>
          <w:p w14:paraId="20DDF7EB">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2022年</w:t>
            </w:r>
          </w:p>
        </w:tc>
        <w:tc>
          <w:tcPr>
            <w:tcW w:w="0" w:type="auto"/>
            <w:tcBorders>
              <w:top w:val="single" w:color="auto" w:sz="12" w:space="0"/>
              <w:bottom w:val="double" w:color="auto" w:sz="4" w:space="0"/>
            </w:tcBorders>
            <w:vAlign w:val="center"/>
          </w:tcPr>
          <w:p w14:paraId="45172CE2">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2023年</w:t>
            </w:r>
          </w:p>
        </w:tc>
        <w:tc>
          <w:tcPr>
            <w:tcW w:w="0" w:type="auto"/>
            <w:tcBorders>
              <w:top w:val="single" w:color="auto" w:sz="12" w:space="0"/>
              <w:bottom w:val="double" w:color="auto" w:sz="4" w:space="0"/>
            </w:tcBorders>
            <w:vAlign w:val="center"/>
          </w:tcPr>
          <w:p w14:paraId="765EF6B6">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2024年</w:t>
            </w:r>
          </w:p>
        </w:tc>
        <w:tc>
          <w:tcPr>
            <w:tcW w:w="0" w:type="auto"/>
            <w:tcBorders>
              <w:top w:val="single" w:color="auto" w:sz="12" w:space="0"/>
              <w:bottom w:val="double" w:color="auto" w:sz="4" w:space="0"/>
              <w:right w:val="single" w:color="auto" w:sz="12" w:space="0"/>
            </w:tcBorders>
            <w:vAlign w:val="center"/>
          </w:tcPr>
          <w:p w14:paraId="05D5820E">
            <w:pPr>
              <w:pStyle w:val="33"/>
              <w:rPr>
                <w:color w:val="000000" w:themeColor="text1"/>
                <w14:textFill>
                  <w14:solidFill>
                    <w14:schemeClr w14:val="tx1"/>
                  </w14:solidFill>
                </w14:textFill>
              </w:rPr>
            </w:pPr>
            <w:r>
              <w:rPr>
                <w:color w:val="000000" w:themeColor="text1"/>
                <w:lang w:bidi="ar"/>
                <w14:textFill>
                  <w14:solidFill>
                    <w14:schemeClr w14:val="tx1"/>
                  </w14:solidFill>
                </w14:textFill>
              </w:rPr>
              <w:t>2025年</w:t>
            </w:r>
          </w:p>
        </w:tc>
        <w:tc>
          <w:tcPr>
            <w:tcW w:w="0" w:type="auto"/>
            <w:tcBorders>
              <w:top w:val="single" w:color="auto" w:sz="12" w:space="0"/>
              <w:bottom w:val="double" w:color="auto" w:sz="4" w:space="0"/>
              <w:right w:val="single" w:color="auto" w:sz="12" w:space="0"/>
            </w:tcBorders>
            <w:vAlign w:val="center"/>
          </w:tcPr>
          <w:p w14:paraId="28EEB6F7">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2026年</w:t>
            </w:r>
          </w:p>
        </w:tc>
        <w:tc>
          <w:tcPr>
            <w:tcW w:w="0" w:type="auto"/>
            <w:tcBorders>
              <w:top w:val="single" w:color="auto" w:sz="12" w:space="0"/>
              <w:bottom w:val="double" w:color="auto" w:sz="4" w:space="0"/>
            </w:tcBorders>
            <w:vAlign w:val="center"/>
          </w:tcPr>
          <w:p w14:paraId="49922156">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2027年</w:t>
            </w:r>
          </w:p>
        </w:tc>
        <w:tc>
          <w:tcPr>
            <w:tcW w:w="0" w:type="auto"/>
            <w:tcBorders>
              <w:top w:val="single" w:color="auto" w:sz="12" w:space="0"/>
              <w:bottom w:val="double" w:color="auto" w:sz="4" w:space="0"/>
            </w:tcBorders>
            <w:vAlign w:val="center"/>
          </w:tcPr>
          <w:p w14:paraId="1EF39E4E">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2028年</w:t>
            </w:r>
          </w:p>
        </w:tc>
        <w:tc>
          <w:tcPr>
            <w:tcW w:w="0" w:type="auto"/>
            <w:tcBorders>
              <w:top w:val="single" w:color="auto" w:sz="12" w:space="0"/>
              <w:bottom w:val="double" w:color="auto" w:sz="4" w:space="0"/>
            </w:tcBorders>
            <w:vAlign w:val="center"/>
          </w:tcPr>
          <w:p w14:paraId="57BF7074">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2029年</w:t>
            </w:r>
          </w:p>
        </w:tc>
        <w:tc>
          <w:tcPr>
            <w:tcW w:w="0" w:type="auto"/>
            <w:tcBorders>
              <w:top w:val="single" w:color="auto" w:sz="12" w:space="0"/>
              <w:bottom w:val="double" w:color="auto" w:sz="4" w:space="0"/>
            </w:tcBorders>
            <w:vAlign w:val="center"/>
          </w:tcPr>
          <w:p w14:paraId="0DACF515">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2030年</w:t>
            </w:r>
          </w:p>
        </w:tc>
        <w:tc>
          <w:tcPr>
            <w:tcW w:w="0" w:type="auto"/>
            <w:tcBorders>
              <w:top w:val="single" w:color="auto" w:sz="12" w:space="0"/>
              <w:bottom w:val="double" w:color="auto" w:sz="4" w:space="0"/>
            </w:tcBorders>
            <w:vAlign w:val="center"/>
          </w:tcPr>
          <w:p w14:paraId="5D1CFBE0">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2031年</w:t>
            </w:r>
          </w:p>
        </w:tc>
        <w:tc>
          <w:tcPr>
            <w:tcW w:w="0" w:type="auto"/>
            <w:tcBorders>
              <w:top w:val="single" w:color="auto" w:sz="12" w:space="0"/>
              <w:bottom w:val="double" w:color="auto" w:sz="4" w:space="0"/>
            </w:tcBorders>
            <w:vAlign w:val="center"/>
          </w:tcPr>
          <w:p w14:paraId="78CE067C">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2032年</w:t>
            </w:r>
          </w:p>
        </w:tc>
        <w:tc>
          <w:tcPr>
            <w:tcW w:w="0" w:type="auto"/>
            <w:tcBorders>
              <w:top w:val="single" w:color="auto" w:sz="12" w:space="0"/>
              <w:bottom w:val="double" w:color="auto" w:sz="4" w:space="0"/>
            </w:tcBorders>
            <w:vAlign w:val="center"/>
          </w:tcPr>
          <w:p w14:paraId="6C3E4B18">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2033年</w:t>
            </w:r>
          </w:p>
        </w:tc>
        <w:tc>
          <w:tcPr>
            <w:tcW w:w="0" w:type="auto"/>
            <w:tcBorders>
              <w:top w:val="single" w:color="auto" w:sz="12" w:space="0"/>
              <w:bottom w:val="double" w:color="auto" w:sz="4" w:space="0"/>
            </w:tcBorders>
            <w:vAlign w:val="center"/>
          </w:tcPr>
          <w:p w14:paraId="0850A0B1">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2034年</w:t>
            </w:r>
          </w:p>
        </w:tc>
        <w:tc>
          <w:tcPr>
            <w:tcW w:w="0" w:type="auto"/>
            <w:tcBorders>
              <w:top w:val="single" w:color="auto" w:sz="12" w:space="0"/>
              <w:bottom w:val="double" w:color="auto" w:sz="4" w:space="0"/>
              <w:right w:val="single" w:color="auto" w:sz="12" w:space="0"/>
            </w:tcBorders>
            <w:vAlign w:val="center"/>
          </w:tcPr>
          <w:p w14:paraId="0D55A31B">
            <w:pPr>
              <w:pStyle w:val="33"/>
              <w:rPr>
                <w:color w:val="000000" w:themeColor="text1"/>
                <w:lang w:bidi="ar"/>
                <w14:textFill>
                  <w14:solidFill>
                    <w14:schemeClr w14:val="tx1"/>
                  </w14:solidFill>
                </w14:textFill>
              </w:rPr>
            </w:pPr>
            <w:r>
              <w:rPr>
                <w:color w:val="000000" w:themeColor="text1"/>
                <w:lang w:bidi="ar"/>
                <w14:textFill>
                  <w14:solidFill>
                    <w14:schemeClr w14:val="tx1"/>
                  </w14:solidFill>
                </w14:textFill>
              </w:rPr>
              <w:t>2035年</w:t>
            </w:r>
          </w:p>
        </w:tc>
      </w:tr>
      <w:tr w14:paraId="2FD4D29F">
        <w:tblPrEx>
          <w:tblBorders>
            <w:top w:val="double" w:color="000000" w:sz="4" w:space="0"/>
            <w:left w:val="double" w:color="000000" w:sz="4" w:space="0"/>
            <w:bottom w:val="sing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407" w:type="dxa"/>
            <w:tcBorders>
              <w:top w:val="double" w:color="auto" w:sz="4" w:space="0"/>
              <w:left w:val="single" w:color="auto" w:sz="12" w:space="0"/>
              <w:right w:val="single" w:color="auto" w:sz="4" w:space="0"/>
            </w:tcBorders>
            <w:shd w:val="clear" w:color="auto" w:fill="auto"/>
            <w:tcMar>
              <w:top w:w="12" w:type="dxa"/>
              <w:left w:w="12" w:type="dxa"/>
              <w:right w:w="12" w:type="dxa"/>
            </w:tcMar>
            <w:vAlign w:val="center"/>
          </w:tcPr>
          <w:p w14:paraId="0E8BD0CF">
            <w:pPr>
              <w:pStyle w:val="33"/>
              <w:rPr>
                <w:color w:val="000000" w:themeColor="text1"/>
                <w14:textFill>
                  <w14:solidFill>
                    <w14:schemeClr w14:val="tx1"/>
                  </w14:solidFill>
                </w14:textFill>
              </w:rPr>
            </w:pPr>
            <w:r>
              <w:rPr>
                <w:color w:val="000000" w:themeColor="text1"/>
                <w14:textFill>
                  <w14:solidFill>
                    <w14:schemeClr w14:val="tx1"/>
                  </w14:solidFill>
                </w14:textFill>
              </w:rPr>
              <w:t>工矿用地</w:t>
            </w:r>
          </w:p>
        </w:tc>
        <w:tc>
          <w:tcPr>
            <w:tcW w:w="20" w:type="dxa"/>
            <w:tcBorders>
              <w:top w:val="double" w:color="auto" w:sz="4" w:space="0"/>
              <w:left w:val="single" w:color="auto" w:sz="4" w:space="0"/>
              <w:bottom w:val="single" w:color="000000" w:sz="4" w:space="0"/>
            </w:tcBorders>
            <w:shd w:val="clear" w:color="auto" w:fill="auto"/>
            <w:vAlign w:val="center"/>
          </w:tcPr>
          <w:p w14:paraId="6906C417">
            <w:pPr>
              <w:pStyle w:val="33"/>
              <w:rPr>
                <w:color w:val="000000" w:themeColor="text1"/>
                <w14:textFill>
                  <w14:solidFill>
                    <w14:schemeClr w14:val="tx1"/>
                  </w14:solidFill>
                </w14:textFill>
              </w:rPr>
            </w:pPr>
          </w:p>
        </w:tc>
        <w:tc>
          <w:tcPr>
            <w:tcW w:w="0" w:type="auto"/>
            <w:tcBorders>
              <w:top w:val="double" w:color="auto" w:sz="4" w:space="0"/>
              <w:bottom w:val="single" w:color="000000" w:sz="4" w:space="0"/>
            </w:tcBorders>
            <w:shd w:val="clear" w:color="auto" w:fill="92D050"/>
            <w:vAlign w:val="center"/>
          </w:tcPr>
          <w:p w14:paraId="0EC36CF2">
            <w:pPr>
              <w:pStyle w:val="33"/>
              <w:rPr>
                <w:color w:val="000000" w:themeColor="text1"/>
                <w14:textFill>
                  <w14:solidFill>
                    <w14:schemeClr w14:val="tx1"/>
                  </w14:solidFill>
                </w14:textFill>
              </w:rPr>
            </w:pPr>
          </w:p>
        </w:tc>
        <w:tc>
          <w:tcPr>
            <w:tcW w:w="0" w:type="auto"/>
            <w:tcBorders>
              <w:top w:val="double" w:color="auto" w:sz="4" w:space="0"/>
              <w:bottom w:val="single" w:color="000000" w:sz="4" w:space="0"/>
            </w:tcBorders>
            <w:shd w:val="clear" w:color="auto" w:fill="92D050"/>
            <w:vAlign w:val="center"/>
          </w:tcPr>
          <w:p w14:paraId="046257E8">
            <w:pPr>
              <w:pStyle w:val="33"/>
              <w:rPr>
                <w:color w:val="000000" w:themeColor="text1"/>
                <w14:textFill>
                  <w14:solidFill>
                    <w14:schemeClr w14:val="tx1"/>
                  </w14:solidFill>
                </w14:textFill>
              </w:rPr>
            </w:pPr>
          </w:p>
        </w:tc>
        <w:tc>
          <w:tcPr>
            <w:tcW w:w="0" w:type="auto"/>
            <w:tcBorders>
              <w:top w:val="double" w:color="auto" w:sz="4" w:space="0"/>
              <w:bottom w:val="single" w:color="000000" w:sz="4" w:space="0"/>
            </w:tcBorders>
            <w:shd w:val="clear" w:color="auto" w:fill="92D050"/>
            <w:vAlign w:val="center"/>
          </w:tcPr>
          <w:p w14:paraId="1B4E5B36">
            <w:pPr>
              <w:pStyle w:val="33"/>
              <w:rPr>
                <w:color w:val="000000" w:themeColor="text1"/>
                <w14:textFill>
                  <w14:solidFill>
                    <w14:schemeClr w14:val="tx1"/>
                  </w14:solidFill>
                </w14:textFill>
              </w:rPr>
            </w:pPr>
          </w:p>
        </w:tc>
        <w:tc>
          <w:tcPr>
            <w:tcW w:w="0" w:type="auto"/>
            <w:tcBorders>
              <w:top w:val="double" w:color="auto" w:sz="4" w:space="0"/>
              <w:bottom w:val="single" w:color="000000" w:sz="4" w:space="0"/>
            </w:tcBorders>
            <w:shd w:val="clear" w:color="auto" w:fill="92D050"/>
            <w:vAlign w:val="center"/>
          </w:tcPr>
          <w:p w14:paraId="2C7BAEE9">
            <w:pPr>
              <w:pStyle w:val="33"/>
              <w:rPr>
                <w:color w:val="000000" w:themeColor="text1"/>
                <w14:textFill>
                  <w14:solidFill>
                    <w14:schemeClr w14:val="tx1"/>
                  </w14:solidFill>
                </w14:textFill>
              </w:rPr>
            </w:pPr>
          </w:p>
        </w:tc>
        <w:tc>
          <w:tcPr>
            <w:tcW w:w="0" w:type="auto"/>
            <w:tcBorders>
              <w:top w:val="double" w:color="auto" w:sz="4" w:space="0"/>
            </w:tcBorders>
            <w:shd w:val="clear" w:color="auto" w:fill="auto"/>
            <w:vAlign w:val="center"/>
          </w:tcPr>
          <w:p w14:paraId="76D5B360">
            <w:pPr>
              <w:pStyle w:val="33"/>
              <w:rPr>
                <w:color w:val="000000" w:themeColor="text1"/>
                <w14:textFill>
                  <w14:solidFill>
                    <w14:schemeClr w14:val="tx1"/>
                  </w14:solidFill>
                </w14:textFill>
              </w:rPr>
            </w:pPr>
          </w:p>
        </w:tc>
        <w:tc>
          <w:tcPr>
            <w:tcW w:w="0" w:type="auto"/>
            <w:tcBorders>
              <w:top w:val="double" w:color="auto" w:sz="4" w:space="0"/>
            </w:tcBorders>
            <w:shd w:val="clear" w:color="auto" w:fill="auto"/>
            <w:tcMar>
              <w:top w:w="12" w:type="dxa"/>
              <w:left w:w="12" w:type="dxa"/>
              <w:right w:w="12" w:type="dxa"/>
            </w:tcMar>
            <w:vAlign w:val="center"/>
          </w:tcPr>
          <w:p w14:paraId="5BA87BC5">
            <w:pPr>
              <w:pStyle w:val="33"/>
              <w:rPr>
                <w:color w:val="000000" w:themeColor="text1"/>
                <w14:textFill>
                  <w14:solidFill>
                    <w14:schemeClr w14:val="tx1"/>
                  </w14:solidFill>
                </w14:textFill>
              </w:rPr>
            </w:pPr>
          </w:p>
        </w:tc>
        <w:tc>
          <w:tcPr>
            <w:tcW w:w="0" w:type="auto"/>
            <w:tcBorders>
              <w:top w:val="double" w:color="auto" w:sz="4" w:space="0"/>
            </w:tcBorders>
            <w:shd w:val="clear" w:color="auto" w:fill="auto"/>
            <w:tcMar>
              <w:top w:w="12" w:type="dxa"/>
              <w:left w:w="12" w:type="dxa"/>
              <w:right w:w="12" w:type="dxa"/>
            </w:tcMar>
            <w:vAlign w:val="center"/>
          </w:tcPr>
          <w:p w14:paraId="29967CAA">
            <w:pPr>
              <w:pStyle w:val="33"/>
              <w:rPr>
                <w:color w:val="000000" w:themeColor="text1"/>
                <w14:textFill>
                  <w14:solidFill>
                    <w14:schemeClr w14:val="tx1"/>
                  </w14:solidFill>
                </w14:textFill>
              </w:rPr>
            </w:pPr>
          </w:p>
        </w:tc>
        <w:tc>
          <w:tcPr>
            <w:tcW w:w="0" w:type="auto"/>
            <w:tcBorders>
              <w:top w:val="double" w:color="auto" w:sz="4" w:space="0"/>
            </w:tcBorders>
            <w:shd w:val="clear" w:color="auto" w:fill="auto"/>
            <w:tcMar>
              <w:top w:w="12" w:type="dxa"/>
              <w:left w:w="12" w:type="dxa"/>
              <w:right w:w="12" w:type="dxa"/>
            </w:tcMar>
            <w:vAlign w:val="center"/>
          </w:tcPr>
          <w:p w14:paraId="5650FBB4">
            <w:pPr>
              <w:pStyle w:val="33"/>
              <w:rPr>
                <w:color w:val="000000" w:themeColor="text1"/>
                <w14:textFill>
                  <w14:solidFill>
                    <w14:schemeClr w14:val="tx1"/>
                  </w14:solidFill>
                </w14:textFill>
              </w:rPr>
            </w:pPr>
          </w:p>
        </w:tc>
        <w:tc>
          <w:tcPr>
            <w:tcW w:w="0" w:type="auto"/>
            <w:tcBorders>
              <w:top w:val="double" w:color="auto" w:sz="4" w:space="0"/>
            </w:tcBorders>
            <w:shd w:val="clear" w:color="auto" w:fill="auto"/>
            <w:tcMar>
              <w:top w:w="12" w:type="dxa"/>
              <w:left w:w="12" w:type="dxa"/>
              <w:right w:w="12" w:type="dxa"/>
            </w:tcMar>
            <w:vAlign w:val="center"/>
          </w:tcPr>
          <w:p w14:paraId="7886784E">
            <w:pPr>
              <w:pStyle w:val="33"/>
              <w:rPr>
                <w:color w:val="000000" w:themeColor="text1"/>
                <w14:textFill>
                  <w14:solidFill>
                    <w14:schemeClr w14:val="tx1"/>
                  </w14:solidFill>
                </w14:textFill>
              </w:rPr>
            </w:pPr>
          </w:p>
        </w:tc>
        <w:tc>
          <w:tcPr>
            <w:tcW w:w="0" w:type="auto"/>
            <w:tcBorders>
              <w:top w:val="double" w:color="auto" w:sz="4" w:space="0"/>
            </w:tcBorders>
            <w:shd w:val="clear" w:color="auto" w:fill="auto"/>
            <w:tcMar>
              <w:top w:w="12" w:type="dxa"/>
              <w:left w:w="12" w:type="dxa"/>
              <w:right w:w="12" w:type="dxa"/>
            </w:tcMar>
            <w:vAlign w:val="center"/>
          </w:tcPr>
          <w:p w14:paraId="7671F38F">
            <w:pPr>
              <w:pStyle w:val="33"/>
              <w:rPr>
                <w:color w:val="000000" w:themeColor="text1"/>
                <w14:textFill>
                  <w14:solidFill>
                    <w14:schemeClr w14:val="tx1"/>
                  </w14:solidFill>
                </w14:textFill>
              </w:rPr>
            </w:pPr>
          </w:p>
        </w:tc>
        <w:tc>
          <w:tcPr>
            <w:tcW w:w="0" w:type="auto"/>
            <w:tcBorders>
              <w:top w:val="double" w:color="auto" w:sz="4" w:space="0"/>
            </w:tcBorders>
            <w:shd w:val="clear" w:color="auto" w:fill="auto"/>
            <w:vAlign w:val="center"/>
          </w:tcPr>
          <w:p w14:paraId="0F3E28A4">
            <w:pPr>
              <w:pStyle w:val="33"/>
              <w:rPr>
                <w:color w:val="000000" w:themeColor="text1"/>
                <w14:textFill>
                  <w14:solidFill>
                    <w14:schemeClr w14:val="tx1"/>
                  </w14:solidFill>
                </w14:textFill>
              </w:rPr>
            </w:pPr>
          </w:p>
        </w:tc>
        <w:tc>
          <w:tcPr>
            <w:tcW w:w="0" w:type="auto"/>
            <w:tcBorders>
              <w:top w:val="double" w:color="auto" w:sz="4" w:space="0"/>
            </w:tcBorders>
            <w:shd w:val="clear" w:color="auto" w:fill="92D050"/>
            <w:vAlign w:val="center"/>
          </w:tcPr>
          <w:p w14:paraId="4C08CE08">
            <w:pPr>
              <w:pStyle w:val="33"/>
              <w:rPr>
                <w:color w:val="000000" w:themeColor="text1"/>
                <w14:textFill>
                  <w14:solidFill>
                    <w14:schemeClr w14:val="tx1"/>
                  </w14:solidFill>
                </w14:textFill>
              </w:rPr>
            </w:pPr>
          </w:p>
        </w:tc>
        <w:tc>
          <w:tcPr>
            <w:tcW w:w="0" w:type="auto"/>
            <w:tcBorders>
              <w:top w:val="double" w:color="auto" w:sz="4" w:space="0"/>
            </w:tcBorders>
            <w:shd w:val="clear" w:color="auto" w:fill="92D050"/>
            <w:vAlign w:val="center"/>
          </w:tcPr>
          <w:p w14:paraId="4CAFCAAD">
            <w:pPr>
              <w:pStyle w:val="33"/>
              <w:rPr>
                <w:color w:val="000000" w:themeColor="text1"/>
                <w14:textFill>
                  <w14:solidFill>
                    <w14:schemeClr w14:val="tx1"/>
                  </w14:solidFill>
                </w14:textFill>
              </w:rPr>
            </w:pPr>
          </w:p>
        </w:tc>
        <w:tc>
          <w:tcPr>
            <w:tcW w:w="0" w:type="auto"/>
            <w:tcBorders>
              <w:top w:val="double" w:color="auto" w:sz="4" w:space="0"/>
              <w:bottom w:val="single" w:color="000000" w:sz="4" w:space="0"/>
            </w:tcBorders>
            <w:shd w:val="clear" w:color="auto" w:fill="92D050"/>
            <w:vAlign w:val="center"/>
          </w:tcPr>
          <w:p w14:paraId="5BF0742B">
            <w:pPr>
              <w:pStyle w:val="33"/>
              <w:rPr>
                <w:color w:val="000000" w:themeColor="text1"/>
                <w14:textFill>
                  <w14:solidFill>
                    <w14:schemeClr w14:val="tx1"/>
                  </w14:solidFill>
                </w14:textFill>
              </w:rPr>
            </w:pPr>
          </w:p>
        </w:tc>
        <w:tc>
          <w:tcPr>
            <w:tcW w:w="0" w:type="auto"/>
            <w:tcBorders>
              <w:top w:val="double" w:color="auto" w:sz="4" w:space="0"/>
              <w:bottom w:val="single" w:color="000000" w:sz="4" w:space="0"/>
            </w:tcBorders>
            <w:shd w:val="clear" w:color="auto" w:fill="auto"/>
            <w:vAlign w:val="center"/>
          </w:tcPr>
          <w:p w14:paraId="342D56D8">
            <w:pPr>
              <w:pStyle w:val="33"/>
              <w:rPr>
                <w:color w:val="000000" w:themeColor="text1"/>
                <w14:textFill>
                  <w14:solidFill>
                    <w14:schemeClr w14:val="tx1"/>
                  </w14:solidFill>
                </w14:textFill>
              </w:rPr>
            </w:pPr>
          </w:p>
        </w:tc>
        <w:tc>
          <w:tcPr>
            <w:tcW w:w="0" w:type="auto"/>
            <w:tcBorders>
              <w:top w:val="double" w:color="auto" w:sz="4" w:space="0"/>
              <w:bottom w:val="single" w:color="000000" w:sz="4" w:space="0"/>
              <w:right w:val="single" w:color="auto" w:sz="12" w:space="0"/>
            </w:tcBorders>
            <w:shd w:val="clear" w:color="auto" w:fill="FFFFFF" w:themeFill="background1"/>
            <w:vAlign w:val="center"/>
          </w:tcPr>
          <w:p w14:paraId="307977B2">
            <w:pPr>
              <w:pStyle w:val="33"/>
              <w:rPr>
                <w:color w:val="000000" w:themeColor="text1"/>
                <w14:textFill>
                  <w14:solidFill>
                    <w14:schemeClr w14:val="tx1"/>
                  </w14:solidFill>
                </w14:textFill>
              </w:rPr>
            </w:pPr>
          </w:p>
        </w:tc>
        <w:tc>
          <w:tcPr>
            <w:tcW w:w="0" w:type="auto"/>
            <w:tcBorders>
              <w:top w:val="double" w:color="auto" w:sz="4" w:space="0"/>
              <w:bottom w:val="single" w:color="000000" w:sz="4" w:space="0"/>
              <w:right w:val="single" w:color="auto" w:sz="12" w:space="0"/>
            </w:tcBorders>
            <w:shd w:val="clear" w:color="auto" w:fill="FFFFFF" w:themeFill="background1"/>
            <w:vAlign w:val="center"/>
          </w:tcPr>
          <w:p w14:paraId="198DF63C">
            <w:pPr>
              <w:pStyle w:val="33"/>
              <w:rPr>
                <w:color w:val="000000" w:themeColor="text1"/>
                <w14:textFill>
                  <w14:solidFill>
                    <w14:schemeClr w14:val="tx1"/>
                  </w14:solidFill>
                </w14:textFill>
              </w:rPr>
            </w:pPr>
          </w:p>
        </w:tc>
        <w:tc>
          <w:tcPr>
            <w:tcW w:w="0" w:type="auto"/>
            <w:tcBorders>
              <w:top w:val="double" w:color="auto" w:sz="4" w:space="0"/>
              <w:bottom w:val="single" w:color="000000" w:sz="4" w:space="0"/>
            </w:tcBorders>
            <w:vAlign w:val="center"/>
          </w:tcPr>
          <w:p w14:paraId="16D374C0">
            <w:pPr>
              <w:pStyle w:val="33"/>
              <w:rPr>
                <w:color w:val="000000" w:themeColor="text1"/>
                <w14:textFill>
                  <w14:solidFill>
                    <w14:schemeClr w14:val="tx1"/>
                  </w14:solidFill>
                </w14:textFill>
              </w:rPr>
            </w:pPr>
          </w:p>
        </w:tc>
        <w:tc>
          <w:tcPr>
            <w:tcW w:w="0" w:type="auto"/>
            <w:tcBorders>
              <w:top w:val="double" w:color="auto" w:sz="4" w:space="0"/>
              <w:bottom w:val="single" w:color="000000" w:sz="4" w:space="0"/>
            </w:tcBorders>
            <w:vAlign w:val="center"/>
          </w:tcPr>
          <w:p w14:paraId="601D24B3">
            <w:pPr>
              <w:pStyle w:val="33"/>
              <w:rPr>
                <w:color w:val="000000" w:themeColor="text1"/>
                <w14:textFill>
                  <w14:solidFill>
                    <w14:schemeClr w14:val="tx1"/>
                  </w14:solidFill>
                </w14:textFill>
              </w:rPr>
            </w:pPr>
          </w:p>
        </w:tc>
        <w:tc>
          <w:tcPr>
            <w:tcW w:w="0" w:type="auto"/>
            <w:tcBorders>
              <w:top w:val="double" w:color="auto" w:sz="4" w:space="0"/>
              <w:bottom w:val="single" w:color="000000" w:sz="4" w:space="0"/>
            </w:tcBorders>
            <w:vAlign w:val="center"/>
          </w:tcPr>
          <w:p w14:paraId="3AF1BDB5">
            <w:pPr>
              <w:pStyle w:val="33"/>
              <w:rPr>
                <w:color w:val="000000" w:themeColor="text1"/>
                <w14:textFill>
                  <w14:solidFill>
                    <w14:schemeClr w14:val="tx1"/>
                  </w14:solidFill>
                </w14:textFill>
              </w:rPr>
            </w:pPr>
          </w:p>
        </w:tc>
        <w:tc>
          <w:tcPr>
            <w:tcW w:w="0" w:type="auto"/>
            <w:tcBorders>
              <w:top w:val="double" w:color="auto" w:sz="4" w:space="0"/>
              <w:bottom w:val="single" w:color="000000" w:sz="4" w:space="0"/>
            </w:tcBorders>
            <w:vAlign w:val="center"/>
          </w:tcPr>
          <w:p w14:paraId="42D1A16E">
            <w:pPr>
              <w:pStyle w:val="33"/>
              <w:rPr>
                <w:color w:val="000000" w:themeColor="text1"/>
                <w14:textFill>
                  <w14:solidFill>
                    <w14:schemeClr w14:val="tx1"/>
                  </w14:solidFill>
                </w14:textFill>
              </w:rPr>
            </w:pPr>
          </w:p>
        </w:tc>
        <w:tc>
          <w:tcPr>
            <w:tcW w:w="0" w:type="auto"/>
            <w:tcBorders>
              <w:top w:val="double" w:color="auto" w:sz="4" w:space="0"/>
              <w:bottom w:val="single" w:color="000000" w:sz="4" w:space="0"/>
            </w:tcBorders>
            <w:vAlign w:val="center"/>
          </w:tcPr>
          <w:p w14:paraId="47B579BA">
            <w:pPr>
              <w:pStyle w:val="33"/>
              <w:rPr>
                <w:color w:val="000000" w:themeColor="text1"/>
                <w14:textFill>
                  <w14:solidFill>
                    <w14:schemeClr w14:val="tx1"/>
                  </w14:solidFill>
                </w14:textFill>
              </w:rPr>
            </w:pPr>
          </w:p>
        </w:tc>
        <w:tc>
          <w:tcPr>
            <w:tcW w:w="0" w:type="auto"/>
            <w:tcBorders>
              <w:top w:val="double" w:color="auto" w:sz="4" w:space="0"/>
              <w:bottom w:val="single" w:color="000000" w:sz="4" w:space="0"/>
            </w:tcBorders>
            <w:vAlign w:val="center"/>
          </w:tcPr>
          <w:p w14:paraId="12A1378D">
            <w:pPr>
              <w:pStyle w:val="33"/>
              <w:rPr>
                <w:color w:val="000000" w:themeColor="text1"/>
                <w14:textFill>
                  <w14:solidFill>
                    <w14:schemeClr w14:val="tx1"/>
                  </w14:solidFill>
                </w14:textFill>
              </w:rPr>
            </w:pPr>
          </w:p>
        </w:tc>
        <w:tc>
          <w:tcPr>
            <w:tcW w:w="0" w:type="auto"/>
            <w:tcBorders>
              <w:top w:val="double" w:color="auto" w:sz="4" w:space="0"/>
              <w:bottom w:val="single" w:color="000000" w:sz="4" w:space="0"/>
            </w:tcBorders>
            <w:vAlign w:val="center"/>
          </w:tcPr>
          <w:p w14:paraId="29F2C6C4">
            <w:pPr>
              <w:pStyle w:val="33"/>
              <w:rPr>
                <w:color w:val="000000" w:themeColor="text1"/>
                <w14:textFill>
                  <w14:solidFill>
                    <w14:schemeClr w14:val="tx1"/>
                  </w14:solidFill>
                </w14:textFill>
              </w:rPr>
            </w:pPr>
          </w:p>
        </w:tc>
        <w:tc>
          <w:tcPr>
            <w:tcW w:w="0" w:type="auto"/>
            <w:tcBorders>
              <w:top w:val="double" w:color="auto" w:sz="4" w:space="0"/>
              <w:bottom w:val="single" w:color="000000" w:sz="4" w:space="0"/>
            </w:tcBorders>
            <w:vAlign w:val="center"/>
          </w:tcPr>
          <w:p w14:paraId="603590A4">
            <w:pPr>
              <w:pStyle w:val="33"/>
              <w:rPr>
                <w:color w:val="000000" w:themeColor="text1"/>
                <w14:textFill>
                  <w14:solidFill>
                    <w14:schemeClr w14:val="tx1"/>
                  </w14:solidFill>
                </w14:textFill>
              </w:rPr>
            </w:pPr>
          </w:p>
        </w:tc>
        <w:tc>
          <w:tcPr>
            <w:tcW w:w="0" w:type="auto"/>
            <w:tcBorders>
              <w:top w:val="double" w:color="auto" w:sz="4" w:space="0"/>
              <w:bottom w:val="single" w:color="000000" w:sz="4" w:space="0"/>
              <w:right w:val="single" w:color="auto" w:sz="12" w:space="0"/>
            </w:tcBorders>
            <w:vAlign w:val="center"/>
          </w:tcPr>
          <w:p w14:paraId="08C9ED02">
            <w:pPr>
              <w:pStyle w:val="33"/>
              <w:rPr>
                <w:color w:val="000000" w:themeColor="text1"/>
                <w14:textFill>
                  <w14:solidFill>
                    <w14:schemeClr w14:val="tx1"/>
                  </w14:solidFill>
                </w14:textFill>
              </w:rPr>
            </w:pPr>
          </w:p>
        </w:tc>
      </w:tr>
      <w:tr w14:paraId="2FB3C94B">
        <w:tblPrEx>
          <w:tblBorders>
            <w:top w:val="double" w:color="000000" w:sz="4" w:space="0"/>
            <w:left w:val="double" w:color="000000" w:sz="4" w:space="0"/>
            <w:bottom w:val="sing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407" w:type="dxa"/>
            <w:tcBorders>
              <w:left w:val="single" w:color="auto" w:sz="12" w:space="0"/>
              <w:right w:val="single" w:color="auto" w:sz="4" w:space="0"/>
            </w:tcBorders>
            <w:shd w:val="clear" w:color="auto" w:fill="auto"/>
            <w:tcMar>
              <w:top w:w="12" w:type="dxa"/>
              <w:left w:w="12" w:type="dxa"/>
              <w:right w:w="12" w:type="dxa"/>
            </w:tcMar>
            <w:vAlign w:val="center"/>
          </w:tcPr>
          <w:p w14:paraId="0BF47464">
            <w:pPr>
              <w:pStyle w:val="33"/>
              <w:rPr>
                <w:color w:val="000000" w:themeColor="text1"/>
                <w14:textFill>
                  <w14:solidFill>
                    <w14:schemeClr w14:val="tx1"/>
                  </w14:solidFill>
                </w14:textFill>
              </w:rPr>
            </w:pPr>
            <w:r>
              <w:rPr>
                <w:color w:val="000000" w:themeColor="text1"/>
                <w14:textFill>
                  <w14:solidFill>
                    <w14:schemeClr w14:val="tx1"/>
                  </w14:solidFill>
                </w14:textFill>
              </w:rPr>
              <w:t>交通运输用地</w:t>
            </w:r>
          </w:p>
        </w:tc>
        <w:tc>
          <w:tcPr>
            <w:tcW w:w="20" w:type="dxa"/>
            <w:tcBorders>
              <w:top w:val="single" w:color="000000" w:sz="4" w:space="0"/>
              <w:left w:val="single" w:color="auto" w:sz="4" w:space="0"/>
              <w:bottom w:val="single" w:color="000000" w:sz="4" w:space="0"/>
            </w:tcBorders>
            <w:shd w:val="clear" w:color="auto" w:fill="auto"/>
            <w:vAlign w:val="center"/>
          </w:tcPr>
          <w:p w14:paraId="1AFCA922">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shd w:val="clear" w:color="auto" w:fill="auto"/>
            <w:vAlign w:val="center"/>
          </w:tcPr>
          <w:p w14:paraId="5CDFF93F">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shd w:val="clear" w:color="auto" w:fill="92D050"/>
            <w:vAlign w:val="center"/>
          </w:tcPr>
          <w:p w14:paraId="7F6A52FD">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shd w:val="clear" w:color="auto" w:fill="92D050"/>
            <w:vAlign w:val="center"/>
          </w:tcPr>
          <w:p w14:paraId="2A3C7F4A">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shd w:val="clear" w:color="auto" w:fill="92D050"/>
            <w:vAlign w:val="center"/>
          </w:tcPr>
          <w:p w14:paraId="0B043721">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shd w:val="clear" w:color="auto" w:fill="auto"/>
            <w:vAlign w:val="center"/>
          </w:tcPr>
          <w:p w14:paraId="536161CF">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shd w:val="clear" w:color="auto" w:fill="auto"/>
            <w:tcMar>
              <w:top w:w="12" w:type="dxa"/>
              <w:left w:w="12" w:type="dxa"/>
              <w:right w:w="12" w:type="dxa"/>
            </w:tcMar>
            <w:vAlign w:val="center"/>
          </w:tcPr>
          <w:p w14:paraId="5B5B01C6">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shd w:val="clear" w:color="auto" w:fill="auto"/>
            <w:tcMar>
              <w:top w:w="12" w:type="dxa"/>
              <w:left w:w="12" w:type="dxa"/>
              <w:right w:w="12" w:type="dxa"/>
            </w:tcMar>
            <w:vAlign w:val="center"/>
          </w:tcPr>
          <w:p w14:paraId="3CFD151F">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shd w:val="clear" w:color="auto" w:fill="auto"/>
            <w:tcMar>
              <w:top w:w="12" w:type="dxa"/>
              <w:left w:w="12" w:type="dxa"/>
              <w:right w:w="12" w:type="dxa"/>
            </w:tcMar>
            <w:vAlign w:val="center"/>
          </w:tcPr>
          <w:p w14:paraId="5B7AAFE1">
            <w:pPr>
              <w:pStyle w:val="33"/>
              <w:rPr>
                <w:color w:val="000000" w:themeColor="text1"/>
                <w14:textFill>
                  <w14:solidFill>
                    <w14:schemeClr w14:val="tx1"/>
                  </w14:solidFill>
                </w14:textFill>
              </w:rPr>
            </w:pPr>
          </w:p>
        </w:tc>
        <w:tc>
          <w:tcPr>
            <w:tcW w:w="0" w:type="auto"/>
            <w:tcBorders>
              <w:top w:val="single" w:color="000000" w:sz="4" w:space="0"/>
            </w:tcBorders>
            <w:shd w:val="clear" w:color="auto" w:fill="auto"/>
            <w:tcMar>
              <w:top w:w="12" w:type="dxa"/>
              <w:left w:w="12" w:type="dxa"/>
              <w:right w:w="12" w:type="dxa"/>
            </w:tcMar>
            <w:vAlign w:val="center"/>
          </w:tcPr>
          <w:p w14:paraId="46811779">
            <w:pPr>
              <w:pStyle w:val="33"/>
              <w:rPr>
                <w:color w:val="000000" w:themeColor="text1"/>
                <w14:textFill>
                  <w14:solidFill>
                    <w14:schemeClr w14:val="tx1"/>
                  </w14:solidFill>
                </w14:textFill>
              </w:rPr>
            </w:pPr>
          </w:p>
        </w:tc>
        <w:tc>
          <w:tcPr>
            <w:tcW w:w="0" w:type="auto"/>
            <w:tcBorders>
              <w:top w:val="single" w:color="000000" w:sz="4" w:space="0"/>
            </w:tcBorders>
            <w:shd w:val="clear" w:color="auto" w:fill="auto"/>
            <w:tcMar>
              <w:top w:w="12" w:type="dxa"/>
              <w:left w:w="12" w:type="dxa"/>
              <w:right w:w="12" w:type="dxa"/>
            </w:tcMar>
            <w:vAlign w:val="center"/>
          </w:tcPr>
          <w:p w14:paraId="0AD9D2AB">
            <w:pPr>
              <w:pStyle w:val="33"/>
              <w:rPr>
                <w:color w:val="000000" w:themeColor="text1"/>
                <w14:textFill>
                  <w14:solidFill>
                    <w14:schemeClr w14:val="tx1"/>
                  </w14:solidFill>
                </w14:textFill>
              </w:rPr>
            </w:pPr>
          </w:p>
        </w:tc>
        <w:tc>
          <w:tcPr>
            <w:tcW w:w="0" w:type="auto"/>
            <w:tcBorders>
              <w:top w:val="single" w:color="000000" w:sz="4" w:space="0"/>
            </w:tcBorders>
            <w:shd w:val="clear" w:color="auto" w:fill="auto"/>
            <w:vAlign w:val="center"/>
          </w:tcPr>
          <w:p w14:paraId="6B16A514">
            <w:pPr>
              <w:pStyle w:val="33"/>
              <w:rPr>
                <w:color w:val="000000" w:themeColor="text1"/>
                <w14:textFill>
                  <w14:solidFill>
                    <w14:schemeClr w14:val="tx1"/>
                  </w14:solidFill>
                </w14:textFill>
              </w:rPr>
            </w:pPr>
          </w:p>
        </w:tc>
        <w:tc>
          <w:tcPr>
            <w:tcW w:w="0" w:type="auto"/>
            <w:tcBorders>
              <w:top w:val="single" w:color="000000" w:sz="4" w:space="0"/>
            </w:tcBorders>
            <w:shd w:val="clear" w:color="auto" w:fill="auto"/>
            <w:vAlign w:val="center"/>
          </w:tcPr>
          <w:p w14:paraId="67D02E67">
            <w:pPr>
              <w:pStyle w:val="33"/>
              <w:rPr>
                <w:color w:val="000000" w:themeColor="text1"/>
                <w14:textFill>
                  <w14:solidFill>
                    <w14:schemeClr w14:val="tx1"/>
                  </w14:solidFill>
                </w14:textFill>
              </w:rPr>
            </w:pPr>
          </w:p>
        </w:tc>
        <w:tc>
          <w:tcPr>
            <w:tcW w:w="0" w:type="auto"/>
            <w:tcBorders>
              <w:top w:val="single" w:color="000000" w:sz="4" w:space="0"/>
            </w:tcBorders>
            <w:shd w:val="clear" w:color="auto" w:fill="auto"/>
            <w:vAlign w:val="center"/>
          </w:tcPr>
          <w:p w14:paraId="3E51845E">
            <w:pPr>
              <w:pStyle w:val="33"/>
              <w:rPr>
                <w:color w:val="000000" w:themeColor="text1"/>
                <w14:textFill>
                  <w14:solidFill>
                    <w14:schemeClr w14:val="tx1"/>
                  </w14:solidFill>
                </w14:textFill>
              </w:rPr>
            </w:pPr>
          </w:p>
        </w:tc>
        <w:tc>
          <w:tcPr>
            <w:tcW w:w="0" w:type="auto"/>
            <w:tcBorders>
              <w:top w:val="single" w:color="000000" w:sz="4" w:space="0"/>
            </w:tcBorders>
            <w:shd w:val="clear" w:color="auto" w:fill="auto"/>
            <w:vAlign w:val="center"/>
          </w:tcPr>
          <w:p w14:paraId="27BAC6E3">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shd w:val="clear" w:color="auto" w:fill="auto"/>
            <w:vAlign w:val="center"/>
          </w:tcPr>
          <w:p w14:paraId="07A2D5C9">
            <w:pPr>
              <w:pStyle w:val="33"/>
              <w:rPr>
                <w:color w:val="000000" w:themeColor="text1"/>
                <w14:textFill>
                  <w14:solidFill>
                    <w14:schemeClr w14:val="tx1"/>
                  </w14:solidFill>
                </w14:textFill>
              </w:rPr>
            </w:pPr>
          </w:p>
        </w:tc>
        <w:tc>
          <w:tcPr>
            <w:tcW w:w="0" w:type="auto"/>
            <w:tcBorders>
              <w:top w:val="single" w:color="000000" w:sz="4" w:space="0"/>
              <w:bottom w:val="single" w:color="000000" w:sz="4" w:space="0"/>
              <w:right w:val="single" w:color="auto" w:sz="12" w:space="0"/>
            </w:tcBorders>
            <w:shd w:val="clear" w:color="auto" w:fill="auto"/>
            <w:vAlign w:val="center"/>
          </w:tcPr>
          <w:p w14:paraId="3BBDBA70">
            <w:pPr>
              <w:pStyle w:val="33"/>
              <w:rPr>
                <w:color w:val="000000" w:themeColor="text1"/>
                <w14:textFill>
                  <w14:solidFill>
                    <w14:schemeClr w14:val="tx1"/>
                  </w14:solidFill>
                </w14:textFill>
              </w:rPr>
            </w:pPr>
          </w:p>
        </w:tc>
        <w:tc>
          <w:tcPr>
            <w:tcW w:w="0" w:type="auto"/>
            <w:tcBorders>
              <w:top w:val="single" w:color="000000" w:sz="4" w:space="0"/>
              <w:bottom w:val="single" w:color="000000" w:sz="4" w:space="0"/>
              <w:right w:val="single" w:color="auto" w:sz="12" w:space="0"/>
            </w:tcBorders>
            <w:shd w:val="clear" w:color="auto" w:fill="auto"/>
            <w:vAlign w:val="center"/>
          </w:tcPr>
          <w:p w14:paraId="56E58834">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vAlign w:val="center"/>
          </w:tcPr>
          <w:p w14:paraId="40FDB23F">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vAlign w:val="center"/>
          </w:tcPr>
          <w:p w14:paraId="7D3DA7FF">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vAlign w:val="center"/>
          </w:tcPr>
          <w:p w14:paraId="3ACA35E5">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vAlign w:val="center"/>
          </w:tcPr>
          <w:p w14:paraId="79A328F4">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vAlign w:val="center"/>
          </w:tcPr>
          <w:p w14:paraId="072D0FDC">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vAlign w:val="center"/>
          </w:tcPr>
          <w:p w14:paraId="2C0A6C86">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vAlign w:val="center"/>
          </w:tcPr>
          <w:p w14:paraId="4D1B4EE4">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vAlign w:val="center"/>
          </w:tcPr>
          <w:p w14:paraId="2BBAD306">
            <w:pPr>
              <w:pStyle w:val="33"/>
              <w:rPr>
                <w:color w:val="000000" w:themeColor="text1"/>
                <w14:textFill>
                  <w14:solidFill>
                    <w14:schemeClr w14:val="tx1"/>
                  </w14:solidFill>
                </w14:textFill>
              </w:rPr>
            </w:pPr>
          </w:p>
        </w:tc>
        <w:tc>
          <w:tcPr>
            <w:tcW w:w="0" w:type="auto"/>
            <w:tcBorders>
              <w:top w:val="single" w:color="000000" w:sz="4" w:space="0"/>
              <w:bottom w:val="single" w:color="000000" w:sz="4" w:space="0"/>
              <w:right w:val="single" w:color="auto" w:sz="12" w:space="0"/>
            </w:tcBorders>
            <w:vAlign w:val="center"/>
          </w:tcPr>
          <w:p w14:paraId="2ABB5E6B">
            <w:pPr>
              <w:pStyle w:val="33"/>
              <w:rPr>
                <w:color w:val="000000" w:themeColor="text1"/>
                <w14:textFill>
                  <w14:solidFill>
                    <w14:schemeClr w14:val="tx1"/>
                  </w14:solidFill>
                </w14:textFill>
              </w:rPr>
            </w:pPr>
          </w:p>
        </w:tc>
      </w:tr>
      <w:tr w14:paraId="29C7D445">
        <w:tblPrEx>
          <w:tblBorders>
            <w:top w:val="double" w:color="000000" w:sz="4" w:space="0"/>
            <w:left w:val="double" w:color="000000" w:sz="4" w:space="0"/>
            <w:bottom w:val="sing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407" w:type="dxa"/>
            <w:tcBorders>
              <w:left w:val="single" w:color="auto" w:sz="12" w:space="0"/>
              <w:right w:val="single" w:color="auto" w:sz="4" w:space="0"/>
            </w:tcBorders>
            <w:shd w:val="clear" w:color="auto" w:fill="auto"/>
            <w:tcMar>
              <w:top w:w="12" w:type="dxa"/>
              <w:left w:w="12" w:type="dxa"/>
              <w:right w:w="12" w:type="dxa"/>
            </w:tcMar>
            <w:vAlign w:val="center"/>
          </w:tcPr>
          <w:p w14:paraId="6460CD34">
            <w:pPr>
              <w:pStyle w:val="33"/>
              <w:rPr>
                <w:color w:val="000000" w:themeColor="text1"/>
                <w14:textFill>
                  <w14:solidFill>
                    <w14:schemeClr w14:val="tx1"/>
                  </w14:solidFill>
                </w14:textFill>
              </w:rPr>
            </w:pPr>
            <w:r>
              <w:rPr>
                <w:color w:val="000000" w:themeColor="text1"/>
                <w14:textFill>
                  <w14:solidFill>
                    <w14:schemeClr w14:val="tx1"/>
                  </w14:solidFill>
                </w14:textFill>
              </w:rPr>
              <w:t>绿地与开敞空间用地</w:t>
            </w:r>
          </w:p>
        </w:tc>
        <w:tc>
          <w:tcPr>
            <w:tcW w:w="20" w:type="dxa"/>
            <w:tcBorders>
              <w:top w:val="single" w:color="000000" w:sz="4" w:space="0"/>
              <w:left w:val="single" w:color="auto" w:sz="4" w:space="0"/>
            </w:tcBorders>
            <w:shd w:val="clear" w:color="auto" w:fill="auto"/>
            <w:vAlign w:val="center"/>
          </w:tcPr>
          <w:p w14:paraId="3CFBD335">
            <w:pPr>
              <w:pStyle w:val="33"/>
              <w:rPr>
                <w:color w:val="000000" w:themeColor="text1"/>
                <w14:textFill>
                  <w14:solidFill>
                    <w14:schemeClr w14:val="tx1"/>
                  </w14:solidFill>
                </w14:textFill>
              </w:rPr>
            </w:pPr>
          </w:p>
        </w:tc>
        <w:tc>
          <w:tcPr>
            <w:tcW w:w="0" w:type="auto"/>
            <w:tcBorders>
              <w:top w:val="single" w:color="000000" w:sz="4" w:space="0"/>
            </w:tcBorders>
            <w:shd w:val="clear" w:color="auto" w:fill="auto"/>
            <w:vAlign w:val="center"/>
          </w:tcPr>
          <w:p w14:paraId="2FA57B6A">
            <w:pPr>
              <w:pStyle w:val="33"/>
              <w:rPr>
                <w:color w:val="000000" w:themeColor="text1"/>
                <w14:textFill>
                  <w14:solidFill>
                    <w14:schemeClr w14:val="tx1"/>
                  </w14:solidFill>
                </w14:textFill>
              </w:rPr>
            </w:pPr>
          </w:p>
        </w:tc>
        <w:tc>
          <w:tcPr>
            <w:tcW w:w="0" w:type="auto"/>
            <w:tcBorders>
              <w:top w:val="single" w:color="000000" w:sz="4" w:space="0"/>
            </w:tcBorders>
            <w:shd w:val="clear" w:color="auto" w:fill="auto"/>
            <w:vAlign w:val="center"/>
          </w:tcPr>
          <w:p w14:paraId="5D50AE21">
            <w:pPr>
              <w:pStyle w:val="33"/>
              <w:rPr>
                <w:color w:val="000000" w:themeColor="text1"/>
                <w14:textFill>
                  <w14:solidFill>
                    <w14:schemeClr w14:val="tx1"/>
                  </w14:solidFill>
                </w14:textFill>
              </w:rPr>
            </w:pPr>
          </w:p>
        </w:tc>
        <w:tc>
          <w:tcPr>
            <w:tcW w:w="0" w:type="auto"/>
            <w:tcBorders>
              <w:top w:val="single" w:color="000000" w:sz="4" w:space="0"/>
            </w:tcBorders>
            <w:shd w:val="clear" w:color="auto" w:fill="auto"/>
            <w:vAlign w:val="center"/>
          </w:tcPr>
          <w:p w14:paraId="3F076671">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shd w:val="clear" w:color="auto" w:fill="92D050"/>
            <w:vAlign w:val="center"/>
          </w:tcPr>
          <w:p w14:paraId="7F89EADE">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shd w:val="clear" w:color="auto" w:fill="auto"/>
            <w:vAlign w:val="center"/>
          </w:tcPr>
          <w:p w14:paraId="3BE8974C">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shd w:val="clear" w:color="auto" w:fill="auto"/>
            <w:tcMar>
              <w:top w:w="12" w:type="dxa"/>
              <w:left w:w="12" w:type="dxa"/>
              <w:right w:w="12" w:type="dxa"/>
            </w:tcMar>
            <w:vAlign w:val="center"/>
          </w:tcPr>
          <w:p w14:paraId="213D99C8">
            <w:pPr>
              <w:pStyle w:val="33"/>
              <w:rPr>
                <w:color w:val="000000" w:themeColor="text1"/>
                <w14:textFill>
                  <w14:solidFill>
                    <w14:schemeClr w14:val="tx1"/>
                  </w14:solidFill>
                </w14:textFill>
              </w:rPr>
            </w:pPr>
          </w:p>
        </w:tc>
        <w:tc>
          <w:tcPr>
            <w:tcW w:w="0" w:type="auto"/>
            <w:tcBorders>
              <w:top w:val="single" w:color="000000" w:sz="4" w:space="0"/>
              <w:bottom w:val="single" w:color="000000" w:sz="4" w:space="0"/>
            </w:tcBorders>
            <w:shd w:val="clear" w:color="auto" w:fill="auto"/>
            <w:tcMar>
              <w:top w:w="12" w:type="dxa"/>
              <w:left w:w="12" w:type="dxa"/>
              <w:right w:w="12" w:type="dxa"/>
            </w:tcMar>
            <w:vAlign w:val="center"/>
          </w:tcPr>
          <w:p w14:paraId="5A799C15">
            <w:pPr>
              <w:pStyle w:val="33"/>
              <w:rPr>
                <w:color w:val="000000" w:themeColor="text1"/>
                <w14:textFill>
                  <w14:solidFill>
                    <w14:schemeClr w14:val="tx1"/>
                  </w14:solidFill>
                </w14:textFill>
              </w:rPr>
            </w:pPr>
          </w:p>
        </w:tc>
        <w:tc>
          <w:tcPr>
            <w:tcW w:w="0" w:type="auto"/>
            <w:tcBorders>
              <w:top w:val="single" w:color="000000" w:sz="4" w:space="0"/>
            </w:tcBorders>
            <w:shd w:val="clear" w:color="auto" w:fill="auto"/>
            <w:tcMar>
              <w:top w:w="12" w:type="dxa"/>
              <w:left w:w="12" w:type="dxa"/>
              <w:right w:w="12" w:type="dxa"/>
            </w:tcMar>
            <w:vAlign w:val="center"/>
          </w:tcPr>
          <w:p w14:paraId="5424D08B">
            <w:pPr>
              <w:pStyle w:val="33"/>
              <w:rPr>
                <w:color w:val="000000" w:themeColor="text1"/>
                <w14:textFill>
                  <w14:solidFill>
                    <w14:schemeClr w14:val="tx1"/>
                  </w14:solidFill>
                </w14:textFill>
              </w:rPr>
            </w:pPr>
          </w:p>
        </w:tc>
        <w:tc>
          <w:tcPr>
            <w:tcW w:w="0" w:type="auto"/>
            <w:tcBorders>
              <w:top w:val="single" w:color="000000" w:sz="4" w:space="0"/>
            </w:tcBorders>
            <w:shd w:val="clear" w:color="auto" w:fill="auto"/>
            <w:tcMar>
              <w:top w:w="12" w:type="dxa"/>
              <w:left w:w="12" w:type="dxa"/>
              <w:right w:w="12" w:type="dxa"/>
            </w:tcMar>
            <w:vAlign w:val="center"/>
          </w:tcPr>
          <w:p w14:paraId="08C4C05D">
            <w:pPr>
              <w:pStyle w:val="33"/>
              <w:rPr>
                <w:color w:val="000000" w:themeColor="text1"/>
                <w14:textFill>
                  <w14:solidFill>
                    <w14:schemeClr w14:val="tx1"/>
                  </w14:solidFill>
                </w14:textFill>
              </w:rPr>
            </w:pPr>
          </w:p>
        </w:tc>
        <w:tc>
          <w:tcPr>
            <w:tcW w:w="0" w:type="auto"/>
            <w:tcBorders>
              <w:top w:val="single" w:color="000000" w:sz="4" w:space="0"/>
            </w:tcBorders>
            <w:shd w:val="clear" w:color="auto" w:fill="auto"/>
            <w:tcMar>
              <w:top w:w="12" w:type="dxa"/>
              <w:left w:w="12" w:type="dxa"/>
              <w:right w:w="12" w:type="dxa"/>
            </w:tcMar>
            <w:vAlign w:val="center"/>
          </w:tcPr>
          <w:p w14:paraId="5B613827">
            <w:pPr>
              <w:pStyle w:val="33"/>
              <w:rPr>
                <w:color w:val="000000" w:themeColor="text1"/>
                <w14:textFill>
                  <w14:solidFill>
                    <w14:schemeClr w14:val="tx1"/>
                  </w14:solidFill>
                </w14:textFill>
              </w:rPr>
            </w:pPr>
          </w:p>
        </w:tc>
        <w:tc>
          <w:tcPr>
            <w:tcW w:w="0" w:type="auto"/>
            <w:tcBorders>
              <w:top w:val="single" w:color="000000" w:sz="4" w:space="0"/>
            </w:tcBorders>
            <w:shd w:val="clear" w:color="auto" w:fill="auto"/>
            <w:vAlign w:val="center"/>
          </w:tcPr>
          <w:p w14:paraId="4B6948EA">
            <w:pPr>
              <w:pStyle w:val="33"/>
              <w:rPr>
                <w:color w:val="000000" w:themeColor="text1"/>
                <w14:textFill>
                  <w14:solidFill>
                    <w14:schemeClr w14:val="tx1"/>
                  </w14:solidFill>
                </w14:textFill>
              </w:rPr>
            </w:pPr>
          </w:p>
        </w:tc>
        <w:tc>
          <w:tcPr>
            <w:tcW w:w="0" w:type="auto"/>
            <w:tcBorders>
              <w:top w:val="single" w:color="000000" w:sz="4" w:space="0"/>
            </w:tcBorders>
            <w:shd w:val="clear" w:color="auto" w:fill="auto"/>
            <w:vAlign w:val="center"/>
          </w:tcPr>
          <w:p w14:paraId="22B4FF06">
            <w:pPr>
              <w:pStyle w:val="33"/>
              <w:rPr>
                <w:color w:val="000000" w:themeColor="text1"/>
                <w14:textFill>
                  <w14:solidFill>
                    <w14:schemeClr w14:val="tx1"/>
                  </w14:solidFill>
                </w14:textFill>
              </w:rPr>
            </w:pPr>
          </w:p>
        </w:tc>
        <w:tc>
          <w:tcPr>
            <w:tcW w:w="0" w:type="auto"/>
            <w:tcBorders>
              <w:top w:val="single" w:color="000000" w:sz="4" w:space="0"/>
            </w:tcBorders>
            <w:shd w:val="clear" w:color="auto" w:fill="auto"/>
            <w:vAlign w:val="center"/>
          </w:tcPr>
          <w:p w14:paraId="2FEA9BCF">
            <w:pPr>
              <w:pStyle w:val="33"/>
              <w:rPr>
                <w:color w:val="000000" w:themeColor="text1"/>
                <w14:textFill>
                  <w14:solidFill>
                    <w14:schemeClr w14:val="tx1"/>
                  </w14:solidFill>
                </w14:textFill>
              </w:rPr>
            </w:pPr>
          </w:p>
        </w:tc>
        <w:tc>
          <w:tcPr>
            <w:tcW w:w="0" w:type="auto"/>
            <w:tcBorders>
              <w:top w:val="single" w:color="000000" w:sz="4" w:space="0"/>
            </w:tcBorders>
            <w:shd w:val="clear" w:color="auto" w:fill="auto"/>
            <w:vAlign w:val="center"/>
          </w:tcPr>
          <w:p w14:paraId="56A1812D">
            <w:pPr>
              <w:pStyle w:val="33"/>
              <w:rPr>
                <w:color w:val="000000" w:themeColor="text1"/>
                <w14:textFill>
                  <w14:solidFill>
                    <w14:schemeClr w14:val="tx1"/>
                  </w14:solidFill>
                </w14:textFill>
              </w:rPr>
            </w:pPr>
          </w:p>
        </w:tc>
        <w:tc>
          <w:tcPr>
            <w:tcW w:w="0" w:type="auto"/>
            <w:tcBorders>
              <w:top w:val="single" w:color="000000" w:sz="4" w:space="0"/>
            </w:tcBorders>
            <w:shd w:val="clear" w:color="auto" w:fill="auto"/>
            <w:vAlign w:val="center"/>
          </w:tcPr>
          <w:p w14:paraId="0CBE1508">
            <w:pPr>
              <w:pStyle w:val="33"/>
              <w:rPr>
                <w:color w:val="000000" w:themeColor="text1"/>
                <w14:textFill>
                  <w14:solidFill>
                    <w14:schemeClr w14:val="tx1"/>
                  </w14:solidFill>
                </w14:textFill>
              </w:rPr>
            </w:pPr>
          </w:p>
        </w:tc>
        <w:tc>
          <w:tcPr>
            <w:tcW w:w="0" w:type="auto"/>
            <w:tcBorders>
              <w:top w:val="single" w:color="000000" w:sz="4" w:space="0"/>
              <w:right w:val="single" w:color="auto" w:sz="12" w:space="0"/>
            </w:tcBorders>
            <w:shd w:val="clear" w:color="auto" w:fill="auto"/>
            <w:vAlign w:val="center"/>
          </w:tcPr>
          <w:p w14:paraId="67B3FDC8">
            <w:pPr>
              <w:pStyle w:val="33"/>
              <w:rPr>
                <w:color w:val="000000" w:themeColor="text1"/>
                <w14:textFill>
                  <w14:solidFill>
                    <w14:schemeClr w14:val="tx1"/>
                  </w14:solidFill>
                </w14:textFill>
              </w:rPr>
            </w:pPr>
          </w:p>
        </w:tc>
        <w:tc>
          <w:tcPr>
            <w:tcW w:w="0" w:type="auto"/>
            <w:tcBorders>
              <w:top w:val="single" w:color="000000" w:sz="4" w:space="0"/>
              <w:right w:val="single" w:color="auto" w:sz="12" w:space="0"/>
            </w:tcBorders>
            <w:vAlign w:val="center"/>
          </w:tcPr>
          <w:p w14:paraId="71A7BA8A">
            <w:pPr>
              <w:pStyle w:val="33"/>
              <w:rPr>
                <w:color w:val="000000" w:themeColor="text1"/>
                <w14:textFill>
                  <w14:solidFill>
                    <w14:schemeClr w14:val="tx1"/>
                  </w14:solidFill>
                </w14:textFill>
              </w:rPr>
            </w:pPr>
          </w:p>
        </w:tc>
        <w:tc>
          <w:tcPr>
            <w:tcW w:w="0" w:type="auto"/>
            <w:tcBorders>
              <w:top w:val="single" w:color="000000" w:sz="4" w:space="0"/>
            </w:tcBorders>
            <w:vAlign w:val="center"/>
          </w:tcPr>
          <w:p w14:paraId="26AA9ABB">
            <w:pPr>
              <w:pStyle w:val="33"/>
              <w:rPr>
                <w:color w:val="000000" w:themeColor="text1"/>
                <w14:textFill>
                  <w14:solidFill>
                    <w14:schemeClr w14:val="tx1"/>
                  </w14:solidFill>
                </w14:textFill>
              </w:rPr>
            </w:pPr>
          </w:p>
        </w:tc>
        <w:tc>
          <w:tcPr>
            <w:tcW w:w="0" w:type="auto"/>
            <w:tcBorders>
              <w:top w:val="single" w:color="000000" w:sz="4" w:space="0"/>
            </w:tcBorders>
            <w:vAlign w:val="center"/>
          </w:tcPr>
          <w:p w14:paraId="2221986F">
            <w:pPr>
              <w:pStyle w:val="33"/>
              <w:rPr>
                <w:color w:val="000000" w:themeColor="text1"/>
                <w14:textFill>
                  <w14:solidFill>
                    <w14:schemeClr w14:val="tx1"/>
                  </w14:solidFill>
                </w14:textFill>
              </w:rPr>
            </w:pPr>
          </w:p>
        </w:tc>
        <w:tc>
          <w:tcPr>
            <w:tcW w:w="0" w:type="auto"/>
            <w:tcBorders>
              <w:top w:val="single" w:color="000000" w:sz="4" w:space="0"/>
            </w:tcBorders>
            <w:vAlign w:val="center"/>
          </w:tcPr>
          <w:p w14:paraId="58AAB17B">
            <w:pPr>
              <w:pStyle w:val="33"/>
              <w:rPr>
                <w:color w:val="000000" w:themeColor="text1"/>
                <w14:textFill>
                  <w14:solidFill>
                    <w14:schemeClr w14:val="tx1"/>
                  </w14:solidFill>
                </w14:textFill>
              </w:rPr>
            </w:pPr>
          </w:p>
        </w:tc>
        <w:tc>
          <w:tcPr>
            <w:tcW w:w="0" w:type="auto"/>
            <w:tcBorders>
              <w:top w:val="single" w:color="000000" w:sz="4" w:space="0"/>
            </w:tcBorders>
            <w:vAlign w:val="center"/>
          </w:tcPr>
          <w:p w14:paraId="0CA19BC1">
            <w:pPr>
              <w:pStyle w:val="33"/>
              <w:rPr>
                <w:color w:val="000000" w:themeColor="text1"/>
                <w14:textFill>
                  <w14:solidFill>
                    <w14:schemeClr w14:val="tx1"/>
                  </w14:solidFill>
                </w14:textFill>
              </w:rPr>
            </w:pPr>
          </w:p>
        </w:tc>
        <w:tc>
          <w:tcPr>
            <w:tcW w:w="0" w:type="auto"/>
            <w:tcBorders>
              <w:top w:val="single" w:color="000000" w:sz="4" w:space="0"/>
            </w:tcBorders>
            <w:vAlign w:val="center"/>
          </w:tcPr>
          <w:p w14:paraId="11FF9D1C">
            <w:pPr>
              <w:pStyle w:val="33"/>
              <w:rPr>
                <w:color w:val="000000" w:themeColor="text1"/>
                <w14:textFill>
                  <w14:solidFill>
                    <w14:schemeClr w14:val="tx1"/>
                  </w14:solidFill>
                </w14:textFill>
              </w:rPr>
            </w:pPr>
          </w:p>
        </w:tc>
        <w:tc>
          <w:tcPr>
            <w:tcW w:w="0" w:type="auto"/>
            <w:tcBorders>
              <w:top w:val="single" w:color="000000" w:sz="4" w:space="0"/>
            </w:tcBorders>
            <w:vAlign w:val="center"/>
          </w:tcPr>
          <w:p w14:paraId="2AE3DD22">
            <w:pPr>
              <w:pStyle w:val="33"/>
              <w:rPr>
                <w:color w:val="000000" w:themeColor="text1"/>
                <w14:textFill>
                  <w14:solidFill>
                    <w14:schemeClr w14:val="tx1"/>
                  </w14:solidFill>
                </w14:textFill>
              </w:rPr>
            </w:pPr>
          </w:p>
        </w:tc>
        <w:tc>
          <w:tcPr>
            <w:tcW w:w="0" w:type="auto"/>
            <w:tcBorders>
              <w:top w:val="single" w:color="000000" w:sz="4" w:space="0"/>
            </w:tcBorders>
            <w:vAlign w:val="center"/>
          </w:tcPr>
          <w:p w14:paraId="37B5F90B">
            <w:pPr>
              <w:pStyle w:val="33"/>
              <w:rPr>
                <w:color w:val="000000" w:themeColor="text1"/>
                <w14:textFill>
                  <w14:solidFill>
                    <w14:schemeClr w14:val="tx1"/>
                  </w14:solidFill>
                </w14:textFill>
              </w:rPr>
            </w:pPr>
          </w:p>
        </w:tc>
        <w:tc>
          <w:tcPr>
            <w:tcW w:w="0" w:type="auto"/>
            <w:tcBorders>
              <w:top w:val="single" w:color="000000" w:sz="4" w:space="0"/>
            </w:tcBorders>
            <w:vAlign w:val="center"/>
          </w:tcPr>
          <w:p w14:paraId="4FAA0EC7">
            <w:pPr>
              <w:pStyle w:val="33"/>
              <w:rPr>
                <w:color w:val="000000" w:themeColor="text1"/>
                <w14:textFill>
                  <w14:solidFill>
                    <w14:schemeClr w14:val="tx1"/>
                  </w14:solidFill>
                </w14:textFill>
              </w:rPr>
            </w:pPr>
          </w:p>
        </w:tc>
        <w:tc>
          <w:tcPr>
            <w:tcW w:w="0" w:type="auto"/>
            <w:tcBorders>
              <w:top w:val="single" w:color="000000" w:sz="4" w:space="0"/>
              <w:right w:val="single" w:color="auto" w:sz="12" w:space="0"/>
            </w:tcBorders>
            <w:vAlign w:val="center"/>
          </w:tcPr>
          <w:p w14:paraId="6D8CBC8F">
            <w:pPr>
              <w:pStyle w:val="33"/>
              <w:rPr>
                <w:color w:val="000000" w:themeColor="text1"/>
                <w14:textFill>
                  <w14:solidFill>
                    <w14:schemeClr w14:val="tx1"/>
                  </w14:solidFill>
                </w14:textFill>
              </w:rPr>
            </w:pPr>
          </w:p>
        </w:tc>
      </w:tr>
      <w:tr w14:paraId="2764878F">
        <w:tblPrEx>
          <w:tblBorders>
            <w:top w:val="double" w:color="000000" w:sz="4" w:space="0"/>
            <w:left w:val="double" w:color="000000" w:sz="4" w:space="0"/>
            <w:bottom w:val="sing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407" w:type="dxa"/>
            <w:tcBorders>
              <w:left w:val="single" w:color="auto" w:sz="12" w:space="0"/>
              <w:bottom w:val="single" w:color="auto" w:sz="12" w:space="0"/>
              <w:right w:val="single" w:color="auto" w:sz="4" w:space="0"/>
            </w:tcBorders>
            <w:shd w:val="clear" w:color="auto" w:fill="auto"/>
            <w:tcMar>
              <w:top w:w="12" w:type="dxa"/>
              <w:left w:w="12" w:type="dxa"/>
              <w:right w:w="12" w:type="dxa"/>
            </w:tcMar>
            <w:vAlign w:val="center"/>
          </w:tcPr>
          <w:p w14:paraId="24222CFB">
            <w:pPr>
              <w:pStyle w:val="33"/>
              <w:rPr>
                <w:color w:val="000000" w:themeColor="text1"/>
                <w14:textFill>
                  <w14:solidFill>
                    <w14:schemeClr w14:val="tx1"/>
                  </w14:solidFill>
                </w14:textFill>
              </w:rPr>
            </w:pPr>
            <w:r>
              <w:rPr>
                <w:color w:val="000000" w:themeColor="text1"/>
                <w14:textFill>
                  <w14:solidFill>
                    <w14:schemeClr w14:val="tx1"/>
                  </w14:solidFill>
                </w14:textFill>
              </w:rPr>
              <w:t>陆地水域</w:t>
            </w:r>
          </w:p>
        </w:tc>
        <w:tc>
          <w:tcPr>
            <w:tcW w:w="20" w:type="dxa"/>
            <w:tcBorders>
              <w:top w:val="single" w:color="000000" w:sz="4" w:space="0"/>
              <w:left w:val="single" w:color="auto" w:sz="4" w:space="0"/>
              <w:bottom w:val="single" w:color="auto" w:sz="12" w:space="0"/>
            </w:tcBorders>
            <w:shd w:val="clear" w:color="auto" w:fill="auto"/>
            <w:vAlign w:val="center"/>
          </w:tcPr>
          <w:p w14:paraId="6E883755">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shd w:val="clear" w:color="auto" w:fill="auto"/>
            <w:vAlign w:val="center"/>
          </w:tcPr>
          <w:p w14:paraId="419CD7FE">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shd w:val="clear" w:color="auto" w:fill="auto"/>
            <w:vAlign w:val="center"/>
          </w:tcPr>
          <w:p w14:paraId="2F0855A8">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shd w:val="clear" w:color="auto" w:fill="auto"/>
            <w:vAlign w:val="center"/>
          </w:tcPr>
          <w:p w14:paraId="2046F964">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shd w:val="clear" w:color="auto" w:fill="92D050"/>
            <w:vAlign w:val="center"/>
          </w:tcPr>
          <w:p w14:paraId="5F1955E7">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shd w:val="clear" w:color="auto" w:fill="auto"/>
            <w:vAlign w:val="center"/>
          </w:tcPr>
          <w:p w14:paraId="34BC4FF0">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shd w:val="clear" w:color="auto" w:fill="auto"/>
            <w:tcMar>
              <w:top w:w="12" w:type="dxa"/>
              <w:left w:w="12" w:type="dxa"/>
              <w:right w:w="12" w:type="dxa"/>
            </w:tcMar>
            <w:vAlign w:val="center"/>
          </w:tcPr>
          <w:p w14:paraId="5E32008E">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shd w:val="clear" w:color="auto" w:fill="auto"/>
            <w:tcMar>
              <w:top w:w="12" w:type="dxa"/>
              <w:left w:w="12" w:type="dxa"/>
              <w:right w:w="12" w:type="dxa"/>
            </w:tcMar>
            <w:vAlign w:val="center"/>
          </w:tcPr>
          <w:p w14:paraId="77F66974">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shd w:val="clear" w:color="auto" w:fill="auto"/>
            <w:tcMar>
              <w:top w:w="12" w:type="dxa"/>
              <w:left w:w="12" w:type="dxa"/>
              <w:right w:w="12" w:type="dxa"/>
            </w:tcMar>
            <w:vAlign w:val="center"/>
          </w:tcPr>
          <w:p w14:paraId="328B0B1E">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shd w:val="clear" w:color="auto" w:fill="auto"/>
            <w:tcMar>
              <w:top w:w="12" w:type="dxa"/>
              <w:left w:w="12" w:type="dxa"/>
              <w:right w:w="12" w:type="dxa"/>
            </w:tcMar>
            <w:vAlign w:val="center"/>
          </w:tcPr>
          <w:p w14:paraId="639AE195">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shd w:val="clear" w:color="auto" w:fill="auto"/>
            <w:tcMar>
              <w:top w:w="12" w:type="dxa"/>
              <w:left w:w="12" w:type="dxa"/>
              <w:right w:w="12" w:type="dxa"/>
            </w:tcMar>
            <w:vAlign w:val="center"/>
          </w:tcPr>
          <w:p w14:paraId="17308970">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shd w:val="clear" w:color="auto" w:fill="auto"/>
            <w:vAlign w:val="center"/>
          </w:tcPr>
          <w:p w14:paraId="2971A235">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shd w:val="clear" w:color="auto" w:fill="auto"/>
            <w:vAlign w:val="center"/>
          </w:tcPr>
          <w:p w14:paraId="4B0958B1">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shd w:val="clear" w:color="auto" w:fill="auto"/>
            <w:vAlign w:val="center"/>
          </w:tcPr>
          <w:p w14:paraId="772BC3E2">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shd w:val="clear" w:color="auto" w:fill="auto"/>
            <w:vAlign w:val="center"/>
          </w:tcPr>
          <w:p w14:paraId="4CA1889C">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shd w:val="clear" w:color="auto" w:fill="auto"/>
            <w:vAlign w:val="center"/>
          </w:tcPr>
          <w:p w14:paraId="1B8C081B">
            <w:pPr>
              <w:pStyle w:val="33"/>
              <w:rPr>
                <w:color w:val="000000" w:themeColor="text1"/>
                <w14:textFill>
                  <w14:solidFill>
                    <w14:schemeClr w14:val="tx1"/>
                  </w14:solidFill>
                </w14:textFill>
              </w:rPr>
            </w:pPr>
          </w:p>
        </w:tc>
        <w:tc>
          <w:tcPr>
            <w:tcW w:w="0" w:type="auto"/>
            <w:tcBorders>
              <w:top w:val="single" w:color="000000" w:sz="4" w:space="0"/>
              <w:bottom w:val="single" w:color="auto" w:sz="12" w:space="0"/>
              <w:right w:val="single" w:color="auto" w:sz="12" w:space="0"/>
            </w:tcBorders>
            <w:shd w:val="clear" w:color="auto" w:fill="FFFFFF" w:themeFill="background1"/>
            <w:vAlign w:val="center"/>
          </w:tcPr>
          <w:p w14:paraId="4AB06850">
            <w:pPr>
              <w:pStyle w:val="33"/>
              <w:rPr>
                <w:color w:val="000000" w:themeColor="text1"/>
                <w14:textFill>
                  <w14:solidFill>
                    <w14:schemeClr w14:val="tx1"/>
                  </w14:solidFill>
                </w14:textFill>
              </w:rPr>
            </w:pPr>
          </w:p>
        </w:tc>
        <w:tc>
          <w:tcPr>
            <w:tcW w:w="0" w:type="auto"/>
            <w:tcBorders>
              <w:top w:val="single" w:color="000000" w:sz="4" w:space="0"/>
              <w:bottom w:val="single" w:color="auto" w:sz="12" w:space="0"/>
              <w:right w:val="single" w:color="auto" w:sz="12" w:space="0"/>
            </w:tcBorders>
            <w:shd w:val="clear" w:color="auto" w:fill="FFFFFF" w:themeFill="background1"/>
            <w:vAlign w:val="center"/>
          </w:tcPr>
          <w:p w14:paraId="3CAC0EE0">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shd w:val="clear" w:color="auto" w:fill="FFFFFF" w:themeFill="background1"/>
            <w:vAlign w:val="center"/>
          </w:tcPr>
          <w:p w14:paraId="0B535CF9">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vAlign w:val="center"/>
          </w:tcPr>
          <w:p w14:paraId="5F71B490">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vAlign w:val="center"/>
          </w:tcPr>
          <w:p w14:paraId="1F933210">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vAlign w:val="center"/>
          </w:tcPr>
          <w:p w14:paraId="09BD41CF">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vAlign w:val="center"/>
          </w:tcPr>
          <w:p w14:paraId="2DBF0051">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vAlign w:val="center"/>
          </w:tcPr>
          <w:p w14:paraId="27558E25">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vAlign w:val="center"/>
          </w:tcPr>
          <w:p w14:paraId="28C2AD52">
            <w:pPr>
              <w:pStyle w:val="33"/>
              <w:rPr>
                <w:color w:val="000000" w:themeColor="text1"/>
                <w14:textFill>
                  <w14:solidFill>
                    <w14:schemeClr w14:val="tx1"/>
                  </w14:solidFill>
                </w14:textFill>
              </w:rPr>
            </w:pPr>
          </w:p>
        </w:tc>
        <w:tc>
          <w:tcPr>
            <w:tcW w:w="0" w:type="auto"/>
            <w:tcBorders>
              <w:top w:val="single" w:color="000000" w:sz="4" w:space="0"/>
              <w:bottom w:val="single" w:color="auto" w:sz="12" w:space="0"/>
            </w:tcBorders>
            <w:vAlign w:val="center"/>
          </w:tcPr>
          <w:p w14:paraId="20C1DE33">
            <w:pPr>
              <w:pStyle w:val="33"/>
              <w:rPr>
                <w:color w:val="000000" w:themeColor="text1"/>
                <w14:textFill>
                  <w14:solidFill>
                    <w14:schemeClr w14:val="tx1"/>
                  </w14:solidFill>
                </w14:textFill>
              </w:rPr>
            </w:pPr>
          </w:p>
        </w:tc>
        <w:tc>
          <w:tcPr>
            <w:tcW w:w="0" w:type="auto"/>
            <w:tcBorders>
              <w:top w:val="single" w:color="000000" w:sz="4" w:space="0"/>
              <w:bottom w:val="single" w:color="auto" w:sz="12" w:space="0"/>
              <w:right w:val="single" w:color="auto" w:sz="12" w:space="0"/>
            </w:tcBorders>
            <w:vAlign w:val="center"/>
          </w:tcPr>
          <w:p w14:paraId="61D0C4B5">
            <w:pPr>
              <w:pStyle w:val="33"/>
              <w:rPr>
                <w:color w:val="000000" w:themeColor="text1"/>
                <w14:textFill>
                  <w14:solidFill>
                    <w14:schemeClr w14:val="tx1"/>
                  </w14:solidFill>
                </w14:textFill>
              </w:rPr>
            </w:pPr>
          </w:p>
        </w:tc>
      </w:tr>
    </w:tbl>
    <w:p w14:paraId="5CCB8509">
      <w:pPr>
        <w:widowControl w:val="0"/>
        <w:spacing w:line="336" w:lineRule="auto"/>
        <w:ind w:firstLine="480"/>
        <w:rPr>
          <w:rFonts w:cs="Times New Roman"/>
          <w:color w:val="000000" w:themeColor="text1"/>
          <w14:textFill>
            <w14:solidFill>
              <w14:schemeClr w14:val="tx1"/>
            </w14:solidFill>
          </w14:textFill>
        </w:rPr>
      </w:pPr>
    </w:p>
    <w:p w14:paraId="49CC8560">
      <w:pPr>
        <w:widowControl w:val="0"/>
        <w:spacing w:line="336" w:lineRule="auto"/>
        <w:ind w:firstLine="480"/>
        <w:rPr>
          <w:rFonts w:cs="Times New Roman"/>
          <w:color w:val="000000" w:themeColor="text1"/>
          <w14:textFill>
            <w14:solidFill>
              <w14:schemeClr w14:val="tx1"/>
            </w14:solidFill>
          </w14:textFill>
        </w:rPr>
      </w:pPr>
    </w:p>
    <w:p w14:paraId="06FF735D">
      <w:pPr>
        <w:widowControl w:val="0"/>
        <w:spacing w:line="336" w:lineRule="auto"/>
        <w:ind w:firstLine="480"/>
        <w:rPr>
          <w:rFonts w:cs="Times New Roman"/>
          <w:color w:val="000000" w:themeColor="text1"/>
          <w14:textFill>
            <w14:solidFill>
              <w14:schemeClr w14:val="tx1"/>
            </w14:solidFill>
          </w14:textFill>
        </w:rPr>
      </w:pPr>
    </w:p>
    <w:p w14:paraId="478C46E8">
      <w:pPr>
        <w:widowControl w:val="0"/>
        <w:spacing w:line="336" w:lineRule="auto"/>
        <w:ind w:firstLine="480"/>
        <w:rPr>
          <w:rFonts w:cs="Times New Roman"/>
          <w:color w:val="000000" w:themeColor="text1"/>
          <w14:textFill>
            <w14:solidFill>
              <w14:schemeClr w14:val="tx1"/>
            </w14:solidFill>
          </w14:textFill>
        </w:rPr>
        <w:sectPr>
          <w:footerReference r:id="rId16" w:type="default"/>
          <w:pgSz w:w="16838" w:h="11906" w:orient="landscape"/>
          <w:pgMar w:top="1418" w:right="1418" w:bottom="1418" w:left="1418" w:header="850" w:footer="850" w:gutter="0"/>
          <w:cols w:space="720" w:num="1"/>
          <w:docGrid w:linePitch="326" w:charSpace="0"/>
        </w:sectPr>
      </w:pPr>
    </w:p>
    <w:p w14:paraId="02B5464C">
      <w:pPr>
        <w:pStyle w:val="4"/>
        <w:spacing w:before="120" w:after="120"/>
      </w:pPr>
      <w:bookmarkStart w:id="83" w:name="_Toc85444530"/>
      <w:r>
        <w:t>拆迁（移民）安置与专项设施改建</w:t>
      </w:r>
      <w:bookmarkEnd w:id="83"/>
    </w:p>
    <w:p w14:paraId="769AADEC">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地块1（金山产业园北区）四至范围内村庄为民胜新村，考虑工业对居民生活的影响及园区的远期发展，规划考虑将规划范围内的所有村庄进行集中搬迁与安置。对规划范围内的村庄拆迁在建设时序上应紧密结合园区开发与建设进度，以便更好的推进实施。</w:t>
      </w:r>
    </w:p>
    <w:p w14:paraId="60BE2491">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内蒙古包头钢铁冶金开发区金山产业园管理办公室应当按照《中华人民共和国土地管理法》、《</w:t>
      </w:r>
      <w:r>
        <w:rPr>
          <w:rFonts w:hint="eastAsia" w:cs="Times New Roman"/>
          <w:color w:val="000000" w:themeColor="text1"/>
          <w14:textFill>
            <w14:solidFill>
              <w14:schemeClr w14:val="tx1"/>
            </w14:solidFill>
          </w14:textFill>
        </w:rPr>
        <w:t>中华人民共和国城市房地产管理法</w:t>
      </w:r>
      <w:r>
        <w:rPr>
          <w:rFonts w:cs="Times New Roman"/>
          <w:color w:val="000000" w:themeColor="text1"/>
          <w14:textFill>
            <w14:solidFill>
              <w14:schemeClr w14:val="tx1"/>
            </w14:solidFill>
          </w14:textFill>
        </w:rPr>
        <w:t>》和《包头市城市房屋拆迁管理条例》、《固阳县人民政府关于印发固阳县2017年棚户区(城边村)改造房屋征收与补偿实施方案的通知》（固政发[2017]69号）的相关规定，对园区内被拆迁住户进行合理补偿并妥善安置。考虑村庄搬迁的现实性和可能性，规划对园区内村庄搬迁至园区北侧的万胜壕新村及金山镇中心城区内。</w:t>
      </w:r>
    </w:p>
    <w:p w14:paraId="719AFA02">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房屋征收部门为固阳县住房和城乡规划建设局，房屋征收实施单位为固阳县棚户区改造工作领导小组办公室。拆迁安置民胜新村共14户，人口合计46人。</w:t>
      </w:r>
      <w:r>
        <w:rPr>
          <w:rFonts w:hint="eastAsia" w:cs="Times New Roman"/>
          <w:color w:val="000000" w:themeColor="text1"/>
          <w14:textFill>
            <w14:solidFill>
              <w14:schemeClr w14:val="tx1"/>
            </w14:solidFill>
          </w14:textFill>
        </w:rPr>
        <w:t>拆迁安置产生建筑垃圾3</w:t>
      </w:r>
      <w:r>
        <w:rPr>
          <w:rFonts w:cs="Times New Roman"/>
          <w:color w:val="000000" w:themeColor="text1"/>
          <w14:textFill>
            <w14:solidFill>
              <w14:schemeClr w14:val="tx1"/>
            </w14:solidFill>
          </w14:textFill>
        </w:rPr>
        <w:t>.51</w:t>
      </w:r>
      <w:r>
        <w:rPr>
          <w:rFonts w:hint="eastAsia" w:cs="Times New Roman"/>
          <w:color w:val="000000" w:themeColor="text1"/>
          <w14:textFill>
            <w14:solidFill>
              <w14:schemeClr w14:val="tx1"/>
            </w14:solidFill>
          </w14:textFill>
        </w:rPr>
        <w:t>万m³，均破碎后用于园区低洼处回填使用。</w:t>
      </w:r>
    </w:p>
    <w:p w14:paraId="1EE557DE">
      <w:pPr>
        <w:pStyle w:val="4"/>
        <w:spacing w:before="120" w:after="120"/>
      </w:pPr>
      <w:bookmarkStart w:id="84" w:name="_Toc85444531"/>
      <w:r>
        <w:t>管理机构</w:t>
      </w:r>
      <w:bookmarkEnd w:id="84"/>
      <w:r>
        <w:t>及管理模式</w:t>
      </w:r>
    </w:p>
    <w:p w14:paraId="3CBFF285">
      <w:pPr>
        <w:pStyle w:val="66"/>
      </w:pPr>
      <w:r>
        <w:rPr>
          <w:rFonts w:hint="eastAsia"/>
        </w:rPr>
        <w:t>2023年11月3日，内蒙古自治区人民政府办公厅发布《内蒙古自治区人民政府办公厅关于印发自治区工业园区优化调整实施方案的通知》（内政办发[2023]73号）（附件1-10），将包头钢铁治金开发区拆分，设立包头昆都仑经济技术开发区 (一类)、石拐工业园区 (二类)、金山经济开发区 (二类)3个工业园区，将本园区由“内蒙古包头钢铁冶金开发区金山产业园”名称调整为“包头金山经济开发区”。园区管理机构名称目前仍为内蒙古包头钢铁冶金开发区金山产业园管理办公室。</w:t>
      </w:r>
    </w:p>
    <w:p w14:paraId="3134F73D">
      <w:pPr>
        <w:pStyle w:val="66"/>
      </w:pPr>
      <w:r>
        <w:t>内蒙古包头钢铁冶金开发区</w:t>
      </w:r>
      <w:bookmarkStart w:id="85" w:name="_Hlk151560876"/>
      <w:r>
        <w:t>金山产业园管理办公室</w:t>
      </w:r>
      <w:bookmarkEnd w:id="85"/>
      <w:r>
        <w:t>负责园区的开发，建设，环境卫生，美化，绿化，亮化。协调园区有关部门配合国土部门审批园区土地使用，负责办理市政府交办的其它任务。</w:t>
      </w:r>
    </w:p>
    <w:p w14:paraId="36AAE0EE">
      <w:pPr>
        <w:pStyle w:val="66"/>
      </w:pPr>
      <w:r>
        <w:t>园区五通一平工程采用园区规划、入园企业各自落实方式进行，多余土方由园区统一管理内部调配。园区的供水、排水、电、路、气、热、通信等线形工程，由园区配套统一实施，由</w:t>
      </w:r>
      <w:r>
        <w:rPr>
          <w:rFonts w:hint="eastAsia"/>
        </w:rPr>
        <w:t>蒙古包头钢铁冶金开发区金山产业园管理办公室</w:t>
      </w:r>
      <w:r>
        <w:t>负责；供水厂及供水管网</w:t>
      </w:r>
      <w:r>
        <w:rPr>
          <w:rFonts w:hint="eastAsia"/>
        </w:rPr>
        <w:t>、污水处理厂</w:t>
      </w:r>
      <w:r>
        <w:t>由内</w:t>
      </w:r>
      <w:bookmarkStart w:id="86" w:name="_Hlk152158086"/>
      <w:r>
        <w:t>蒙古包头钢铁冶金开发区金山产业园管理办公室</w:t>
      </w:r>
      <w:bookmarkEnd w:id="86"/>
      <w:r>
        <w:t>负责，</w:t>
      </w:r>
      <w:r>
        <w:rPr>
          <w:rFonts w:hint="eastAsia"/>
        </w:rPr>
        <w:t>其他</w:t>
      </w:r>
      <w:r>
        <w:t>公共设施（供气站、供电站、供热站等）由项目建设单位负责，</w:t>
      </w:r>
      <w:r>
        <w:rPr>
          <w:rFonts w:hint="eastAsia"/>
        </w:rPr>
        <w:t>如</w:t>
      </w:r>
      <w:r>
        <w:t>供气站由包头市港亿隆能源服务有限公司负责</w:t>
      </w:r>
      <w:r>
        <w:rPr>
          <w:rFonts w:hint="eastAsia"/>
        </w:rPr>
        <w:t>，供热站由内蒙古能源发电投资集团有限公司负责</w:t>
      </w:r>
      <w:r>
        <w:t>。</w:t>
      </w:r>
    </w:p>
    <w:p w14:paraId="4D192010">
      <w:pPr>
        <w:pStyle w:val="66"/>
      </w:pPr>
      <w:r>
        <w:t>绿化用地由</w:t>
      </w:r>
      <w:r>
        <w:rPr>
          <w:rFonts w:hint="eastAsia"/>
        </w:rPr>
        <w:t>内蒙古包头钢铁冶金开发区金山产业园管理办公室</w:t>
      </w:r>
      <w:r>
        <w:t>统一绿化实施。</w:t>
      </w:r>
    </w:p>
    <w:p w14:paraId="16B45C4C">
      <w:pPr>
        <w:pStyle w:val="66"/>
      </w:pPr>
      <w:r>
        <w:rPr>
          <w:rFonts w:hint="eastAsia"/>
        </w:rPr>
        <w:t>内蒙古包头钢铁冶金开发区金山产业园管理办公室</w:t>
      </w:r>
      <w:r>
        <w:t>主要职责是：</w:t>
      </w:r>
    </w:p>
    <w:p w14:paraId="3756D1AF">
      <w:pPr>
        <w:pStyle w:val="66"/>
      </w:pPr>
      <w:r>
        <w:t>（1）贯彻党中央关于开发区工作的方针政策，在履行职责过程中坚持和加强党对开发区工作的集中统一领导。负责开发区党的建设、党风廉政建设、意识形态、精神文明建设、统一战线、群团等工作；</w:t>
      </w:r>
    </w:p>
    <w:p w14:paraId="1EFBE6E6">
      <w:pPr>
        <w:pStyle w:val="66"/>
      </w:pPr>
      <w:r>
        <w:t>（2）根据包头市总体发展规划和政策措施，拟订</w:t>
      </w:r>
      <w:r>
        <w:rPr>
          <w:rFonts w:hint="eastAsia"/>
        </w:rPr>
        <w:t>包头金山经济开发区</w:t>
      </w:r>
      <w:r>
        <w:t>总体规划、经济发展规划、产业发展规划、产业政策等；</w:t>
      </w:r>
    </w:p>
    <w:p w14:paraId="78ECAC87">
      <w:pPr>
        <w:pStyle w:val="66"/>
      </w:pPr>
      <w:r>
        <w:t>（3）负责产业园经济发展、项目建设、招商引资、优化营商环境、节能降碳、区域评估和入区企业服务管理等相关工作；</w:t>
      </w:r>
    </w:p>
    <w:p w14:paraId="4FF33FDC">
      <w:pPr>
        <w:pStyle w:val="66"/>
      </w:pPr>
      <w:r>
        <w:t>（4）负责</w:t>
      </w:r>
      <w:r>
        <w:rPr>
          <w:rFonts w:hint="eastAsia"/>
        </w:rPr>
        <w:t>包头金山经济开发区</w:t>
      </w:r>
      <w:r>
        <w:t>经济运行监测、分析、统计工作；</w:t>
      </w:r>
    </w:p>
    <w:p w14:paraId="00F2AE06">
      <w:pPr>
        <w:pStyle w:val="66"/>
      </w:pPr>
      <w:r>
        <w:t>（5）负责</w:t>
      </w:r>
      <w:r>
        <w:rPr>
          <w:rFonts w:hint="eastAsia"/>
        </w:rPr>
        <w:t>包头金山经济开发区</w:t>
      </w:r>
      <w:r>
        <w:t>基础设施和公用设施建设与管理工作。按权限负责开发区安全生产、生态环境、职业安全健康等工作；</w:t>
      </w:r>
    </w:p>
    <w:p w14:paraId="2D273F31">
      <w:pPr>
        <w:pStyle w:val="66"/>
      </w:pPr>
      <w:r>
        <w:t>（6）负责</w:t>
      </w:r>
      <w:r>
        <w:rPr>
          <w:rFonts w:hint="eastAsia"/>
        </w:rPr>
        <w:t>包头金山经济开发区</w:t>
      </w:r>
      <w:r>
        <w:t>工业信息化、新兴产业发展、科技创新与成果转化、高新技术产业培育、人才服务等工作；</w:t>
      </w:r>
    </w:p>
    <w:p w14:paraId="1EFC9566">
      <w:pPr>
        <w:pStyle w:val="66"/>
      </w:pPr>
      <w:r>
        <w:t>（7）协调并指导有关部门的派出机构开展工作，负责</w:t>
      </w:r>
      <w:r>
        <w:rPr>
          <w:rFonts w:hint="eastAsia"/>
        </w:rPr>
        <w:t>包头金山经济开发区</w:t>
      </w:r>
      <w:r>
        <w:t>的管理工作；</w:t>
      </w:r>
    </w:p>
    <w:p w14:paraId="2E550DD1">
      <w:pPr>
        <w:pStyle w:val="66"/>
      </w:pPr>
      <w:r>
        <w:t>（8）按权限开展赋予</w:t>
      </w:r>
      <w:r>
        <w:rPr>
          <w:rFonts w:hint="eastAsia"/>
        </w:rPr>
        <w:t>包头金山经济开发区</w:t>
      </w:r>
      <w:r>
        <w:t>履行的行政审批、土地管理、建设管理、水利管理等相关工作；</w:t>
      </w:r>
    </w:p>
    <w:p w14:paraId="3EB78A33">
      <w:pPr>
        <w:pStyle w:val="66"/>
      </w:pPr>
      <w:r>
        <w:t>（9）完成</w:t>
      </w:r>
      <w:r>
        <w:rPr>
          <w:rFonts w:hint="eastAsia"/>
        </w:rPr>
        <w:t>内蒙古人民政府、</w:t>
      </w:r>
      <w:r>
        <w:t>包头市市委、市政府交办的其他任务。</w:t>
      </w:r>
    </w:p>
    <w:p w14:paraId="79F4ADCB">
      <w:pPr>
        <w:pStyle w:val="4"/>
        <w:spacing w:before="120" w:after="120"/>
      </w:pPr>
      <w:r>
        <w:t>园区依托外部设施情况</w:t>
      </w:r>
    </w:p>
    <w:p w14:paraId="1862527C">
      <w:pPr>
        <w:pStyle w:val="5"/>
        <w:rPr>
          <w:color w:val="000000" w:themeColor="text1"/>
          <w14:textFill>
            <w14:solidFill>
              <w14:schemeClr w14:val="tx1"/>
            </w14:solidFill>
          </w14:textFill>
        </w:rPr>
      </w:pPr>
      <w:r>
        <w:rPr>
          <w:color w:val="000000" w:themeColor="text1"/>
          <w14:textFill>
            <w14:solidFill>
              <w14:schemeClr w14:val="tx1"/>
            </w14:solidFill>
          </w14:textFill>
        </w:rPr>
        <w:t>交通依托</w:t>
      </w:r>
    </w:p>
    <w:p w14:paraId="0ACF70CF">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（1）地块1（金山产业园北区）外部交通依托</w:t>
      </w:r>
    </w:p>
    <w:p w14:paraId="51DE6FD5">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1）区域交通设施现状：</w:t>
      </w:r>
    </w:p>
    <w:p w14:paraId="4DF1F449">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包白公路（S210）：位于园区西侧，南接包头市，北至白云鄂博。</w:t>
      </w:r>
    </w:p>
    <w:p w14:paraId="6F544683">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S311省道：位于园区东侧，西至巴彦淖尔市，东至武川县。</w:t>
      </w:r>
    </w:p>
    <w:p w14:paraId="0090B4A3">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固石公路：位于园区东侧，向东南方向与石拐区相连。</w:t>
      </w:r>
    </w:p>
    <w:p w14:paraId="0C624465">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包固一级公路：位于园区北侧，西与包头市相连，东至明灯村。</w:t>
      </w:r>
    </w:p>
    <w:p w14:paraId="5C19E8B2">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包百一级公路（S211）：由园区北侧一级公路环岛向北通向百灵庙。</w:t>
      </w:r>
    </w:p>
    <w:p w14:paraId="5EAB9EBD">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2）铁路</w:t>
      </w:r>
    </w:p>
    <w:p w14:paraId="0B2FF0CD">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固阳县金山镇在园区南侧拟建一条铁路线，由明安站（包头—白云鄂博铁路线）出发到包头金山经济开发区，铁路总长度27.854km，并在园区南侧干河槽处拟建货运站点。铁路的建设可为园区的货运流通提供高效的服务。铁路目前还未建设。</w:t>
      </w:r>
    </w:p>
    <w:p w14:paraId="16CAFA83">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3）公路</w:t>
      </w:r>
    </w:p>
    <w:p w14:paraId="6993970E">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规划范围东、西、北三面均有良好的对外交通出入口，分别为西侧的包白公路（S210）、北侧的包固一级公路、包百一级公路（S211）、S311省道以及东侧的固石公路，包白公路（S210）红线宽度为40m，包固一级公路红线宽度为70m，其余两条公路红线宽度均为50m。对外公路目前已建设完成。</w:t>
      </w:r>
    </w:p>
    <w:p w14:paraId="59A82878">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（2）地块2（下湿壕片区）外部交通依托</w:t>
      </w:r>
    </w:p>
    <w:p w14:paraId="6C526294">
      <w:pPr>
        <w:ind w:firstLine="480"/>
        <w:rPr>
          <w:color w:val="000000" w:themeColor="text1"/>
          <w14:textFill>
            <w14:solidFill>
              <w14:schemeClr w14:val="tx1"/>
            </w14:solidFill>
          </w14:textFill>
        </w:rPr>
      </w:pPr>
      <w:r>
        <w:rPr>
          <w:color w:val="000000" w:themeColor="text1"/>
          <w14:textFill>
            <w14:solidFill>
              <w14:schemeClr w14:val="tx1"/>
            </w14:solidFill>
          </w14:textFill>
        </w:rPr>
        <w:t>地块2（下湿壕片区）北侧有S311(武海线)，修建两条次干道向北延伸与S311相接，道路红线宽度30m。</w:t>
      </w:r>
    </w:p>
    <w:p w14:paraId="791509F4">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生产</w:t>
      </w:r>
      <w:r>
        <w:rPr>
          <w:color w:val="000000" w:themeColor="text1"/>
          <w14:textFill>
            <w14:solidFill>
              <w14:schemeClr w14:val="tx1"/>
            </w14:solidFill>
          </w14:textFill>
        </w:rPr>
        <w:t>供水依托</w:t>
      </w:r>
    </w:p>
    <w:p w14:paraId="0AD08780">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2022年9月27日，包头市发改委下发《包头市发展和改革委员会关于内蒙古自治区包头市山北地区4000万立方米/年再生水供水工程新建项目可行性研究报告的批复》（包发改审批字(2022)144号），同意建设园区供水工程，该项目</w:t>
      </w:r>
      <w:r>
        <w:rPr>
          <w:rFonts w:hint="eastAsia" w:cs="Times New Roman"/>
          <w:color w:val="000000" w:themeColor="text1"/>
          <w14:textFill>
            <w14:solidFill>
              <w14:schemeClr w14:val="tx1"/>
            </w14:solidFill>
          </w14:textFill>
        </w:rPr>
        <w:t>建设单位为包头市水务局，</w:t>
      </w:r>
      <w:r>
        <w:rPr>
          <w:rFonts w:cs="Times New Roman"/>
          <w:color w:val="000000" w:themeColor="text1"/>
          <w14:textFill>
            <w14:solidFill>
              <w14:schemeClr w14:val="tx1"/>
            </w14:solidFill>
          </w14:textFill>
        </w:rPr>
        <w:t>总投资193725.04万元，输水总规模为4000万吨/年，设计从内蒙古泰弘水业大青山生态供水工程2#泵站至固阳县小井沟村西蓄水池再生水管道，单管铺设，长53.92km，管径为DN1100，可有效解决园区水资源短缺问题。该项目建设期限为17个月，</w:t>
      </w:r>
      <w:r>
        <w:rPr>
          <w:rFonts w:hint="eastAsia" w:cs="Times New Roman"/>
          <w:color w:val="000000" w:themeColor="text1"/>
          <w14:textFill>
            <w14:solidFill>
              <w14:schemeClr w14:val="tx1"/>
            </w14:solidFill>
          </w14:textFill>
        </w:rPr>
        <w:t>目前该工程已建设完成，</w:t>
      </w:r>
      <w:r>
        <w:rPr>
          <w:rFonts w:cs="Times New Roman"/>
          <w:color w:val="000000" w:themeColor="text1"/>
          <w14:textFill>
            <w14:solidFill>
              <w14:schemeClr w14:val="tx1"/>
            </w14:solidFill>
          </w14:textFill>
        </w:rPr>
        <w:t>未编制水土保持方案。</w:t>
      </w:r>
    </w:p>
    <w:p w14:paraId="0D14DEF3">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园区已建供水厂一座，</w:t>
      </w:r>
      <w:r>
        <w:rPr>
          <w:rFonts w:hint="eastAsia" w:cs="Times New Roman"/>
          <w:color w:val="000000" w:themeColor="text1"/>
          <w14:textFill>
            <w14:solidFill>
              <w14:schemeClr w14:val="tx1"/>
            </w14:solidFill>
          </w14:textFill>
        </w:rPr>
        <w:t>供水水源为包头市大青山生态供水工程，供水厂</w:t>
      </w:r>
      <w:r>
        <w:rPr>
          <w:rFonts w:cs="Times New Roman"/>
          <w:color w:val="000000" w:themeColor="text1"/>
          <w14:textFill>
            <w14:solidFill>
              <w14:schemeClr w14:val="tx1"/>
            </w14:solidFill>
          </w14:textFill>
        </w:rPr>
        <w:t>位于园区四至范围外东南侧的地势较高处，设计处理规模为4.7万m³/d，供水厂占地3.2hm²。供水厂目前未编制水土保持方案。</w:t>
      </w:r>
    </w:p>
    <w:p w14:paraId="25CFED58">
      <w:pPr>
        <w:pStyle w:val="5"/>
        <w:rPr>
          <w:color w:val="000000" w:themeColor="text1"/>
          <w14:textFill>
            <w14:solidFill>
              <w14:schemeClr w14:val="tx1"/>
            </w14:solidFill>
          </w14:textFill>
        </w:rPr>
      </w:pPr>
      <w:r>
        <w:rPr>
          <w:color w:val="000000" w:themeColor="text1"/>
          <w14:textFill>
            <w14:solidFill>
              <w14:schemeClr w14:val="tx1"/>
            </w14:solidFill>
          </w14:textFill>
        </w:rPr>
        <w:t>供电依托</w:t>
      </w:r>
    </w:p>
    <w:p w14:paraId="301CFA03">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现状地块1（金山产业园北区）西侧已建有万胜220KV变电站，容量为180MW，而在南侧则设有春坤山500KV变电站，容量达到750MW。另外，园区东侧紧邻固石公路，还分布有包钢110KV固阳矿山变电站</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明登110KV变电站</w:t>
      </w:r>
      <w:r>
        <w:rPr>
          <w:rFonts w:hint="eastAsia" w:cs="Times New Roman"/>
          <w:color w:val="000000" w:themeColor="text1"/>
          <w14:textFill>
            <w14:solidFill>
              <w14:schemeClr w14:val="tx1"/>
            </w14:solidFill>
          </w14:textFill>
        </w:rPr>
        <w:t>和220kV弘元能源科技（包头）有限公司变电站</w:t>
      </w:r>
      <w:r>
        <w:rPr>
          <w:rFonts w:cs="Times New Roman"/>
          <w:color w:val="000000" w:themeColor="text1"/>
          <w14:textFill>
            <w14:solidFill>
              <w14:schemeClr w14:val="tx1"/>
            </w14:solidFill>
          </w14:textFill>
        </w:rPr>
        <w:t>为园区提供备用电源。</w:t>
      </w:r>
    </w:p>
    <w:p w14:paraId="25D5958A">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其中，220KV变电站作为整个园区的主要供电设施，负责向园区内输送110/35/10KV等级供电线路，满足不同的电力需求。为优化电力配置，规划中的220KV变电站将更为深入地设置在负荷中心，并依据配电网络设计原则，采用放射型网格和T接型网络供电方式，以提升供电的稳定性和效率。</w:t>
      </w:r>
    </w:p>
    <w:p w14:paraId="2D6B4E93">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对于未来的规划，园区计划继续由现有的万胜220KV变电站提供主供电服务，并预留扩容至2×180MW的容量，以满足园区不断增长的电力需求。同时，还将保留并维护现状包钢110KV固阳矿山变电站和明登110KV变电站，作为备用电源，确保园区的持续供电。</w:t>
      </w:r>
    </w:p>
    <w:p w14:paraId="5F0364BF">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此外，针对地块2（下湿壕片区），</w:t>
      </w:r>
      <w:r>
        <w:rPr>
          <w:rFonts w:hint="eastAsia" w:cs="Times New Roman"/>
          <w:color w:val="000000" w:themeColor="text1"/>
          <w14:textFill>
            <w14:solidFill>
              <w14:schemeClr w14:val="tx1"/>
            </w14:solidFill>
          </w14:textFill>
        </w:rPr>
        <w:t>总体规划</w:t>
      </w:r>
      <w:r>
        <w:rPr>
          <w:rFonts w:cs="Times New Roman"/>
          <w:color w:val="000000" w:themeColor="text1"/>
          <w14:textFill>
            <w14:solidFill>
              <w14:schemeClr w14:val="tx1"/>
            </w14:solidFill>
          </w14:textFill>
        </w:rPr>
        <w:t>已在片区外东侧1.1km处设置了一座10KV配变电站，作为该片区的主供电源，以保障其电力供应的稳定。</w:t>
      </w:r>
    </w:p>
    <w:p w14:paraId="2DE42642">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春坤山500kV变电站原名固阳500kV变电站，属于固阳500千伏输变电工程建设组成，固阳500千伏输变电工程水土保持方案由自治区水利厅以内水保〔2011〕305号文批复。2014年2月固阳500kV输变电工程通过了自治区水利厅组织的水土保持设施专项验收（内水便函〔2014〕40号文）。</w:t>
      </w:r>
    </w:p>
    <w:p w14:paraId="5AF21232">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固阳县弘元多晶硅项目220千伏线路工程位于内蒙古包头市固阳县境内，为了满足弘元能源科技（包头）有限公司15万吨高纯工业硅及10万吨高纯晶硅项目接入系统的要求，新建线路全长约6.438km，升高改造段改造架空线路1.764km。新建线路项目起点为春坤山500kV变电站，终点为新建220KV弘元变电站。2023年1月16日，包头市水务局以包水保许决[2023]1号文《固阳县弘元多晶硅项目220千伏线路工程水土保持方案报告书审批准予行政许可决定书》对该项目水保方案予以批复。目前该项目已通过水土保持设施专项验收。</w:t>
      </w:r>
    </w:p>
    <w:p w14:paraId="4A073BCC">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目前</w:t>
      </w:r>
      <w:r>
        <w:rPr>
          <w:rFonts w:hint="eastAsia" w:cs="Times New Roman"/>
          <w:color w:val="000000" w:themeColor="text1"/>
          <w14:textFill>
            <w14:solidFill>
              <w14:schemeClr w14:val="tx1"/>
            </w14:solidFill>
          </w14:textFill>
        </w:rPr>
        <w:t>，其他</w:t>
      </w:r>
      <w:r>
        <w:rPr>
          <w:rFonts w:cs="Times New Roman"/>
          <w:color w:val="000000" w:themeColor="text1"/>
          <w14:textFill>
            <w14:solidFill>
              <w14:schemeClr w14:val="tx1"/>
            </w14:solidFill>
          </w14:textFill>
        </w:rPr>
        <w:t>依托变电站均未编制水土保持方案。</w:t>
      </w:r>
    </w:p>
    <w:p w14:paraId="3F11E75C">
      <w:pPr>
        <w:pStyle w:val="5"/>
        <w:rPr>
          <w:color w:val="000000" w:themeColor="text1"/>
          <w14:textFill>
            <w14:solidFill>
              <w14:schemeClr w14:val="tx1"/>
            </w14:solidFill>
          </w14:textFill>
        </w:rPr>
      </w:pPr>
      <w:r>
        <w:rPr>
          <w:color w:val="000000" w:themeColor="text1"/>
          <w14:textFill>
            <w14:solidFill>
              <w14:schemeClr w14:val="tx1"/>
            </w14:solidFill>
          </w14:textFill>
        </w:rPr>
        <w:t>固废处置依托</w:t>
      </w:r>
    </w:p>
    <w:p w14:paraId="226E79AE">
      <w:pPr>
        <w:widowControl w:val="0"/>
        <w:ind w:firstLine="439" w:firstLineChars="183"/>
        <w:rPr>
          <w:rFonts w:cs="Times New Roman"/>
          <w:color w:val="000000" w:themeColor="text1"/>
          <w14:textFill>
            <w14:solidFill>
              <w14:schemeClr w14:val="tx1"/>
            </w14:solidFill>
          </w14:textFill>
        </w:rPr>
      </w:pPr>
      <w:bookmarkStart w:id="87" w:name="_Hlk153178284"/>
      <w:r>
        <w:rPr>
          <w:rFonts w:cs="Times New Roman"/>
          <w:color w:val="000000" w:themeColor="text1"/>
          <w14:textFill>
            <w14:solidFill>
              <w14:schemeClr w14:val="tx1"/>
            </w14:solidFill>
          </w14:textFill>
        </w:rPr>
        <w:t>工业固废垃圾堆场</w:t>
      </w:r>
      <w:bookmarkEnd w:id="87"/>
      <w:r>
        <w:rPr>
          <w:rFonts w:cs="Times New Roman"/>
          <w:color w:val="000000" w:themeColor="text1"/>
          <w14:textFill>
            <w14:solidFill>
              <w14:schemeClr w14:val="tx1"/>
            </w14:solidFill>
          </w14:textFill>
        </w:rPr>
        <w:t>位于规划用地范围外南侧的山洼地内，主要以山地丘陵地貌为主，而渣场地势较低。不过，渣场与园区南边界的河槽之间有一座山丘作为自然屏障，有效避免了雨季时可能带来的洪水冲刷风险，确保了河槽的安全。旨在统一处理整个园区产生的工业垃圾。该工业固废处理中心占地面积约为30hm²，拥有容量为490万吨/年的处理能力，堆高达到5m，预计服务期限为20年。</w:t>
      </w:r>
      <w:r>
        <w:rPr>
          <w:rFonts w:hint="eastAsia" w:cs="Times New Roman"/>
          <w:color w:val="000000" w:themeColor="text1"/>
          <w14:textFill>
            <w14:solidFill>
              <w14:schemeClr w14:val="tx1"/>
            </w14:solidFill>
          </w14:textFill>
        </w:rPr>
        <w:t>目前，已建设完成工业固废垃圾堆场为包头金山工业园区公共一般工业固体废物渣场。</w:t>
      </w:r>
      <w:r>
        <w:rPr>
          <w:rFonts w:cs="Times New Roman"/>
          <w:color w:val="000000" w:themeColor="text1"/>
          <w14:textFill>
            <w14:solidFill>
              <w14:schemeClr w14:val="tx1"/>
            </w14:solidFill>
          </w14:textFill>
        </w:rPr>
        <w:t>该项目位于包头金山工业园区南侧，红崖湾村委羊场卜子村西侧，行政区划隶属固阳县金山镇管辖，项目场地中心坐标为</w:t>
      </w:r>
      <w:r>
        <w:rPr>
          <w:rFonts w:hint="eastAsia" w:cs="Times New Roman"/>
          <w:color w:val="000000" w:themeColor="text1"/>
          <w14:textFill>
            <w14:solidFill>
              <w14:schemeClr w14:val="tx1"/>
            </w14:solidFill>
          </w14:textFill>
        </w:rPr>
        <w:t>中心坐标为东经110°06′15.73″，北纬40°55′40.72″</w:t>
      </w:r>
      <w:r>
        <w:rPr>
          <w:rFonts w:cs="Times New Roman"/>
          <w:color w:val="000000" w:themeColor="text1"/>
          <w14:textFill>
            <w14:solidFill>
              <w14:schemeClr w14:val="tx1"/>
            </w14:solidFill>
          </w14:textFill>
        </w:rPr>
        <w:t>。渣场设计总库容为25万立方米(压实密度1.3吨/立方米)，设计填埋总量为32万吨，固废处置规模为4万吨/年，服务年限为8年</w:t>
      </w:r>
      <w:r>
        <w:rPr>
          <w:rFonts w:hint="eastAsia" w:cs="Times New Roman"/>
          <w:color w:val="000000" w:themeColor="text1"/>
          <w14:textFill>
            <w14:solidFill>
              <w14:schemeClr w14:val="tx1"/>
            </w14:solidFill>
          </w14:textFill>
        </w:rPr>
        <w:t>，堆场四周外边坡均为1：1.25的自然边坡，坡顶至自然地面，采用浆砌片石护坡300mm厚</w:t>
      </w:r>
      <w:r>
        <w:rPr>
          <w:rFonts w:cs="Times New Roman"/>
          <w:color w:val="000000" w:themeColor="text1"/>
          <w14:textFill>
            <w14:solidFill>
              <w14:schemeClr w14:val="tx1"/>
            </w14:solidFill>
          </w14:textFill>
        </w:rPr>
        <w:t>。弃渣全部来源于包头金山工业园区内的企业，由建设单位派专业运输设备运输至填埋库区进行填埋。工程总占地面积为.4.32hm²，已于2018年10月开始建设,2019年1月建成，目前堆渣量为0。</w:t>
      </w:r>
      <w:r>
        <w:rPr>
          <w:rFonts w:hint="eastAsia" w:cs="Times New Roman"/>
          <w:color w:val="000000" w:themeColor="text1"/>
          <w14:textFill>
            <w14:solidFill>
              <w14:schemeClr w14:val="tx1"/>
            </w14:solidFill>
          </w14:textFill>
        </w:rPr>
        <w:t>20</w:t>
      </w:r>
      <w:r>
        <w:rPr>
          <w:rFonts w:cs="Times New Roman"/>
          <w:color w:val="000000" w:themeColor="text1"/>
          <w14:textFill>
            <w14:solidFill>
              <w14:schemeClr w14:val="tx1"/>
            </w14:solidFill>
          </w14:textFill>
        </w:rPr>
        <w:t>23</w:t>
      </w:r>
      <w:r>
        <w:rPr>
          <w:rFonts w:hint="eastAsia" w:cs="Times New Roman"/>
          <w:color w:val="000000" w:themeColor="text1"/>
          <w14:textFill>
            <w14:solidFill>
              <w14:schemeClr w14:val="tx1"/>
            </w14:solidFill>
          </w14:textFill>
        </w:rPr>
        <w:t>年</w:t>
      </w:r>
      <w:r>
        <w:rPr>
          <w:rFonts w:cs="Times New Roman"/>
          <w:color w:val="000000" w:themeColor="text1"/>
          <w14:textFill>
            <w14:solidFill>
              <w14:schemeClr w14:val="tx1"/>
            </w14:solidFill>
          </w14:textFill>
        </w:rPr>
        <w:t>6</w:t>
      </w:r>
      <w:r>
        <w:rPr>
          <w:rFonts w:hint="eastAsia" w:cs="Times New Roman"/>
          <w:color w:val="000000" w:themeColor="text1"/>
          <w14:textFill>
            <w14:solidFill>
              <w14:schemeClr w14:val="tx1"/>
            </w14:solidFill>
          </w14:textFill>
        </w:rPr>
        <w:t>月</w:t>
      </w:r>
      <w:r>
        <w:rPr>
          <w:rFonts w:cs="Times New Roman"/>
          <w:color w:val="000000" w:themeColor="text1"/>
          <w14:textFill>
            <w14:solidFill>
              <w14:schemeClr w14:val="tx1"/>
            </w14:solidFill>
          </w14:textFill>
        </w:rPr>
        <w:t>5</w:t>
      </w:r>
      <w:r>
        <w:rPr>
          <w:rFonts w:hint="eastAsia" w:cs="Times New Roman"/>
          <w:color w:val="000000" w:themeColor="text1"/>
          <w14:textFill>
            <w14:solidFill>
              <w14:schemeClr w14:val="tx1"/>
            </w14:solidFill>
          </w14:textFill>
        </w:rPr>
        <w:t>日，固阳县水务局以固水保许决[2023]4号文对该工程水土保持方案报告书审批准予行政许可决定书。（附件1</w:t>
      </w:r>
      <w:r>
        <w:rPr>
          <w:rFonts w:cs="Times New Roman"/>
          <w:color w:val="000000" w:themeColor="text1"/>
          <w14:textFill>
            <w14:solidFill>
              <w14:schemeClr w14:val="tx1"/>
            </w14:solidFill>
          </w14:textFill>
        </w:rPr>
        <w:t>-16</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w:t>
      </w:r>
    </w:p>
    <w:p w14:paraId="54A0D4D7">
      <w:pPr>
        <w:widowControl w:val="0"/>
        <w:ind w:firstLine="439" w:firstLineChars="183"/>
        <w:rPr>
          <w:rFonts w:cs="Times New Roman"/>
          <w:color w:val="000000" w:themeColor="text1"/>
          <w:szCs w:val="21"/>
          <w14:textFill>
            <w14:solidFill>
              <w14:schemeClr w14:val="tx1"/>
            </w14:solidFill>
          </w14:textFill>
        </w:rPr>
      </w:pPr>
      <w:r>
        <w:rPr>
          <w:rFonts w:cs="Times New Roman"/>
          <w:color w:val="000000" w:themeColor="text1"/>
          <w14:textFill>
            <w14:solidFill>
              <w14:schemeClr w14:val="tx1"/>
            </w14:solidFill>
          </w14:textFill>
        </w:rPr>
        <w:t>生活垃圾采用卫生填埋处理方式，园区生活垃圾运往西北部金山镇垃圾卫生填埋场</w:t>
      </w:r>
      <w:r>
        <w:rPr>
          <w:rFonts w:hint="eastAsia" w:cs="Times New Roman"/>
          <w:color w:val="000000" w:themeColor="text1"/>
          <w14:textFill>
            <w14:solidFill>
              <w14:schemeClr w14:val="tx1"/>
            </w14:solidFill>
          </w14:textFill>
        </w:rPr>
        <w:t>（中心经度：1</w:t>
      </w:r>
      <w:r>
        <w:rPr>
          <w:rFonts w:cs="Times New Roman"/>
          <w:color w:val="000000" w:themeColor="text1"/>
          <w14:textFill>
            <w14:solidFill>
              <w14:schemeClr w14:val="tx1"/>
            </w14:solidFill>
          </w14:textFill>
        </w:rPr>
        <w:t>10</w:t>
      </w:r>
      <w:r>
        <w:rPr>
          <w:rFonts w:hint="eastAsia" w:cs="Times New Roman"/>
          <w:color w:val="000000" w:themeColor="text1"/>
          <w14:textFill>
            <w14:solidFill>
              <w14:schemeClr w14:val="tx1"/>
            </w14:solidFill>
          </w14:textFill>
        </w:rPr>
        <w:t>°1′</w:t>
      </w:r>
      <w:r>
        <w:rPr>
          <w:rFonts w:cs="Times New Roman"/>
          <w:color w:val="000000" w:themeColor="text1"/>
          <w14:textFill>
            <w14:solidFill>
              <w14:schemeClr w14:val="tx1"/>
            </w14:solidFill>
          </w14:textFill>
        </w:rPr>
        <w:t>29.22</w:t>
      </w:r>
      <w:r>
        <w:rPr>
          <w:rFonts w:hint="eastAsia" w:cs="Times New Roman"/>
          <w:color w:val="000000" w:themeColor="text1"/>
          <w14:textFill>
            <w14:solidFill>
              <w14:schemeClr w14:val="tx1"/>
            </w14:solidFill>
          </w14:textFill>
        </w:rPr>
        <w:t>″，纬度：4</w:t>
      </w:r>
      <w:r>
        <w:rPr>
          <w:rFonts w:cs="Times New Roman"/>
          <w:color w:val="000000" w:themeColor="text1"/>
          <w14:textFill>
            <w14:solidFill>
              <w14:schemeClr w14:val="tx1"/>
            </w14:solidFill>
          </w14:textFill>
        </w:rPr>
        <w:t>1</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3</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25.67</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w:t>
      </w:r>
      <w:r>
        <w:rPr>
          <w:rFonts w:cs="Times New Roman"/>
          <w:color w:val="000000" w:themeColor="text1"/>
          <w:szCs w:val="21"/>
          <w14:textFill>
            <w14:solidFill>
              <w14:schemeClr w14:val="tx1"/>
            </w14:solidFill>
          </w14:textFill>
        </w:rPr>
        <w:t>金山镇垃圾卫生填埋场于2009年4月开工建设，2010年9月建成投产，填埋场</w:t>
      </w:r>
      <w:r>
        <w:rPr>
          <w:rFonts w:cs="Times New Roman"/>
          <w:color w:val="000000" w:themeColor="text1"/>
          <w14:textFill>
            <w14:solidFill>
              <w14:schemeClr w14:val="tx1"/>
            </w14:solidFill>
          </w14:textFill>
        </w:rPr>
        <w:t>占地面积为96hm²，</w:t>
      </w:r>
      <w:r>
        <w:rPr>
          <w:rFonts w:cs="Times New Roman"/>
          <w:color w:val="000000" w:themeColor="text1"/>
          <w:szCs w:val="21"/>
          <w14:textFill>
            <w14:solidFill>
              <w14:schemeClr w14:val="tx1"/>
            </w14:solidFill>
          </w14:textFill>
        </w:rPr>
        <w:t>总库容53万立方，设计日处理垃圾90t，服务年限12年，现已填埋49万立方。目前未编制水土保持方案。</w:t>
      </w:r>
    </w:p>
    <w:p w14:paraId="02FD49D8">
      <w:pPr>
        <w:widowControl w:val="0"/>
        <w:ind w:firstLine="439" w:firstLineChars="183"/>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固体废弃物的处理不当会对产业园范围内地下水环境造成严重污染。因此，开发区项目产生的危险废弃物统一送至有资质的危险废物处理中心处理，一般工业废弃物送包头金山工业园区公共一般工业固体废物渣场，严禁工业固废送生活垃圾填埋场填埋。</w:t>
      </w:r>
    </w:p>
    <w:p w14:paraId="4D328F53">
      <w:pPr>
        <w:pStyle w:val="5"/>
        <w:rPr>
          <w:color w:val="000000" w:themeColor="text1"/>
          <w14:textFill>
            <w14:solidFill>
              <w14:schemeClr w14:val="tx1"/>
            </w14:solidFill>
          </w14:textFill>
        </w:rPr>
      </w:pPr>
      <w:r>
        <w:rPr>
          <w:color w:val="000000" w:themeColor="text1"/>
          <w14:textFill>
            <w14:solidFill>
              <w14:schemeClr w14:val="tx1"/>
            </w14:solidFill>
          </w14:textFill>
        </w:rPr>
        <w:t>供气依托</w:t>
      </w:r>
    </w:p>
    <w:p w14:paraId="0E90A80A">
      <w:pPr>
        <w:pStyle w:val="66"/>
      </w:pPr>
      <w:r>
        <w:t>建设从土右旗萨拉齐镇府东路门站至包头金山工业园区调压站的天然气高压管线及辅助设施工程，管线长度约96公里;管道设计压力2.5Mpa，规格Dn500，L290，PSL2，N;年输送天然气量4.97287x10m</w:t>
      </w:r>
      <w:r>
        <w:rPr>
          <w:vertAlign w:val="superscript"/>
        </w:rPr>
        <w:t>8</w:t>
      </w:r>
      <w:r>
        <w:t>/a。目前已建设完成，</w:t>
      </w:r>
      <w:r>
        <w:rPr>
          <w:rFonts w:hint="eastAsia"/>
        </w:rPr>
        <w:t>天然气输送管线接入包头金山经济开发区内天然气站，</w:t>
      </w:r>
      <w:r>
        <w:t>于2015年8月通气</w:t>
      </w:r>
      <w:r>
        <w:rPr>
          <w:rFonts w:hint="eastAsia"/>
        </w:rPr>
        <w:t>，</w:t>
      </w:r>
      <w:r>
        <w:t>天然气站占地面积为0.7hm²。该项目未编制水土保持方案。</w:t>
      </w:r>
    </w:p>
    <w:p w14:paraId="5A75EA6B">
      <w:pPr>
        <w:pStyle w:val="66"/>
      </w:pPr>
      <w:r>
        <w:rPr>
          <w:rFonts w:hint="eastAsia"/>
        </w:rPr>
        <w:t>园区依托情况见统计表1</w:t>
      </w:r>
      <w:r>
        <w:t>-5</w:t>
      </w:r>
    </w:p>
    <w:p w14:paraId="75F28637">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表1-5                                     园区依托情况统计表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298"/>
        <w:gridCol w:w="7176"/>
      </w:tblGrid>
      <w:tr w14:paraId="4CAF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136" w:type="pct"/>
            <w:gridSpan w:val="2"/>
            <w:tcBorders>
              <w:bottom w:val="double" w:color="auto" w:sz="4" w:space="0"/>
            </w:tcBorders>
            <w:vAlign w:val="center"/>
          </w:tcPr>
          <w:p w14:paraId="48DC8E5E">
            <w:pPr>
              <w:widowControl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依托的基础设施</w:t>
            </w:r>
          </w:p>
        </w:tc>
        <w:tc>
          <w:tcPr>
            <w:tcW w:w="3864" w:type="pct"/>
            <w:tcBorders>
              <w:bottom w:val="double" w:color="auto" w:sz="4" w:space="0"/>
            </w:tcBorders>
            <w:vAlign w:val="center"/>
          </w:tcPr>
          <w:p w14:paraId="11B59825">
            <w:pPr>
              <w:widowControl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依托项目实施情况</w:t>
            </w:r>
          </w:p>
        </w:tc>
      </w:tr>
      <w:tr w14:paraId="4783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tcBorders>
              <w:top w:val="double" w:color="auto" w:sz="4" w:space="0"/>
            </w:tcBorders>
            <w:vAlign w:val="center"/>
          </w:tcPr>
          <w:p w14:paraId="358637E9">
            <w:pPr>
              <w:widowControl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w:t>
            </w:r>
          </w:p>
        </w:tc>
        <w:tc>
          <w:tcPr>
            <w:tcW w:w="699" w:type="pct"/>
            <w:tcBorders>
              <w:top w:val="double" w:color="auto" w:sz="4" w:space="0"/>
            </w:tcBorders>
            <w:vAlign w:val="center"/>
          </w:tcPr>
          <w:p w14:paraId="69BA790F">
            <w:pPr>
              <w:widowControl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产业园对外交通</w:t>
            </w:r>
          </w:p>
        </w:tc>
        <w:tc>
          <w:tcPr>
            <w:tcW w:w="3864" w:type="pct"/>
            <w:tcBorders>
              <w:top w:val="double" w:color="auto" w:sz="4" w:space="0"/>
            </w:tcBorders>
            <w:vAlign w:val="center"/>
          </w:tcPr>
          <w:p w14:paraId="561AEC9A">
            <w:pPr>
              <w:widowControl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（1）地块1（金山产业园北区）外部交通依托</w:t>
            </w:r>
          </w:p>
          <w:p w14:paraId="4AF7D0B9">
            <w:pPr>
              <w:widowControl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1）区域交通设施现状：</w:t>
            </w:r>
          </w:p>
          <w:p w14:paraId="63C3D610">
            <w:pPr>
              <w:widowControl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包白公路（S210）：位于园区西侧，南接包头市，北至白云鄂博。</w:t>
            </w:r>
          </w:p>
          <w:p w14:paraId="259EA985">
            <w:pPr>
              <w:widowControl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S311省道：位于园区东侧，西至巴彦淖尔市，东至武川县。</w:t>
            </w:r>
          </w:p>
          <w:p w14:paraId="7B5A95B1">
            <w:pPr>
              <w:widowControl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固石公路：位于园区东侧，向东南方向与石拐区相连。</w:t>
            </w:r>
          </w:p>
          <w:p w14:paraId="79DC14B3">
            <w:pPr>
              <w:widowControl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包固一级公路：位于园区北侧，西与包头市相连，东至明灯村。</w:t>
            </w:r>
          </w:p>
          <w:p w14:paraId="1B36DB6C">
            <w:pPr>
              <w:widowControl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包百一级公路（S211）：由园区北侧一级公路环岛向北通向百灵庙。</w:t>
            </w:r>
          </w:p>
          <w:p w14:paraId="5409F667">
            <w:pPr>
              <w:widowControl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2）铁路</w:t>
            </w:r>
          </w:p>
          <w:p w14:paraId="3A718481">
            <w:pPr>
              <w:widowControl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固阳县金山镇在园区南侧拟建一条铁路线，由明安站（包头—白云鄂博铁路线）出发到包头金山经济开发区，铁路总长度27.854km，并在园区南侧干河槽处拟建货运站点。铁路目前还未建设。</w:t>
            </w:r>
          </w:p>
          <w:p w14:paraId="38760E19">
            <w:pPr>
              <w:widowControl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3）公路</w:t>
            </w:r>
          </w:p>
          <w:p w14:paraId="3A9B62C2">
            <w:pPr>
              <w:widowControl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规划范围东、西、北三面均有良好的对外交通出入口，分别为西侧的包白公路（S210）、北侧的包固一级公路、包百一级公路（S211）、S311省道以及东侧的固石公路，包白公路（S210）红线宽度为40m，包固一级公路红线宽度为70m，其余两条公路红线宽度均为50m。对外公路目前已建设完成。</w:t>
            </w:r>
          </w:p>
          <w:p w14:paraId="5F405FFE">
            <w:pPr>
              <w:widowControl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（2）地块2（下湿壕片区）外部交通依托</w:t>
            </w:r>
          </w:p>
          <w:p w14:paraId="7DEDB6B1">
            <w:pPr>
              <w:widowControl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地块2（下湿壕片区）北侧有S311(武海线)，修建两条次干道向北延伸与S311相接，道路红线宽度30m。</w:t>
            </w:r>
          </w:p>
        </w:tc>
      </w:tr>
      <w:tr w14:paraId="4A90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vAlign w:val="center"/>
          </w:tcPr>
          <w:p w14:paraId="7A851774">
            <w:pPr>
              <w:widowControl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供水</w:t>
            </w:r>
          </w:p>
        </w:tc>
        <w:tc>
          <w:tcPr>
            <w:tcW w:w="699" w:type="pct"/>
            <w:vAlign w:val="center"/>
          </w:tcPr>
          <w:p w14:paraId="2ADEAA3E">
            <w:pPr>
              <w:widowControl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内蒙古泰弘水业大青山生态供水工程</w:t>
            </w:r>
          </w:p>
        </w:tc>
        <w:tc>
          <w:tcPr>
            <w:tcW w:w="3864" w:type="pct"/>
            <w:vAlign w:val="center"/>
          </w:tcPr>
          <w:p w14:paraId="4D40F25F">
            <w:pPr>
              <w:widowControl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设计从内蒙古泰弘水业大青山生态供水工程2#泵站至固阳县小井沟村西蓄水池再生水管道，单管铺设，长53.92km，管径为DN1100，该项目总投资193725.04万元，输水总规模为4000万吨/年，可有效解决园区水资源短缺问题。</w:t>
            </w:r>
          </w:p>
        </w:tc>
      </w:tr>
      <w:tr w14:paraId="44C3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vAlign w:val="center"/>
          </w:tcPr>
          <w:p w14:paraId="4038E04B">
            <w:pPr>
              <w:widowControl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供电</w:t>
            </w:r>
          </w:p>
        </w:tc>
        <w:tc>
          <w:tcPr>
            <w:tcW w:w="699" w:type="pct"/>
            <w:vAlign w:val="center"/>
          </w:tcPr>
          <w:p w14:paraId="2AD99CF7">
            <w:pPr>
              <w:widowControl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万胜220KV变电站</w:t>
            </w:r>
            <w:r>
              <w:rPr>
                <w:rFonts w:hint="eastAsia" w:cs="Times New Roman"/>
                <w:color w:val="000000" w:themeColor="text1"/>
                <w:sz w:val="21"/>
                <w:szCs w:val="21"/>
                <w14:textFill>
                  <w14:solidFill>
                    <w14:schemeClr w14:val="tx1"/>
                  </w14:solidFill>
                </w14:textFill>
              </w:rPr>
              <w:t>等</w:t>
            </w:r>
          </w:p>
        </w:tc>
        <w:tc>
          <w:tcPr>
            <w:tcW w:w="3864" w:type="pct"/>
            <w:vAlign w:val="center"/>
          </w:tcPr>
          <w:p w14:paraId="4A006D17">
            <w:pPr>
              <w:widowControl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现状地块1（金山产业园北区）西侧已建有万胜220KV变电站，容量为180MW，而在南侧则设有春坤山500KV变电站，容量达到750MW。另外，园区东侧紧邻固石公路，还分布有包钢110KV固阳矿山变电站</w:t>
            </w:r>
            <w:r>
              <w:rPr>
                <w:rFonts w:hint="eastAsia" w:cs="Times New Roman"/>
                <w:color w:val="000000" w:themeColor="text1"/>
                <w:sz w:val="21"/>
                <w:szCs w:val="21"/>
                <w14:textFill>
                  <w14:solidFill>
                    <w14:schemeClr w14:val="tx1"/>
                  </w14:solidFill>
                </w14:textFill>
              </w:rPr>
              <w:t>、</w:t>
            </w:r>
            <w:r>
              <w:rPr>
                <w:rFonts w:cs="Times New Roman"/>
                <w:color w:val="000000" w:themeColor="text1"/>
                <w:sz w:val="21"/>
                <w:szCs w:val="21"/>
                <w14:textFill>
                  <w14:solidFill>
                    <w14:schemeClr w14:val="tx1"/>
                  </w14:solidFill>
                </w14:textFill>
              </w:rPr>
              <w:t>明登110KV变电站</w:t>
            </w:r>
            <w:r>
              <w:rPr>
                <w:rFonts w:hint="eastAsia" w:cs="Times New Roman"/>
                <w:color w:val="000000" w:themeColor="text1"/>
                <w:sz w:val="21"/>
                <w:szCs w:val="21"/>
                <w14:textFill>
                  <w14:solidFill>
                    <w14:schemeClr w14:val="tx1"/>
                  </w14:solidFill>
                </w14:textFill>
              </w:rPr>
              <w:t>和220kV 弘元能源科技（包头）有限公司变电站</w:t>
            </w:r>
            <w:r>
              <w:rPr>
                <w:rFonts w:cs="Times New Roman"/>
                <w:color w:val="000000" w:themeColor="text1"/>
                <w:sz w:val="21"/>
                <w:szCs w:val="21"/>
                <w14:textFill>
                  <w14:solidFill>
                    <w14:schemeClr w14:val="tx1"/>
                  </w14:solidFill>
                </w14:textFill>
              </w:rPr>
              <w:t>，为园区提供备用电源。</w:t>
            </w:r>
          </w:p>
          <w:p w14:paraId="56142E9F">
            <w:pPr>
              <w:widowControl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其中，220KV变电站作为整个园区的主要供电设施，负责向园区内输送110/35/10KV等级供电线路，满足不同的电力需求。为优化电力配置，规划中的220KV变电站将更为深入地设置在负荷中心，并依据配电网络设计原则，采用放射型网格和T接型网络供电方式，以提升供电的稳定性和效率。</w:t>
            </w:r>
            <w:r>
              <w:rPr>
                <w:rFonts w:hint="eastAsia" w:cs="Times New Roman"/>
                <w:color w:val="000000" w:themeColor="text1"/>
                <w:sz w:val="21"/>
                <w:szCs w:val="21"/>
                <w14:textFill>
                  <w14:solidFill>
                    <w14:schemeClr w14:val="tx1"/>
                  </w14:solidFill>
                </w14:textFill>
              </w:rPr>
              <w:t>目前，220kV 弘元能源科技（包头）有限公司变电站和春坤山500kV变电站已编制水土保持方案。</w:t>
            </w:r>
          </w:p>
        </w:tc>
      </w:tr>
      <w:tr w14:paraId="25AD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vAlign w:val="center"/>
          </w:tcPr>
          <w:p w14:paraId="75706EA1">
            <w:pPr>
              <w:widowControl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供气</w:t>
            </w:r>
          </w:p>
        </w:tc>
        <w:tc>
          <w:tcPr>
            <w:tcW w:w="699" w:type="pct"/>
            <w:vAlign w:val="center"/>
          </w:tcPr>
          <w:p w14:paraId="6458D826">
            <w:pPr>
              <w:widowControl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土右旗·至固阳金山工业园区天然气工程</w:t>
            </w:r>
          </w:p>
        </w:tc>
        <w:tc>
          <w:tcPr>
            <w:tcW w:w="3864" w:type="pct"/>
            <w:vAlign w:val="center"/>
          </w:tcPr>
          <w:p w14:paraId="4C4F002C">
            <w:pPr>
              <w:widowControl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建设从土右旗萨拉齐镇府东路门站至包头金山工业园区调压站的天然气高压管线及辅助设施工程，管线长度约96公里;管道设计压力2.5Mpa，规格Dn500，L290，PSL2，N;年输送天然气量4.97287x10m</w:t>
            </w:r>
            <w:r>
              <w:rPr>
                <w:rFonts w:cs="Times New Roman"/>
                <w:color w:val="000000" w:themeColor="text1"/>
                <w:sz w:val="21"/>
                <w:szCs w:val="21"/>
                <w:vertAlign w:val="superscript"/>
                <w14:textFill>
                  <w14:solidFill>
                    <w14:schemeClr w14:val="tx1"/>
                  </w14:solidFill>
                </w14:textFill>
              </w:rPr>
              <w:t>8</w:t>
            </w:r>
            <w:r>
              <w:rPr>
                <w:rFonts w:cs="Times New Roman"/>
                <w:color w:val="000000" w:themeColor="text1"/>
                <w:sz w:val="21"/>
                <w:szCs w:val="21"/>
                <w14:textFill>
                  <w14:solidFill>
                    <w14:schemeClr w14:val="tx1"/>
                  </w14:solidFill>
                </w14:textFill>
              </w:rPr>
              <w:t>/a。目前已建设完成，于2015年8月通气。该项目未编制水土保持方案。金山产业园内配套建设一座天然气站，占地面积为0.7hm²。</w:t>
            </w:r>
          </w:p>
        </w:tc>
      </w:tr>
      <w:tr w14:paraId="3F688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vMerge w:val="restart"/>
            <w:vAlign w:val="center"/>
          </w:tcPr>
          <w:p w14:paraId="0F1FE7FD">
            <w:pPr>
              <w:widowControl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固废</w:t>
            </w:r>
          </w:p>
        </w:tc>
        <w:tc>
          <w:tcPr>
            <w:tcW w:w="699" w:type="pct"/>
            <w:vAlign w:val="center"/>
          </w:tcPr>
          <w:p w14:paraId="1CA0A7FE">
            <w:pPr>
              <w:widowControl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包头金山工业园区公共一般工业固体废物渣场</w:t>
            </w:r>
          </w:p>
        </w:tc>
        <w:tc>
          <w:tcPr>
            <w:tcW w:w="3864" w:type="pct"/>
            <w:vAlign w:val="center"/>
          </w:tcPr>
          <w:p w14:paraId="41E806A7">
            <w:pPr>
              <w:widowControl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包头金山工业园区公共一般工业固体废物渣场位于包头金山工业园区南侧，工程总占地面积为.4.32hm²，渣场设计总库容为25万立方米(压实密度1.3吨/立方米)，设计填埋总量为32万吨，固废处置规模为4万吨/年，服务年限为8年。弃渣全部来源于包头金山工业园区内的企业。已于2018年10月开始建设,2019年1月建成，目前堆渣量为0。该项目已编制水土保持方案。</w:t>
            </w:r>
          </w:p>
        </w:tc>
      </w:tr>
      <w:tr w14:paraId="4E0B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7" w:type="pct"/>
            <w:vMerge w:val="continue"/>
            <w:vAlign w:val="center"/>
          </w:tcPr>
          <w:p w14:paraId="7E4EF605">
            <w:pPr>
              <w:widowControl w:val="0"/>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99" w:type="pct"/>
            <w:vAlign w:val="center"/>
          </w:tcPr>
          <w:p w14:paraId="6686C23B">
            <w:pPr>
              <w:widowControl w:val="0"/>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金山镇垃圾卫生填埋场</w:t>
            </w:r>
          </w:p>
        </w:tc>
        <w:tc>
          <w:tcPr>
            <w:tcW w:w="3864" w:type="pct"/>
            <w:vAlign w:val="center"/>
          </w:tcPr>
          <w:p w14:paraId="328767BC">
            <w:pPr>
              <w:widowControl w:val="0"/>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金山镇垃圾卫生填埋场于2009年4月开工建设，2010年9月建成投产，填埋场占地面积为96hm²，总库容53万立方，设计日处理垃圾90t，服务年限12年，现已填埋49万立方。目前未编制水土保持方案。</w:t>
            </w:r>
          </w:p>
        </w:tc>
      </w:tr>
    </w:tbl>
    <w:p w14:paraId="48CA85D7">
      <w:pPr>
        <w:ind w:left="480" w:firstLine="0" w:firstLineChars="0"/>
      </w:pPr>
      <w:bookmarkStart w:id="88" w:name="_Toc85444437"/>
      <w:bookmarkStart w:id="89" w:name="_Toc85444532"/>
      <w:bookmarkStart w:id="90" w:name="_Toc85444713"/>
    </w:p>
    <w:p w14:paraId="0B3FB67E">
      <w:pPr>
        <w:spacing w:line="240" w:lineRule="auto"/>
        <w:ind w:firstLine="0" w:firstLineChars="0"/>
        <w:jc w:val="left"/>
        <w:rPr>
          <w:rFonts w:cs="Times New Roman"/>
          <w:b/>
          <w:color w:val="000000" w:themeColor="text1"/>
          <w:sz w:val="28"/>
          <w:szCs w:val="28"/>
          <w14:textFill>
            <w14:solidFill>
              <w14:schemeClr w14:val="tx1"/>
            </w14:solidFill>
          </w14:textFill>
        </w:rPr>
      </w:pPr>
      <w:r>
        <w:br w:type="page"/>
      </w:r>
    </w:p>
    <w:p w14:paraId="1CA18F26">
      <w:pPr>
        <w:pStyle w:val="4"/>
        <w:spacing w:before="120" w:after="120"/>
      </w:pPr>
      <w:r>
        <w:t>园区建设现状</w:t>
      </w:r>
    </w:p>
    <w:p w14:paraId="1154B82D">
      <w:pPr>
        <w:widowControl w:val="0"/>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园区</w:t>
      </w:r>
      <w:r>
        <w:rPr>
          <w:rFonts w:cs="Times New Roman"/>
          <w:color w:val="000000" w:themeColor="text1"/>
          <w14:textFill>
            <w14:solidFill>
              <w14:schemeClr w14:val="tx1"/>
            </w14:solidFill>
          </w14:textFill>
        </w:rPr>
        <w:t>地块1（金山产业园北区）</w:t>
      </w:r>
      <w:r>
        <w:rPr>
          <w:rFonts w:hint="eastAsia" w:cs="Times New Roman"/>
          <w:color w:val="000000" w:themeColor="text1"/>
          <w14:textFill>
            <w14:solidFill>
              <w14:schemeClr w14:val="tx1"/>
            </w14:solidFill>
          </w14:textFill>
        </w:rPr>
        <w:t>城镇建设区面积1</w:t>
      </w:r>
      <w:r>
        <w:rPr>
          <w:rFonts w:cs="Times New Roman"/>
          <w:color w:val="000000" w:themeColor="text1"/>
          <w14:textFill>
            <w14:solidFill>
              <w14:schemeClr w14:val="tx1"/>
            </w14:solidFill>
          </w14:textFill>
        </w:rPr>
        <w:t>114.62</w:t>
      </w:r>
      <w:r>
        <w:rPr>
          <w:rFonts w:hint="eastAsia" w:cs="Times New Roman"/>
          <w:color w:val="000000" w:themeColor="text1"/>
          <w14:textFill>
            <w14:solidFill>
              <w14:schemeClr w14:val="tx1"/>
            </w14:solidFill>
          </w14:textFill>
        </w:rPr>
        <w:t>hm</w:t>
      </w:r>
      <w:r>
        <w:rPr>
          <w:rFonts w:ascii="Calibri" w:hAnsi="Calibri" w:cs="Calibri"/>
          <w:color w:val="000000" w:themeColor="text1"/>
          <w14:textFill>
            <w14:solidFill>
              <w14:schemeClr w14:val="tx1"/>
            </w14:solidFill>
          </w14:textFill>
        </w:rPr>
        <w:t>²</w:t>
      </w:r>
      <w:r>
        <w:rPr>
          <w:rFonts w:hint="eastAsia" w:cs="Times New Roman"/>
          <w:color w:val="000000" w:themeColor="text1"/>
          <w14:textFill>
            <w14:solidFill>
              <w14:schemeClr w14:val="tx1"/>
            </w14:solidFill>
          </w14:textFill>
        </w:rPr>
        <w:t>，建成区面积7</w:t>
      </w:r>
      <w:r>
        <w:rPr>
          <w:rFonts w:cs="Times New Roman"/>
          <w:color w:val="000000" w:themeColor="text1"/>
          <w14:textFill>
            <w14:solidFill>
              <w14:schemeClr w14:val="tx1"/>
            </w14:solidFill>
          </w14:textFill>
        </w:rPr>
        <w:t>98.81</w:t>
      </w:r>
      <w:r>
        <w:rPr>
          <w:rFonts w:hint="eastAsia" w:cs="Times New Roman"/>
          <w:color w:val="000000" w:themeColor="text1"/>
          <w14:textFill>
            <w14:solidFill>
              <w14:schemeClr w14:val="tx1"/>
            </w14:solidFill>
          </w14:textFill>
        </w:rPr>
        <w:t>hm</w:t>
      </w:r>
      <w:r>
        <w:rPr>
          <w:rFonts w:ascii="Calibri" w:hAnsi="Calibri" w:cs="Calibri"/>
          <w:color w:val="000000" w:themeColor="text1"/>
          <w14:textFill>
            <w14:solidFill>
              <w14:schemeClr w14:val="tx1"/>
            </w14:solidFill>
          </w14:textFill>
        </w:rPr>
        <w:t>²</w:t>
      </w:r>
      <w:r>
        <w:rPr>
          <w:rFonts w:hint="eastAsia" w:cs="Times New Roman"/>
          <w:color w:val="000000" w:themeColor="text1"/>
          <w14:textFill>
            <w14:solidFill>
              <w14:schemeClr w14:val="tx1"/>
            </w14:solidFill>
          </w14:textFill>
        </w:rPr>
        <w:t>，未建区面积为3</w:t>
      </w:r>
      <w:r>
        <w:rPr>
          <w:rFonts w:cs="Times New Roman"/>
          <w:color w:val="000000" w:themeColor="text1"/>
          <w14:textFill>
            <w14:solidFill>
              <w14:schemeClr w14:val="tx1"/>
            </w14:solidFill>
          </w14:textFill>
        </w:rPr>
        <w:t>15.81</w:t>
      </w:r>
      <w:r>
        <w:rPr>
          <w:rFonts w:hint="eastAsia" w:cs="Times New Roman"/>
          <w:color w:val="000000" w:themeColor="text1"/>
          <w14:textFill>
            <w14:solidFill>
              <w14:schemeClr w14:val="tx1"/>
            </w14:solidFill>
          </w14:textFill>
        </w:rPr>
        <w:t>hm</w:t>
      </w:r>
      <w:r>
        <w:rPr>
          <w:rFonts w:ascii="Calibri" w:hAnsi="Calibri" w:cs="Calibri"/>
          <w:color w:val="000000" w:themeColor="text1"/>
          <w14:textFill>
            <w14:solidFill>
              <w14:schemeClr w14:val="tx1"/>
            </w14:solidFill>
          </w14:textFill>
        </w:rPr>
        <w:t>²</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地块2（下湿壕片区）</w:t>
      </w:r>
      <w:r>
        <w:rPr>
          <w:rFonts w:hint="eastAsia" w:cs="Times New Roman"/>
          <w:color w:val="000000" w:themeColor="text1"/>
          <w14:textFill>
            <w14:solidFill>
              <w14:schemeClr w14:val="tx1"/>
            </w14:solidFill>
          </w14:textFill>
        </w:rPr>
        <w:t>城镇建设区面积</w:t>
      </w:r>
      <w:r>
        <w:rPr>
          <w:rFonts w:cs="Times New Roman"/>
          <w:color w:val="000000" w:themeColor="text1"/>
          <w14:textFill>
            <w14:solidFill>
              <w14:schemeClr w14:val="tx1"/>
            </w14:solidFill>
          </w14:textFill>
        </w:rPr>
        <w:t>153.10</w:t>
      </w:r>
      <w:r>
        <w:rPr>
          <w:rFonts w:hint="eastAsia" w:cs="Times New Roman"/>
          <w:color w:val="000000" w:themeColor="text1"/>
          <w14:textFill>
            <w14:solidFill>
              <w14:schemeClr w14:val="tx1"/>
            </w14:solidFill>
          </w14:textFill>
        </w:rPr>
        <w:t>hm</w:t>
      </w:r>
      <w:r>
        <w:rPr>
          <w:rFonts w:ascii="Calibri" w:hAnsi="Calibri" w:cs="Calibri"/>
          <w:color w:val="000000" w:themeColor="text1"/>
          <w14:textFill>
            <w14:solidFill>
              <w14:schemeClr w14:val="tx1"/>
            </w14:solidFill>
          </w14:textFill>
        </w:rPr>
        <w:t>²</w:t>
      </w:r>
      <w:r>
        <w:rPr>
          <w:rFonts w:hint="eastAsia" w:cs="Times New Roman"/>
          <w:color w:val="000000" w:themeColor="text1"/>
          <w14:textFill>
            <w14:solidFill>
              <w14:schemeClr w14:val="tx1"/>
            </w14:solidFill>
          </w14:textFill>
        </w:rPr>
        <w:t>，建成区面积</w:t>
      </w:r>
      <w:r>
        <w:rPr>
          <w:rFonts w:cs="Times New Roman"/>
          <w:color w:val="000000" w:themeColor="text1"/>
          <w14:textFill>
            <w14:solidFill>
              <w14:schemeClr w14:val="tx1"/>
            </w14:solidFill>
          </w14:textFill>
        </w:rPr>
        <w:t>153.10</w:t>
      </w:r>
      <w:r>
        <w:rPr>
          <w:rFonts w:hint="eastAsia" w:cs="Times New Roman"/>
          <w:color w:val="000000" w:themeColor="text1"/>
          <w14:textFill>
            <w14:solidFill>
              <w14:schemeClr w14:val="tx1"/>
            </w14:solidFill>
          </w14:textFill>
        </w:rPr>
        <w:t>hm</w:t>
      </w:r>
      <w:r>
        <w:rPr>
          <w:rFonts w:ascii="Calibri" w:hAnsi="Calibri" w:cs="Calibri"/>
          <w:color w:val="000000" w:themeColor="text1"/>
          <w14:textFill>
            <w14:solidFill>
              <w14:schemeClr w14:val="tx1"/>
            </w14:solidFill>
          </w14:textFill>
        </w:rPr>
        <w:t>²</w:t>
      </w:r>
      <w:r>
        <w:rPr>
          <w:rFonts w:hint="eastAsia" w:cs="Times New Roman"/>
          <w:color w:val="000000" w:themeColor="text1"/>
          <w14:textFill>
            <w14:solidFill>
              <w14:schemeClr w14:val="tx1"/>
            </w14:solidFill>
          </w14:textFill>
        </w:rPr>
        <w:t>。</w:t>
      </w:r>
    </w:p>
    <w:p w14:paraId="63CFB663">
      <w:pPr>
        <w:pStyle w:val="5"/>
        <w:rPr>
          <w:color w:val="000000" w:themeColor="text1"/>
          <w14:textFill>
            <w14:solidFill>
              <w14:schemeClr w14:val="tx1"/>
            </w14:solidFill>
          </w14:textFill>
        </w:rPr>
      </w:pPr>
      <w:bookmarkStart w:id="91" w:name="_Hlk88466032"/>
      <w:r>
        <w:rPr>
          <w:color w:val="000000" w:themeColor="text1"/>
          <w14:textFill>
            <w14:solidFill>
              <w14:schemeClr w14:val="tx1"/>
            </w14:solidFill>
          </w14:textFill>
        </w:rPr>
        <w:t>交通工程</w:t>
      </w:r>
    </w:p>
    <w:p w14:paraId="2B2BC9CB">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地块1（金山产业园北区）内规划建设道路12条，长度28.52km，红线宽度30-50m。园区内目前完全建设完成的道路包括纬一路（辅道）、纬二路扩建段、纬二西路、纬二中路（电厂北侧）、纬二东路、纬三路（电厂南侧）、原经一路（已建300m）、经二路、经三路（电厂西侧）、经四路（电厂东侧）、纬一路西段（经1路-经2路段）共计25.98km。</w:t>
      </w:r>
    </w:p>
    <w:p w14:paraId="4E41BE98">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地块2（下湿壕片区）目前已建道路长度1.2km。</w:t>
      </w:r>
    </w:p>
    <w:p w14:paraId="2289F880">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园区道路建设情况见表1</w:t>
      </w:r>
      <w:r>
        <w:rPr>
          <w:rFonts w:cs="Times New Roman"/>
          <w:color w:val="000000" w:themeColor="text1"/>
          <w14:textFill>
            <w14:solidFill>
              <w14:schemeClr w14:val="tx1"/>
            </w14:solidFill>
          </w14:textFill>
        </w:rPr>
        <w:t>-6</w:t>
      </w:r>
      <w:r>
        <w:rPr>
          <w:rFonts w:hint="eastAsia" w:cs="Times New Roman"/>
          <w:color w:val="000000" w:themeColor="text1"/>
          <w14:textFill>
            <w14:solidFill>
              <w14:schemeClr w14:val="tx1"/>
            </w14:solidFill>
          </w14:textFill>
        </w:rPr>
        <w:t>。</w:t>
      </w:r>
    </w:p>
    <w:p w14:paraId="3E37F421">
      <w:pPr>
        <w:ind w:firstLine="480"/>
        <w:rPr>
          <w:rFonts w:cs="Times New Roman"/>
          <w:color w:val="000000" w:themeColor="text1"/>
          <w14:textFill>
            <w14:solidFill>
              <w14:schemeClr w14:val="tx1"/>
            </w14:solidFill>
          </w14:textFill>
        </w:rPr>
        <w:sectPr>
          <w:footerReference r:id="rId17" w:type="default"/>
          <w:pgSz w:w="11906" w:h="16838"/>
          <w:pgMar w:top="1418" w:right="1418" w:bottom="1418" w:left="1418" w:header="850" w:footer="850" w:gutter="0"/>
          <w:cols w:space="720" w:num="1"/>
          <w:docGrid w:linePitch="326" w:charSpace="0"/>
        </w:sectPr>
      </w:pPr>
    </w:p>
    <w:p w14:paraId="16F78306">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表1-6                                                              地块</w:t>
      </w:r>
      <w:r>
        <w:rPr>
          <w:rFonts w:hint="eastAsia"/>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（金山产业园北区）道路建设情况一览表</w:t>
      </w:r>
    </w:p>
    <w:tbl>
      <w:tblPr>
        <w:tblStyle w:val="2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868"/>
        <w:gridCol w:w="1442"/>
        <w:gridCol w:w="864"/>
        <w:gridCol w:w="864"/>
        <w:gridCol w:w="870"/>
        <w:gridCol w:w="719"/>
        <w:gridCol w:w="867"/>
        <w:gridCol w:w="864"/>
        <w:gridCol w:w="723"/>
        <w:gridCol w:w="867"/>
        <w:gridCol w:w="864"/>
        <w:gridCol w:w="1006"/>
        <w:gridCol w:w="1539"/>
      </w:tblGrid>
      <w:tr w14:paraId="092945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4" w:type="pct"/>
            <w:vMerge w:val="restart"/>
            <w:shd w:val="clear" w:color="auto" w:fill="auto"/>
            <w:noWrap/>
            <w:vAlign w:val="center"/>
          </w:tcPr>
          <w:p w14:paraId="16A34B17">
            <w:pPr>
              <w:pStyle w:val="33"/>
              <w:rPr>
                <w:color w:val="000000" w:themeColor="text1"/>
                <w14:textFill>
                  <w14:solidFill>
                    <w14:schemeClr w14:val="tx1"/>
                  </w14:solidFill>
                </w14:textFill>
              </w:rPr>
            </w:pPr>
            <w:r>
              <w:rPr>
                <w:color w:val="000000" w:themeColor="text1"/>
                <w14:textFill>
                  <w14:solidFill>
                    <w14:schemeClr w14:val="tx1"/>
                  </w14:solidFill>
                </w14:textFill>
              </w:rPr>
              <w:t>道路名称</w:t>
            </w:r>
          </w:p>
        </w:tc>
        <w:tc>
          <w:tcPr>
            <w:tcW w:w="305" w:type="pct"/>
            <w:vMerge w:val="restart"/>
            <w:shd w:val="clear" w:color="auto" w:fill="auto"/>
            <w:noWrap/>
            <w:vAlign w:val="center"/>
          </w:tcPr>
          <w:p w14:paraId="2CD43E49">
            <w:pPr>
              <w:pStyle w:val="33"/>
              <w:rPr>
                <w:color w:val="000000" w:themeColor="text1"/>
                <w14:textFill>
                  <w14:solidFill>
                    <w14:schemeClr w14:val="tx1"/>
                  </w14:solidFill>
                </w14:textFill>
              </w:rPr>
            </w:pPr>
            <w:r>
              <w:rPr>
                <w:color w:val="000000" w:themeColor="text1"/>
                <w14:textFill>
                  <w14:solidFill>
                    <w14:schemeClr w14:val="tx1"/>
                  </w14:solidFill>
                </w14:textFill>
              </w:rPr>
              <w:t>长度m</w:t>
            </w:r>
          </w:p>
        </w:tc>
        <w:tc>
          <w:tcPr>
            <w:tcW w:w="507" w:type="pct"/>
            <w:vMerge w:val="restart"/>
            <w:shd w:val="clear" w:color="auto" w:fill="auto"/>
            <w:noWrap/>
            <w:vAlign w:val="center"/>
          </w:tcPr>
          <w:p w14:paraId="7936ADA2">
            <w:pPr>
              <w:pStyle w:val="33"/>
              <w:rPr>
                <w:color w:val="000000" w:themeColor="text1"/>
                <w14:textFill>
                  <w14:solidFill>
                    <w14:schemeClr w14:val="tx1"/>
                  </w14:solidFill>
                </w14:textFill>
              </w:rPr>
            </w:pPr>
            <w:r>
              <w:rPr>
                <w:color w:val="000000" w:themeColor="text1"/>
                <w14:textFill>
                  <w14:solidFill>
                    <w14:schemeClr w14:val="tx1"/>
                  </w14:solidFill>
                </w14:textFill>
              </w:rPr>
              <w:t>红线（路宽）</w:t>
            </w:r>
          </w:p>
        </w:tc>
        <w:tc>
          <w:tcPr>
            <w:tcW w:w="914" w:type="pct"/>
            <w:gridSpan w:val="3"/>
            <w:shd w:val="clear" w:color="auto" w:fill="auto"/>
            <w:noWrap/>
            <w:vAlign w:val="center"/>
          </w:tcPr>
          <w:p w14:paraId="7813C282">
            <w:pPr>
              <w:pStyle w:val="33"/>
              <w:rPr>
                <w:color w:val="000000" w:themeColor="text1"/>
                <w14:textFill>
                  <w14:solidFill>
                    <w14:schemeClr w14:val="tx1"/>
                  </w14:solidFill>
                </w14:textFill>
              </w:rPr>
            </w:pPr>
            <w:r>
              <w:rPr>
                <w:color w:val="000000" w:themeColor="text1"/>
                <w14:textFill>
                  <w14:solidFill>
                    <w14:schemeClr w14:val="tx1"/>
                  </w14:solidFill>
                </w14:textFill>
              </w:rPr>
              <w:t>已建</w:t>
            </w:r>
          </w:p>
        </w:tc>
        <w:tc>
          <w:tcPr>
            <w:tcW w:w="862" w:type="pct"/>
            <w:gridSpan w:val="3"/>
            <w:shd w:val="clear" w:color="auto" w:fill="auto"/>
            <w:noWrap/>
            <w:vAlign w:val="center"/>
          </w:tcPr>
          <w:p w14:paraId="5999C9B5">
            <w:pPr>
              <w:pStyle w:val="33"/>
              <w:rPr>
                <w:color w:val="000000" w:themeColor="text1"/>
                <w14:textFill>
                  <w14:solidFill>
                    <w14:schemeClr w14:val="tx1"/>
                  </w14:solidFill>
                </w14:textFill>
              </w:rPr>
            </w:pPr>
            <w:r>
              <w:rPr>
                <w:color w:val="000000" w:themeColor="text1"/>
                <w14:textFill>
                  <w14:solidFill>
                    <w14:schemeClr w14:val="tx1"/>
                  </w14:solidFill>
                </w14:textFill>
              </w:rPr>
              <w:t>在建</w:t>
            </w:r>
          </w:p>
        </w:tc>
        <w:tc>
          <w:tcPr>
            <w:tcW w:w="863" w:type="pct"/>
            <w:gridSpan w:val="3"/>
            <w:shd w:val="clear" w:color="auto" w:fill="auto"/>
            <w:noWrap/>
            <w:vAlign w:val="center"/>
          </w:tcPr>
          <w:p w14:paraId="105D30C5">
            <w:pPr>
              <w:pStyle w:val="33"/>
              <w:rPr>
                <w:color w:val="000000" w:themeColor="text1"/>
                <w14:textFill>
                  <w14:solidFill>
                    <w14:schemeClr w14:val="tx1"/>
                  </w14:solidFill>
                </w14:textFill>
              </w:rPr>
            </w:pPr>
            <w:r>
              <w:rPr>
                <w:color w:val="000000" w:themeColor="text1"/>
                <w14:textFill>
                  <w14:solidFill>
                    <w14:schemeClr w14:val="tx1"/>
                  </w14:solidFill>
                </w14:textFill>
              </w:rPr>
              <w:t>规划建设</w:t>
            </w:r>
          </w:p>
        </w:tc>
        <w:tc>
          <w:tcPr>
            <w:tcW w:w="354" w:type="pct"/>
            <w:vMerge w:val="restart"/>
            <w:shd w:val="clear" w:color="auto" w:fill="auto"/>
            <w:vAlign w:val="center"/>
          </w:tcPr>
          <w:p w14:paraId="003FD577">
            <w:pPr>
              <w:pStyle w:val="33"/>
              <w:rPr>
                <w:color w:val="000000" w:themeColor="text1"/>
                <w14:textFill>
                  <w14:solidFill>
                    <w14:schemeClr w14:val="tx1"/>
                  </w14:solidFill>
                </w14:textFill>
              </w:rPr>
            </w:pPr>
            <w:r>
              <w:rPr>
                <w:color w:val="000000" w:themeColor="text1"/>
                <w14:textFill>
                  <w14:solidFill>
                    <w14:schemeClr w14:val="tx1"/>
                  </w14:solidFill>
                </w14:textFill>
              </w:rPr>
              <w:t>水保方案批复文号</w:t>
            </w:r>
          </w:p>
        </w:tc>
        <w:tc>
          <w:tcPr>
            <w:tcW w:w="542" w:type="pct"/>
            <w:vMerge w:val="restart"/>
            <w:shd w:val="clear" w:color="auto" w:fill="auto"/>
            <w:vAlign w:val="center"/>
          </w:tcPr>
          <w:p w14:paraId="094725CB">
            <w:pPr>
              <w:pStyle w:val="33"/>
              <w:rPr>
                <w:color w:val="000000" w:themeColor="text1"/>
                <w14:textFill>
                  <w14:solidFill>
                    <w14:schemeClr w14:val="tx1"/>
                  </w14:solidFill>
                </w14:textFill>
              </w:rPr>
            </w:pPr>
            <w:r>
              <w:rPr>
                <w:color w:val="000000" w:themeColor="text1"/>
                <w14:textFill>
                  <w14:solidFill>
                    <w14:schemeClr w14:val="tx1"/>
                  </w14:solidFill>
                </w14:textFill>
              </w:rPr>
              <w:t>水土保持补偿费是否已缴纳</w:t>
            </w:r>
          </w:p>
        </w:tc>
      </w:tr>
      <w:tr w14:paraId="24DB4C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4" w:type="pct"/>
            <w:vMerge w:val="continue"/>
            <w:tcBorders>
              <w:bottom w:val="double" w:color="auto" w:sz="6" w:space="0"/>
            </w:tcBorders>
            <w:shd w:val="clear" w:color="auto" w:fill="auto"/>
            <w:vAlign w:val="center"/>
          </w:tcPr>
          <w:p w14:paraId="2ADF0E47">
            <w:pPr>
              <w:pStyle w:val="33"/>
              <w:rPr>
                <w:color w:val="000000" w:themeColor="text1"/>
                <w14:textFill>
                  <w14:solidFill>
                    <w14:schemeClr w14:val="tx1"/>
                  </w14:solidFill>
                </w14:textFill>
              </w:rPr>
            </w:pPr>
          </w:p>
        </w:tc>
        <w:tc>
          <w:tcPr>
            <w:tcW w:w="305" w:type="pct"/>
            <w:vMerge w:val="continue"/>
            <w:tcBorders>
              <w:bottom w:val="double" w:color="auto" w:sz="6" w:space="0"/>
            </w:tcBorders>
            <w:shd w:val="clear" w:color="auto" w:fill="auto"/>
            <w:vAlign w:val="center"/>
          </w:tcPr>
          <w:p w14:paraId="53CD94A9">
            <w:pPr>
              <w:pStyle w:val="33"/>
              <w:rPr>
                <w:color w:val="000000" w:themeColor="text1"/>
                <w14:textFill>
                  <w14:solidFill>
                    <w14:schemeClr w14:val="tx1"/>
                  </w14:solidFill>
                </w14:textFill>
              </w:rPr>
            </w:pPr>
          </w:p>
        </w:tc>
        <w:tc>
          <w:tcPr>
            <w:tcW w:w="507" w:type="pct"/>
            <w:vMerge w:val="continue"/>
            <w:tcBorders>
              <w:bottom w:val="double" w:color="auto" w:sz="6" w:space="0"/>
            </w:tcBorders>
            <w:shd w:val="clear" w:color="auto" w:fill="auto"/>
            <w:vAlign w:val="center"/>
          </w:tcPr>
          <w:p w14:paraId="603327ED">
            <w:pPr>
              <w:pStyle w:val="33"/>
              <w:rPr>
                <w:color w:val="000000" w:themeColor="text1"/>
                <w14:textFill>
                  <w14:solidFill>
                    <w14:schemeClr w14:val="tx1"/>
                  </w14:solidFill>
                </w14:textFill>
              </w:rPr>
            </w:pPr>
          </w:p>
        </w:tc>
        <w:tc>
          <w:tcPr>
            <w:tcW w:w="304" w:type="pct"/>
            <w:tcBorders>
              <w:bottom w:val="double" w:color="auto" w:sz="6" w:space="0"/>
            </w:tcBorders>
            <w:shd w:val="clear" w:color="auto" w:fill="auto"/>
            <w:noWrap/>
            <w:vAlign w:val="center"/>
          </w:tcPr>
          <w:p w14:paraId="70A705B6">
            <w:pPr>
              <w:pStyle w:val="33"/>
              <w:rPr>
                <w:color w:val="000000" w:themeColor="text1"/>
                <w14:textFill>
                  <w14:solidFill>
                    <w14:schemeClr w14:val="tx1"/>
                  </w14:solidFill>
                </w14:textFill>
              </w:rPr>
            </w:pPr>
            <w:r>
              <w:rPr>
                <w:color w:val="000000" w:themeColor="text1"/>
                <w14:textFill>
                  <w14:solidFill>
                    <w14:schemeClr w14:val="tx1"/>
                  </w14:solidFill>
                </w14:textFill>
              </w:rPr>
              <w:t>长度m</w:t>
            </w:r>
          </w:p>
        </w:tc>
        <w:tc>
          <w:tcPr>
            <w:tcW w:w="304" w:type="pct"/>
            <w:tcBorders>
              <w:bottom w:val="double" w:color="auto" w:sz="6" w:space="0"/>
            </w:tcBorders>
            <w:shd w:val="clear" w:color="auto" w:fill="auto"/>
            <w:noWrap/>
            <w:vAlign w:val="center"/>
          </w:tcPr>
          <w:p w14:paraId="35CDD732">
            <w:pPr>
              <w:pStyle w:val="33"/>
              <w:rPr>
                <w:color w:val="000000" w:themeColor="text1"/>
                <w14:textFill>
                  <w14:solidFill>
                    <w14:schemeClr w14:val="tx1"/>
                  </w14:solidFill>
                </w14:textFill>
              </w:rPr>
            </w:pPr>
            <w:r>
              <w:rPr>
                <w:color w:val="000000" w:themeColor="text1"/>
                <w14:textFill>
                  <w14:solidFill>
                    <w14:schemeClr w14:val="tx1"/>
                  </w14:solidFill>
                </w14:textFill>
              </w:rPr>
              <w:t>硬化面积hm²</w:t>
            </w:r>
          </w:p>
        </w:tc>
        <w:tc>
          <w:tcPr>
            <w:tcW w:w="306" w:type="pct"/>
            <w:tcBorders>
              <w:bottom w:val="double" w:color="auto" w:sz="6" w:space="0"/>
            </w:tcBorders>
            <w:shd w:val="clear" w:color="auto" w:fill="auto"/>
            <w:noWrap/>
            <w:vAlign w:val="center"/>
          </w:tcPr>
          <w:p w14:paraId="6309A24D">
            <w:pPr>
              <w:pStyle w:val="33"/>
              <w:rPr>
                <w:color w:val="000000" w:themeColor="text1"/>
                <w14:textFill>
                  <w14:solidFill>
                    <w14:schemeClr w14:val="tx1"/>
                  </w14:solidFill>
                </w14:textFill>
              </w:rPr>
            </w:pPr>
            <w:r>
              <w:rPr>
                <w:color w:val="000000" w:themeColor="text1"/>
                <w14:textFill>
                  <w14:solidFill>
                    <w14:schemeClr w14:val="tx1"/>
                  </w14:solidFill>
                </w14:textFill>
              </w:rPr>
              <w:t>绿化面积hm²</w:t>
            </w:r>
          </w:p>
        </w:tc>
        <w:tc>
          <w:tcPr>
            <w:tcW w:w="253" w:type="pct"/>
            <w:tcBorders>
              <w:bottom w:val="double" w:color="auto" w:sz="6" w:space="0"/>
            </w:tcBorders>
            <w:shd w:val="clear" w:color="auto" w:fill="auto"/>
            <w:noWrap/>
            <w:vAlign w:val="center"/>
          </w:tcPr>
          <w:p w14:paraId="41DEE10C">
            <w:pPr>
              <w:pStyle w:val="33"/>
              <w:rPr>
                <w:color w:val="000000" w:themeColor="text1"/>
                <w14:textFill>
                  <w14:solidFill>
                    <w14:schemeClr w14:val="tx1"/>
                  </w14:solidFill>
                </w14:textFill>
              </w:rPr>
            </w:pPr>
            <w:r>
              <w:rPr>
                <w:color w:val="000000" w:themeColor="text1"/>
                <w14:textFill>
                  <w14:solidFill>
                    <w14:schemeClr w14:val="tx1"/>
                  </w14:solidFill>
                </w14:textFill>
              </w:rPr>
              <w:t>长度m</w:t>
            </w:r>
          </w:p>
        </w:tc>
        <w:tc>
          <w:tcPr>
            <w:tcW w:w="305" w:type="pct"/>
            <w:tcBorders>
              <w:bottom w:val="double" w:color="auto" w:sz="6" w:space="0"/>
            </w:tcBorders>
            <w:shd w:val="clear" w:color="auto" w:fill="auto"/>
            <w:noWrap/>
            <w:vAlign w:val="center"/>
          </w:tcPr>
          <w:p w14:paraId="470BCEEF">
            <w:pPr>
              <w:pStyle w:val="33"/>
              <w:rPr>
                <w:color w:val="000000" w:themeColor="text1"/>
                <w14:textFill>
                  <w14:solidFill>
                    <w14:schemeClr w14:val="tx1"/>
                  </w14:solidFill>
                </w14:textFill>
              </w:rPr>
            </w:pPr>
            <w:r>
              <w:rPr>
                <w:color w:val="000000" w:themeColor="text1"/>
                <w14:textFill>
                  <w14:solidFill>
                    <w14:schemeClr w14:val="tx1"/>
                  </w14:solidFill>
                </w14:textFill>
              </w:rPr>
              <w:t>硬化面积hm²</w:t>
            </w:r>
          </w:p>
        </w:tc>
        <w:tc>
          <w:tcPr>
            <w:tcW w:w="304" w:type="pct"/>
            <w:tcBorders>
              <w:bottom w:val="double" w:color="auto" w:sz="6" w:space="0"/>
            </w:tcBorders>
            <w:shd w:val="clear" w:color="auto" w:fill="auto"/>
            <w:noWrap/>
            <w:vAlign w:val="center"/>
          </w:tcPr>
          <w:p w14:paraId="2B3EA3A8">
            <w:pPr>
              <w:pStyle w:val="33"/>
              <w:rPr>
                <w:color w:val="000000" w:themeColor="text1"/>
                <w14:textFill>
                  <w14:solidFill>
                    <w14:schemeClr w14:val="tx1"/>
                  </w14:solidFill>
                </w14:textFill>
              </w:rPr>
            </w:pPr>
            <w:r>
              <w:rPr>
                <w:color w:val="000000" w:themeColor="text1"/>
                <w14:textFill>
                  <w14:solidFill>
                    <w14:schemeClr w14:val="tx1"/>
                  </w14:solidFill>
                </w14:textFill>
              </w:rPr>
              <w:t>绿化面积hm²</w:t>
            </w:r>
          </w:p>
        </w:tc>
        <w:tc>
          <w:tcPr>
            <w:tcW w:w="254" w:type="pct"/>
            <w:tcBorders>
              <w:bottom w:val="double" w:color="auto" w:sz="6" w:space="0"/>
            </w:tcBorders>
            <w:shd w:val="clear" w:color="auto" w:fill="auto"/>
            <w:noWrap/>
            <w:vAlign w:val="center"/>
          </w:tcPr>
          <w:p w14:paraId="2BA6B498">
            <w:pPr>
              <w:pStyle w:val="33"/>
              <w:rPr>
                <w:color w:val="000000" w:themeColor="text1"/>
                <w14:textFill>
                  <w14:solidFill>
                    <w14:schemeClr w14:val="tx1"/>
                  </w14:solidFill>
                </w14:textFill>
              </w:rPr>
            </w:pPr>
            <w:r>
              <w:rPr>
                <w:color w:val="000000" w:themeColor="text1"/>
                <w14:textFill>
                  <w14:solidFill>
                    <w14:schemeClr w14:val="tx1"/>
                  </w14:solidFill>
                </w14:textFill>
              </w:rPr>
              <w:t>长度m</w:t>
            </w:r>
          </w:p>
        </w:tc>
        <w:tc>
          <w:tcPr>
            <w:tcW w:w="305" w:type="pct"/>
            <w:tcBorders>
              <w:bottom w:val="double" w:color="auto" w:sz="6" w:space="0"/>
            </w:tcBorders>
            <w:shd w:val="clear" w:color="auto" w:fill="auto"/>
            <w:noWrap/>
            <w:vAlign w:val="center"/>
          </w:tcPr>
          <w:p w14:paraId="07C8F8E1">
            <w:pPr>
              <w:pStyle w:val="33"/>
              <w:rPr>
                <w:color w:val="000000" w:themeColor="text1"/>
                <w14:textFill>
                  <w14:solidFill>
                    <w14:schemeClr w14:val="tx1"/>
                  </w14:solidFill>
                </w14:textFill>
              </w:rPr>
            </w:pPr>
            <w:r>
              <w:rPr>
                <w:color w:val="000000" w:themeColor="text1"/>
                <w14:textFill>
                  <w14:solidFill>
                    <w14:schemeClr w14:val="tx1"/>
                  </w14:solidFill>
                </w14:textFill>
              </w:rPr>
              <w:t>硬化面积hm²</w:t>
            </w:r>
          </w:p>
        </w:tc>
        <w:tc>
          <w:tcPr>
            <w:tcW w:w="304" w:type="pct"/>
            <w:tcBorders>
              <w:bottom w:val="double" w:color="auto" w:sz="6" w:space="0"/>
            </w:tcBorders>
            <w:shd w:val="clear" w:color="auto" w:fill="auto"/>
            <w:noWrap/>
            <w:vAlign w:val="center"/>
          </w:tcPr>
          <w:p w14:paraId="5E168E4F">
            <w:pPr>
              <w:pStyle w:val="33"/>
              <w:rPr>
                <w:color w:val="000000" w:themeColor="text1"/>
                <w14:textFill>
                  <w14:solidFill>
                    <w14:schemeClr w14:val="tx1"/>
                  </w14:solidFill>
                </w14:textFill>
              </w:rPr>
            </w:pPr>
            <w:r>
              <w:rPr>
                <w:color w:val="000000" w:themeColor="text1"/>
                <w14:textFill>
                  <w14:solidFill>
                    <w14:schemeClr w14:val="tx1"/>
                  </w14:solidFill>
                </w14:textFill>
              </w:rPr>
              <w:t>绿化面积hm²</w:t>
            </w:r>
          </w:p>
        </w:tc>
        <w:tc>
          <w:tcPr>
            <w:tcW w:w="354" w:type="pct"/>
            <w:vMerge w:val="continue"/>
            <w:tcBorders>
              <w:bottom w:val="double" w:color="auto" w:sz="6" w:space="0"/>
            </w:tcBorders>
            <w:shd w:val="clear" w:color="auto" w:fill="auto"/>
            <w:noWrap/>
            <w:vAlign w:val="center"/>
          </w:tcPr>
          <w:p w14:paraId="0D9A3806">
            <w:pPr>
              <w:pStyle w:val="33"/>
              <w:rPr>
                <w:color w:val="000000" w:themeColor="text1"/>
                <w14:textFill>
                  <w14:solidFill>
                    <w14:schemeClr w14:val="tx1"/>
                  </w14:solidFill>
                </w14:textFill>
              </w:rPr>
            </w:pPr>
          </w:p>
        </w:tc>
        <w:tc>
          <w:tcPr>
            <w:tcW w:w="542" w:type="pct"/>
            <w:vMerge w:val="continue"/>
            <w:tcBorders>
              <w:bottom w:val="double" w:color="auto" w:sz="6" w:space="0"/>
            </w:tcBorders>
            <w:shd w:val="clear" w:color="auto" w:fill="auto"/>
            <w:noWrap/>
            <w:vAlign w:val="center"/>
          </w:tcPr>
          <w:p w14:paraId="0B411D87">
            <w:pPr>
              <w:pStyle w:val="33"/>
              <w:rPr>
                <w:color w:val="000000" w:themeColor="text1"/>
                <w14:textFill>
                  <w14:solidFill>
                    <w14:schemeClr w14:val="tx1"/>
                  </w14:solidFill>
                </w14:textFill>
              </w:rPr>
            </w:pPr>
          </w:p>
        </w:tc>
      </w:tr>
      <w:tr w14:paraId="5495CD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4" w:type="pct"/>
            <w:tcBorders>
              <w:top w:val="double" w:color="auto" w:sz="6" w:space="0"/>
            </w:tcBorders>
            <w:shd w:val="clear" w:color="auto" w:fill="auto"/>
            <w:vAlign w:val="center"/>
          </w:tcPr>
          <w:p w14:paraId="5479B1BB">
            <w:pPr>
              <w:pStyle w:val="33"/>
              <w:rPr>
                <w:color w:val="000000" w:themeColor="text1"/>
                <w14:textFill>
                  <w14:solidFill>
                    <w14:schemeClr w14:val="tx1"/>
                  </w14:solidFill>
                </w14:textFill>
              </w:rPr>
            </w:pPr>
            <w:r>
              <w:rPr>
                <w:color w:val="000000" w:themeColor="text1"/>
                <w14:textFill>
                  <w14:solidFill>
                    <w14:schemeClr w14:val="tx1"/>
                  </w14:solidFill>
                </w14:textFill>
              </w:rPr>
              <w:t>纬一路（辅道）</w:t>
            </w:r>
          </w:p>
        </w:tc>
        <w:tc>
          <w:tcPr>
            <w:tcW w:w="305" w:type="pct"/>
            <w:tcBorders>
              <w:top w:val="double" w:color="auto" w:sz="6" w:space="0"/>
            </w:tcBorders>
            <w:shd w:val="clear" w:color="auto" w:fill="auto"/>
            <w:noWrap/>
            <w:vAlign w:val="center"/>
          </w:tcPr>
          <w:p w14:paraId="1E31B861">
            <w:pPr>
              <w:pStyle w:val="33"/>
              <w:rPr>
                <w:color w:val="000000" w:themeColor="text1"/>
                <w14:textFill>
                  <w14:solidFill>
                    <w14:schemeClr w14:val="tx1"/>
                  </w14:solidFill>
                </w14:textFill>
              </w:rPr>
            </w:pPr>
            <w:r>
              <w:rPr>
                <w:color w:val="000000" w:themeColor="text1"/>
                <w14:textFill>
                  <w14:solidFill>
                    <w14:schemeClr w14:val="tx1"/>
                  </w14:solidFill>
                </w14:textFill>
              </w:rPr>
              <w:t>4499</w:t>
            </w:r>
          </w:p>
        </w:tc>
        <w:tc>
          <w:tcPr>
            <w:tcW w:w="507" w:type="pct"/>
            <w:tcBorders>
              <w:top w:val="double" w:color="auto" w:sz="6" w:space="0"/>
            </w:tcBorders>
            <w:shd w:val="clear" w:color="auto" w:fill="auto"/>
            <w:noWrap/>
            <w:vAlign w:val="center"/>
          </w:tcPr>
          <w:p w14:paraId="66CD8ACF">
            <w:pPr>
              <w:pStyle w:val="33"/>
              <w:rPr>
                <w:color w:val="000000" w:themeColor="text1"/>
                <w14:textFill>
                  <w14:solidFill>
                    <w14:schemeClr w14:val="tx1"/>
                  </w14:solidFill>
                </w14:textFill>
              </w:rPr>
            </w:pPr>
            <w:r>
              <w:rPr>
                <w:color w:val="000000" w:themeColor="text1"/>
                <w14:textFill>
                  <w14:solidFill>
                    <w14:schemeClr w14:val="tx1"/>
                  </w14:solidFill>
                </w14:textFill>
              </w:rPr>
              <w:t>50m（21m）</w:t>
            </w:r>
          </w:p>
        </w:tc>
        <w:tc>
          <w:tcPr>
            <w:tcW w:w="304" w:type="pct"/>
            <w:tcBorders>
              <w:top w:val="double" w:color="auto" w:sz="6" w:space="0"/>
            </w:tcBorders>
            <w:shd w:val="clear" w:color="auto" w:fill="auto"/>
            <w:noWrap/>
            <w:vAlign w:val="center"/>
          </w:tcPr>
          <w:p w14:paraId="65C121CB">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4499 </w:t>
            </w:r>
          </w:p>
        </w:tc>
        <w:tc>
          <w:tcPr>
            <w:tcW w:w="304" w:type="pct"/>
            <w:tcBorders>
              <w:top w:val="double" w:color="auto" w:sz="6" w:space="0"/>
            </w:tcBorders>
            <w:shd w:val="clear" w:color="auto" w:fill="auto"/>
            <w:noWrap/>
            <w:vAlign w:val="center"/>
          </w:tcPr>
          <w:p w14:paraId="5A10490C">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15.30 </w:t>
            </w:r>
          </w:p>
        </w:tc>
        <w:tc>
          <w:tcPr>
            <w:tcW w:w="306" w:type="pct"/>
            <w:tcBorders>
              <w:top w:val="double" w:color="auto" w:sz="6" w:space="0"/>
            </w:tcBorders>
            <w:shd w:val="clear" w:color="auto" w:fill="auto"/>
            <w:noWrap/>
            <w:vAlign w:val="center"/>
          </w:tcPr>
          <w:p w14:paraId="3E91B2B2">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7.20 </w:t>
            </w:r>
          </w:p>
        </w:tc>
        <w:tc>
          <w:tcPr>
            <w:tcW w:w="253" w:type="pct"/>
            <w:tcBorders>
              <w:top w:val="double" w:color="auto" w:sz="6" w:space="0"/>
            </w:tcBorders>
            <w:shd w:val="clear" w:color="auto" w:fill="auto"/>
            <w:noWrap/>
            <w:vAlign w:val="center"/>
          </w:tcPr>
          <w:p w14:paraId="14CB9463">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tcBorders>
              <w:top w:val="double" w:color="auto" w:sz="6" w:space="0"/>
            </w:tcBorders>
            <w:shd w:val="clear" w:color="auto" w:fill="auto"/>
            <w:noWrap/>
            <w:vAlign w:val="center"/>
          </w:tcPr>
          <w:p w14:paraId="255D3ABC">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tcBorders>
              <w:top w:val="double" w:color="auto" w:sz="6" w:space="0"/>
            </w:tcBorders>
            <w:shd w:val="clear" w:color="auto" w:fill="auto"/>
            <w:noWrap/>
            <w:vAlign w:val="center"/>
          </w:tcPr>
          <w:p w14:paraId="2D51F670">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254" w:type="pct"/>
            <w:tcBorders>
              <w:top w:val="double" w:color="auto" w:sz="6" w:space="0"/>
            </w:tcBorders>
            <w:shd w:val="clear" w:color="auto" w:fill="auto"/>
            <w:noWrap/>
            <w:vAlign w:val="center"/>
          </w:tcPr>
          <w:p w14:paraId="230A6B35">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tcBorders>
              <w:top w:val="double" w:color="auto" w:sz="6" w:space="0"/>
            </w:tcBorders>
            <w:shd w:val="clear" w:color="auto" w:fill="auto"/>
            <w:noWrap/>
            <w:vAlign w:val="center"/>
          </w:tcPr>
          <w:p w14:paraId="53FE3CB4">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tcBorders>
              <w:top w:val="double" w:color="auto" w:sz="6" w:space="0"/>
            </w:tcBorders>
            <w:shd w:val="clear" w:color="auto" w:fill="auto"/>
            <w:noWrap/>
            <w:vAlign w:val="center"/>
          </w:tcPr>
          <w:p w14:paraId="61B4F483">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54" w:type="pct"/>
            <w:tcBorders>
              <w:top w:val="double" w:color="auto" w:sz="6" w:space="0"/>
            </w:tcBorders>
            <w:shd w:val="clear" w:color="auto" w:fill="auto"/>
            <w:noWrap/>
            <w:vAlign w:val="center"/>
          </w:tcPr>
          <w:p w14:paraId="66CE03FD">
            <w:pPr>
              <w:pStyle w:val="33"/>
              <w:rPr>
                <w:color w:val="000000" w:themeColor="text1"/>
                <w14:textFill>
                  <w14:solidFill>
                    <w14:schemeClr w14:val="tx1"/>
                  </w14:solidFill>
                </w14:textFill>
              </w:rPr>
            </w:pPr>
            <w:r>
              <w:rPr>
                <w:color w:val="000000" w:themeColor="text1"/>
                <w14:textFill>
                  <w14:solidFill>
                    <w14:schemeClr w14:val="tx1"/>
                  </w14:solidFill>
                </w14:textFill>
              </w:rPr>
              <w:t>未编报</w:t>
            </w:r>
          </w:p>
        </w:tc>
        <w:tc>
          <w:tcPr>
            <w:tcW w:w="542" w:type="pct"/>
            <w:tcBorders>
              <w:top w:val="double" w:color="auto" w:sz="6" w:space="0"/>
            </w:tcBorders>
            <w:shd w:val="clear" w:color="auto" w:fill="auto"/>
            <w:noWrap/>
            <w:vAlign w:val="center"/>
          </w:tcPr>
          <w:p w14:paraId="374E15CE">
            <w:pPr>
              <w:pStyle w:val="33"/>
              <w:rPr>
                <w:color w:val="000000" w:themeColor="text1"/>
                <w14:textFill>
                  <w14:solidFill>
                    <w14:schemeClr w14:val="tx1"/>
                  </w14:solidFill>
                </w14:textFill>
              </w:rPr>
            </w:pPr>
            <w:r>
              <w:rPr>
                <w:color w:val="000000" w:themeColor="text1"/>
                <w14:textFill>
                  <w14:solidFill>
                    <w14:schemeClr w14:val="tx1"/>
                  </w14:solidFill>
                </w14:textFill>
              </w:rPr>
              <w:t>无</w:t>
            </w:r>
          </w:p>
        </w:tc>
      </w:tr>
      <w:tr w14:paraId="3B506B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4" w:type="pct"/>
            <w:shd w:val="clear" w:color="auto" w:fill="auto"/>
            <w:vAlign w:val="center"/>
          </w:tcPr>
          <w:p w14:paraId="5E4A1AF6">
            <w:pPr>
              <w:pStyle w:val="33"/>
              <w:rPr>
                <w:color w:val="000000" w:themeColor="text1"/>
                <w14:textFill>
                  <w14:solidFill>
                    <w14:schemeClr w14:val="tx1"/>
                  </w14:solidFill>
                </w14:textFill>
              </w:rPr>
            </w:pPr>
            <w:r>
              <w:rPr>
                <w:color w:val="000000" w:themeColor="text1"/>
                <w14:textFill>
                  <w14:solidFill>
                    <w14:schemeClr w14:val="tx1"/>
                  </w14:solidFill>
                </w14:textFill>
              </w:rPr>
              <w:t>纬二路扩建段</w:t>
            </w:r>
          </w:p>
        </w:tc>
        <w:tc>
          <w:tcPr>
            <w:tcW w:w="305" w:type="pct"/>
            <w:shd w:val="clear" w:color="auto" w:fill="auto"/>
            <w:noWrap/>
            <w:vAlign w:val="center"/>
          </w:tcPr>
          <w:p w14:paraId="177E7118">
            <w:pPr>
              <w:pStyle w:val="33"/>
              <w:rPr>
                <w:color w:val="000000" w:themeColor="text1"/>
                <w14:textFill>
                  <w14:solidFill>
                    <w14:schemeClr w14:val="tx1"/>
                  </w14:solidFill>
                </w14:textFill>
              </w:rPr>
            </w:pPr>
            <w:r>
              <w:rPr>
                <w:color w:val="000000" w:themeColor="text1"/>
                <w14:textFill>
                  <w14:solidFill>
                    <w14:schemeClr w14:val="tx1"/>
                  </w14:solidFill>
                </w14:textFill>
              </w:rPr>
              <w:t>989</w:t>
            </w:r>
          </w:p>
        </w:tc>
        <w:tc>
          <w:tcPr>
            <w:tcW w:w="507" w:type="pct"/>
            <w:shd w:val="clear" w:color="auto" w:fill="auto"/>
            <w:vAlign w:val="center"/>
          </w:tcPr>
          <w:p w14:paraId="72FBAD5A">
            <w:pPr>
              <w:pStyle w:val="33"/>
              <w:rPr>
                <w:color w:val="000000" w:themeColor="text1"/>
                <w14:textFill>
                  <w14:solidFill>
                    <w14:schemeClr w14:val="tx1"/>
                  </w14:solidFill>
                </w14:textFill>
              </w:rPr>
            </w:pPr>
            <w:r>
              <w:rPr>
                <w:color w:val="000000" w:themeColor="text1"/>
                <w14:textFill>
                  <w14:solidFill>
                    <w14:schemeClr w14:val="tx1"/>
                  </w14:solidFill>
                </w14:textFill>
              </w:rPr>
              <w:t>50m（21m）</w:t>
            </w:r>
          </w:p>
        </w:tc>
        <w:tc>
          <w:tcPr>
            <w:tcW w:w="304" w:type="pct"/>
            <w:shd w:val="clear" w:color="auto" w:fill="auto"/>
            <w:noWrap/>
            <w:vAlign w:val="center"/>
          </w:tcPr>
          <w:p w14:paraId="533B71EF">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989 </w:t>
            </w:r>
          </w:p>
        </w:tc>
        <w:tc>
          <w:tcPr>
            <w:tcW w:w="304" w:type="pct"/>
            <w:shd w:val="clear" w:color="auto" w:fill="auto"/>
            <w:noWrap/>
            <w:vAlign w:val="center"/>
          </w:tcPr>
          <w:p w14:paraId="3A90C87D">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3.36 </w:t>
            </w:r>
          </w:p>
        </w:tc>
        <w:tc>
          <w:tcPr>
            <w:tcW w:w="306" w:type="pct"/>
            <w:shd w:val="clear" w:color="auto" w:fill="auto"/>
            <w:noWrap/>
            <w:vAlign w:val="center"/>
          </w:tcPr>
          <w:p w14:paraId="7C618A2E">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4.00 </w:t>
            </w:r>
          </w:p>
        </w:tc>
        <w:tc>
          <w:tcPr>
            <w:tcW w:w="253" w:type="pct"/>
            <w:shd w:val="clear" w:color="auto" w:fill="auto"/>
            <w:noWrap/>
            <w:vAlign w:val="center"/>
          </w:tcPr>
          <w:p w14:paraId="2107A868">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shd w:val="clear" w:color="auto" w:fill="auto"/>
            <w:noWrap/>
            <w:vAlign w:val="center"/>
          </w:tcPr>
          <w:p w14:paraId="07794BB6">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25757443">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254" w:type="pct"/>
            <w:shd w:val="clear" w:color="auto" w:fill="auto"/>
            <w:noWrap/>
            <w:vAlign w:val="center"/>
          </w:tcPr>
          <w:p w14:paraId="41C8B6FB">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shd w:val="clear" w:color="auto" w:fill="auto"/>
            <w:noWrap/>
            <w:vAlign w:val="center"/>
          </w:tcPr>
          <w:p w14:paraId="3E556927">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2F4FFB57">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54" w:type="pct"/>
            <w:shd w:val="clear" w:color="auto" w:fill="auto"/>
            <w:noWrap/>
            <w:vAlign w:val="center"/>
          </w:tcPr>
          <w:p w14:paraId="7BA36E73">
            <w:pPr>
              <w:pStyle w:val="33"/>
              <w:rPr>
                <w:color w:val="000000" w:themeColor="text1"/>
                <w14:textFill>
                  <w14:solidFill>
                    <w14:schemeClr w14:val="tx1"/>
                  </w14:solidFill>
                </w14:textFill>
              </w:rPr>
            </w:pPr>
            <w:r>
              <w:rPr>
                <w:color w:val="000000" w:themeColor="text1"/>
                <w14:textFill>
                  <w14:solidFill>
                    <w14:schemeClr w14:val="tx1"/>
                  </w14:solidFill>
                </w14:textFill>
              </w:rPr>
              <w:t>未编报</w:t>
            </w:r>
          </w:p>
        </w:tc>
        <w:tc>
          <w:tcPr>
            <w:tcW w:w="542" w:type="pct"/>
            <w:shd w:val="clear" w:color="auto" w:fill="auto"/>
            <w:noWrap/>
            <w:vAlign w:val="center"/>
          </w:tcPr>
          <w:p w14:paraId="3A8A1EF0">
            <w:pPr>
              <w:pStyle w:val="33"/>
              <w:rPr>
                <w:color w:val="000000" w:themeColor="text1"/>
                <w14:textFill>
                  <w14:solidFill>
                    <w14:schemeClr w14:val="tx1"/>
                  </w14:solidFill>
                </w14:textFill>
              </w:rPr>
            </w:pPr>
            <w:r>
              <w:rPr>
                <w:color w:val="000000" w:themeColor="text1"/>
                <w14:textFill>
                  <w14:solidFill>
                    <w14:schemeClr w14:val="tx1"/>
                  </w14:solidFill>
                </w14:textFill>
              </w:rPr>
              <w:t>无</w:t>
            </w:r>
          </w:p>
        </w:tc>
      </w:tr>
      <w:tr w14:paraId="6323ED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4" w:type="pct"/>
            <w:shd w:val="clear" w:color="auto" w:fill="auto"/>
            <w:vAlign w:val="center"/>
          </w:tcPr>
          <w:p w14:paraId="4F90A065">
            <w:pPr>
              <w:pStyle w:val="33"/>
              <w:rPr>
                <w:color w:val="000000" w:themeColor="text1"/>
                <w14:textFill>
                  <w14:solidFill>
                    <w14:schemeClr w14:val="tx1"/>
                  </w14:solidFill>
                </w14:textFill>
              </w:rPr>
            </w:pPr>
            <w:r>
              <w:rPr>
                <w:color w:val="000000" w:themeColor="text1"/>
                <w14:textFill>
                  <w14:solidFill>
                    <w14:schemeClr w14:val="tx1"/>
                  </w14:solidFill>
                </w14:textFill>
              </w:rPr>
              <w:t>纬二西路</w:t>
            </w:r>
          </w:p>
        </w:tc>
        <w:tc>
          <w:tcPr>
            <w:tcW w:w="305" w:type="pct"/>
            <w:shd w:val="clear" w:color="auto" w:fill="auto"/>
            <w:noWrap/>
            <w:vAlign w:val="center"/>
          </w:tcPr>
          <w:p w14:paraId="33879830">
            <w:pPr>
              <w:pStyle w:val="33"/>
              <w:rPr>
                <w:color w:val="000000" w:themeColor="text1"/>
                <w14:textFill>
                  <w14:solidFill>
                    <w14:schemeClr w14:val="tx1"/>
                  </w14:solidFill>
                </w14:textFill>
              </w:rPr>
            </w:pPr>
            <w:r>
              <w:rPr>
                <w:color w:val="000000" w:themeColor="text1"/>
                <w14:textFill>
                  <w14:solidFill>
                    <w14:schemeClr w14:val="tx1"/>
                  </w14:solidFill>
                </w14:textFill>
              </w:rPr>
              <w:t>2759</w:t>
            </w:r>
          </w:p>
        </w:tc>
        <w:tc>
          <w:tcPr>
            <w:tcW w:w="507" w:type="pct"/>
            <w:shd w:val="clear" w:color="auto" w:fill="auto"/>
            <w:vAlign w:val="center"/>
          </w:tcPr>
          <w:p w14:paraId="43973890">
            <w:pPr>
              <w:pStyle w:val="33"/>
              <w:rPr>
                <w:color w:val="000000" w:themeColor="text1"/>
                <w14:textFill>
                  <w14:solidFill>
                    <w14:schemeClr w14:val="tx1"/>
                  </w14:solidFill>
                </w14:textFill>
              </w:rPr>
            </w:pPr>
            <w:r>
              <w:rPr>
                <w:color w:val="000000" w:themeColor="text1"/>
                <w14:textFill>
                  <w14:solidFill>
                    <w14:schemeClr w14:val="tx1"/>
                  </w14:solidFill>
                </w14:textFill>
              </w:rPr>
              <w:t>40m（16m）</w:t>
            </w:r>
          </w:p>
        </w:tc>
        <w:tc>
          <w:tcPr>
            <w:tcW w:w="304" w:type="pct"/>
            <w:shd w:val="clear" w:color="auto" w:fill="auto"/>
            <w:noWrap/>
            <w:vAlign w:val="center"/>
          </w:tcPr>
          <w:p w14:paraId="17A7E875">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2759 </w:t>
            </w:r>
          </w:p>
        </w:tc>
        <w:tc>
          <w:tcPr>
            <w:tcW w:w="304" w:type="pct"/>
            <w:shd w:val="clear" w:color="auto" w:fill="auto"/>
            <w:noWrap/>
            <w:vAlign w:val="center"/>
          </w:tcPr>
          <w:p w14:paraId="2EDCFA47">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6.90 </w:t>
            </w:r>
          </w:p>
        </w:tc>
        <w:tc>
          <w:tcPr>
            <w:tcW w:w="306" w:type="pct"/>
            <w:shd w:val="clear" w:color="auto" w:fill="auto"/>
            <w:noWrap/>
            <w:vAlign w:val="center"/>
          </w:tcPr>
          <w:p w14:paraId="7709629F">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7.33 </w:t>
            </w:r>
          </w:p>
        </w:tc>
        <w:tc>
          <w:tcPr>
            <w:tcW w:w="253" w:type="pct"/>
            <w:shd w:val="clear" w:color="auto" w:fill="auto"/>
            <w:noWrap/>
            <w:vAlign w:val="center"/>
          </w:tcPr>
          <w:p w14:paraId="39E0C649">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shd w:val="clear" w:color="auto" w:fill="auto"/>
            <w:noWrap/>
            <w:vAlign w:val="center"/>
          </w:tcPr>
          <w:p w14:paraId="07BD92FB">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46459B92">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254" w:type="pct"/>
            <w:shd w:val="clear" w:color="auto" w:fill="auto"/>
            <w:noWrap/>
            <w:vAlign w:val="center"/>
          </w:tcPr>
          <w:p w14:paraId="2BE90CAB">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shd w:val="clear" w:color="auto" w:fill="auto"/>
            <w:noWrap/>
            <w:vAlign w:val="center"/>
          </w:tcPr>
          <w:p w14:paraId="21BC261A">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3F0C7E5E">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54" w:type="pct"/>
            <w:shd w:val="clear" w:color="auto" w:fill="auto"/>
            <w:noWrap/>
            <w:vAlign w:val="center"/>
          </w:tcPr>
          <w:p w14:paraId="47EA61A2">
            <w:pPr>
              <w:pStyle w:val="33"/>
              <w:rPr>
                <w:color w:val="000000" w:themeColor="text1"/>
                <w14:textFill>
                  <w14:solidFill>
                    <w14:schemeClr w14:val="tx1"/>
                  </w14:solidFill>
                </w14:textFill>
              </w:rPr>
            </w:pPr>
            <w:r>
              <w:rPr>
                <w:color w:val="000000" w:themeColor="text1"/>
                <w14:textFill>
                  <w14:solidFill>
                    <w14:schemeClr w14:val="tx1"/>
                  </w14:solidFill>
                </w14:textFill>
              </w:rPr>
              <w:t>未编报</w:t>
            </w:r>
          </w:p>
        </w:tc>
        <w:tc>
          <w:tcPr>
            <w:tcW w:w="542" w:type="pct"/>
            <w:shd w:val="clear" w:color="auto" w:fill="auto"/>
            <w:noWrap/>
            <w:vAlign w:val="center"/>
          </w:tcPr>
          <w:p w14:paraId="35CE4C0B">
            <w:pPr>
              <w:pStyle w:val="33"/>
              <w:rPr>
                <w:color w:val="000000" w:themeColor="text1"/>
                <w14:textFill>
                  <w14:solidFill>
                    <w14:schemeClr w14:val="tx1"/>
                  </w14:solidFill>
                </w14:textFill>
              </w:rPr>
            </w:pPr>
            <w:r>
              <w:rPr>
                <w:color w:val="000000" w:themeColor="text1"/>
                <w14:textFill>
                  <w14:solidFill>
                    <w14:schemeClr w14:val="tx1"/>
                  </w14:solidFill>
                </w14:textFill>
              </w:rPr>
              <w:t>无</w:t>
            </w:r>
          </w:p>
        </w:tc>
      </w:tr>
      <w:tr w14:paraId="3CCC3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4" w:type="pct"/>
            <w:shd w:val="clear" w:color="auto" w:fill="auto"/>
            <w:vAlign w:val="center"/>
          </w:tcPr>
          <w:p w14:paraId="5FAEA3F7">
            <w:pPr>
              <w:pStyle w:val="33"/>
              <w:rPr>
                <w:color w:val="000000" w:themeColor="text1"/>
                <w14:textFill>
                  <w14:solidFill>
                    <w14:schemeClr w14:val="tx1"/>
                  </w14:solidFill>
                </w14:textFill>
              </w:rPr>
            </w:pPr>
            <w:r>
              <w:rPr>
                <w:color w:val="000000" w:themeColor="text1"/>
                <w14:textFill>
                  <w14:solidFill>
                    <w14:schemeClr w14:val="tx1"/>
                  </w14:solidFill>
                </w14:textFill>
              </w:rPr>
              <w:t>纬二中路（电厂北侧）</w:t>
            </w:r>
          </w:p>
        </w:tc>
        <w:tc>
          <w:tcPr>
            <w:tcW w:w="305" w:type="pct"/>
            <w:shd w:val="clear" w:color="auto" w:fill="auto"/>
            <w:noWrap/>
            <w:vAlign w:val="center"/>
          </w:tcPr>
          <w:p w14:paraId="507A1FCD">
            <w:pPr>
              <w:pStyle w:val="33"/>
              <w:rPr>
                <w:color w:val="000000" w:themeColor="text1"/>
                <w14:textFill>
                  <w14:solidFill>
                    <w14:schemeClr w14:val="tx1"/>
                  </w14:solidFill>
                </w14:textFill>
              </w:rPr>
            </w:pPr>
            <w:r>
              <w:rPr>
                <w:color w:val="000000" w:themeColor="text1"/>
                <w14:textFill>
                  <w14:solidFill>
                    <w14:schemeClr w14:val="tx1"/>
                  </w14:solidFill>
                </w14:textFill>
              </w:rPr>
              <w:t>1671</w:t>
            </w:r>
          </w:p>
        </w:tc>
        <w:tc>
          <w:tcPr>
            <w:tcW w:w="507" w:type="pct"/>
            <w:shd w:val="clear" w:color="auto" w:fill="auto"/>
            <w:vAlign w:val="center"/>
          </w:tcPr>
          <w:p w14:paraId="687410EF">
            <w:pPr>
              <w:pStyle w:val="33"/>
              <w:rPr>
                <w:color w:val="000000" w:themeColor="text1"/>
                <w14:textFill>
                  <w14:solidFill>
                    <w14:schemeClr w14:val="tx1"/>
                  </w14:solidFill>
                </w14:textFill>
              </w:rPr>
            </w:pPr>
            <w:r>
              <w:rPr>
                <w:color w:val="000000" w:themeColor="text1"/>
                <w14:textFill>
                  <w14:solidFill>
                    <w14:schemeClr w14:val="tx1"/>
                  </w14:solidFill>
                </w14:textFill>
              </w:rPr>
              <w:t>40m（16m）</w:t>
            </w:r>
          </w:p>
        </w:tc>
        <w:tc>
          <w:tcPr>
            <w:tcW w:w="304" w:type="pct"/>
            <w:shd w:val="clear" w:color="auto" w:fill="auto"/>
            <w:noWrap/>
            <w:vAlign w:val="center"/>
          </w:tcPr>
          <w:p w14:paraId="5D6766F8">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1671 </w:t>
            </w:r>
          </w:p>
        </w:tc>
        <w:tc>
          <w:tcPr>
            <w:tcW w:w="304" w:type="pct"/>
            <w:shd w:val="clear" w:color="auto" w:fill="auto"/>
            <w:noWrap/>
            <w:vAlign w:val="center"/>
          </w:tcPr>
          <w:p w14:paraId="14A74458">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4.18 </w:t>
            </w:r>
          </w:p>
        </w:tc>
        <w:tc>
          <w:tcPr>
            <w:tcW w:w="306" w:type="pct"/>
            <w:shd w:val="clear" w:color="auto" w:fill="auto"/>
            <w:noWrap/>
            <w:vAlign w:val="center"/>
          </w:tcPr>
          <w:p w14:paraId="6FB91163">
            <w:pPr>
              <w:pStyle w:val="33"/>
              <w:rPr>
                <w:color w:val="000000" w:themeColor="text1"/>
                <w14:textFill>
                  <w14:solidFill>
                    <w14:schemeClr w14:val="tx1"/>
                  </w14:solidFill>
                </w14:textFill>
              </w:rPr>
            </w:pPr>
          </w:p>
        </w:tc>
        <w:tc>
          <w:tcPr>
            <w:tcW w:w="253" w:type="pct"/>
            <w:shd w:val="clear" w:color="auto" w:fill="auto"/>
            <w:noWrap/>
            <w:vAlign w:val="center"/>
          </w:tcPr>
          <w:p w14:paraId="3041ECF2">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shd w:val="clear" w:color="auto" w:fill="auto"/>
            <w:noWrap/>
            <w:vAlign w:val="center"/>
          </w:tcPr>
          <w:p w14:paraId="3CEB40E6">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7056477C">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254" w:type="pct"/>
            <w:shd w:val="clear" w:color="auto" w:fill="auto"/>
            <w:noWrap/>
            <w:vAlign w:val="center"/>
          </w:tcPr>
          <w:p w14:paraId="73BE7EA8">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shd w:val="clear" w:color="auto" w:fill="auto"/>
            <w:noWrap/>
            <w:vAlign w:val="center"/>
          </w:tcPr>
          <w:p w14:paraId="62EF2A62">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4409209C">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54" w:type="pct"/>
            <w:shd w:val="clear" w:color="auto" w:fill="auto"/>
            <w:noWrap/>
            <w:vAlign w:val="center"/>
          </w:tcPr>
          <w:p w14:paraId="3EBAB079">
            <w:pPr>
              <w:pStyle w:val="33"/>
              <w:rPr>
                <w:color w:val="000000" w:themeColor="text1"/>
                <w14:textFill>
                  <w14:solidFill>
                    <w14:schemeClr w14:val="tx1"/>
                  </w14:solidFill>
                </w14:textFill>
              </w:rPr>
            </w:pPr>
            <w:r>
              <w:rPr>
                <w:color w:val="000000" w:themeColor="text1"/>
                <w14:textFill>
                  <w14:solidFill>
                    <w14:schemeClr w14:val="tx1"/>
                  </w14:solidFill>
                </w14:textFill>
              </w:rPr>
              <w:t>未编报</w:t>
            </w:r>
          </w:p>
        </w:tc>
        <w:tc>
          <w:tcPr>
            <w:tcW w:w="542" w:type="pct"/>
            <w:shd w:val="clear" w:color="auto" w:fill="auto"/>
            <w:noWrap/>
            <w:vAlign w:val="center"/>
          </w:tcPr>
          <w:p w14:paraId="65319680">
            <w:pPr>
              <w:pStyle w:val="33"/>
              <w:rPr>
                <w:color w:val="000000" w:themeColor="text1"/>
                <w14:textFill>
                  <w14:solidFill>
                    <w14:schemeClr w14:val="tx1"/>
                  </w14:solidFill>
                </w14:textFill>
              </w:rPr>
            </w:pPr>
            <w:r>
              <w:rPr>
                <w:color w:val="000000" w:themeColor="text1"/>
                <w14:textFill>
                  <w14:solidFill>
                    <w14:schemeClr w14:val="tx1"/>
                  </w14:solidFill>
                </w14:textFill>
              </w:rPr>
              <w:t>无</w:t>
            </w:r>
          </w:p>
        </w:tc>
      </w:tr>
      <w:tr w14:paraId="3B758D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4" w:type="pct"/>
            <w:shd w:val="clear" w:color="auto" w:fill="auto"/>
            <w:vAlign w:val="center"/>
          </w:tcPr>
          <w:p w14:paraId="7002BB34">
            <w:pPr>
              <w:pStyle w:val="33"/>
              <w:rPr>
                <w:color w:val="000000" w:themeColor="text1"/>
                <w14:textFill>
                  <w14:solidFill>
                    <w14:schemeClr w14:val="tx1"/>
                  </w14:solidFill>
                </w14:textFill>
              </w:rPr>
            </w:pPr>
            <w:r>
              <w:rPr>
                <w:color w:val="000000" w:themeColor="text1"/>
                <w14:textFill>
                  <w14:solidFill>
                    <w14:schemeClr w14:val="tx1"/>
                  </w14:solidFill>
                </w14:textFill>
              </w:rPr>
              <w:t>纬二东路</w:t>
            </w:r>
          </w:p>
        </w:tc>
        <w:tc>
          <w:tcPr>
            <w:tcW w:w="305" w:type="pct"/>
            <w:shd w:val="clear" w:color="auto" w:fill="auto"/>
            <w:noWrap/>
            <w:vAlign w:val="center"/>
          </w:tcPr>
          <w:p w14:paraId="4E6C1EF5">
            <w:pPr>
              <w:pStyle w:val="33"/>
              <w:rPr>
                <w:color w:val="000000" w:themeColor="text1"/>
                <w14:textFill>
                  <w14:solidFill>
                    <w14:schemeClr w14:val="tx1"/>
                  </w14:solidFill>
                </w14:textFill>
              </w:rPr>
            </w:pPr>
            <w:r>
              <w:rPr>
                <w:color w:val="000000" w:themeColor="text1"/>
                <w14:textFill>
                  <w14:solidFill>
                    <w14:schemeClr w14:val="tx1"/>
                  </w14:solidFill>
                </w14:textFill>
              </w:rPr>
              <w:t>2055</w:t>
            </w:r>
          </w:p>
        </w:tc>
        <w:tc>
          <w:tcPr>
            <w:tcW w:w="507" w:type="pct"/>
            <w:shd w:val="clear" w:color="auto" w:fill="auto"/>
            <w:vAlign w:val="center"/>
          </w:tcPr>
          <w:p w14:paraId="5554F0D8">
            <w:pPr>
              <w:pStyle w:val="33"/>
              <w:rPr>
                <w:color w:val="000000" w:themeColor="text1"/>
                <w14:textFill>
                  <w14:solidFill>
                    <w14:schemeClr w14:val="tx1"/>
                  </w14:solidFill>
                </w14:textFill>
              </w:rPr>
            </w:pPr>
            <w:r>
              <w:rPr>
                <w:color w:val="000000" w:themeColor="text1"/>
                <w14:textFill>
                  <w14:solidFill>
                    <w14:schemeClr w14:val="tx1"/>
                  </w14:solidFill>
                </w14:textFill>
              </w:rPr>
              <w:t>40m（16m）</w:t>
            </w:r>
          </w:p>
        </w:tc>
        <w:tc>
          <w:tcPr>
            <w:tcW w:w="304" w:type="pct"/>
            <w:shd w:val="clear" w:color="auto" w:fill="auto"/>
            <w:noWrap/>
            <w:vAlign w:val="center"/>
          </w:tcPr>
          <w:p w14:paraId="3D5EAAA9">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2055 </w:t>
            </w:r>
          </w:p>
        </w:tc>
        <w:tc>
          <w:tcPr>
            <w:tcW w:w="304" w:type="pct"/>
            <w:shd w:val="clear" w:color="auto" w:fill="auto"/>
            <w:noWrap/>
            <w:vAlign w:val="center"/>
          </w:tcPr>
          <w:p w14:paraId="53069BD1">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5.14 </w:t>
            </w:r>
          </w:p>
        </w:tc>
        <w:tc>
          <w:tcPr>
            <w:tcW w:w="306" w:type="pct"/>
            <w:shd w:val="clear" w:color="auto" w:fill="auto"/>
            <w:noWrap/>
            <w:vAlign w:val="center"/>
          </w:tcPr>
          <w:p w14:paraId="1838ABB6">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4.93 </w:t>
            </w:r>
          </w:p>
        </w:tc>
        <w:tc>
          <w:tcPr>
            <w:tcW w:w="253" w:type="pct"/>
            <w:shd w:val="clear" w:color="auto" w:fill="auto"/>
            <w:noWrap/>
            <w:vAlign w:val="center"/>
          </w:tcPr>
          <w:p w14:paraId="0D85C2A5">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shd w:val="clear" w:color="auto" w:fill="auto"/>
            <w:noWrap/>
            <w:vAlign w:val="center"/>
          </w:tcPr>
          <w:p w14:paraId="6F8D5401">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3A6B1BE2">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254" w:type="pct"/>
            <w:shd w:val="clear" w:color="auto" w:fill="auto"/>
            <w:noWrap/>
            <w:vAlign w:val="center"/>
          </w:tcPr>
          <w:p w14:paraId="3462D3D3">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shd w:val="clear" w:color="auto" w:fill="auto"/>
            <w:noWrap/>
            <w:vAlign w:val="center"/>
          </w:tcPr>
          <w:p w14:paraId="24622D4B">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1A58ABDB">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54" w:type="pct"/>
            <w:shd w:val="clear" w:color="auto" w:fill="auto"/>
            <w:noWrap/>
            <w:vAlign w:val="center"/>
          </w:tcPr>
          <w:p w14:paraId="3FC01BB3">
            <w:pPr>
              <w:pStyle w:val="33"/>
              <w:rPr>
                <w:color w:val="000000" w:themeColor="text1"/>
                <w14:textFill>
                  <w14:solidFill>
                    <w14:schemeClr w14:val="tx1"/>
                  </w14:solidFill>
                </w14:textFill>
              </w:rPr>
            </w:pPr>
            <w:r>
              <w:rPr>
                <w:color w:val="000000" w:themeColor="text1"/>
                <w14:textFill>
                  <w14:solidFill>
                    <w14:schemeClr w14:val="tx1"/>
                  </w14:solidFill>
                </w14:textFill>
              </w:rPr>
              <w:t>未编报</w:t>
            </w:r>
          </w:p>
        </w:tc>
        <w:tc>
          <w:tcPr>
            <w:tcW w:w="542" w:type="pct"/>
            <w:shd w:val="clear" w:color="auto" w:fill="auto"/>
            <w:noWrap/>
            <w:vAlign w:val="center"/>
          </w:tcPr>
          <w:p w14:paraId="33B20B1C">
            <w:pPr>
              <w:pStyle w:val="33"/>
              <w:rPr>
                <w:color w:val="000000" w:themeColor="text1"/>
                <w14:textFill>
                  <w14:solidFill>
                    <w14:schemeClr w14:val="tx1"/>
                  </w14:solidFill>
                </w14:textFill>
              </w:rPr>
            </w:pPr>
            <w:r>
              <w:rPr>
                <w:color w:val="000000" w:themeColor="text1"/>
                <w14:textFill>
                  <w14:solidFill>
                    <w14:schemeClr w14:val="tx1"/>
                  </w14:solidFill>
                </w14:textFill>
              </w:rPr>
              <w:t>无</w:t>
            </w:r>
          </w:p>
        </w:tc>
      </w:tr>
      <w:tr w14:paraId="2C7048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4" w:type="pct"/>
            <w:shd w:val="clear" w:color="auto" w:fill="auto"/>
            <w:vAlign w:val="center"/>
          </w:tcPr>
          <w:p w14:paraId="2D03FEA5">
            <w:pPr>
              <w:pStyle w:val="33"/>
              <w:rPr>
                <w:color w:val="000000" w:themeColor="text1"/>
                <w14:textFill>
                  <w14:solidFill>
                    <w14:schemeClr w14:val="tx1"/>
                  </w14:solidFill>
                </w14:textFill>
              </w:rPr>
            </w:pPr>
            <w:r>
              <w:rPr>
                <w:color w:val="000000" w:themeColor="text1"/>
                <w14:textFill>
                  <w14:solidFill>
                    <w14:schemeClr w14:val="tx1"/>
                  </w14:solidFill>
                </w14:textFill>
              </w:rPr>
              <w:t>纬三路（电厂南侧）</w:t>
            </w:r>
          </w:p>
        </w:tc>
        <w:tc>
          <w:tcPr>
            <w:tcW w:w="305" w:type="pct"/>
            <w:shd w:val="clear" w:color="auto" w:fill="auto"/>
            <w:noWrap/>
            <w:vAlign w:val="center"/>
          </w:tcPr>
          <w:p w14:paraId="5E9AE1A6">
            <w:pPr>
              <w:pStyle w:val="33"/>
              <w:rPr>
                <w:color w:val="000000" w:themeColor="text1"/>
                <w14:textFill>
                  <w14:solidFill>
                    <w14:schemeClr w14:val="tx1"/>
                  </w14:solidFill>
                </w14:textFill>
              </w:rPr>
            </w:pPr>
            <w:r>
              <w:rPr>
                <w:color w:val="000000" w:themeColor="text1"/>
                <w14:textFill>
                  <w14:solidFill>
                    <w14:schemeClr w14:val="tx1"/>
                  </w14:solidFill>
                </w14:textFill>
              </w:rPr>
              <w:t>7667</w:t>
            </w:r>
          </w:p>
        </w:tc>
        <w:tc>
          <w:tcPr>
            <w:tcW w:w="507" w:type="pct"/>
            <w:shd w:val="clear" w:color="auto" w:fill="auto"/>
            <w:noWrap/>
            <w:vAlign w:val="center"/>
          </w:tcPr>
          <w:p w14:paraId="05DB70F6">
            <w:pPr>
              <w:pStyle w:val="33"/>
              <w:rPr>
                <w:color w:val="000000" w:themeColor="text1"/>
                <w14:textFill>
                  <w14:solidFill>
                    <w14:schemeClr w14:val="tx1"/>
                  </w14:solidFill>
                </w14:textFill>
              </w:rPr>
            </w:pPr>
            <w:r>
              <w:rPr>
                <w:color w:val="000000" w:themeColor="text1"/>
                <w14:textFill>
                  <w14:solidFill>
                    <w14:schemeClr w14:val="tx1"/>
                  </w14:solidFill>
                </w14:textFill>
              </w:rPr>
              <w:t>30m（14m）</w:t>
            </w:r>
          </w:p>
        </w:tc>
        <w:tc>
          <w:tcPr>
            <w:tcW w:w="304" w:type="pct"/>
            <w:shd w:val="clear" w:color="auto" w:fill="auto"/>
            <w:noWrap/>
            <w:vAlign w:val="center"/>
          </w:tcPr>
          <w:p w14:paraId="69ED48FC">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7667 </w:t>
            </w:r>
          </w:p>
        </w:tc>
        <w:tc>
          <w:tcPr>
            <w:tcW w:w="304" w:type="pct"/>
            <w:shd w:val="clear" w:color="auto" w:fill="auto"/>
            <w:noWrap/>
            <w:vAlign w:val="center"/>
          </w:tcPr>
          <w:p w14:paraId="32A9E7FB">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13.80 </w:t>
            </w:r>
          </w:p>
        </w:tc>
        <w:tc>
          <w:tcPr>
            <w:tcW w:w="306" w:type="pct"/>
            <w:shd w:val="clear" w:color="auto" w:fill="auto"/>
            <w:noWrap/>
            <w:vAlign w:val="center"/>
          </w:tcPr>
          <w:p w14:paraId="58E93A42">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12.27 </w:t>
            </w:r>
          </w:p>
        </w:tc>
        <w:tc>
          <w:tcPr>
            <w:tcW w:w="253" w:type="pct"/>
            <w:shd w:val="clear" w:color="auto" w:fill="auto"/>
            <w:noWrap/>
            <w:vAlign w:val="center"/>
          </w:tcPr>
          <w:p w14:paraId="15BF519B">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shd w:val="clear" w:color="auto" w:fill="auto"/>
            <w:noWrap/>
            <w:vAlign w:val="center"/>
          </w:tcPr>
          <w:p w14:paraId="3C426702">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3C903C64">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254" w:type="pct"/>
            <w:shd w:val="clear" w:color="auto" w:fill="auto"/>
            <w:noWrap/>
            <w:vAlign w:val="center"/>
          </w:tcPr>
          <w:p w14:paraId="5830E340">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shd w:val="clear" w:color="auto" w:fill="auto"/>
            <w:noWrap/>
            <w:vAlign w:val="center"/>
          </w:tcPr>
          <w:p w14:paraId="7B6456F8">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221B2C74">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54" w:type="pct"/>
            <w:shd w:val="clear" w:color="auto" w:fill="auto"/>
            <w:noWrap/>
            <w:vAlign w:val="center"/>
          </w:tcPr>
          <w:p w14:paraId="0F6C9CDE">
            <w:pPr>
              <w:pStyle w:val="33"/>
              <w:rPr>
                <w:color w:val="000000" w:themeColor="text1"/>
                <w14:textFill>
                  <w14:solidFill>
                    <w14:schemeClr w14:val="tx1"/>
                  </w14:solidFill>
                </w14:textFill>
              </w:rPr>
            </w:pPr>
            <w:r>
              <w:rPr>
                <w:color w:val="000000" w:themeColor="text1"/>
                <w14:textFill>
                  <w14:solidFill>
                    <w14:schemeClr w14:val="tx1"/>
                  </w14:solidFill>
                </w14:textFill>
              </w:rPr>
              <w:t>未编报</w:t>
            </w:r>
          </w:p>
        </w:tc>
        <w:tc>
          <w:tcPr>
            <w:tcW w:w="542" w:type="pct"/>
            <w:shd w:val="clear" w:color="auto" w:fill="auto"/>
            <w:noWrap/>
            <w:vAlign w:val="center"/>
          </w:tcPr>
          <w:p w14:paraId="47E6CA73">
            <w:pPr>
              <w:pStyle w:val="33"/>
              <w:rPr>
                <w:color w:val="000000" w:themeColor="text1"/>
                <w14:textFill>
                  <w14:solidFill>
                    <w14:schemeClr w14:val="tx1"/>
                  </w14:solidFill>
                </w14:textFill>
              </w:rPr>
            </w:pPr>
            <w:r>
              <w:rPr>
                <w:color w:val="000000" w:themeColor="text1"/>
                <w14:textFill>
                  <w14:solidFill>
                    <w14:schemeClr w14:val="tx1"/>
                  </w14:solidFill>
                </w14:textFill>
              </w:rPr>
              <w:t>无</w:t>
            </w:r>
          </w:p>
        </w:tc>
      </w:tr>
      <w:tr w14:paraId="226A5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4" w:type="pct"/>
            <w:shd w:val="clear" w:color="auto" w:fill="auto"/>
            <w:vAlign w:val="center"/>
          </w:tcPr>
          <w:p w14:paraId="46614D86">
            <w:pPr>
              <w:pStyle w:val="33"/>
              <w:rPr>
                <w:color w:val="000000" w:themeColor="text1"/>
                <w14:textFill>
                  <w14:solidFill>
                    <w14:schemeClr w14:val="tx1"/>
                  </w14:solidFill>
                </w14:textFill>
              </w:rPr>
            </w:pPr>
            <w:r>
              <w:rPr>
                <w:color w:val="000000" w:themeColor="text1"/>
                <w14:textFill>
                  <w14:solidFill>
                    <w14:schemeClr w14:val="tx1"/>
                  </w14:solidFill>
                </w14:textFill>
              </w:rPr>
              <w:t>支一路北段（原经一路）</w:t>
            </w:r>
          </w:p>
        </w:tc>
        <w:tc>
          <w:tcPr>
            <w:tcW w:w="305" w:type="pct"/>
            <w:shd w:val="clear" w:color="auto" w:fill="auto"/>
            <w:noWrap/>
            <w:vAlign w:val="center"/>
          </w:tcPr>
          <w:p w14:paraId="167EDC64">
            <w:pPr>
              <w:pStyle w:val="33"/>
              <w:rPr>
                <w:color w:val="000000" w:themeColor="text1"/>
                <w14:textFill>
                  <w14:solidFill>
                    <w14:schemeClr w14:val="tx1"/>
                  </w14:solidFill>
                </w14:textFill>
              </w:rPr>
            </w:pPr>
            <w:r>
              <w:rPr>
                <w:color w:val="000000" w:themeColor="text1"/>
                <w14:textFill>
                  <w14:solidFill>
                    <w14:schemeClr w14:val="tx1"/>
                  </w14:solidFill>
                </w14:textFill>
              </w:rPr>
              <w:t>1200</w:t>
            </w:r>
          </w:p>
        </w:tc>
        <w:tc>
          <w:tcPr>
            <w:tcW w:w="507" w:type="pct"/>
            <w:shd w:val="clear" w:color="auto" w:fill="auto"/>
            <w:noWrap/>
            <w:vAlign w:val="center"/>
          </w:tcPr>
          <w:p w14:paraId="6D421038">
            <w:pPr>
              <w:pStyle w:val="33"/>
              <w:rPr>
                <w:color w:val="000000" w:themeColor="text1"/>
                <w14:textFill>
                  <w14:solidFill>
                    <w14:schemeClr w14:val="tx1"/>
                  </w14:solidFill>
                </w14:textFill>
              </w:rPr>
            </w:pPr>
            <w:r>
              <w:rPr>
                <w:color w:val="000000" w:themeColor="text1"/>
                <w14:textFill>
                  <w14:solidFill>
                    <w14:schemeClr w14:val="tx1"/>
                  </w14:solidFill>
                </w14:textFill>
              </w:rPr>
              <w:t>30m（14m）</w:t>
            </w:r>
          </w:p>
        </w:tc>
        <w:tc>
          <w:tcPr>
            <w:tcW w:w="304" w:type="pct"/>
            <w:shd w:val="clear" w:color="auto" w:fill="auto"/>
            <w:noWrap/>
            <w:vAlign w:val="center"/>
          </w:tcPr>
          <w:p w14:paraId="4D91A6DE">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300 </w:t>
            </w:r>
          </w:p>
        </w:tc>
        <w:tc>
          <w:tcPr>
            <w:tcW w:w="304" w:type="pct"/>
            <w:shd w:val="clear" w:color="auto" w:fill="auto"/>
            <w:noWrap/>
            <w:vAlign w:val="center"/>
          </w:tcPr>
          <w:p w14:paraId="4985BDBB">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0.54 </w:t>
            </w:r>
          </w:p>
        </w:tc>
        <w:tc>
          <w:tcPr>
            <w:tcW w:w="306" w:type="pct"/>
            <w:shd w:val="clear" w:color="auto" w:fill="auto"/>
            <w:noWrap/>
            <w:vAlign w:val="center"/>
          </w:tcPr>
          <w:p w14:paraId="0B13024B">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0.36 </w:t>
            </w:r>
          </w:p>
        </w:tc>
        <w:tc>
          <w:tcPr>
            <w:tcW w:w="253" w:type="pct"/>
            <w:shd w:val="clear" w:color="auto" w:fill="auto"/>
            <w:noWrap/>
            <w:vAlign w:val="center"/>
          </w:tcPr>
          <w:p w14:paraId="053AA0F1">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shd w:val="clear" w:color="auto" w:fill="auto"/>
            <w:noWrap/>
            <w:vAlign w:val="center"/>
          </w:tcPr>
          <w:p w14:paraId="6C47BC82">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34669B58">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254" w:type="pct"/>
            <w:shd w:val="clear" w:color="auto" w:fill="auto"/>
            <w:noWrap/>
            <w:vAlign w:val="center"/>
          </w:tcPr>
          <w:p w14:paraId="790FB183">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900 </w:t>
            </w:r>
          </w:p>
        </w:tc>
        <w:tc>
          <w:tcPr>
            <w:tcW w:w="305" w:type="pct"/>
            <w:shd w:val="clear" w:color="auto" w:fill="auto"/>
            <w:noWrap/>
            <w:vAlign w:val="center"/>
          </w:tcPr>
          <w:p w14:paraId="62F6923B">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1.62 </w:t>
            </w:r>
          </w:p>
        </w:tc>
        <w:tc>
          <w:tcPr>
            <w:tcW w:w="304" w:type="pct"/>
            <w:shd w:val="clear" w:color="auto" w:fill="auto"/>
            <w:noWrap/>
            <w:vAlign w:val="center"/>
          </w:tcPr>
          <w:p w14:paraId="30AB8CE0">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1.08 </w:t>
            </w:r>
          </w:p>
        </w:tc>
        <w:tc>
          <w:tcPr>
            <w:tcW w:w="354" w:type="pct"/>
            <w:shd w:val="clear" w:color="auto" w:fill="auto"/>
            <w:noWrap/>
            <w:vAlign w:val="center"/>
          </w:tcPr>
          <w:p w14:paraId="6EBC172A">
            <w:pPr>
              <w:pStyle w:val="33"/>
              <w:rPr>
                <w:color w:val="000000" w:themeColor="text1"/>
                <w14:textFill>
                  <w14:solidFill>
                    <w14:schemeClr w14:val="tx1"/>
                  </w14:solidFill>
                </w14:textFill>
              </w:rPr>
            </w:pPr>
            <w:r>
              <w:rPr>
                <w:color w:val="000000" w:themeColor="text1"/>
                <w14:textFill>
                  <w14:solidFill>
                    <w14:schemeClr w14:val="tx1"/>
                  </w14:solidFill>
                </w14:textFill>
              </w:rPr>
              <w:t>未编报</w:t>
            </w:r>
          </w:p>
        </w:tc>
        <w:tc>
          <w:tcPr>
            <w:tcW w:w="542" w:type="pct"/>
            <w:shd w:val="clear" w:color="auto" w:fill="auto"/>
            <w:noWrap/>
            <w:vAlign w:val="center"/>
          </w:tcPr>
          <w:p w14:paraId="56B14BEF">
            <w:pPr>
              <w:pStyle w:val="33"/>
              <w:rPr>
                <w:color w:val="000000" w:themeColor="text1"/>
                <w14:textFill>
                  <w14:solidFill>
                    <w14:schemeClr w14:val="tx1"/>
                  </w14:solidFill>
                </w14:textFill>
              </w:rPr>
            </w:pPr>
            <w:r>
              <w:rPr>
                <w:color w:val="000000" w:themeColor="text1"/>
                <w14:textFill>
                  <w14:solidFill>
                    <w14:schemeClr w14:val="tx1"/>
                  </w14:solidFill>
                </w14:textFill>
              </w:rPr>
              <w:t>无</w:t>
            </w:r>
          </w:p>
        </w:tc>
      </w:tr>
      <w:tr w14:paraId="2C5374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4" w:type="pct"/>
            <w:shd w:val="clear" w:color="auto" w:fill="auto"/>
            <w:vAlign w:val="center"/>
          </w:tcPr>
          <w:p w14:paraId="4432DA49">
            <w:pPr>
              <w:pStyle w:val="33"/>
              <w:rPr>
                <w:color w:val="000000" w:themeColor="text1"/>
                <w14:textFill>
                  <w14:solidFill>
                    <w14:schemeClr w14:val="tx1"/>
                  </w14:solidFill>
                </w14:textFill>
              </w:rPr>
            </w:pPr>
            <w:r>
              <w:rPr>
                <w:color w:val="000000" w:themeColor="text1"/>
                <w14:textFill>
                  <w14:solidFill>
                    <w14:schemeClr w14:val="tx1"/>
                  </w14:solidFill>
                </w14:textFill>
              </w:rPr>
              <w:t>经二路</w:t>
            </w:r>
          </w:p>
        </w:tc>
        <w:tc>
          <w:tcPr>
            <w:tcW w:w="305" w:type="pct"/>
            <w:shd w:val="clear" w:color="auto" w:fill="auto"/>
            <w:noWrap/>
            <w:vAlign w:val="center"/>
          </w:tcPr>
          <w:p w14:paraId="7DFF0378">
            <w:pPr>
              <w:pStyle w:val="33"/>
              <w:rPr>
                <w:color w:val="000000" w:themeColor="text1"/>
                <w14:textFill>
                  <w14:solidFill>
                    <w14:schemeClr w14:val="tx1"/>
                  </w14:solidFill>
                </w14:textFill>
              </w:rPr>
            </w:pPr>
            <w:r>
              <w:rPr>
                <w:color w:val="000000" w:themeColor="text1"/>
                <w14:textFill>
                  <w14:solidFill>
                    <w14:schemeClr w14:val="tx1"/>
                  </w14:solidFill>
                </w14:textFill>
              </w:rPr>
              <w:t>1586</w:t>
            </w:r>
          </w:p>
        </w:tc>
        <w:tc>
          <w:tcPr>
            <w:tcW w:w="507" w:type="pct"/>
            <w:shd w:val="clear" w:color="auto" w:fill="auto"/>
            <w:noWrap/>
            <w:vAlign w:val="center"/>
          </w:tcPr>
          <w:p w14:paraId="7A9B9047">
            <w:pPr>
              <w:pStyle w:val="33"/>
              <w:rPr>
                <w:color w:val="000000" w:themeColor="text1"/>
                <w14:textFill>
                  <w14:solidFill>
                    <w14:schemeClr w14:val="tx1"/>
                  </w14:solidFill>
                </w14:textFill>
              </w:rPr>
            </w:pPr>
            <w:r>
              <w:rPr>
                <w:color w:val="000000" w:themeColor="text1"/>
                <w14:textFill>
                  <w14:solidFill>
                    <w14:schemeClr w14:val="tx1"/>
                  </w14:solidFill>
                </w14:textFill>
              </w:rPr>
              <w:t>30m（14m）</w:t>
            </w:r>
          </w:p>
        </w:tc>
        <w:tc>
          <w:tcPr>
            <w:tcW w:w="304" w:type="pct"/>
            <w:shd w:val="clear" w:color="auto" w:fill="auto"/>
            <w:noWrap/>
            <w:vAlign w:val="center"/>
          </w:tcPr>
          <w:p w14:paraId="7D6A4F53">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1586 </w:t>
            </w:r>
          </w:p>
        </w:tc>
        <w:tc>
          <w:tcPr>
            <w:tcW w:w="304" w:type="pct"/>
            <w:shd w:val="clear" w:color="auto" w:fill="auto"/>
            <w:noWrap/>
            <w:vAlign w:val="center"/>
          </w:tcPr>
          <w:p w14:paraId="4626B52E">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2.85 </w:t>
            </w:r>
          </w:p>
        </w:tc>
        <w:tc>
          <w:tcPr>
            <w:tcW w:w="306" w:type="pct"/>
            <w:shd w:val="clear" w:color="auto" w:fill="auto"/>
            <w:noWrap/>
            <w:vAlign w:val="center"/>
          </w:tcPr>
          <w:p w14:paraId="30A55C3C">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2.56 </w:t>
            </w:r>
          </w:p>
        </w:tc>
        <w:tc>
          <w:tcPr>
            <w:tcW w:w="253" w:type="pct"/>
            <w:shd w:val="clear" w:color="auto" w:fill="auto"/>
            <w:noWrap/>
            <w:vAlign w:val="center"/>
          </w:tcPr>
          <w:p w14:paraId="2D3AF4EF">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shd w:val="clear" w:color="auto" w:fill="auto"/>
            <w:noWrap/>
            <w:vAlign w:val="center"/>
          </w:tcPr>
          <w:p w14:paraId="0C734D4E">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4A159FC2">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254" w:type="pct"/>
            <w:shd w:val="clear" w:color="auto" w:fill="auto"/>
            <w:noWrap/>
            <w:vAlign w:val="center"/>
          </w:tcPr>
          <w:p w14:paraId="5D864282">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shd w:val="clear" w:color="auto" w:fill="auto"/>
            <w:noWrap/>
            <w:vAlign w:val="center"/>
          </w:tcPr>
          <w:p w14:paraId="2EDB4C0F">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557D407B">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54" w:type="pct"/>
            <w:shd w:val="clear" w:color="auto" w:fill="auto"/>
            <w:noWrap/>
            <w:vAlign w:val="center"/>
          </w:tcPr>
          <w:p w14:paraId="33A552AB">
            <w:pPr>
              <w:pStyle w:val="33"/>
              <w:rPr>
                <w:color w:val="000000" w:themeColor="text1"/>
                <w14:textFill>
                  <w14:solidFill>
                    <w14:schemeClr w14:val="tx1"/>
                  </w14:solidFill>
                </w14:textFill>
              </w:rPr>
            </w:pPr>
            <w:r>
              <w:rPr>
                <w:color w:val="000000" w:themeColor="text1"/>
                <w14:textFill>
                  <w14:solidFill>
                    <w14:schemeClr w14:val="tx1"/>
                  </w14:solidFill>
                </w14:textFill>
              </w:rPr>
              <w:t>未编报</w:t>
            </w:r>
          </w:p>
        </w:tc>
        <w:tc>
          <w:tcPr>
            <w:tcW w:w="542" w:type="pct"/>
            <w:shd w:val="clear" w:color="auto" w:fill="auto"/>
            <w:noWrap/>
            <w:vAlign w:val="center"/>
          </w:tcPr>
          <w:p w14:paraId="4B460F7E">
            <w:pPr>
              <w:pStyle w:val="33"/>
              <w:rPr>
                <w:color w:val="000000" w:themeColor="text1"/>
                <w14:textFill>
                  <w14:solidFill>
                    <w14:schemeClr w14:val="tx1"/>
                  </w14:solidFill>
                </w14:textFill>
              </w:rPr>
            </w:pPr>
            <w:r>
              <w:rPr>
                <w:color w:val="000000" w:themeColor="text1"/>
                <w14:textFill>
                  <w14:solidFill>
                    <w14:schemeClr w14:val="tx1"/>
                  </w14:solidFill>
                </w14:textFill>
              </w:rPr>
              <w:t>无</w:t>
            </w:r>
          </w:p>
        </w:tc>
      </w:tr>
      <w:tr w14:paraId="5295C8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4" w:type="pct"/>
            <w:shd w:val="clear" w:color="auto" w:fill="auto"/>
            <w:vAlign w:val="center"/>
          </w:tcPr>
          <w:p w14:paraId="29716BD4">
            <w:pPr>
              <w:pStyle w:val="33"/>
              <w:rPr>
                <w:color w:val="000000" w:themeColor="text1"/>
                <w14:textFill>
                  <w14:solidFill>
                    <w14:schemeClr w14:val="tx1"/>
                  </w14:solidFill>
                </w14:textFill>
              </w:rPr>
            </w:pPr>
            <w:r>
              <w:rPr>
                <w:color w:val="000000" w:themeColor="text1"/>
                <w14:textFill>
                  <w14:solidFill>
                    <w14:schemeClr w14:val="tx1"/>
                  </w14:solidFill>
                </w14:textFill>
              </w:rPr>
              <w:t>经三路（电厂西侧）</w:t>
            </w:r>
          </w:p>
        </w:tc>
        <w:tc>
          <w:tcPr>
            <w:tcW w:w="305" w:type="pct"/>
            <w:shd w:val="clear" w:color="auto" w:fill="auto"/>
            <w:noWrap/>
            <w:vAlign w:val="center"/>
          </w:tcPr>
          <w:p w14:paraId="7C700431">
            <w:pPr>
              <w:pStyle w:val="33"/>
              <w:rPr>
                <w:color w:val="000000" w:themeColor="text1"/>
                <w14:textFill>
                  <w14:solidFill>
                    <w14:schemeClr w14:val="tx1"/>
                  </w14:solidFill>
                </w14:textFill>
              </w:rPr>
            </w:pPr>
            <w:r>
              <w:rPr>
                <w:color w:val="000000" w:themeColor="text1"/>
                <w14:textFill>
                  <w14:solidFill>
                    <w14:schemeClr w14:val="tx1"/>
                  </w14:solidFill>
                </w14:textFill>
              </w:rPr>
              <w:t>1917</w:t>
            </w:r>
          </w:p>
        </w:tc>
        <w:tc>
          <w:tcPr>
            <w:tcW w:w="507" w:type="pct"/>
            <w:shd w:val="clear" w:color="auto" w:fill="auto"/>
            <w:noWrap/>
            <w:vAlign w:val="center"/>
          </w:tcPr>
          <w:p w14:paraId="0FE841A6">
            <w:pPr>
              <w:pStyle w:val="33"/>
              <w:rPr>
                <w:color w:val="000000" w:themeColor="text1"/>
                <w14:textFill>
                  <w14:solidFill>
                    <w14:schemeClr w14:val="tx1"/>
                  </w14:solidFill>
                </w14:textFill>
              </w:rPr>
            </w:pPr>
            <w:r>
              <w:rPr>
                <w:color w:val="000000" w:themeColor="text1"/>
                <w14:textFill>
                  <w14:solidFill>
                    <w14:schemeClr w14:val="tx1"/>
                  </w14:solidFill>
                </w14:textFill>
              </w:rPr>
              <w:t>40m（16m）</w:t>
            </w:r>
          </w:p>
        </w:tc>
        <w:tc>
          <w:tcPr>
            <w:tcW w:w="304" w:type="pct"/>
            <w:shd w:val="clear" w:color="auto" w:fill="auto"/>
            <w:noWrap/>
            <w:vAlign w:val="center"/>
          </w:tcPr>
          <w:p w14:paraId="44E53D85">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1917 </w:t>
            </w:r>
          </w:p>
        </w:tc>
        <w:tc>
          <w:tcPr>
            <w:tcW w:w="304" w:type="pct"/>
            <w:shd w:val="clear" w:color="auto" w:fill="auto"/>
            <w:noWrap/>
            <w:vAlign w:val="center"/>
          </w:tcPr>
          <w:p w14:paraId="47896844">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4.79 </w:t>
            </w:r>
          </w:p>
        </w:tc>
        <w:tc>
          <w:tcPr>
            <w:tcW w:w="306" w:type="pct"/>
            <w:shd w:val="clear" w:color="auto" w:fill="auto"/>
            <w:noWrap/>
            <w:vAlign w:val="center"/>
          </w:tcPr>
          <w:p w14:paraId="4D2D63B9">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5.00 </w:t>
            </w:r>
          </w:p>
        </w:tc>
        <w:tc>
          <w:tcPr>
            <w:tcW w:w="253" w:type="pct"/>
            <w:shd w:val="clear" w:color="auto" w:fill="auto"/>
            <w:noWrap/>
            <w:vAlign w:val="center"/>
          </w:tcPr>
          <w:p w14:paraId="449463D2">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shd w:val="clear" w:color="auto" w:fill="auto"/>
            <w:noWrap/>
            <w:vAlign w:val="center"/>
          </w:tcPr>
          <w:p w14:paraId="73B032FE">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73735B8D">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254" w:type="pct"/>
            <w:shd w:val="clear" w:color="auto" w:fill="auto"/>
            <w:noWrap/>
            <w:vAlign w:val="center"/>
          </w:tcPr>
          <w:p w14:paraId="26A84A10">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shd w:val="clear" w:color="auto" w:fill="auto"/>
            <w:noWrap/>
            <w:vAlign w:val="center"/>
          </w:tcPr>
          <w:p w14:paraId="3A9D69C1">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0F9D94D6">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54" w:type="pct"/>
            <w:shd w:val="clear" w:color="auto" w:fill="auto"/>
            <w:noWrap/>
            <w:vAlign w:val="center"/>
          </w:tcPr>
          <w:p w14:paraId="59E2CF1A">
            <w:pPr>
              <w:pStyle w:val="33"/>
              <w:rPr>
                <w:color w:val="000000" w:themeColor="text1"/>
                <w14:textFill>
                  <w14:solidFill>
                    <w14:schemeClr w14:val="tx1"/>
                  </w14:solidFill>
                </w14:textFill>
              </w:rPr>
            </w:pPr>
            <w:r>
              <w:rPr>
                <w:color w:val="000000" w:themeColor="text1"/>
                <w14:textFill>
                  <w14:solidFill>
                    <w14:schemeClr w14:val="tx1"/>
                  </w14:solidFill>
                </w14:textFill>
              </w:rPr>
              <w:t>未编报</w:t>
            </w:r>
          </w:p>
        </w:tc>
        <w:tc>
          <w:tcPr>
            <w:tcW w:w="542" w:type="pct"/>
            <w:shd w:val="clear" w:color="auto" w:fill="auto"/>
            <w:noWrap/>
            <w:vAlign w:val="center"/>
          </w:tcPr>
          <w:p w14:paraId="0E570C8C">
            <w:pPr>
              <w:pStyle w:val="33"/>
              <w:rPr>
                <w:color w:val="000000" w:themeColor="text1"/>
                <w14:textFill>
                  <w14:solidFill>
                    <w14:schemeClr w14:val="tx1"/>
                  </w14:solidFill>
                </w14:textFill>
              </w:rPr>
            </w:pPr>
            <w:r>
              <w:rPr>
                <w:color w:val="000000" w:themeColor="text1"/>
                <w14:textFill>
                  <w14:solidFill>
                    <w14:schemeClr w14:val="tx1"/>
                  </w14:solidFill>
                </w14:textFill>
              </w:rPr>
              <w:t>无</w:t>
            </w:r>
          </w:p>
        </w:tc>
      </w:tr>
      <w:tr w14:paraId="3476C9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4" w:type="pct"/>
            <w:shd w:val="clear" w:color="auto" w:fill="auto"/>
            <w:vAlign w:val="center"/>
          </w:tcPr>
          <w:p w14:paraId="2E0D1AC2">
            <w:pPr>
              <w:pStyle w:val="33"/>
              <w:rPr>
                <w:color w:val="000000" w:themeColor="text1"/>
                <w14:textFill>
                  <w14:solidFill>
                    <w14:schemeClr w14:val="tx1"/>
                  </w14:solidFill>
                </w14:textFill>
              </w:rPr>
            </w:pPr>
            <w:r>
              <w:rPr>
                <w:color w:val="000000" w:themeColor="text1"/>
                <w14:textFill>
                  <w14:solidFill>
                    <w14:schemeClr w14:val="tx1"/>
                  </w14:solidFill>
                </w14:textFill>
              </w:rPr>
              <w:t>经一路</w:t>
            </w:r>
          </w:p>
        </w:tc>
        <w:tc>
          <w:tcPr>
            <w:tcW w:w="305" w:type="pct"/>
            <w:shd w:val="clear" w:color="auto" w:fill="auto"/>
            <w:noWrap/>
            <w:vAlign w:val="center"/>
          </w:tcPr>
          <w:p w14:paraId="303B9F38">
            <w:pPr>
              <w:pStyle w:val="33"/>
              <w:rPr>
                <w:color w:val="000000" w:themeColor="text1"/>
                <w14:textFill>
                  <w14:solidFill>
                    <w14:schemeClr w14:val="tx1"/>
                  </w14:solidFill>
                </w14:textFill>
              </w:rPr>
            </w:pPr>
            <w:r>
              <w:rPr>
                <w:color w:val="000000" w:themeColor="text1"/>
                <w14:textFill>
                  <w14:solidFill>
                    <w14:schemeClr w14:val="tx1"/>
                  </w14:solidFill>
                </w14:textFill>
              </w:rPr>
              <w:t>1635</w:t>
            </w:r>
          </w:p>
        </w:tc>
        <w:tc>
          <w:tcPr>
            <w:tcW w:w="507" w:type="pct"/>
            <w:shd w:val="clear" w:color="auto" w:fill="auto"/>
            <w:vAlign w:val="center"/>
          </w:tcPr>
          <w:p w14:paraId="6E271731">
            <w:pPr>
              <w:pStyle w:val="33"/>
              <w:rPr>
                <w:color w:val="000000" w:themeColor="text1"/>
                <w14:textFill>
                  <w14:solidFill>
                    <w14:schemeClr w14:val="tx1"/>
                  </w14:solidFill>
                </w14:textFill>
              </w:rPr>
            </w:pPr>
            <w:r>
              <w:rPr>
                <w:color w:val="000000" w:themeColor="text1"/>
                <w14:textFill>
                  <w14:solidFill>
                    <w14:schemeClr w14:val="tx1"/>
                  </w14:solidFill>
                </w14:textFill>
              </w:rPr>
              <w:t>40m（16m）</w:t>
            </w:r>
          </w:p>
        </w:tc>
        <w:tc>
          <w:tcPr>
            <w:tcW w:w="304" w:type="pct"/>
            <w:shd w:val="clear" w:color="auto" w:fill="auto"/>
            <w:noWrap/>
            <w:vAlign w:val="center"/>
          </w:tcPr>
          <w:p w14:paraId="00F02533">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1635 </w:t>
            </w:r>
          </w:p>
        </w:tc>
        <w:tc>
          <w:tcPr>
            <w:tcW w:w="304" w:type="pct"/>
            <w:shd w:val="clear" w:color="auto" w:fill="auto"/>
            <w:noWrap/>
            <w:vAlign w:val="center"/>
          </w:tcPr>
          <w:p w14:paraId="74A1B4DD">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2.94 </w:t>
            </w:r>
          </w:p>
        </w:tc>
        <w:tc>
          <w:tcPr>
            <w:tcW w:w="306" w:type="pct"/>
            <w:shd w:val="clear" w:color="auto" w:fill="auto"/>
            <w:noWrap/>
            <w:vAlign w:val="center"/>
          </w:tcPr>
          <w:p w14:paraId="11BC8BEE">
            <w:pPr>
              <w:pStyle w:val="33"/>
              <w:rPr>
                <w:color w:val="000000" w:themeColor="text1"/>
                <w14:textFill>
                  <w14:solidFill>
                    <w14:schemeClr w14:val="tx1"/>
                  </w14:solidFill>
                </w14:textFill>
              </w:rPr>
            </w:pPr>
          </w:p>
        </w:tc>
        <w:tc>
          <w:tcPr>
            <w:tcW w:w="253" w:type="pct"/>
            <w:shd w:val="clear" w:color="auto" w:fill="auto"/>
            <w:noWrap/>
            <w:vAlign w:val="center"/>
          </w:tcPr>
          <w:p w14:paraId="7716BD8D">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shd w:val="clear" w:color="auto" w:fill="auto"/>
            <w:noWrap/>
            <w:vAlign w:val="center"/>
          </w:tcPr>
          <w:p w14:paraId="0199FC55">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4E8E04E4">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254" w:type="pct"/>
            <w:shd w:val="clear" w:color="auto" w:fill="auto"/>
            <w:noWrap/>
            <w:vAlign w:val="center"/>
          </w:tcPr>
          <w:p w14:paraId="5F9330E6">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1635 </w:t>
            </w:r>
          </w:p>
        </w:tc>
        <w:tc>
          <w:tcPr>
            <w:tcW w:w="305" w:type="pct"/>
            <w:shd w:val="clear" w:color="auto" w:fill="auto"/>
            <w:noWrap/>
            <w:vAlign w:val="center"/>
          </w:tcPr>
          <w:p w14:paraId="701E6543">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2.94 </w:t>
            </w:r>
          </w:p>
        </w:tc>
        <w:tc>
          <w:tcPr>
            <w:tcW w:w="304" w:type="pct"/>
            <w:shd w:val="clear" w:color="auto" w:fill="auto"/>
            <w:noWrap/>
            <w:vAlign w:val="center"/>
          </w:tcPr>
          <w:p w14:paraId="4C046F10">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2.45 </w:t>
            </w:r>
          </w:p>
        </w:tc>
        <w:tc>
          <w:tcPr>
            <w:tcW w:w="354" w:type="pct"/>
            <w:shd w:val="clear" w:color="auto" w:fill="auto"/>
            <w:noWrap/>
            <w:vAlign w:val="center"/>
          </w:tcPr>
          <w:p w14:paraId="08820EDD">
            <w:pPr>
              <w:pStyle w:val="33"/>
              <w:rPr>
                <w:color w:val="000000" w:themeColor="text1"/>
                <w14:textFill>
                  <w14:solidFill>
                    <w14:schemeClr w14:val="tx1"/>
                  </w14:solidFill>
                </w14:textFill>
              </w:rPr>
            </w:pPr>
            <w:r>
              <w:rPr>
                <w:color w:val="000000" w:themeColor="text1"/>
                <w14:textFill>
                  <w14:solidFill>
                    <w14:schemeClr w14:val="tx1"/>
                  </w14:solidFill>
                </w14:textFill>
              </w:rPr>
              <w:t>未编报</w:t>
            </w:r>
          </w:p>
        </w:tc>
        <w:tc>
          <w:tcPr>
            <w:tcW w:w="542" w:type="pct"/>
            <w:shd w:val="clear" w:color="auto" w:fill="auto"/>
            <w:noWrap/>
            <w:vAlign w:val="center"/>
          </w:tcPr>
          <w:p w14:paraId="3BF3E0F0">
            <w:pPr>
              <w:pStyle w:val="33"/>
              <w:rPr>
                <w:color w:val="000000" w:themeColor="text1"/>
                <w14:textFill>
                  <w14:solidFill>
                    <w14:schemeClr w14:val="tx1"/>
                  </w14:solidFill>
                </w14:textFill>
              </w:rPr>
            </w:pPr>
            <w:r>
              <w:rPr>
                <w:color w:val="000000" w:themeColor="text1"/>
                <w14:textFill>
                  <w14:solidFill>
                    <w14:schemeClr w14:val="tx1"/>
                  </w14:solidFill>
                </w14:textFill>
              </w:rPr>
              <w:t>无</w:t>
            </w:r>
          </w:p>
        </w:tc>
      </w:tr>
      <w:tr w14:paraId="531CAF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4" w:type="pct"/>
            <w:shd w:val="clear" w:color="auto" w:fill="auto"/>
            <w:vAlign w:val="center"/>
          </w:tcPr>
          <w:p w14:paraId="3CE73DEE">
            <w:pPr>
              <w:pStyle w:val="33"/>
              <w:rPr>
                <w:color w:val="000000" w:themeColor="text1"/>
                <w14:textFill>
                  <w14:solidFill>
                    <w14:schemeClr w14:val="tx1"/>
                  </w14:solidFill>
                </w14:textFill>
              </w:rPr>
            </w:pPr>
            <w:r>
              <w:rPr>
                <w:color w:val="000000" w:themeColor="text1"/>
                <w14:textFill>
                  <w14:solidFill>
                    <w14:schemeClr w14:val="tx1"/>
                  </w14:solidFill>
                </w14:textFill>
              </w:rPr>
              <w:t>经四路（电厂东侧）</w:t>
            </w:r>
          </w:p>
        </w:tc>
        <w:tc>
          <w:tcPr>
            <w:tcW w:w="305" w:type="pct"/>
            <w:shd w:val="clear" w:color="auto" w:fill="auto"/>
            <w:noWrap/>
            <w:vAlign w:val="center"/>
          </w:tcPr>
          <w:p w14:paraId="27770D15">
            <w:pPr>
              <w:pStyle w:val="33"/>
              <w:rPr>
                <w:color w:val="000000" w:themeColor="text1"/>
                <w14:textFill>
                  <w14:solidFill>
                    <w14:schemeClr w14:val="tx1"/>
                  </w14:solidFill>
                </w14:textFill>
              </w:rPr>
            </w:pPr>
            <w:r>
              <w:rPr>
                <w:color w:val="000000" w:themeColor="text1"/>
                <w14:textFill>
                  <w14:solidFill>
                    <w14:schemeClr w14:val="tx1"/>
                  </w14:solidFill>
                </w14:textFill>
              </w:rPr>
              <w:t>1508</w:t>
            </w:r>
          </w:p>
        </w:tc>
        <w:tc>
          <w:tcPr>
            <w:tcW w:w="507" w:type="pct"/>
            <w:shd w:val="clear" w:color="auto" w:fill="auto"/>
            <w:noWrap/>
            <w:vAlign w:val="center"/>
          </w:tcPr>
          <w:p w14:paraId="266CCF88">
            <w:pPr>
              <w:pStyle w:val="33"/>
              <w:rPr>
                <w:color w:val="000000" w:themeColor="text1"/>
                <w14:textFill>
                  <w14:solidFill>
                    <w14:schemeClr w14:val="tx1"/>
                  </w14:solidFill>
                </w14:textFill>
              </w:rPr>
            </w:pPr>
            <w:r>
              <w:rPr>
                <w:color w:val="000000" w:themeColor="text1"/>
                <w14:textFill>
                  <w14:solidFill>
                    <w14:schemeClr w14:val="tx1"/>
                  </w14:solidFill>
                </w14:textFill>
              </w:rPr>
              <w:t>30m（14m）</w:t>
            </w:r>
          </w:p>
        </w:tc>
        <w:tc>
          <w:tcPr>
            <w:tcW w:w="304" w:type="pct"/>
            <w:shd w:val="clear" w:color="auto" w:fill="auto"/>
            <w:noWrap/>
            <w:vAlign w:val="center"/>
          </w:tcPr>
          <w:p w14:paraId="69C4D806">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1508 </w:t>
            </w:r>
          </w:p>
        </w:tc>
        <w:tc>
          <w:tcPr>
            <w:tcW w:w="304" w:type="pct"/>
            <w:shd w:val="clear" w:color="auto" w:fill="auto"/>
            <w:noWrap/>
            <w:vAlign w:val="center"/>
          </w:tcPr>
          <w:p w14:paraId="4B5089EF">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3.77 </w:t>
            </w:r>
          </w:p>
        </w:tc>
        <w:tc>
          <w:tcPr>
            <w:tcW w:w="306" w:type="pct"/>
            <w:shd w:val="clear" w:color="auto" w:fill="auto"/>
            <w:noWrap/>
            <w:vAlign w:val="center"/>
          </w:tcPr>
          <w:p w14:paraId="0E0E7CD8">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4.27 </w:t>
            </w:r>
          </w:p>
        </w:tc>
        <w:tc>
          <w:tcPr>
            <w:tcW w:w="253" w:type="pct"/>
            <w:shd w:val="clear" w:color="auto" w:fill="auto"/>
            <w:noWrap/>
            <w:vAlign w:val="center"/>
          </w:tcPr>
          <w:p w14:paraId="0448004F">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shd w:val="clear" w:color="auto" w:fill="auto"/>
            <w:noWrap/>
            <w:vAlign w:val="center"/>
          </w:tcPr>
          <w:p w14:paraId="047372D7">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7398E331">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254" w:type="pct"/>
            <w:shd w:val="clear" w:color="auto" w:fill="auto"/>
            <w:noWrap/>
            <w:vAlign w:val="center"/>
          </w:tcPr>
          <w:p w14:paraId="5ECDBE7A">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shd w:val="clear" w:color="auto" w:fill="auto"/>
            <w:noWrap/>
            <w:vAlign w:val="center"/>
          </w:tcPr>
          <w:p w14:paraId="6569E349">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519D94F0">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54" w:type="pct"/>
            <w:shd w:val="clear" w:color="auto" w:fill="auto"/>
            <w:noWrap/>
            <w:vAlign w:val="center"/>
          </w:tcPr>
          <w:p w14:paraId="7F15C6B3">
            <w:pPr>
              <w:pStyle w:val="33"/>
              <w:rPr>
                <w:color w:val="000000" w:themeColor="text1"/>
                <w14:textFill>
                  <w14:solidFill>
                    <w14:schemeClr w14:val="tx1"/>
                  </w14:solidFill>
                </w14:textFill>
              </w:rPr>
            </w:pPr>
            <w:r>
              <w:rPr>
                <w:color w:val="000000" w:themeColor="text1"/>
                <w14:textFill>
                  <w14:solidFill>
                    <w14:schemeClr w14:val="tx1"/>
                  </w14:solidFill>
                </w14:textFill>
              </w:rPr>
              <w:t>未编报</w:t>
            </w:r>
          </w:p>
        </w:tc>
        <w:tc>
          <w:tcPr>
            <w:tcW w:w="542" w:type="pct"/>
            <w:shd w:val="clear" w:color="auto" w:fill="auto"/>
            <w:noWrap/>
            <w:vAlign w:val="center"/>
          </w:tcPr>
          <w:p w14:paraId="7971F0DC">
            <w:pPr>
              <w:pStyle w:val="33"/>
              <w:rPr>
                <w:color w:val="000000" w:themeColor="text1"/>
                <w14:textFill>
                  <w14:solidFill>
                    <w14:schemeClr w14:val="tx1"/>
                  </w14:solidFill>
                </w14:textFill>
              </w:rPr>
            </w:pPr>
            <w:r>
              <w:rPr>
                <w:color w:val="000000" w:themeColor="text1"/>
                <w14:textFill>
                  <w14:solidFill>
                    <w14:schemeClr w14:val="tx1"/>
                  </w14:solidFill>
                </w14:textFill>
              </w:rPr>
              <w:t>无</w:t>
            </w:r>
          </w:p>
        </w:tc>
      </w:tr>
      <w:tr w14:paraId="5CC55B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4" w:type="pct"/>
            <w:shd w:val="clear" w:color="auto" w:fill="auto"/>
            <w:vAlign w:val="center"/>
          </w:tcPr>
          <w:p w14:paraId="4A04B80B">
            <w:pPr>
              <w:pStyle w:val="33"/>
              <w:rPr>
                <w:color w:val="000000" w:themeColor="text1"/>
                <w14:textFill>
                  <w14:solidFill>
                    <w14:schemeClr w14:val="tx1"/>
                  </w14:solidFill>
                </w14:textFill>
              </w:rPr>
            </w:pPr>
            <w:r>
              <w:rPr>
                <w:color w:val="000000" w:themeColor="text1"/>
                <w14:textFill>
                  <w14:solidFill>
                    <w14:schemeClr w14:val="tx1"/>
                  </w14:solidFill>
                </w14:textFill>
              </w:rPr>
              <w:t>纬一路西段（经1路-经2路段）</w:t>
            </w:r>
          </w:p>
        </w:tc>
        <w:tc>
          <w:tcPr>
            <w:tcW w:w="305" w:type="pct"/>
            <w:shd w:val="clear" w:color="auto" w:fill="auto"/>
            <w:noWrap/>
            <w:vAlign w:val="center"/>
          </w:tcPr>
          <w:p w14:paraId="13AC577A">
            <w:pPr>
              <w:pStyle w:val="33"/>
              <w:rPr>
                <w:color w:val="000000" w:themeColor="text1"/>
                <w14:textFill>
                  <w14:solidFill>
                    <w14:schemeClr w14:val="tx1"/>
                  </w14:solidFill>
                </w14:textFill>
              </w:rPr>
            </w:pPr>
            <w:r>
              <w:rPr>
                <w:color w:val="000000" w:themeColor="text1"/>
                <w14:textFill>
                  <w14:solidFill>
                    <w14:schemeClr w14:val="tx1"/>
                  </w14:solidFill>
                </w14:textFill>
              </w:rPr>
              <w:t>1031</w:t>
            </w:r>
          </w:p>
        </w:tc>
        <w:tc>
          <w:tcPr>
            <w:tcW w:w="507" w:type="pct"/>
            <w:shd w:val="clear" w:color="auto" w:fill="auto"/>
            <w:noWrap/>
            <w:vAlign w:val="center"/>
          </w:tcPr>
          <w:p w14:paraId="28D12F67">
            <w:pPr>
              <w:pStyle w:val="33"/>
              <w:rPr>
                <w:color w:val="000000" w:themeColor="text1"/>
                <w14:textFill>
                  <w14:solidFill>
                    <w14:schemeClr w14:val="tx1"/>
                  </w14:solidFill>
                </w14:textFill>
              </w:rPr>
            </w:pPr>
            <w:r>
              <w:rPr>
                <w:color w:val="000000" w:themeColor="text1"/>
                <w14:textFill>
                  <w14:solidFill>
                    <w14:schemeClr w14:val="tx1"/>
                  </w14:solidFill>
                </w14:textFill>
              </w:rPr>
              <w:t>30m（14m）</w:t>
            </w:r>
          </w:p>
        </w:tc>
        <w:tc>
          <w:tcPr>
            <w:tcW w:w="304" w:type="pct"/>
            <w:shd w:val="clear" w:color="auto" w:fill="auto"/>
            <w:noWrap/>
            <w:vAlign w:val="center"/>
          </w:tcPr>
          <w:p w14:paraId="1EA53C97">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1031 </w:t>
            </w:r>
          </w:p>
        </w:tc>
        <w:tc>
          <w:tcPr>
            <w:tcW w:w="304" w:type="pct"/>
            <w:shd w:val="clear" w:color="auto" w:fill="auto"/>
            <w:noWrap/>
            <w:vAlign w:val="center"/>
          </w:tcPr>
          <w:p w14:paraId="3EF648E7">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1.86 </w:t>
            </w:r>
          </w:p>
        </w:tc>
        <w:tc>
          <w:tcPr>
            <w:tcW w:w="306" w:type="pct"/>
            <w:shd w:val="clear" w:color="auto" w:fill="auto"/>
            <w:noWrap/>
            <w:vAlign w:val="center"/>
          </w:tcPr>
          <w:p w14:paraId="458CB3AE">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1.24 </w:t>
            </w:r>
          </w:p>
        </w:tc>
        <w:tc>
          <w:tcPr>
            <w:tcW w:w="253" w:type="pct"/>
            <w:shd w:val="clear" w:color="auto" w:fill="auto"/>
            <w:noWrap/>
            <w:vAlign w:val="center"/>
          </w:tcPr>
          <w:p w14:paraId="173FE815">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shd w:val="clear" w:color="auto" w:fill="auto"/>
            <w:noWrap/>
            <w:vAlign w:val="center"/>
          </w:tcPr>
          <w:p w14:paraId="75F093EA">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3E371776">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254" w:type="pct"/>
            <w:shd w:val="clear" w:color="auto" w:fill="auto"/>
            <w:noWrap/>
            <w:vAlign w:val="center"/>
          </w:tcPr>
          <w:p w14:paraId="27BF5FF7">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5" w:type="pct"/>
            <w:shd w:val="clear" w:color="auto" w:fill="auto"/>
            <w:noWrap/>
            <w:vAlign w:val="center"/>
          </w:tcPr>
          <w:p w14:paraId="038E7FE4">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5BD7BBF8">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54" w:type="pct"/>
            <w:shd w:val="clear" w:color="auto" w:fill="auto"/>
            <w:noWrap/>
            <w:vAlign w:val="center"/>
          </w:tcPr>
          <w:p w14:paraId="320B008A">
            <w:pPr>
              <w:pStyle w:val="33"/>
              <w:rPr>
                <w:color w:val="000000" w:themeColor="text1"/>
                <w14:textFill>
                  <w14:solidFill>
                    <w14:schemeClr w14:val="tx1"/>
                  </w14:solidFill>
                </w14:textFill>
              </w:rPr>
            </w:pPr>
            <w:r>
              <w:rPr>
                <w:color w:val="000000" w:themeColor="text1"/>
                <w14:textFill>
                  <w14:solidFill>
                    <w14:schemeClr w14:val="tx1"/>
                  </w14:solidFill>
                </w14:textFill>
              </w:rPr>
              <w:t>未编报</w:t>
            </w:r>
          </w:p>
        </w:tc>
        <w:tc>
          <w:tcPr>
            <w:tcW w:w="542" w:type="pct"/>
            <w:shd w:val="clear" w:color="auto" w:fill="auto"/>
            <w:noWrap/>
            <w:vAlign w:val="center"/>
          </w:tcPr>
          <w:p w14:paraId="33DE1093">
            <w:pPr>
              <w:pStyle w:val="33"/>
              <w:rPr>
                <w:color w:val="000000" w:themeColor="text1"/>
                <w14:textFill>
                  <w14:solidFill>
                    <w14:schemeClr w14:val="tx1"/>
                  </w14:solidFill>
                </w14:textFill>
              </w:rPr>
            </w:pPr>
            <w:r>
              <w:rPr>
                <w:color w:val="000000" w:themeColor="text1"/>
                <w14:textFill>
                  <w14:solidFill>
                    <w14:schemeClr w14:val="tx1"/>
                  </w14:solidFill>
                </w14:textFill>
              </w:rPr>
              <w:t>无</w:t>
            </w:r>
          </w:p>
        </w:tc>
      </w:tr>
      <w:tr w14:paraId="0F146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4" w:type="pct"/>
            <w:shd w:val="clear" w:color="auto" w:fill="auto"/>
            <w:noWrap/>
            <w:vAlign w:val="center"/>
          </w:tcPr>
          <w:p w14:paraId="252C04D7">
            <w:pPr>
              <w:pStyle w:val="33"/>
              <w:rPr>
                <w:color w:val="000000" w:themeColor="text1"/>
                <w14:textFill>
                  <w14:solidFill>
                    <w14:schemeClr w14:val="tx1"/>
                  </w14:solidFill>
                </w14:textFill>
              </w:rPr>
            </w:pPr>
            <w:r>
              <w:rPr>
                <w:color w:val="000000" w:themeColor="text1"/>
                <w14:textFill>
                  <w14:solidFill>
                    <w14:schemeClr w14:val="tx1"/>
                  </w14:solidFill>
                </w14:textFill>
              </w:rPr>
              <w:t>合计</w:t>
            </w:r>
          </w:p>
        </w:tc>
        <w:tc>
          <w:tcPr>
            <w:tcW w:w="305" w:type="pct"/>
            <w:shd w:val="clear" w:color="auto" w:fill="auto"/>
            <w:noWrap/>
            <w:vAlign w:val="center"/>
          </w:tcPr>
          <w:p w14:paraId="133188C0">
            <w:pPr>
              <w:pStyle w:val="33"/>
              <w:rPr>
                <w:color w:val="000000" w:themeColor="text1"/>
                <w14:textFill>
                  <w14:solidFill>
                    <w14:schemeClr w14:val="tx1"/>
                  </w14:solidFill>
                </w14:textFill>
              </w:rPr>
            </w:pPr>
            <w:r>
              <w:rPr>
                <w:color w:val="000000" w:themeColor="text1"/>
                <w14:textFill>
                  <w14:solidFill>
                    <w14:schemeClr w14:val="tx1"/>
                  </w14:solidFill>
                </w14:textFill>
              </w:rPr>
              <w:t>28517</w:t>
            </w:r>
          </w:p>
        </w:tc>
        <w:tc>
          <w:tcPr>
            <w:tcW w:w="507" w:type="pct"/>
            <w:shd w:val="clear" w:color="auto" w:fill="auto"/>
            <w:noWrap/>
            <w:vAlign w:val="center"/>
          </w:tcPr>
          <w:p w14:paraId="177F645E">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304" w:type="pct"/>
            <w:shd w:val="clear" w:color="auto" w:fill="auto"/>
            <w:noWrap/>
            <w:vAlign w:val="center"/>
          </w:tcPr>
          <w:p w14:paraId="12201F6B">
            <w:pPr>
              <w:pStyle w:val="33"/>
              <w:rPr>
                <w:color w:val="000000" w:themeColor="text1"/>
                <w14:textFill>
                  <w14:solidFill>
                    <w14:schemeClr w14:val="tx1"/>
                  </w14:solidFill>
                </w14:textFill>
              </w:rPr>
            </w:pPr>
            <w:r>
              <w:rPr>
                <w:color w:val="000000" w:themeColor="text1"/>
                <w14:textFill>
                  <w14:solidFill>
                    <w14:schemeClr w14:val="tx1"/>
                  </w14:solidFill>
                </w14:textFill>
              </w:rPr>
              <w:t>25982</w:t>
            </w:r>
          </w:p>
        </w:tc>
        <w:tc>
          <w:tcPr>
            <w:tcW w:w="304" w:type="pct"/>
            <w:shd w:val="clear" w:color="auto" w:fill="auto"/>
            <w:noWrap/>
            <w:vAlign w:val="center"/>
          </w:tcPr>
          <w:p w14:paraId="5A16D13A">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62.49 </w:t>
            </w:r>
          </w:p>
        </w:tc>
        <w:tc>
          <w:tcPr>
            <w:tcW w:w="306" w:type="pct"/>
            <w:shd w:val="clear" w:color="auto" w:fill="auto"/>
            <w:noWrap/>
            <w:vAlign w:val="center"/>
          </w:tcPr>
          <w:p w14:paraId="19C50AF9">
            <w:pPr>
              <w:pStyle w:val="33"/>
              <w:rPr>
                <w:color w:val="000000" w:themeColor="text1"/>
                <w14:textFill>
                  <w14:solidFill>
                    <w14:schemeClr w14:val="tx1"/>
                  </w14:solidFill>
                </w14:textFill>
              </w:rPr>
            </w:pPr>
            <w:r>
              <w:rPr>
                <w:color w:val="000000" w:themeColor="text1"/>
                <w14:textFill>
                  <w14:solidFill>
                    <w14:schemeClr w14:val="tx1"/>
                  </w14:solidFill>
                </w14:textFill>
              </w:rPr>
              <w:t xml:space="preserve">49.16 </w:t>
            </w:r>
          </w:p>
        </w:tc>
        <w:tc>
          <w:tcPr>
            <w:tcW w:w="253" w:type="pct"/>
            <w:shd w:val="clear" w:color="auto" w:fill="auto"/>
            <w:noWrap/>
            <w:vAlign w:val="center"/>
          </w:tcPr>
          <w:p w14:paraId="42DBD807">
            <w:pPr>
              <w:pStyle w:val="33"/>
              <w:rPr>
                <w:color w:val="000000" w:themeColor="text1"/>
                <w14:textFill>
                  <w14:solidFill>
                    <w14:schemeClr w14:val="tx1"/>
                  </w14:solidFill>
                </w14:textFill>
              </w:rPr>
            </w:pPr>
          </w:p>
        </w:tc>
        <w:tc>
          <w:tcPr>
            <w:tcW w:w="305" w:type="pct"/>
            <w:shd w:val="clear" w:color="auto" w:fill="auto"/>
            <w:noWrap/>
            <w:vAlign w:val="center"/>
          </w:tcPr>
          <w:p w14:paraId="161F379A">
            <w:pPr>
              <w:pStyle w:val="33"/>
              <w:rPr>
                <w:color w:val="000000" w:themeColor="text1"/>
                <w14:textFill>
                  <w14:solidFill>
                    <w14:schemeClr w14:val="tx1"/>
                  </w14:solidFill>
                </w14:textFill>
              </w:rPr>
            </w:pPr>
          </w:p>
        </w:tc>
        <w:tc>
          <w:tcPr>
            <w:tcW w:w="304" w:type="pct"/>
            <w:shd w:val="clear" w:color="auto" w:fill="auto"/>
            <w:noWrap/>
            <w:vAlign w:val="center"/>
          </w:tcPr>
          <w:p w14:paraId="1F7EBFCF">
            <w:pPr>
              <w:pStyle w:val="33"/>
              <w:rPr>
                <w:color w:val="000000" w:themeColor="text1"/>
                <w14:textFill>
                  <w14:solidFill>
                    <w14:schemeClr w14:val="tx1"/>
                  </w14:solidFill>
                </w14:textFill>
              </w:rPr>
            </w:pPr>
          </w:p>
        </w:tc>
        <w:tc>
          <w:tcPr>
            <w:tcW w:w="254" w:type="pct"/>
            <w:shd w:val="clear" w:color="auto" w:fill="auto"/>
            <w:noWrap/>
            <w:vAlign w:val="center"/>
          </w:tcPr>
          <w:p w14:paraId="2058D954">
            <w:pPr>
              <w:pStyle w:val="33"/>
              <w:rPr>
                <w:color w:val="000000" w:themeColor="text1"/>
                <w14:textFill>
                  <w14:solidFill>
                    <w14:schemeClr w14:val="tx1"/>
                  </w14:solidFill>
                </w14:textFill>
              </w:rPr>
            </w:pPr>
            <w:r>
              <w:rPr>
                <w:color w:val="000000" w:themeColor="text1"/>
                <w14:textFill>
                  <w14:solidFill>
                    <w14:schemeClr w14:val="tx1"/>
                  </w14:solidFill>
                </w14:textFill>
              </w:rPr>
              <w:t>2535</w:t>
            </w:r>
          </w:p>
        </w:tc>
        <w:tc>
          <w:tcPr>
            <w:tcW w:w="305" w:type="pct"/>
            <w:shd w:val="clear" w:color="auto" w:fill="auto"/>
            <w:noWrap/>
            <w:vAlign w:val="center"/>
          </w:tcPr>
          <w:p w14:paraId="7C0E183B">
            <w:pPr>
              <w:pStyle w:val="33"/>
              <w:rPr>
                <w:color w:val="000000" w:themeColor="text1"/>
                <w14:textFill>
                  <w14:solidFill>
                    <w14:schemeClr w14:val="tx1"/>
                  </w14:solidFill>
                </w14:textFill>
              </w:rPr>
            </w:pPr>
            <w:r>
              <w:rPr>
                <w:color w:val="000000" w:themeColor="text1"/>
                <w14:textFill>
                  <w14:solidFill>
                    <w14:schemeClr w14:val="tx1"/>
                  </w14:solidFill>
                </w14:textFill>
              </w:rPr>
              <w:t>4.56</w:t>
            </w:r>
          </w:p>
        </w:tc>
        <w:tc>
          <w:tcPr>
            <w:tcW w:w="304" w:type="pct"/>
            <w:shd w:val="clear" w:color="auto" w:fill="auto"/>
            <w:noWrap/>
            <w:vAlign w:val="center"/>
          </w:tcPr>
          <w:p w14:paraId="6CC9C656">
            <w:pPr>
              <w:pStyle w:val="33"/>
              <w:rPr>
                <w:color w:val="000000" w:themeColor="text1"/>
                <w14:textFill>
                  <w14:solidFill>
                    <w14:schemeClr w14:val="tx1"/>
                  </w14:solidFill>
                </w14:textFill>
              </w:rPr>
            </w:pPr>
            <w:r>
              <w:rPr>
                <w:color w:val="000000" w:themeColor="text1"/>
                <w14:textFill>
                  <w14:solidFill>
                    <w14:schemeClr w14:val="tx1"/>
                  </w14:solidFill>
                </w14:textFill>
              </w:rPr>
              <w:t>3.53</w:t>
            </w:r>
          </w:p>
        </w:tc>
        <w:tc>
          <w:tcPr>
            <w:tcW w:w="354" w:type="pct"/>
            <w:shd w:val="clear" w:color="auto" w:fill="auto"/>
            <w:noWrap/>
            <w:vAlign w:val="center"/>
          </w:tcPr>
          <w:p w14:paraId="4E796AB3">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542" w:type="pct"/>
            <w:shd w:val="clear" w:color="auto" w:fill="auto"/>
            <w:noWrap/>
            <w:vAlign w:val="center"/>
          </w:tcPr>
          <w:p w14:paraId="40932CEA">
            <w:pPr>
              <w:pStyle w:val="33"/>
              <w:rPr>
                <w:color w:val="000000" w:themeColor="text1"/>
                <w14:textFill>
                  <w14:solidFill>
                    <w14:schemeClr w14:val="tx1"/>
                  </w14:solidFill>
                </w14:textFill>
              </w:rPr>
            </w:pPr>
          </w:p>
        </w:tc>
      </w:tr>
    </w:tbl>
    <w:p w14:paraId="2423DE8A">
      <w:pPr>
        <w:ind w:firstLine="480"/>
        <w:rPr>
          <w:rFonts w:cs="Times New Roman"/>
          <w:color w:val="000000" w:themeColor="text1"/>
          <w14:textFill>
            <w14:solidFill>
              <w14:schemeClr w14:val="tx1"/>
            </w14:solidFill>
          </w14:textFill>
        </w:rPr>
        <w:sectPr>
          <w:footerReference r:id="rId18" w:type="default"/>
          <w:pgSz w:w="16838" w:h="11906" w:orient="landscape"/>
          <w:pgMar w:top="1418" w:right="1418" w:bottom="1418" w:left="1418" w:header="850" w:footer="850" w:gutter="0"/>
          <w:cols w:space="720" w:num="1"/>
          <w:docGrid w:linePitch="326" w:charSpace="0"/>
        </w:sectPr>
      </w:pPr>
    </w:p>
    <w:p w14:paraId="05CA2ADA">
      <w:pPr>
        <w:pStyle w:val="5"/>
        <w:rPr>
          <w:color w:val="000000" w:themeColor="text1"/>
          <w14:textFill>
            <w14:solidFill>
              <w14:schemeClr w14:val="tx1"/>
            </w14:solidFill>
          </w14:textFill>
        </w:rPr>
      </w:pPr>
      <w:r>
        <w:rPr>
          <w:color w:val="000000" w:themeColor="text1"/>
          <w14:textFill>
            <w14:solidFill>
              <w14:schemeClr w14:val="tx1"/>
            </w14:solidFill>
          </w14:textFill>
        </w:rPr>
        <w:t>管网工程</w:t>
      </w:r>
    </w:p>
    <w:p w14:paraId="48815CB7">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经统计，园区内已建道路长度25.98km。园区已完成配套的各类管网中，已建污水管线22289m，雨水管线27189m，生活给水管线24744m，工业给水管线13741m，天然气管线21229m，弱电管线8973m，热力管线9020m，中水管线32993m。</w:t>
      </w:r>
    </w:p>
    <w:p w14:paraId="10F3A9FE">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园区基础设施各类管线完成统计情况见表1</w:t>
      </w:r>
      <w:r>
        <w:rPr>
          <w:rFonts w:cs="Times New Roman"/>
          <w:color w:val="000000" w:themeColor="text1"/>
          <w14:textFill>
            <w14:solidFill>
              <w14:schemeClr w14:val="tx1"/>
            </w14:solidFill>
          </w14:textFill>
        </w:rPr>
        <w:t>-7</w:t>
      </w:r>
      <w:r>
        <w:rPr>
          <w:rFonts w:hint="eastAsia" w:cs="Times New Roman"/>
          <w:color w:val="000000" w:themeColor="text1"/>
          <w14:textFill>
            <w14:solidFill>
              <w14:schemeClr w14:val="tx1"/>
            </w14:solidFill>
          </w14:textFill>
        </w:rPr>
        <w:t>。</w:t>
      </w:r>
    </w:p>
    <w:p w14:paraId="51169CD9">
      <w:pPr>
        <w:ind w:firstLine="480"/>
        <w:rPr>
          <w:rFonts w:cs="Times New Roman"/>
          <w:color w:val="000000" w:themeColor="text1"/>
          <w14:textFill>
            <w14:solidFill>
              <w14:schemeClr w14:val="tx1"/>
            </w14:solidFill>
          </w14:textFill>
        </w:rPr>
        <w:sectPr>
          <w:footerReference r:id="rId19" w:type="default"/>
          <w:pgSz w:w="11906" w:h="16838"/>
          <w:pgMar w:top="1418" w:right="1418" w:bottom="1418" w:left="1418" w:header="850" w:footer="850" w:gutter="0"/>
          <w:cols w:space="720" w:num="1"/>
          <w:docGrid w:linePitch="326" w:charSpace="0"/>
        </w:sectPr>
      </w:pPr>
    </w:p>
    <w:p w14:paraId="63FD55C0">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表1-7                                              地块1（金山产业园北区）基础设施各类管线完成统计表                                    （单位：m）</w:t>
      </w:r>
    </w:p>
    <w:tbl>
      <w:tblPr>
        <w:tblStyle w:val="27"/>
        <w:tblW w:w="0" w:type="auto"/>
        <w:tblInd w:w="0" w:type="dxa"/>
        <w:tblLayout w:type="autofit"/>
        <w:tblCellMar>
          <w:top w:w="0" w:type="dxa"/>
          <w:left w:w="108" w:type="dxa"/>
          <w:bottom w:w="0" w:type="dxa"/>
          <w:right w:w="108" w:type="dxa"/>
        </w:tblCellMar>
      </w:tblPr>
      <w:tblGrid>
        <w:gridCol w:w="403"/>
        <w:gridCol w:w="656"/>
        <w:gridCol w:w="666"/>
        <w:gridCol w:w="856"/>
        <w:gridCol w:w="691"/>
        <w:gridCol w:w="897"/>
        <w:gridCol w:w="666"/>
        <w:gridCol w:w="719"/>
        <w:gridCol w:w="666"/>
        <w:gridCol w:w="614"/>
        <w:gridCol w:w="691"/>
        <w:gridCol w:w="762"/>
        <w:gridCol w:w="605"/>
        <w:gridCol w:w="728"/>
        <w:gridCol w:w="621"/>
        <w:gridCol w:w="584"/>
        <w:gridCol w:w="576"/>
        <w:gridCol w:w="647"/>
        <w:gridCol w:w="666"/>
        <w:gridCol w:w="758"/>
        <w:gridCol w:w="746"/>
      </w:tblGrid>
      <w:tr w14:paraId="4D4F261F">
        <w:tblPrEx>
          <w:tblCellMar>
            <w:top w:w="0" w:type="dxa"/>
            <w:left w:w="108" w:type="dxa"/>
            <w:bottom w:w="0" w:type="dxa"/>
            <w:right w:w="108" w:type="dxa"/>
          </w:tblCellMar>
        </w:tblPrEx>
        <w:trPr>
          <w:trHeight w:val="369" w:hRule="atLeast"/>
          <w:tblHeader/>
        </w:trPr>
        <w:tc>
          <w:tcPr>
            <w:tcW w:w="0" w:type="auto"/>
            <w:vMerge w:val="restart"/>
            <w:tcBorders>
              <w:top w:val="single" w:color="auto" w:sz="8" w:space="0"/>
              <w:left w:val="single" w:color="auto" w:sz="8" w:space="0"/>
              <w:bottom w:val="single" w:color="000000" w:sz="4" w:space="0"/>
              <w:right w:val="single" w:color="auto" w:sz="4" w:space="0"/>
            </w:tcBorders>
            <w:shd w:val="clear" w:color="auto" w:fill="auto"/>
            <w:vAlign w:val="center"/>
          </w:tcPr>
          <w:p w14:paraId="52EB555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序号</w:t>
            </w:r>
          </w:p>
        </w:tc>
        <w:tc>
          <w:tcPr>
            <w:tcW w:w="0" w:type="auto"/>
            <w:vMerge w:val="restart"/>
            <w:tcBorders>
              <w:top w:val="single" w:color="auto" w:sz="8" w:space="0"/>
              <w:left w:val="single" w:color="auto" w:sz="4" w:space="0"/>
              <w:bottom w:val="single" w:color="000000" w:sz="4" w:space="0"/>
              <w:right w:val="single" w:color="auto" w:sz="4" w:space="0"/>
            </w:tcBorders>
            <w:shd w:val="clear" w:color="auto" w:fill="auto"/>
            <w:vAlign w:val="center"/>
          </w:tcPr>
          <w:p w14:paraId="2C8C8E3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名称</w:t>
            </w:r>
          </w:p>
        </w:tc>
        <w:tc>
          <w:tcPr>
            <w:tcW w:w="0" w:type="auto"/>
            <w:gridSpan w:val="2"/>
            <w:tcBorders>
              <w:top w:val="single" w:color="auto" w:sz="8" w:space="0"/>
              <w:left w:val="nil"/>
              <w:bottom w:val="single" w:color="auto" w:sz="4" w:space="0"/>
              <w:right w:val="single" w:color="000000" w:sz="4" w:space="0"/>
            </w:tcBorders>
            <w:shd w:val="clear" w:color="auto" w:fill="auto"/>
            <w:vAlign w:val="center"/>
          </w:tcPr>
          <w:p w14:paraId="57DB7B3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生活给水</w:t>
            </w:r>
          </w:p>
        </w:tc>
        <w:tc>
          <w:tcPr>
            <w:tcW w:w="0" w:type="auto"/>
            <w:gridSpan w:val="2"/>
            <w:tcBorders>
              <w:top w:val="single" w:color="auto" w:sz="8" w:space="0"/>
              <w:left w:val="nil"/>
              <w:bottom w:val="single" w:color="auto" w:sz="4" w:space="0"/>
              <w:right w:val="single" w:color="000000" w:sz="4" w:space="0"/>
            </w:tcBorders>
            <w:shd w:val="clear" w:color="auto" w:fill="auto"/>
            <w:vAlign w:val="center"/>
          </w:tcPr>
          <w:p w14:paraId="60DEFBB0">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工业给水</w:t>
            </w:r>
          </w:p>
        </w:tc>
        <w:tc>
          <w:tcPr>
            <w:tcW w:w="0" w:type="auto"/>
            <w:gridSpan w:val="2"/>
            <w:tcBorders>
              <w:top w:val="single" w:color="auto" w:sz="8" w:space="0"/>
              <w:left w:val="nil"/>
              <w:bottom w:val="single" w:color="auto" w:sz="4" w:space="0"/>
              <w:right w:val="single" w:color="000000" w:sz="4" w:space="0"/>
            </w:tcBorders>
            <w:shd w:val="clear" w:color="auto" w:fill="auto"/>
            <w:vAlign w:val="center"/>
          </w:tcPr>
          <w:p w14:paraId="393905F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中水</w:t>
            </w:r>
          </w:p>
        </w:tc>
        <w:tc>
          <w:tcPr>
            <w:tcW w:w="0" w:type="auto"/>
            <w:gridSpan w:val="2"/>
            <w:tcBorders>
              <w:top w:val="single" w:color="auto" w:sz="8" w:space="0"/>
              <w:left w:val="nil"/>
              <w:bottom w:val="single" w:color="auto" w:sz="4" w:space="0"/>
              <w:right w:val="single" w:color="000000" w:sz="4" w:space="0"/>
            </w:tcBorders>
            <w:shd w:val="clear" w:color="auto" w:fill="auto"/>
            <w:vAlign w:val="center"/>
          </w:tcPr>
          <w:p w14:paraId="5B33E15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污水</w:t>
            </w:r>
          </w:p>
        </w:tc>
        <w:tc>
          <w:tcPr>
            <w:tcW w:w="0" w:type="auto"/>
            <w:gridSpan w:val="2"/>
            <w:tcBorders>
              <w:top w:val="single" w:color="auto" w:sz="8" w:space="0"/>
              <w:left w:val="nil"/>
              <w:bottom w:val="single" w:color="auto" w:sz="4" w:space="0"/>
              <w:right w:val="single" w:color="000000" w:sz="4" w:space="0"/>
            </w:tcBorders>
            <w:shd w:val="clear" w:color="auto" w:fill="auto"/>
            <w:vAlign w:val="center"/>
          </w:tcPr>
          <w:p w14:paraId="1E40A52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雨水</w:t>
            </w:r>
          </w:p>
        </w:tc>
        <w:tc>
          <w:tcPr>
            <w:tcW w:w="0" w:type="auto"/>
            <w:gridSpan w:val="2"/>
            <w:tcBorders>
              <w:top w:val="single" w:color="auto" w:sz="8" w:space="0"/>
              <w:left w:val="nil"/>
              <w:bottom w:val="single" w:color="auto" w:sz="4" w:space="0"/>
              <w:right w:val="single" w:color="000000" w:sz="4" w:space="0"/>
            </w:tcBorders>
            <w:shd w:val="clear" w:color="auto" w:fill="auto"/>
            <w:vAlign w:val="center"/>
          </w:tcPr>
          <w:p w14:paraId="209C9EB0">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强电</w:t>
            </w:r>
          </w:p>
        </w:tc>
        <w:tc>
          <w:tcPr>
            <w:tcW w:w="0" w:type="auto"/>
            <w:gridSpan w:val="2"/>
            <w:tcBorders>
              <w:top w:val="single" w:color="auto" w:sz="8" w:space="0"/>
              <w:left w:val="nil"/>
              <w:bottom w:val="single" w:color="auto" w:sz="4" w:space="0"/>
              <w:right w:val="single" w:color="000000" w:sz="4" w:space="0"/>
            </w:tcBorders>
            <w:shd w:val="clear" w:color="auto" w:fill="auto"/>
            <w:vAlign w:val="center"/>
          </w:tcPr>
          <w:p w14:paraId="520C07E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弱电</w:t>
            </w:r>
          </w:p>
        </w:tc>
        <w:tc>
          <w:tcPr>
            <w:tcW w:w="0" w:type="auto"/>
            <w:gridSpan w:val="2"/>
            <w:tcBorders>
              <w:top w:val="single" w:color="auto" w:sz="8" w:space="0"/>
              <w:left w:val="nil"/>
              <w:bottom w:val="single" w:color="auto" w:sz="4" w:space="0"/>
              <w:right w:val="single" w:color="000000" w:sz="4" w:space="0"/>
            </w:tcBorders>
            <w:shd w:val="clear" w:color="auto" w:fill="auto"/>
            <w:vAlign w:val="center"/>
          </w:tcPr>
          <w:p w14:paraId="1DA6F91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热力</w:t>
            </w:r>
          </w:p>
        </w:tc>
        <w:tc>
          <w:tcPr>
            <w:tcW w:w="0" w:type="auto"/>
            <w:gridSpan w:val="2"/>
            <w:tcBorders>
              <w:top w:val="single" w:color="auto" w:sz="8" w:space="0"/>
              <w:left w:val="nil"/>
              <w:bottom w:val="single" w:color="auto" w:sz="4" w:space="0"/>
              <w:right w:val="single" w:color="000000" w:sz="4" w:space="0"/>
            </w:tcBorders>
            <w:shd w:val="clear" w:color="auto" w:fill="auto"/>
            <w:vAlign w:val="center"/>
          </w:tcPr>
          <w:p w14:paraId="26C5806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天然气</w:t>
            </w:r>
          </w:p>
        </w:tc>
        <w:tc>
          <w:tcPr>
            <w:tcW w:w="0" w:type="auto"/>
            <w:tcBorders>
              <w:top w:val="single" w:color="auto" w:sz="8" w:space="0"/>
              <w:left w:val="nil"/>
              <w:bottom w:val="single" w:color="auto" w:sz="4" w:space="0"/>
              <w:right w:val="single" w:color="auto" w:sz="8" w:space="0"/>
            </w:tcBorders>
            <w:shd w:val="clear" w:color="auto" w:fill="auto"/>
            <w:vAlign w:val="center"/>
          </w:tcPr>
          <w:p w14:paraId="3A7088F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备注</w:t>
            </w:r>
          </w:p>
        </w:tc>
      </w:tr>
      <w:tr w14:paraId="6476F1D1">
        <w:tblPrEx>
          <w:tblCellMar>
            <w:top w:w="0" w:type="dxa"/>
            <w:left w:w="108" w:type="dxa"/>
            <w:bottom w:w="0" w:type="dxa"/>
            <w:right w:w="108" w:type="dxa"/>
          </w:tblCellMar>
        </w:tblPrEx>
        <w:trPr>
          <w:trHeight w:val="369" w:hRule="atLeast"/>
          <w:tblHeader/>
        </w:trPr>
        <w:tc>
          <w:tcPr>
            <w:tcW w:w="0" w:type="auto"/>
            <w:vMerge w:val="continue"/>
            <w:tcBorders>
              <w:top w:val="single" w:color="auto" w:sz="8" w:space="0"/>
              <w:left w:val="single" w:color="auto" w:sz="8" w:space="0"/>
              <w:bottom w:val="double" w:color="auto" w:sz="4" w:space="0"/>
              <w:right w:val="single" w:color="auto" w:sz="4" w:space="0"/>
            </w:tcBorders>
            <w:shd w:val="clear" w:color="auto" w:fill="auto"/>
            <w:vAlign w:val="center"/>
          </w:tcPr>
          <w:p w14:paraId="340374EB">
            <w:pPr>
              <w:spacing w:line="240" w:lineRule="auto"/>
              <w:ind w:firstLine="0" w:firstLineChars="0"/>
              <w:jc w:val="left"/>
              <w:rPr>
                <w:rFonts w:cs="Times New Roman"/>
                <w:color w:val="000000" w:themeColor="text1"/>
                <w:sz w:val="18"/>
                <w:szCs w:val="18"/>
                <w14:textFill>
                  <w14:solidFill>
                    <w14:schemeClr w14:val="tx1"/>
                  </w14:solidFill>
                </w14:textFill>
              </w:rPr>
            </w:pPr>
          </w:p>
        </w:tc>
        <w:tc>
          <w:tcPr>
            <w:tcW w:w="0" w:type="auto"/>
            <w:vMerge w:val="continue"/>
            <w:tcBorders>
              <w:top w:val="single" w:color="auto" w:sz="8" w:space="0"/>
              <w:left w:val="single" w:color="auto" w:sz="4" w:space="0"/>
              <w:bottom w:val="double" w:color="auto" w:sz="4" w:space="0"/>
              <w:right w:val="single" w:color="auto" w:sz="4" w:space="0"/>
            </w:tcBorders>
            <w:shd w:val="clear" w:color="auto" w:fill="auto"/>
            <w:vAlign w:val="center"/>
          </w:tcPr>
          <w:p w14:paraId="6BCCAF33">
            <w:pPr>
              <w:spacing w:line="240" w:lineRule="auto"/>
              <w:ind w:firstLine="0" w:firstLineChars="0"/>
              <w:jc w:val="left"/>
              <w:rPr>
                <w:rFonts w:cs="Times New Roman"/>
                <w:color w:val="000000" w:themeColor="text1"/>
                <w:sz w:val="18"/>
                <w:szCs w:val="18"/>
                <w14:textFill>
                  <w14:solidFill>
                    <w14:schemeClr w14:val="tx1"/>
                  </w14:solidFill>
                </w14:textFill>
              </w:rPr>
            </w:pPr>
          </w:p>
        </w:tc>
        <w:tc>
          <w:tcPr>
            <w:tcW w:w="0" w:type="auto"/>
            <w:tcBorders>
              <w:top w:val="nil"/>
              <w:left w:val="nil"/>
              <w:bottom w:val="double" w:color="auto" w:sz="4" w:space="0"/>
              <w:right w:val="single" w:color="auto" w:sz="4" w:space="0"/>
            </w:tcBorders>
            <w:shd w:val="clear" w:color="auto" w:fill="auto"/>
            <w:vAlign w:val="center"/>
          </w:tcPr>
          <w:p w14:paraId="240F0E5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长度</w:t>
            </w:r>
          </w:p>
        </w:tc>
        <w:tc>
          <w:tcPr>
            <w:tcW w:w="0" w:type="auto"/>
            <w:tcBorders>
              <w:top w:val="nil"/>
              <w:left w:val="nil"/>
              <w:bottom w:val="double" w:color="auto" w:sz="4" w:space="0"/>
              <w:right w:val="single" w:color="auto" w:sz="4" w:space="0"/>
            </w:tcBorders>
            <w:shd w:val="clear" w:color="auto" w:fill="auto"/>
            <w:vAlign w:val="center"/>
          </w:tcPr>
          <w:p w14:paraId="6F14D75D">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位置</w:t>
            </w:r>
          </w:p>
        </w:tc>
        <w:tc>
          <w:tcPr>
            <w:tcW w:w="0" w:type="auto"/>
            <w:tcBorders>
              <w:top w:val="nil"/>
              <w:left w:val="nil"/>
              <w:bottom w:val="double" w:color="auto" w:sz="4" w:space="0"/>
              <w:right w:val="single" w:color="auto" w:sz="4" w:space="0"/>
            </w:tcBorders>
            <w:shd w:val="clear" w:color="auto" w:fill="auto"/>
            <w:vAlign w:val="center"/>
          </w:tcPr>
          <w:p w14:paraId="0604745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长度</w:t>
            </w:r>
          </w:p>
        </w:tc>
        <w:tc>
          <w:tcPr>
            <w:tcW w:w="0" w:type="auto"/>
            <w:tcBorders>
              <w:top w:val="nil"/>
              <w:left w:val="nil"/>
              <w:bottom w:val="double" w:color="auto" w:sz="4" w:space="0"/>
              <w:right w:val="single" w:color="auto" w:sz="4" w:space="0"/>
            </w:tcBorders>
            <w:shd w:val="clear" w:color="auto" w:fill="auto"/>
            <w:vAlign w:val="center"/>
          </w:tcPr>
          <w:p w14:paraId="56B1E0C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位置</w:t>
            </w:r>
          </w:p>
        </w:tc>
        <w:tc>
          <w:tcPr>
            <w:tcW w:w="0" w:type="auto"/>
            <w:tcBorders>
              <w:top w:val="nil"/>
              <w:left w:val="nil"/>
              <w:bottom w:val="double" w:color="auto" w:sz="4" w:space="0"/>
              <w:right w:val="single" w:color="auto" w:sz="4" w:space="0"/>
            </w:tcBorders>
            <w:shd w:val="clear" w:color="auto" w:fill="auto"/>
            <w:vAlign w:val="center"/>
          </w:tcPr>
          <w:p w14:paraId="1FFF1420">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长度</w:t>
            </w:r>
          </w:p>
        </w:tc>
        <w:tc>
          <w:tcPr>
            <w:tcW w:w="0" w:type="auto"/>
            <w:tcBorders>
              <w:top w:val="nil"/>
              <w:left w:val="nil"/>
              <w:bottom w:val="double" w:color="auto" w:sz="4" w:space="0"/>
              <w:right w:val="single" w:color="auto" w:sz="4" w:space="0"/>
            </w:tcBorders>
            <w:shd w:val="clear" w:color="auto" w:fill="auto"/>
            <w:vAlign w:val="center"/>
          </w:tcPr>
          <w:p w14:paraId="0A0ED33D">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位置</w:t>
            </w:r>
          </w:p>
        </w:tc>
        <w:tc>
          <w:tcPr>
            <w:tcW w:w="0" w:type="auto"/>
            <w:tcBorders>
              <w:top w:val="nil"/>
              <w:left w:val="nil"/>
              <w:bottom w:val="double" w:color="auto" w:sz="4" w:space="0"/>
              <w:right w:val="single" w:color="auto" w:sz="4" w:space="0"/>
            </w:tcBorders>
            <w:shd w:val="clear" w:color="auto" w:fill="auto"/>
            <w:vAlign w:val="center"/>
          </w:tcPr>
          <w:p w14:paraId="2E5CD2F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长度</w:t>
            </w:r>
          </w:p>
        </w:tc>
        <w:tc>
          <w:tcPr>
            <w:tcW w:w="0" w:type="auto"/>
            <w:tcBorders>
              <w:top w:val="nil"/>
              <w:left w:val="nil"/>
              <w:bottom w:val="double" w:color="auto" w:sz="4" w:space="0"/>
              <w:right w:val="single" w:color="auto" w:sz="4" w:space="0"/>
            </w:tcBorders>
            <w:shd w:val="clear" w:color="auto" w:fill="auto"/>
            <w:vAlign w:val="center"/>
          </w:tcPr>
          <w:p w14:paraId="433718C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位置</w:t>
            </w:r>
          </w:p>
        </w:tc>
        <w:tc>
          <w:tcPr>
            <w:tcW w:w="0" w:type="auto"/>
            <w:tcBorders>
              <w:top w:val="nil"/>
              <w:left w:val="nil"/>
              <w:bottom w:val="double" w:color="auto" w:sz="4" w:space="0"/>
              <w:right w:val="single" w:color="auto" w:sz="4" w:space="0"/>
            </w:tcBorders>
            <w:shd w:val="clear" w:color="auto" w:fill="auto"/>
            <w:vAlign w:val="center"/>
          </w:tcPr>
          <w:p w14:paraId="1A4B4D6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长度</w:t>
            </w:r>
          </w:p>
        </w:tc>
        <w:tc>
          <w:tcPr>
            <w:tcW w:w="0" w:type="auto"/>
            <w:tcBorders>
              <w:top w:val="nil"/>
              <w:left w:val="nil"/>
              <w:bottom w:val="double" w:color="auto" w:sz="4" w:space="0"/>
              <w:right w:val="single" w:color="auto" w:sz="4" w:space="0"/>
            </w:tcBorders>
            <w:shd w:val="clear" w:color="auto" w:fill="auto"/>
            <w:vAlign w:val="center"/>
          </w:tcPr>
          <w:p w14:paraId="4234180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位置</w:t>
            </w:r>
          </w:p>
        </w:tc>
        <w:tc>
          <w:tcPr>
            <w:tcW w:w="0" w:type="auto"/>
            <w:tcBorders>
              <w:top w:val="nil"/>
              <w:left w:val="nil"/>
              <w:bottom w:val="double" w:color="auto" w:sz="4" w:space="0"/>
              <w:right w:val="single" w:color="auto" w:sz="4" w:space="0"/>
            </w:tcBorders>
            <w:shd w:val="clear" w:color="auto" w:fill="auto"/>
            <w:vAlign w:val="center"/>
          </w:tcPr>
          <w:p w14:paraId="70F03F1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长度</w:t>
            </w:r>
          </w:p>
        </w:tc>
        <w:tc>
          <w:tcPr>
            <w:tcW w:w="0" w:type="auto"/>
            <w:tcBorders>
              <w:top w:val="nil"/>
              <w:left w:val="nil"/>
              <w:bottom w:val="double" w:color="auto" w:sz="4" w:space="0"/>
              <w:right w:val="single" w:color="auto" w:sz="4" w:space="0"/>
            </w:tcBorders>
            <w:shd w:val="clear" w:color="auto" w:fill="auto"/>
            <w:vAlign w:val="center"/>
          </w:tcPr>
          <w:p w14:paraId="400B21A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位置</w:t>
            </w:r>
          </w:p>
        </w:tc>
        <w:tc>
          <w:tcPr>
            <w:tcW w:w="0" w:type="auto"/>
            <w:tcBorders>
              <w:top w:val="nil"/>
              <w:left w:val="nil"/>
              <w:bottom w:val="double" w:color="auto" w:sz="4" w:space="0"/>
              <w:right w:val="single" w:color="auto" w:sz="4" w:space="0"/>
            </w:tcBorders>
            <w:shd w:val="clear" w:color="auto" w:fill="auto"/>
            <w:vAlign w:val="center"/>
          </w:tcPr>
          <w:p w14:paraId="1E34276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长度</w:t>
            </w:r>
          </w:p>
        </w:tc>
        <w:tc>
          <w:tcPr>
            <w:tcW w:w="0" w:type="auto"/>
            <w:tcBorders>
              <w:top w:val="nil"/>
              <w:left w:val="nil"/>
              <w:bottom w:val="double" w:color="auto" w:sz="4" w:space="0"/>
              <w:right w:val="single" w:color="auto" w:sz="4" w:space="0"/>
            </w:tcBorders>
            <w:shd w:val="clear" w:color="auto" w:fill="auto"/>
            <w:vAlign w:val="center"/>
          </w:tcPr>
          <w:p w14:paraId="662A43A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位置</w:t>
            </w:r>
          </w:p>
        </w:tc>
        <w:tc>
          <w:tcPr>
            <w:tcW w:w="0" w:type="auto"/>
            <w:tcBorders>
              <w:top w:val="nil"/>
              <w:left w:val="nil"/>
              <w:bottom w:val="double" w:color="auto" w:sz="4" w:space="0"/>
              <w:right w:val="single" w:color="auto" w:sz="4" w:space="0"/>
            </w:tcBorders>
            <w:shd w:val="clear" w:color="auto" w:fill="auto"/>
            <w:vAlign w:val="center"/>
          </w:tcPr>
          <w:p w14:paraId="0DEFB2DD">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长度</w:t>
            </w:r>
          </w:p>
        </w:tc>
        <w:tc>
          <w:tcPr>
            <w:tcW w:w="0" w:type="auto"/>
            <w:tcBorders>
              <w:top w:val="nil"/>
              <w:left w:val="nil"/>
              <w:bottom w:val="double" w:color="auto" w:sz="4" w:space="0"/>
              <w:right w:val="single" w:color="auto" w:sz="4" w:space="0"/>
            </w:tcBorders>
            <w:shd w:val="clear" w:color="auto" w:fill="auto"/>
            <w:vAlign w:val="center"/>
          </w:tcPr>
          <w:p w14:paraId="71FE95E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位置</w:t>
            </w:r>
          </w:p>
        </w:tc>
        <w:tc>
          <w:tcPr>
            <w:tcW w:w="0" w:type="auto"/>
            <w:tcBorders>
              <w:top w:val="nil"/>
              <w:left w:val="nil"/>
              <w:bottom w:val="double" w:color="auto" w:sz="4" w:space="0"/>
              <w:right w:val="single" w:color="auto" w:sz="4" w:space="0"/>
            </w:tcBorders>
            <w:shd w:val="clear" w:color="auto" w:fill="auto"/>
            <w:vAlign w:val="center"/>
          </w:tcPr>
          <w:p w14:paraId="77493CA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长度</w:t>
            </w:r>
          </w:p>
        </w:tc>
        <w:tc>
          <w:tcPr>
            <w:tcW w:w="0" w:type="auto"/>
            <w:tcBorders>
              <w:top w:val="nil"/>
              <w:left w:val="nil"/>
              <w:bottom w:val="double" w:color="auto" w:sz="4" w:space="0"/>
              <w:right w:val="single" w:color="auto" w:sz="4" w:space="0"/>
            </w:tcBorders>
            <w:shd w:val="clear" w:color="auto" w:fill="auto"/>
            <w:vAlign w:val="center"/>
          </w:tcPr>
          <w:p w14:paraId="685C1A0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位置</w:t>
            </w:r>
          </w:p>
        </w:tc>
        <w:tc>
          <w:tcPr>
            <w:tcW w:w="0" w:type="auto"/>
            <w:tcBorders>
              <w:top w:val="nil"/>
              <w:left w:val="nil"/>
              <w:bottom w:val="double" w:color="auto" w:sz="4" w:space="0"/>
              <w:right w:val="single" w:color="auto" w:sz="8" w:space="0"/>
            </w:tcBorders>
            <w:shd w:val="clear" w:color="auto" w:fill="auto"/>
            <w:vAlign w:val="center"/>
          </w:tcPr>
          <w:p w14:paraId="60F57E42">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r>
      <w:tr w14:paraId="20F93188">
        <w:tblPrEx>
          <w:tblCellMar>
            <w:top w:w="0" w:type="dxa"/>
            <w:left w:w="108" w:type="dxa"/>
            <w:bottom w:w="0" w:type="dxa"/>
            <w:right w:w="108" w:type="dxa"/>
          </w:tblCellMar>
        </w:tblPrEx>
        <w:trPr>
          <w:trHeight w:val="369" w:hRule="atLeast"/>
        </w:trPr>
        <w:tc>
          <w:tcPr>
            <w:tcW w:w="0" w:type="auto"/>
            <w:tcBorders>
              <w:top w:val="double" w:color="auto" w:sz="4" w:space="0"/>
              <w:left w:val="single" w:color="auto" w:sz="8" w:space="0"/>
              <w:bottom w:val="single" w:color="auto" w:sz="4" w:space="0"/>
              <w:right w:val="single" w:color="auto" w:sz="4" w:space="0"/>
            </w:tcBorders>
            <w:shd w:val="clear" w:color="auto" w:fill="auto"/>
            <w:vAlign w:val="center"/>
          </w:tcPr>
          <w:p w14:paraId="3652648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w:t>
            </w:r>
          </w:p>
        </w:tc>
        <w:tc>
          <w:tcPr>
            <w:tcW w:w="0" w:type="auto"/>
            <w:tcBorders>
              <w:top w:val="double" w:color="auto" w:sz="4" w:space="0"/>
              <w:left w:val="nil"/>
              <w:bottom w:val="single" w:color="auto" w:sz="4" w:space="0"/>
              <w:right w:val="single" w:color="auto" w:sz="4" w:space="0"/>
            </w:tcBorders>
            <w:shd w:val="clear" w:color="auto" w:fill="auto"/>
            <w:vAlign w:val="center"/>
          </w:tcPr>
          <w:p w14:paraId="55A3B8A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原经一路</w:t>
            </w:r>
          </w:p>
        </w:tc>
        <w:tc>
          <w:tcPr>
            <w:tcW w:w="0" w:type="auto"/>
            <w:tcBorders>
              <w:top w:val="double" w:color="auto" w:sz="4" w:space="0"/>
              <w:left w:val="nil"/>
              <w:bottom w:val="single" w:color="auto" w:sz="4" w:space="0"/>
              <w:right w:val="single" w:color="auto" w:sz="4" w:space="0"/>
            </w:tcBorders>
            <w:shd w:val="clear" w:color="auto" w:fill="auto"/>
            <w:vAlign w:val="center"/>
          </w:tcPr>
          <w:p w14:paraId="3F53BEC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898</w:t>
            </w:r>
          </w:p>
        </w:tc>
        <w:tc>
          <w:tcPr>
            <w:tcW w:w="0" w:type="auto"/>
            <w:tcBorders>
              <w:top w:val="double" w:color="auto" w:sz="4" w:space="0"/>
              <w:left w:val="nil"/>
              <w:bottom w:val="single" w:color="auto" w:sz="4" w:space="0"/>
              <w:right w:val="single" w:color="auto" w:sz="4" w:space="0"/>
            </w:tcBorders>
            <w:shd w:val="clear" w:color="auto" w:fill="auto"/>
            <w:vAlign w:val="center"/>
          </w:tcPr>
          <w:p w14:paraId="78F7FFF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中线东9.5m处</w:t>
            </w:r>
          </w:p>
        </w:tc>
        <w:tc>
          <w:tcPr>
            <w:tcW w:w="0" w:type="auto"/>
            <w:tcBorders>
              <w:top w:val="double" w:color="auto" w:sz="4" w:space="0"/>
              <w:left w:val="nil"/>
              <w:bottom w:val="single" w:color="auto" w:sz="4" w:space="0"/>
              <w:right w:val="single" w:color="auto" w:sz="4" w:space="0"/>
            </w:tcBorders>
            <w:shd w:val="clear" w:color="auto" w:fill="auto"/>
            <w:vAlign w:val="center"/>
          </w:tcPr>
          <w:p w14:paraId="623C282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vAlign w:val="center"/>
          </w:tcPr>
          <w:p w14:paraId="3651B66D">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vAlign w:val="center"/>
          </w:tcPr>
          <w:p w14:paraId="2899499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vAlign w:val="center"/>
          </w:tcPr>
          <w:p w14:paraId="675BA2B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double" w:color="auto" w:sz="4" w:space="0"/>
              <w:left w:val="nil"/>
              <w:bottom w:val="single" w:color="auto" w:sz="4" w:space="0"/>
              <w:right w:val="single" w:color="auto" w:sz="4" w:space="0"/>
            </w:tcBorders>
            <w:shd w:val="clear" w:color="auto" w:fill="auto"/>
            <w:vAlign w:val="center"/>
          </w:tcPr>
          <w:p w14:paraId="036C89D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1203</w:t>
            </w:r>
          </w:p>
        </w:tc>
        <w:tc>
          <w:tcPr>
            <w:tcW w:w="0" w:type="auto"/>
            <w:tcBorders>
              <w:top w:val="double" w:color="auto" w:sz="4" w:space="0"/>
              <w:left w:val="nil"/>
              <w:bottom w:val="single" w:color="auto" w:sz="4" w:space="0"/>
              <w:right w:val="single" w:color="auto" w:sz="4" w:space="0"/>
            </w:tcBorders>
            <w:shd w:val="clear" w:color="auto" w:fill="auto"/>
            <w:vAlign w:val="center"/>
          </w:tcPr>
          <w:p w14:paraId="011C4F2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中线西5m处</w:t>
            </w:r>
          </w:p>
        </w:tc>
        <w:tc>
          <w:tcPr>
            <w:tcW w:w="0" w:type="auto"/>
            <w:tcBorders>
              <w:top w:val="double" w:color="auto" w:sz="4" w:space="0"/>
              <w:left w:val="nil"/>
              <w:bottom w:val="single" w:color="auto" w:sz="4" w:space="0"/>
              <w:right w:val="single" w:color="auto" w:sz="4" w:space="0"/>
            </w:tcBorders>
            <w:shd w:val="clear" w:color="auto" w:fill="auto"/>
            <w:vAlign w:val="center"/>
          </w:tcPr>
          <w:p w14:paraId="4030778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1203</w:t>
            </w:r>
          </w:p>
        </w:tc>
        <w:tc>
          <w:tcPr>
            <w:tcW w:w="0" w:type="auto"/>
            <w:tcBorders>
              <w:top w:val="double" w:color="auto" w:sz="4" w:space="0"/>
              <w:left w:val="nil"/>
              <w:bottom w:val="single" w:color="auto" w:sz="4" w:space="0"/>
              <w:right w:val="single" w:color="auto" w:sz="4" w:space="0"/>
            </w:tcBorders>
            <w:shd w:val="clear" w:color="auto" w:fill="auto"/>
            <w:vAlign w:val="center"/>
          </w:tcPr>
          <w:p w14:paraId="0F23F88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路中</w:t>
            </w:r>
          </w:p>
        </w:tc>
        <w:tc>
          <w:tcPr>
            <w:tcW w:w="0" w:type="auto"/>
            <w:tcBorders>
              <w:top w:val="double" w:color="auto" w:sz="4" w:space="0"/>
              <w:left w:val="nil"/>
              <w:bottom w:val="single" w:color="auto" w:sz="4" w:space="0"/>
              <w:right w:val="single" w:color="auto" w:sz="4" w:space="0"/>
            </w:tcBorders>
            <w:shd w:val="clear" w:color="auto" w:fill="auto"/>
            <w:vAlign w:val="center"/>
          </w:tcPr>
          <w:p w14:paraId="591A656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vAlign w:val="center"/>
          </w:tcPr>
          <w:p w14:paraId="75AF43A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double" w:color="auto" w:sz="4" w:space="0"/>
              <w:left w:val="nil"/>
              <w:bottom w:val="single" w:color="auto" w:sz="4" w:space="0"/>
              <w:right w:val="single" w:color="auto" w:sz="4" w:space="0"/>
            </w:tcBorders>
            <w:shd w:val="clear" w:color="auto" w:fill="auto"/>
            <w:vAlign w:val="center"/>
          </w:tcPr>
          <w:p w14:paraId="7B99344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vAlign w:val="center"/>
          </w:tcPr>
          <w:p w14:paraId="020AEC7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vAlign w:val="center"/>
          </w:tcPr>
          <w:p w14:paraId="5731F4C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vAlign w:val="center"/>
          </w:tcPr>
          <w:p w14:paraId="624EE51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double" w:color="auto" w:sz="4" w:space="0"/>
              <w:left w:val="nil"/>
              <w:bottom w:val="single" w:color="auto" w:sz="4" w:space="0"/>
              <w:right w:val="single" w:color="auto" w:sz="4" w:space="0"/>
            </w:tcBorders>
            <w:shd w:val="clear" w:color="auto" w:fill="auto"/>
            <w:vAlign w:val="center"/>
          </w:tcPr>
          <w:p w14:paraId="693771F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vAlign w:val="center"/>
          </w:tcPr>
          <w:p w14:paraId="1BF150A2">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有 路东绿化带里</w:t>
            </w:r>
          </w:p>
        </w:tc>
        <w:tc>
          <w:tcPr>
            <w:tcW w:w="0" w:type="auto"/>
            <w:tcBorders>
              <w:top w:val="double" w:color="auto" w:sz="4" w:space="0"/>
              <w:left w:val="nil"/>
              <w:bottom w:val="single" w:color="auto" w:sz="4" w:space="0"/>
              <w:right w:val="single" w:color="auto" w:sz="8" w:space="0"/>
            </w:tcBorders>
            <w:shd w:val="clear" w:color="auto" w:fill="auto"/>
            <w:vAlign w:val="center"/>
          </w:tcPr>
          <w:p w14:paraId="4A1DFCA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r>
      <w:tr w14:paraId="71FD3A1A">
        <w:tblPrEx>
          <w:tblCellMar>
            <w:top w:w="0" w:type="dxa"/>
            <w:left w:w="108" w:type="dxa"/>
            <w:bottom w:w="0" w:type="dxa"/>
            <w:right w:w="108" w:type="dxa"/>
          </w:tblCellMar>
        </w:tblPrEx>
        <w:trPr>
          <w:trHeight w:val="369" w:hRule="atLeast"/>
        </w:trPr>
        <w:tc>
          <w:tcPr>
            <w:tcW w:w="0" w:type="auto"/>
            <w:tcBorders>
              <w:top w:val="nil"/>
              <w:left w:val="single" w:color="auto" w:sz="8" w:space="0"/>
              <w:bottom w:val="single" w:color="auto" w:sz="4" w:space="0"/>
              <w:right w:val="single" w:color="auto" w:sz="4" w:space="0"/>
            </w:tcBorders>
            <w:shd w:val="clear" w:color="auto" w:fill="auto"/>
            <w:vAlign w:val="center"/>
          </w:tcPr>
          <w:p w14:paraId="45A6235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w:t>
            </w:r>
          </w:p>
        </w:tc>
        <w:tc>
          <w:tcPr>
            <w:tcW w:w="0" w:type="auto"/>
            <w:tcBorders>
              <w:top w:val="nil"/>
              <w:left w:val="nil"/>
              <w:bottom w:val="single" w:color="auto" w:sz="4" w:space="0"/>
              <w:right w:val="single" w:color="auto" w:sz="4" w:space="0"/>
            </w:tcBorders>
            <w:shd w:val="clear" w:color="auto" w:fill="auto"/>
            <w:vAlign w:val="center"/>
          </w:tcPr>
          <w:p w14:paraId="6D1E3F7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经三路</w:t>
            </w:r>
          </w:p>
        </w:tc>
        <w:tc>
          <w:tcPr>
            <w:tcW w:w="0" w:type="auto"/>
            <w:tcBorders>
              <w:top w:val="nil"/>
              <w:left w:val="nil"/>
              <w:bottom w:val="single" w:color="auto" w:sz="4" w:space="0"/>
              <w:right w:val="single" w:color="auto" w:sz="4" w:space="0"/>
            </w:tcBorders>
            <w:shd w:val="clear" w:color="auto" w:fill="auto"/>
            <w:vAlign w:val="center"/>
          </w:tcPr>
          <w:p w14:paraId="5A2857D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1817</w:t>
            </w:r>
          </w:p>
        </w:tc>
        <w:tc>
          <w:tcPr>
            <w:tcW w:w="0" w:type="auto"/>
            <w:tcBorders>
              <w:top w:val="nil"/>
              <w:left w:val="nil"/>
              <w:bottom w:val="single" w:color="auto" w:sz="4" w:space="0"/>
              <w:right w:val="single" w:color="auto" w:sz="4" w:space="0"/>
            </w:tcBorders>
            <w:shd w:val="clear" w:color="auto" w:fill="auto"/>
            <w:vAlign w:val="center"/>
          </w:tcPr>
          <w:p w14:paraId="72D1C3E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中线西12.5m处</w:t>
            </w:r>
          </w:p>
        </w:tc>
        <w:tc>
          <w:tcPr>
            <w:tcW w:w="0" w:type="auto"/>
            <w:tcBorders>
              <w:top w:val="nil"/>
              <w:left w:val="nil"/>
              <w:bottom w:val="single" w:color="auto" w:sz="4" w:space="0"/>
              <w:right w:val="single" w:color="auto" w:sz="4" w:space="0"/>
            </w:tcBorders>
            <w:shd w:val="clear" w:color="auto" w:fill="auto"/>
            <w:vAlign w:val="center"/>
          </w:tcPr>
          <w:p w14:paraId="106CA43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1831</w:t>
            </w:r>
          </w:p>
        </w:tc>
        <w:tc>
          <w:tcPr>
            <w:tcW w:w="0" w:type="auto"/>
            <w:tcBorders>
              <w:top w:val="nil"/>
              <w:left w:val="nil"/>
              <w:bottom w:val="single" w:color="auto" w:sz="4" w:space="0"/>
              <w:right w:val="single" w:color="auto" w:sz="4" w:space="0"/>
            </w:tcBorders>
            <w:shd w:val="clear" w:color="auto" w:fill="auto"/>
            <w:vAlign w:val="center"/>
          </w:tcPr>
          <w:p w14:paraId="2999A0B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中线东18m处</w:t>
            </w:r>
          </w:p>
        </w:tc>
        <w:tc>
          <w:tcPr>
            <w:tcW w:w="0" w:type="auto"/>
            <w:tcBorders>
              <w:top w:val="nil"/>
              <w:left w:val="nil"/>
              <w:bottom w:val="single" w:color="auto" w:sz="4" w:space="0"/>
              <w:right w:val="single" w:color="auto" w:sz="4" w:space="0"/>
            </w:tcBorders>
            <w:shd w:val="clear" w:color="auto" w:fill="auto"/>
            <w:vAlign w:val="center"/>
          </w:tcPr>
          <w:p w14:paraId="3C2E9BB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FAB4FC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nil"/>
              <w:left w:val="nil"/>
              <w:bottom w:val="single" w:color="auto" w:sz="4" w:space="0"/>
              <w:right w:val="single" w:color="auto" w:sz="4" w:space="0"/>
            </w:tcBorders>
            <w:shd w:val="clear" w:color="auto" w:fill="auto"/>
            <w:vAlign w:val="center"/>
          </w:tcPr>
          <w:p w14:paraId="3061C962">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1820</w:t>
            </w:r>
          </w:p>
        </w:tc>
        <w:tc>
          <w:tcPr>
            <w:tcW w:w="0" w:type="auto"/>
            <w:tcBorders>
              <w:top w:val="nil"/>
              <w:left w:val="nil"/>
              <w:bottom w:val="single" w:color="auto" w:sz="4" w:space="0"/>
              <w:right w:val="single" w:color="auto" w:sz="4" w:space="0"/>
            </w:tcBorders>
            <w:shd w:val="clear" w:color="auto" w:fill="auto"/>
            <w:vAlign w:val="center"/>
          </w:tcPr>
          <w:p w14:paraId="27D5932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中线东6.5m处</w:t>
            </w:r>
          </w:p>
        </w:tc>
        <w:tc>
          <w:tcPr>
            <w:tcW w:w="0" w:type="auto"/>
            <w:tcBorders>
              <w:top w:val="nil"/>
              <w:left w:val="nil"/>
              <w:bottom w:val="single" w:color="auto" w:sz="4" w:space="0"/>
              <w:right w:val="single" w:color="auto" w:sz="4" w:space="0"/>
            </w:tcBorders>
            <w:shd w:val="clear" w:color="auto" w:fill="auto"/>
            <w:vAlign w:val="center"/>
          </w:tcPr>
          <w:p w14:paraId="1E7F9E8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2119</w:t>
            </w:r>
          </w:p>
        </w:tc>
        <w:tc>
          <w:tcPr>
            <w:tcW w:w="0" w:type="auto"/>
            <w:tcBorders>
              <w:top w:val="nil"/>
              <w:left w:val="nil"/>
              <w:bottom w:val="single" w:color="auto" w:sz="4" w:space="0"/>
              <w:right w:val="single" w:color="auto" w:sz="4" w:space="0"/>
            </w:tcBorders>
            <w:shd w:val="clear" w:color="auto" w:fill="auto"/>
            <w:vAlign w:val="center"/>
          </w:tcPr>
          <w:p w14:paraId="18CB64F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路中</w:t>
            </w:r>
          </w:p>
        </w:tc>
        <w:tc>
          <w:tcPr>
            <w:tcW w:w="0" w:type="auto"/>
            <w:tcBorders>
              <w:top w:val="nil"/>
              <w:left w:val="nil"/>
              <w:bottom w:val="single" w:color="auto" w:sz="4" w:space="0"/>
              <w:right w:val="single" w:color="auto" w:sz="4" w:space="0"/>
            </w:tcBorders>
            <w:shd w:val="clear" w:color="auto" w:fill="auto"/>
            <w:vAlign w:val="center"/>
          </w:tcPr>
          <w:p w14:paraId="4703096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4C66495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规划中线东20m处</w:t>
            </w:r>
          </w:p>
        </w:tc>
        <w:tc>
          <w:tcPr>
            <w:tcW w:w="0" w:type="auto"/>
            <w:tcBorders>
              <w:top w:val="nil"/>
              <w:left w:val="nil"/>
              <w:bottom w:val="single" w:color="auto" w:sz="4" w:space="0"/>
              <w:right w:val="single" w:color="auto" w:sz="4" w:space="0"/>
            </w:tcBorders>
            <w:shd w:val="clear" w:color="auto" w:fill="auto"/>
            <w:vAlign w:val="center"/>
          </w:tcPr>
          <w:p w14:paraId="0EB4282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1917</w:t>
            </w:r>
          </w:p>
        </w:tc>
        <w:tc>
          <w:tcPr>
            <w:tcW w:w="0" w:type="auto"/>
            <w:tcBorders>
              <w:top w:val="nil"/>
              <w:left w:val="nil"/>
              <w:bottom w:val="single" w:color="auto" w:sz="4" w:space="0"/>
              <w:right w:val="single" w:color="auto" w:sz="4" w:space="0"/>
            </w:tcBorders>
            <w:shd w:val="clear" w:color="auto" w:fill="auto"/>
            <w:vAlign w:val="center"/>
          </w:tcPr>
          <w:p w14:paraId="20EC3360">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规划中线西20m处</w:t>
            </w:r>
          </w:p>
        </w:tc>
        <w:tc>
          <w:tcPr>
            <w:tcW w:w="0" w:type="auto"/>
            <w:tcBorders>
              <w:top w:val="nil"/>
              <w:left w:val="nil"/>
              <w:bottom w:val="single" w:color="auto" w:sz="4" w:space="0"/>
              <w:right w:val="single" w:color="auto" w:sz="4" w:space="0"/>
            </w:tcBorders>
            <w:shd w:val="clear" w:color="auto" w:fill="auto"/>
            <w:vAlign w:val="center"/>
          </w:tcPr>
          <w:p w14:paraId="39BB0CCD">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910</w:t>
            </w:r>
          </w:p>
        </w:tc>
        <w:tc>
          <w:tcPr>
            <w:tcW w:w="0" w:type="auto"/>
            <w:tcBorders>
              <w:top w:val="nil"/>
              <w:left w:val="nil"/>
              <w:bottom w:val="single" w:color="auto" w:sz="4" w:space="0"/>
              <w:right w:val="single" w:color="auto" w:sz="4" w:space="0"/>
            </w:tcBorders>
            <w:shd w:val="clear" w:color="auto" w:fill="auto"/>
            <w:vAlign w:val="center"/>
          </w:tcPr>
          <w:p w14:paraId="7BDA234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nil"/>
              <w:left w:val="nil"/>
              <w:bottom w:val="single" w:color="auto" w:sz="4" w:space="0"/>
              <w:right w:val="single" w:color="auto" w:sz="4" w:space="0"/>
            </w:tcBorders>
            <w:shd w:val="clear" w:color="auto" w:fill="auto"/>
            <w:vAlign w:val="center"/>
          </w:tcPr>
          <w:p w14:paraId="4C9F185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05C07D6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规划中线东15m处</w:t>
            </w:r>
          </w:p>
        </w:tc>
        <w:tc>
          <w:tcPr>
            <w:tcW w:w="0" w:type="auto"/>
            <w:tcBorders>
              <w:top w:val="nil"/>
              <w:left w:val="nil"/>
              <w:bottom w:val="single" w:color="auto" w:sz="4" w:space="0"/>
              <w:right w:val="single" w:color="auto" w:sz="8" w:space="0"/>
            </w:tcBorders>
            <w:shd w:val="clear" w:color="auto" w:fill="auto"/>
            <w:vAlign w:val="center"/>
          </w:tcPr>
          <w:p w14:paraId="615B607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r>
      <w:tr w14:paraId="49F4F2F0">
        <w:tblPrEx>
          <w:tblCellMar>
            <w:top w:w="0" w:type="dxa"/>
            <w:left w:w="108" w:type="dxa"/>
            <w:bottom w:w="0" w:type="dxa"/>
            <w:right w:w="108" w:type="dxa"/>
          </w:tblCellMar>
        </w:tblPrEx>
        <w:trPr>
          <w:trHeight w:val="369" w:hRule="atLeast"/>
        </w:trPr>
        <w:tc>
          <w:tcPr>
            <w:tcW w:w="0" w:type="auto"/>
            <w:tcBorders>
              <w:top w:val="nil"/>
              <w:left w:val="single" w:color="auto" w:sz="8" w:space="0"/>
              <w:bottom w:val="single" w:color="auto" w:sz="4" w:space="0"/>
              <w:right w:val="single" w:color="auto" w:sz="4" w:space="0"/>
            </w:tcBorders>
            <w:shd w:val="clear" w:color="auto" w:fill="auto"/>
            <w:vAlign w:val="center"/>
          </w:tcPr>
          <w:p w14:paraId="02E4615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3</w:t>
            </w:r>
          </w:p>
        </w:tc>
        <w:tc>
          <w:tcPr>
            <w:tcW w:w="0" w:type="auto"/>
            <w:tcBorders>
              <w:top w:val="nil"/>
              <w:left w:val="nil"/>
              <w:bottom w:val="single" w:color="auto" w:sz="4" w:space="0"/>
              <w:right w:val="single" w:color="auto" w:sz="4" w:space="0"/>
            </w:tcBorders>
            <w:shd w:val="clear" w:color="auto" w:fill="auto"/>
            <w:vAlign w:val="center"/>
          </w:tcPr>
          <w:p w14:paraId="5D64E98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经四路</w:t>
            </w:r>
          </w:p>
        </w:tc>
        <w:tc>
          <w:tcPr>
            <w:tcW w:w="0" w:type="auto"/>
            <w:tcBorders>
              <w:top w:val="nil"/>
              <w:left w:val="nil"/>
              <w:bottom w:val="single" w:color="auto" w:sz="4" w:space="0"/>
              <w:right w:val="single" w:color="auto" w:sz="4" w:space="0"/>
            </w:tcBorders>
            <w:shd w:val="clear" w:color="auto" w:fill="auto"/>
            <w:vAlign w:val="center"/>
          </w:tcPr>
          <w:p w14:paraId="2462F09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1494</w:t>
            </w:r>
          </w:p>
        </w:tc>
        <w:tc>
          <w:tcPr>
            <w:tcW w:w="0" w:type="auto"/>
            <w:tcBorders>
              <w:top w:val="nil"/>
              <w:left w:val="nil"/>
              <w:bottom w:val="single" w:color="auto" w:sz="4" w:space="0"/>
              <w:right w:val="single" w:color="auto" w:sz="4" w:space="0"/>
            </w:tcBorders>
            <w:shd w:val="clear" w:color="auto" w:fill="auto"/>
            <w:vAlign w:val="center"/>
          </w:tcPr>
          <w:p w14:paraId="2441432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中线西12.5m处</w:t>
            </w:r>
          </w:p>
        </w:tc>
        <w:tc>
          <w:tcPr>
            <w:tcW w:w="0" w:type="auto"/>
            <w:tcBorders>
              <w:top w:val="nil"/>
              <w:left w:val="nil"/>
              <w:bottom w:val="single" w:color="auto" w:sz="4" w:space="0"/>
              <w:right w:val="single" w:color="auto" w:sz="4" w:space="0"/>
            </w:tcBorders>
            <w:shd w:val="clear" w:color="auto" w:fill="auto"/>
            <w:vAlign w:val="center"/>
          </w:tcPr>
          <w:p w14:paraId="4C2D4DC0">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2978（两趟）</w:t>
            </w:r>
          </w:p>
        </w:tc>
        <w:tc>
          <w:tcPr>
            <w:tcW w:w="0" w:type="auto"/>
            <w:tcBorders>
              <w:top w:val="nil"/>
              <w:left w:val="nil"/>
              <w:bottom w:val="single" w:color="auto" w:sz="4" w:space="0"/>
              <w:right w:val="single" w:color="auto" w:sz="4" w:space="0"/>
            </w:tcBorders>
            <w:shd w:val="clear" w:color="auto" w:fill="auto"/>
            <w:vAlign w:val="center"/>
          </w:tcPr>
          <w:p w14:paraId="5C986FC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中线西16m处（无压），中心线东20m处（有压）</w:t>
            </w:r>
          </w:p>
        </w:tc>
        <w:tc>
          <w:tcPr>
            <w:tcW w:w="0" w:type="auto"/>
            <w:tcBorders>
              <w:top w:val="nil"/>
              <w:left w:val="nil"/>
              <w:bottom w:val="single" w:color="auto" w:sz="4" w:space="0"/>
              <w:right w:val="single" w:color="auto" w:sz="4" w:space="0"/>
            </w:tcBorders>
            <w:shd w:val="clear" w:color="auto" w:fill="auto"/>
            <w:vAlign w:val="center"/>
          </w:tcPr>
          <w:p w14:paraId="4F11CD0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20B56F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nil"/>
              <w:left w:val="nil"/>
              <w:bottom w:val="single" w:color="auto" w:sz="4" w:space="0"/>
              <w:right w:val="single" w:color="auto" w:sz="4" w:space="0"/>
            </w:tcBorders>
            <w:shd w:val="clear" w:color="auto" w:fill="auto"/>
            <w:vAlign w:val="center"/>
          </w:tcPr>
          <w:p w14:paraId="52A9CE3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1503</w:t>
            </w:r>
          </w:p>
        </w:tc>
        <w:tc>
          <w:tcPr>
            <w:tcW w:w="0" w:type="auto"/>
            <w:tcBorders>
              <w:top w:val="nil"/>
              <w:left w:val="nil"/>
              <w:bottom w:val="single" w:color="auto" w:sz="4" w:space="0"/>
              <w:right w:val="single" w:color="auto" w:sz="4" w:space="0"/>
            </w:tcBorders>
            <w:shd w:val="clear" w:color="auto" w:fill="auto"/>
            <w:vAlign w:val="center"/>
          </w:tcPr>
          <w:p w14:paraId="3AF04BC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中线东5m处</w:t>
            </w:r>
          </w:p>
        </w:tc>
        <w:tc>
          <w:tcPr>
            <w:tcW w:w="0" w:type="auto"/>
            <w:tcBorders>
              <w:top w:val="nil"/>
              <w:left w:val="nil"/>
              <w:bottom w:val="single" w:color="auto" w:sz="4" w:space="0"/>
              <w:right w:val="single" w:color="auto" w:sz="4" w:space="0"/>
            </w:tcBorders>
            <w:shd w:val="clear" w:color="auto" w:fill="auto"/>
            <w:vAlign w:val="center"/>
          </w:tcPr>
          <w:p w14:paraId="76D9D2B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1432</w:t>
            </w:r>
          </w:p>
        </w:tc>
        <w:tc>
          <w:tcPr>
            <w:tcW w:w="0" w:type="auto"/>
            <w:tcBorders>
              <w:top w:val="nil"/>
              <w:left w:val="nil"/>
              <w:bottom w:val="single" w:color="auto" w:sz="4" w:space="0"/>
              <w:right w:val="single" w:color="auto" w:sz="4" w:space="0"/>
            </w:tcBorders>
            <w:shd w:val="clear" w:color="auto" w:fill="auto"/>
            <w:vAlign w:val="center"/>
          </w:tcPr>
          <w:p w14:paraId="6BEFF4E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路中</w:t>
            </w:r>
          </w:p>
        </w:tc>
        <w:tc>
          <w:tcPr>
            <w:tcW w:w="0" w:type="auto"/>
            <w:tcBorders>
              <w:top w:val="nil"/>
              <w:left w:val="nil"/>
              <w:bottom w:val="single" w:color="auto" w:sz="4" w:space="0"/>
              <w:right w:val="single" w:color="auto" w:sz="4" w:space="0"/>
            </w:tcBorders>
            <w:shd w:val="clear" w:color="auto" w:fill="auto"/>
            <w:vAlign w:val="center"/>
          </w:tcPr>
          <w:p w14:paraId="3CFFFE7D">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55D178B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规划中线东24m处</w:t>
            </w:r>
          </w:p>
        </w:tc>
        <w:tc>
          <w:tcPr>
            <w:tcW w:w="0" w:type="auto"/>
            <w:tcBorders>
              <w:top w:val="nil"/>
              <w:left w:val="nil"/>
              <w:bottom w:val="single" w:color="auto" w:sz="4" w:space="0"/>
              <w:right w:val="single" w:color="auto" w:sz="4" w:space="0"/>
            </w:tcBorders>
            <w:shd w:val="clear" w:color="auto" w:fill="auto"/>
            <w:vAlign w:val="center"/>
          </w:tcPr>
          <w:p w14:paraId="328D472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1508</w:t>
            </w:r>
          </w:p>
        </w:tc>
        <w:tc>
          <w:tcPr>
            <w:tcW w:w="0" w:type="auto"/>
            <w:tcBorders>
              <w:top w:val="nil"/>
              <w:left w:val="nil"/>
              <w:bottom w:val="single" w:color="auto" w:sz="4" w:space="0"/>
              <w:right w:val="single" w:color="auto" w:sz="4" w:space="0"/>
            </w:tcBorders>
            <w:shd w:val="clear" w:color="auto" w:fill="auto"/>
            <w:vAlign w:val="center"/>
          </w:tcPr>
          <w:p w14:paraId="482D332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中线西20m处</w:t>
            </w:r>
          </w:p>
        </w:tc>
        <w:tc>
          <w:tcPr>
            <w:tcW w:w="0" w:type="auto"/>
            <w:tcBorders>
              <w:top w:val="nil"/>
              <w:left w:val="nil"/>
              <w:bottom w:val="single" w:color="auto" w:sz="4" w:space="0"/>
              <w:right w:val="single" w:color="auto" w:sz="4" w:space="0"/>
            </w:tcBorders>
            <w:shd w:val="clear" w:color="auto" w:fill="auto"/>
            <w:vAlign w:val="center"/>
          </w:tcPr>
          <w:p w14:paraId="7512BC4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610</w:t>
            </w:r>
          </w:p>
        </w:tc>
        <w:tc>
          <w:tcPr>
            <w:tcW w:w="0" w:type="auto"/>
            <w:tcBorders>
              <w:top w:val="nil"/>
              <w:left w:val="nil"/>
              <w:bottom w:val="single" w:color="auto" w:sz="4" w:space="0"/>
              <w:right w:val="single" w:color="auto" w:sz="4" w:space="0"/>
            </w:tcBorders>
            <w:shd w:val="clear" w:color="auto" w:fill="auto"/>
            <w:vAlign w:val="center"/>
          </w:tcPr>
          <w:p w14:paraId="397F6E7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nil"/>
              <w:left w:val="nil"/>
              <w:bottom w:val="single" w:color="auto" w:sz="4" w:space="0"/>
              <w:right w:val="single" w:color="auto" w:sz="4" w:space="0"/>
            </w:tcBorders>
            <w:shd w:val="clear" w:color="auto" w:fill="auto"/>
            <w:vAlign w:val="center"/>
          </w:tcPr>
          <w:p w14:paraId="65BBF5F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1000</w:t>
            </w:r>
          </w:p>
        </w:tc>
        <w:tc>
          <w:tcPr>
            <w:tcW w:w="0" w:type="auto"/>
            <w:tcBorders>
              <w:top w:val="nil"/>
              <w:left w:val="nil"/>
              <w:bottom w:val="single" w:color="auto" w:sz="4" w:space="0"/>
              <w:right w:val="single" w:color="auto" w:sz="4" w:space="0"/>
            </w:tcBorders>
            <w:shd w:val="clear" w:color="auto" w:fill="auto"/>
            <w:vAlign w:val="center"/>
          </w:tcPr>
          <w:p w14:paraId="6338633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规划中线东15m处</w:t>
            </w:r>
          </w:p>
        </w:tc>
        <w:tc>
          <w:tcPr>
            <w:tcW w:w="0" w:type="auto"/>
            <w:tcBorders>
              <w:top w:val="nil"/>
              <w:left w:val="nil"/>
              <w:bottom w:val="single" w:color="auto" w:sz="4" w:space="0"/>
              <w:right w:val="single" w:color="auto" w:sz="8" w:space="0"/>
            </w:tcBorders>
            <w:shd w:val="clear" w:color="auto" w:fill="auto"/>
            <w:vAlign w:val="center"/>
          </w:tcPr>
          <w:p w14:paraId="1FEC36B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r>
      <w:tr w14:paraId="4ED285F9">
        <w:tblPrEx>
          <w:tblCellMar>
            <w:top w:w="0" w:type="dxa"/>
            <w:left w:w="108" w:type="dxa"/>
            <w:bottom w:w="0" w:type="dxa"/>
            <w:right w:w="108" w:type="dxa"/>
          </w:tblCellMar>
        </w:tblPrEx>
        <w:trPr>
          <w:trHeight w:val="369" w:hRule="atLeast"/>
        </w:trPr>
        <w:tc>
          <w:tcPr>
            <w:tcW w:w="0" w:type="auto"/>
            <w:tcBorders>
              <w:top w:val="nil"/>
              <w:left w:val="single" w:color="auto" w:sz="8" w:space="0"/>
              <w:bottom w:val="single" w:color="auto" w:sz="4" w:space="0"/>
              <w:right w:val="single" w:color="auto" w:sz="4" w:space="0"/>
            </w:tcBorders>
            <w:shd w:val="clear" w:color="auto" w:fill="auto"/>
            <w:vAlign w:val="center"/>
          </w:tcPr>
          <w:p w14:paraId="0BFCAF3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4</w:t>
            </w:r>
          </w:p>
        </w:tc>
        <w:tc>
          <w:tcPr>
            <w:tcW w:w="0" w:type="auto"/>
            <w:tcBorders>
              <w:top w:val="nil"/>
              <w:left w:val="nil"/>
              <w:bottom w:val="single" w:color="auto" w:sz="4" w:space="0"/>
              <w:right w:val="single" w:color="auto" w:sz="4" w:space="0"/>
            </w:tcBorders>
            <w:shd w:val="clear" w:color="auto" w:fill="auto"/>
            <w:vAlign w:val="center"/>
          </w:tcPr>
          <w:p w14:paraId="4669A56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纬一路（原辅道南侧）</w:t>
            </w:r>
          </w:p>
        </w:tc>
        <w:tc>
          <w:tcPr>
            <w:tcW w:w="0" w:type="auto"/>
            <w:tcBorders>
              <w:top w:val="nil"/>
              <w:left w:val="nil"/>
              <w:bottom w:val="single" w:color="auto" w:sz="4" w:space="0"/>
              <w:right w:val="single" w:color="auto" w:sz="4" w:space="0"/>
            </w:tcBorders>
            <w:shd w:val="clear" w:color="auto" w:fill="auto"/>
            <w:vAlign w:val="center"/>
          </w:tcPr>
          <w:p w14:paraId="7363669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4608</w:t>
            </w:r>
          </w:p>
        </w:tc>
        <w:tc>
          <w:tcPr>
            <w:tcW w:w="0" w:type="auto"/>
            <w:tcBorders>
              <w:top w:val="nil"/>
              <w:left w:val="nil"/>
              <w:bottom w:val="single" w:color="auto" w:sz="4" w:space="0"/>
              <w:right w:val="single" w:color="auto" w:sz="4" w:space="0"/>
            </w:tcBorders>
            <w:shd w:val="clear" w:color="auto" w:fill="auto"/>
            <w:vAlign w:val="center"/>
          </w:tcPr>
          <w:p w14:paraId="6792A66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中线南12.5m处，中线南17.5m复线，完成4608m</w:t>
            </w:r>
          </w:p>
        </w:tc>
        <w:tc>
          <w:tcPr>
            <w:tcW w:w="0" w:type="auto"/>
            <w:tcBorders>
              <w:top w:val="nil"/>
              <w:left w:val="nil"/>
              <w:bottom w:val="single" w:color="auto" w:sz="4" w:space="0"/>
              <w:right w:val="single" w:color="auto" w:sz="4" w:space="0"/>
            </w:tcBorders>
            <w:shd w:val="clear" w:color="auto" w:fill="auto"/>
            <w:vAlign w:val="center"/>
          </w:tcPr>
          <w:p w14:paraId="52B37F3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1717</w:t>
            </w:r>
          </w:p>
        </w:tc>
        <w:tc>
          <w:tcPr>
            <w:tcW w:w="0" w:type="auto"/>
            <w:tcBorders>
              <w:top w:val="nil"/>
              <w:left w:val="nil"/>
              <w:bottom w:val="single" w:color="auto" w:sz="4" w:space="0"/>
              <w:right w:val="single" w:color="auto" w:sz="4" w:space="0"/>
            </w:tcBorders>
            <w:shd w:val="clear" w:color="auto" w:fill="auto"/>
            <w:vAlign w:val="center"/>
          </w:tcPr>
          <w:p w14:paraId="391D044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中线南14m处，完成</w:t>
            </w:r>
          </w:p>
        </w:tc>
        <w:tc>
          <w:tcPr>
            <w:tcW w:w="0" w:type="auto"/>
            <w:tcBorders>
              <w:top w:val="nil"/>
              <w:left w:val="nil"/>
              <w:bottom w:val="single" w:color="auto" w:sz="4" w:space="0"/>
              <w:right w:val="single" w:color="auto" w:sz="4" w:space="0"/>
            </w:tcBorders>
            <w:shd w:val="clear" w:color="auto" w:fill="auto"/>
            <w:vAlign w:val="center"/>
          </w:tcPr>
          <w:p w14:paraId="0A340B8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1946</w:t>
            </w:r>
          </w:p>
        </w:tc>
        <w:tc>
          <w:tcPr>
            <w:tcW w:w="0" w:type="auto"/>
            <w:tcBorders>
              <w:top w:val="nil"/>
              <w:left w:val="nil"/>
              <w:bottom w:val="single" w:color="auto" w:sz="4" w:space="0"/>
              <w:right w:val="single" w:color="auto" w:sz="4" w:space="0"/>
            </w:tcBorders>
            <w:shd w:val="clear" w:color="auto" w:fill="auto"/>
            <w:vAlign w:val="center"/>
          </w:tcPr>
          <w:p w14:paraId="2EBE572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规划中线北25m处</w:t>
            </w:r>
          </w:p>
        </w:tc>
        <w:tc>
          <w:tcPr>
            <w:tcW w:w="0" w:type="auto"/>
            <w:tcBorders>
              <w:top w:val="nil"/>
              <w:left w:val="nil"/>
              <w:bottom w:val="single" w:color="auto" w:sz="4" w:space="0"/>
              <w:right w:val="single" w:color="auto" w:sz="4" w:space="0"/>
            </w:tcBorders>
            <w:shd w:val="clear" w:color="auto" w:fill="auto"/>
            <w:vAlign w:val="center"/>
          </w:tcPr>
          <w:p w14:paraId="1EFCEC5D">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989</w:t>
            </w:r>
          </w:p>
        </w:tc>
        <w:tc>
          <w:tcPr>
            <w:tcW w:w="0" w:type="auto"/>
            <w:tcBorders>
              <w:top w:val="nil"/>
              <w:left w:val="nil"/>
              <w:bottom w:val="single" w:color="auto" w:sz="4" w:space="0"/>
              <w:right w:val="single" w:color="auto" w:sz="4" w:space="0"/>
            </w:tcBorders>
            <w:shd w:val="clear" w:color="auto" w:fill="auto"/>
            <w:vAlign w:val="center"/>
          </w:tcPr>
          <w:p w14:paraId="3989EBE2">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中线南6m处</w:t>
            </w:r>
          </w:p>
        </w:tc>
        <w:tc>
          <w:tcPr>
            <w:tcW w:w="0" w:type="auto"/>
            <w:tcBorders>
              <w:top w:val="nil"/>
              <w:left w:val="nil"/>
              <w:bottom w:val="single" w:color="auto" w:sz="4" w:space="0"/>
              <w:right w:val="single" w:color="auto" w:sz="4" w:space="0"/>
            </w:tcBorders>
            <w:shd w:val="clear" w:color="auto" w:fill="auto"/>
            <w:vAlign w:val="center"/>
          </w:tcPr>
          <w:p w14:paraId="085741E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1541</w:t>
            </w:r>
          </w:p>
        </w:tc>
        <w:tc>
          <w:tcPr>
            <w:tcW w:w="0" w:type="auto"/>
            <w:tcBorders>
              <w:top w:val="nil"/>
              <w:left w:val="nil"/>
              <w:bottom w:val="single" w:color="auto" w:sz="4" w:space="0"/>
              <w:right w:val="single" w:color="auto" w:sz="4" w:space="0"/>
            </w:tcBorders>
            <w:shd w:val="clear" w:color="auto" w:fill="auto"/>
            <w:vAlign w:val="center"/>
          </w:tcPr>
          <w:p w14:paraId="141F919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路中</w:t>
            </w:r>
          </w:p>
        </w:tc>
        <w:tc>
          <w:tcPr>
            <w:tcW w:w="0" w:type="auto"/>
            <w:tcBorders>
              <w:top w:val="nil"/>
              <w:left w:val="nil"/>
              <w:bottom w:val="single" w:color="auto" w:sz="4" w:space="0"/>
              <w:right w:val="single" w:color="auto" w:sz="4" w:space="0"/>
            </w:tcBorders>
            <w:shd w:val="clear" w:color="auto" w:fill="auto"/>
            <w:vAlign w:val="center"/>
          </w:tcPr>
          <w:p w14:paraId="16F2AB4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5210（四回）</w:t>
            </w:r>
          </w:p>
        </w:tc>
        <w:tc>
          <w:tcPr>
            <w:tcW w:w="0" w:type="auto"/>
            <w:tcBorders>
              <w:top w:val="nil"/>
              <w:left w:val="nil"/>
              <w:bottom w:val="single" w:color="auto" w:sz="4" w:space="0"/>
              <w:right w:val="single" w:color="auto" w:sz="4" w:space="0"/>
            </w:tcBorders>
            <w:shd w:val="clear" w:color="auto" w:fill="auto"/>
            <w:vAlign w:val="center"/>
          </w:tcPr>
          <w:p w14:paraId="4597582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nil"/>
              <w:left w:val="nil"/>
              <w:bottom w:val="single" w:color="auto" w:sz="4" w:space="0"/>
              <w:right w:val="single" w:color="auto" w:sz="4" w:space="0"/>
            </w:tcBorders>
            <w:shd w:val="clear" w:color="auto" w:fill="auto"/>
            <w:vAlign w:val="center"/>
          </w:tcPr>
          <w:p w14:paraId="387655E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1800</w:t>
            </w:r>
          </w:p>
        </w:tc>
        <w:tc>
          <w:tcPr>
            <w:tcW w:w="0" w:type="auto"/>
            <w:tcBorders>
              <w:top w:val="nil"/>
              <w:left w:val="nil"/>
              <w:bottom w:val="single" w:color="auto" w:sz="4" w:space="0"/>
              <w:right w:val="single" w:color="auto" w:sz="4" w:space="0"/>
            </w:tcBorders>
            <w:shd w:val="clear" w:color="auto" w:fill="auto"/>
            <w:vAlign w:val="center"/>
          </w:tcPr>
          <w:p w14:paraId="68BF8F82">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中线北15m处</w:t>
            </w:r>
          </w:p>
        </w:tc>
        <w:tc>
          <w:tcPr>
            <w:tcW w:w="0" w:type="auto"/>
            <w:tcBorders>
              <w:top w:val="nil"/>
              <w:left w:val="nil"/>
              <w:bottom w:val="single" w:color="auto" w:sz="4" w:space="0"/>
              <w:right w:val="single" w:color="auto" w:sz="4" w:space="0"/>
            </w:tcBorders>
            <w:shd w:val="clear" w:color="auto" w:fill="auto"/>
            <w:vAlign w:val="center"/>
          </w:tcPr>
          <w:p w14:paraId="206A99C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3772E8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nil"/>
              <w:left w:val="nil"/>
              <w:bottom w:val="single" w:color="auto" w:sz="4" w:space="0"/>
              <w:right w:val="single" w:color="auto" w:sz="4" w:space="0"/>
            </w:tcBorders>
            <w:shd w:val="clear" w:color="auto" w:fill="auto"/>
            <w:vAlign w:val="center"/>
          </w:tcPr>
          <w:p w14:paraId="168165A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750</w:t>
            </w:r>
          </w:p>
        </w:tc>
        <w:tc>
          <w:tcPr>
            <w:tcW w:w="0" w:type="auto"/>
            <w:tcBorders>
              <w:top w:val="nil"/>
              <w:left w:val="nil"/>
              <w:bottom w:val="single" w:color="auto" w:sz="4" w:space="0"/>
              <w:right w:val="single" w:color="auto" w:sz="4" w:space="0"/>
            </w:tcBorders>
            <w:shd w:val="clear" w:color="auto" w:fill="auto"/>
            <w:vAlign w:val="center"/>
          </w:tcPr>
          <w:p w14:paraId="43DEEF6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nil"/>
              <w:left w:val="nil"/>
              <w:bottom w:val="single" w:color="auto" w:sz="4" w:space="0"/>
              <w:right w:val="single" w:color="auto" w:sz="8" w:space="0"/>
            </w:tcBorders>
            <w:shd w:val="clear" w:color="auto" w:fill="auto"/>
            <w:vAlign w:val="center"/>
          </w:tcPr>
          <w:p w14:paraId="3C79484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r>
      <w:tr w14:paraId="388CD7BE">
        <w:tblPrEx>
          <w:tblCellMar>
            <w:top w:w="0" w:type="dxa"/>
            <w:left w:w="108" w:type="dxa"/>
            <w:bottom w:w="0" w:type="dxa"/>
            <w:right w:w="108" w:type="dxa"/>
          </w:tblCellMar>
        </w:tblPrEx>
        <w:trPr>
          <w:trHeight w:val="369" w:hRule="atLeast"/>
        </w:trPr>
        <w:tc>
          <w:tcPr>
            <w:tcW w:w="0" w:type="auto"/>
            <w:tcBorders>
              <w:top w:val="nil"/>
              <w:left w:val="single" w:color="auto" w:sz="8" w:space="0"/>
              <w:bottom w:val="single" w:color="auto" w:sz="4" w:space="0"/>
              <w:right w:val="single" w:color="auto" w:sz="4" w:space="0"/>
            </w:tcBorders>
            <w:shd w:val="clear" w:color="auto" w:fill="auto"/>
            <w:vAlign w:val="center"/>
          </w:tcPr>
          <w:p w14:paraId="32588C1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5</w:t>
            </w:r>
          </w:p>
        </w:tc>
        <w:tc>
          <w:tcPr>
            <w:tcW w:w="0" w:type="auto"/>
            <w:tcBorders>
              <w:top w:val="nil"/>
              <w:left w:val="nil"/>
              <w:bottom w:val="single" w:color="auto" w:sz="4" w:space="0"/>
              <w:right w:val="single" w:color="auto" w:sz="4" w:space="0"/>
            </w:tcBorders>
            <w:shd w:val="clear" w:color="auto" w:fill="auto"/>
            <w:vAlign w:val="center"/>
          </w:tcPr>
          <w:p w14:paraId="7F7ABBA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纬二扩建段</w:t>
            </w:r>
          </w:p>
        </w:tc>
        <w:tc>
          <w:tcPr>
            <w:tcW w:w="0" w:type="auto"/>
            <w:tcBorders>
              <w:top w:val="nil"/>
              <w:left w:val="nil"/>
              <w:bottom w:val="single" w:color="auto" w:sz="4" w:space="0"/>
              <w:right w:val="single" w:color="auto" w:sz="4" w:space="0"/>
            </w:tcBorders>
            <w:shd w:val="clear" w:color="auto" w:fill="auto"/>
            <w:vAlign w:val="center"/>
          </w:tcPr>
          <w:p w14:paraId="3404AAFD">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940</w:t>
            </w:r>
          </w:p>
        </w:tc>
        <w:tc>
          <w:tcPr>
            <w:tcW w:w="0" w:type="auto"/>
            <w:tcBorders>
              <w:top w:val="nil"/>
              <w:left w:val="nil"/>
              <w:bottom w:val="single" w:color="auto" w:sz="4" w:space="0"/>
              <w:right w:val="single" w:color="auto" w:sz="4" w:space="0"/>
            </w:tcBorders>
            <w:shd w:val="clear" w:color="auto" w:fill="auto"/>
            <w:vAlign w:val="center"/>
          </w:tcPr>
          <w:p w14:paraId="10451982">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中线北15m处</w:t>
            </w:r>
          </w:p>
        </w:tc>
        <w:tc>
          <w:tcPr>
            <w:tcW w:w="0" w:type="auto"/>
            <w:tcBorders>
              <w:top w:val="nil"/>
              <w:left w:val="nil"/>
              <w:bottom w:val="single" w:color="auto" w:sz="4" w:space="0"/>
              <w:right w:val="single" w:color="auto" w:sz="4" w:space="0"/>
            </w:tcBorders>
            <w:shd w:val="clear" w:color="auto" w:fill="auto"/>
            <w:vAlign w:val="center"/>
          </w:tcPr>
          <w:p w14:paraId="029F7E62">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60C8E42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nil"/>
              <w:left w:val="nil"/>
              <w:bottom w:val="single" w:color="auto" w:sz="4" w:space="0"/>
              <w:right w:val="single" w:color="auto" w:sz="4" w:space="0"/>
            </w:tcBorders>
            <w:shd w:val="clear" w:color="auto" w:fill="auto"/>
            <w:vAlign w:val="center"/>
          </w:tcPr>
          <w:p w14:paraId="56F1EED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1234</w:t>
            </w:r>
          </w:p>
        </w:tc>
        <w:tc>
          <w:tcPr>
            <w:tcW w:w="0" w:type="auto"/>
            <w:tcBorders>
              <w:top w:val="nil"/>
              <w:left w:val="nil"/>
              <w:bottom w:val="single" w:color="auto" w:sz="4" w:space="0"/>
              <w:right w:val="single" w:color="auto" w:sz="4" w:space="0"/>
            </w:tcBorders>
            <w:shd w:val="clear" w:color="auto" w:fill="auto"/>
            <w:vAlign w:val="center"/>
          </w:tcPr>
          <w:p w14:paraId="3F359B5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规划中线南23m处</w:t>
            </w:r>
          </w:p>
        </w:tc>
        <w:tc>
          <w:tcPr>
            <w:tcW w:w="0" w:type="auto"/>
            <w:tcBorders>
              <w:top w:val="nil"/>
              <w:left w:val="nil"/>
              <w:bottom w:val="single" w:color="auto" w:sz="4" w:space="0"/>
              <w:right w:val="single" w:color="auto" w:sz="4" w:space="0"/>
            </w:tcBorders>
            <w:shd w:val="clear" w:color="auto" w:fill="auto"/>
            <w:vAlign w:val="center"/>
          </w:tcPr>
          <w:p w14:paraId="27E67F6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925</w:t>
            </w:r>
          </w:p>
        </w:tc>
        <w:tc>
          <w:tcPr>
            <w:tcW w:w="0" w:type="auto"/>
            <w:tcBorders>
              <w:top w:val="nil"/>
              <w:left w:val="nil"/>
              <w:bottom w:val="single" w:color="auto" w:sz="4" w:space="0"/>
              <w:right w:val="single" w:color="auto" w:sz="4" w:space="0"/>
            </w:tcBorders>
            <w:shd w:val="clear" w:color="auto" w:fill="auto"/>
            <w:vAlign w:val="center"/>
          </w:tcPr>
          <w:p w14:paraId="20D06EC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中线北10m处</w:t>
            </w:r>
          </w:p>
        </w:tc>
        <w:tc>
          <w:tcPr>
            <w:tcW w:w="0" w:type="auto"/>
            <w:tcBorders>
              <w:top w:val="nil"/>
              <w:left w:val="nil"/>
              <w:bottom w:val="single" w:color="auto" w:sz="4" w:space="0"/>
              <w:right w:val="single" w:color="auto" w:sz="4" w:space="0"/>
            </w:tcBorders>
            <w:shd w:val="clear" w:color="auto" w:fill="auto"/>
            <w:vAlign w:val="center"/>
          </w:tcPr>
          <w:p w14:paraId="1DE9CB8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1800（两趟）</w:t>
            </w:r>
          </w:p>
        </w:tc>
        <w:tc>
          <w:tcPr>
            <w:tcW w:w="0" w:type="auto"/>
            <w:tcBorders>
              <w:top w:val="nil"/>
              <w:left w:val="nil"/>
              <w:bottom w:val="single" w:color="auto" w:sz="4" w:space="0"/>
              <w:right w:val="single" w:color="auto" w:sz="4" w:space="0"/>
            </w:tcBorders>
            <w:shd w:val="clear" w:color="auto" w:fill="auto"/>
            <w:vAlign w:val="center"/>
          </w:tcPr>
          <w:p w14:paraId="57CEE18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中线北12.5m处，中线南11.5m处</w:t>
            </w:r>
          </w:p>
        </w:tc>
        <w:tc>
          <w:tcPr>
            <w:tcW w:w="0" w:type="auto"/>
            <w:tcBorders>
              <w:top w:val="nil"/>
              <w:left w:val="nil"/>
              <w:bottom w:val="single" w:color="auto" w:sz="4" w:space="0"/>
              <w:right w:val="single" w:color="auto" w:sz="4" w:space="0"/>
            </w:tcBorders>
            <w:shd w:val="clear" w:color="auto" w:fill="auto"/>
            <w:vAlign w:val="center"/>
          </w:tcPr>
          <w:p w14:paraId="2294C6C0">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46C95A00">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规划强电中线南25m处</w:t>
            </w:r>
          </w:p>
        </w:tc>
        <w:tc>
          <w:tcPr>
            <w:tcW w:w="0" w:type="auto"/>
            <w:tcBorders>
              <w:top w:val="nil"/>
              <w:left w:val="nil"/>
              <w:bottom w:val="single" w:color="auto" w:sz="4" w:space="0"/>
              <w:right w:val="single" w:color="auto" w:sz="4" w:space="0"/>
            </w:tcBorders>
            <w:shd w:val="clear" w:color="auto" w:fill="auto"/>
            <w:vAlign w:val="center"/>
          </w:tcPr>
          <w:p w14:paraId="4107F99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988.5</w:t>
            </w:r>
          </w:p>
        </w:tc>
        <w:tc>
          <w:tcPr>
            <w:tcW w:w="0" w:type="auto"/>
            <w:tcBorders>
              <w:top w:val="nil"/>
              <w:left w:val="nil"/>
              <w:bottom w:val="single" w:color="auto" w:sz="4" w:space="0"/>
              <w:right w:val="single" w:color="auto" w:sz="4" w:space="0"/>
            </w:tcBorders>
            <w:shd w:val="clear" w:color="auto" w:fill="auto"/>
            <w:vAlign w:val="center"/>
          </w:tcPr>
          <w:p w14:paraId="5861759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中线北20m处</w:t>
            </w:r>
          </w:p>
        </w:tc>
        <w:tc>
          <w:tcPr>
            <w:tcW w:w="0" w:type="auto"/>
            <w:tcBorders>
              <w:top w:val="nil"/>
              <w:left w:val="nil"/>
              <w:bottom w:val="single" w:color="auto" w:sz="4" w:space="0"/>
              <w:right w:val="single" w:color="auto" w:sz="4" w:space="0"/>
            </w:tcBorders>
            <w:shd w:val="clear" w:color="auto" w:fill="auto"/>
            <w:vAlign w:val="center"/>
          </w:tcPr>
          <w:p w14:paraId="6E3C68D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7F4AB8D">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规划中线北23m处</w:t>
            </w:r>
          </w:p>
        </w:tc>
        <w:tc>
          <w:tcPr>
            <w:tcW w:w="0" w:type="auto"/>
            <w:tcBorders>
              <w:top w:val="nil"/>
              <w:left w:val="nil"/>
              <w:bottom w:val="single" w:color="auto" w:sz="4" w:space="0"/>
              <w:right w:val="single" w:color="auto" w:sz="4" w:space="0"/>
            </w:tcBorders>
            <w:shd w:val="clear" w:color="auto" w:fill="auto"/>
            <w:vAlign w:val="center"/>
          </w:tcPr>
          <w:p w14:paraId="0230080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988.5</w:t>
            </w:r>
          </w:p>
        </w:tc>
        <w:tc>
          <w:tcPr>
            <w:tcW w:w="0" w:type="auto"/>
            <w:tcBorders>
              <w:top w:val="nil"/>
              <w:left w:val="nil"/>
              <w:bottom w:val="single" w:color="auto" w:sz="4" w:space="0"/>
              <w:right w:val="single" w:color="auto" w:sz="4" w:space="0"/>
            </w:tcBorders>
            <w:shd w:val="clear" w:color="auto" w:fill="auto"/>
            <w:vAlign w:val="center"/>
          </w:tcPr>
          <w:p w14:paraId="03DA96D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中线南20m处</w:t>
            </w:r>
          </w:p>
        </w:tc>
        <w:tc>
          <w:tcPr>
            <w:tcW w:w="0" w:type="auto"/>
            <w:tcBorders>
              <w:top w:val="nil"/>
              <w:left w:val="nil"/>
              <w:bottom w:val="single" w:color="auto" w:sz="4" w:space="0"/>
              <w:right w:val="single" w:color="auto" w:sz="8" w:space="0"/>
            </w:tcBorders>
            <w:shd w:val="clear" w:color="auto" w:fill="auto"/>
            <w:vAlign w:val="center"/>
          </w:tcPr>
          <w:p w14:paraId="4AEEEB1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太阳能路灯58</w:t>
            </w:r>
          </w:p>
        </w:tc>
      </w:tr>
      <w:tr w14:paraId="3BC502E7">
        <w:tblPrEx>
          <w:tblCellMar>
            <w:top w:w="0" w:type="dxa"/>
            <w:left w:w="108" w:type="dxa"/>
            <w:bottom w:w="0" w:type="dxa"/>
            <w:right w:w="108" w:type="dxa"/>
          </w:tblCellMar>
        </w:tblPrEx>
        <w:trPr>
          <w:trHeight w:val="369" w:hRule="atLeast"/>
        </w:trPr>
        <w:tc>
          <w:tcPr>
            <w:tcW w:w="0" w:type="auto"/>
            <w:tcBorders>
              <w:top w:val="nil"/>
              <w:left w:val="single" w:color="auto" w:sz="8" w:space="0"/>
              <w:bottom w:val="single" w:color="auto" w:sz="4" w:space="0"/>
              <w:right w:val="single" w:color="auto" w:sz="4" w:space="0"/>
            </w:tcBorders>
            <w:shd w:val="clear" w:color="auto" w:fill="auto"/>
            <w:vAlign w:val="center"/>
          </w:tcPr>
          <w:p w14:paraId="0113DBA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6</w:t>
            </w:r>
          </w:p>
        </w:tc>
        <w:tc>
          <w:tcPr>
            <w:tcW w:w="0" w:type="auto"/>
            <w:tcBorders>
              <w:top w:val="nil"/>
              <w:left w:val="nil"/>
              <w:bottom w:val="single" w:color="auto" w:sz="4" w:space="0"/>
              <w:right w:val="single" w:color="auto" w:sz="4" w:space="0"/>
            </w:tcBorders>
            <w:shd w:val="clear" w:color="auto" w:fill="auto"/>
            <w:vAlign w:val="center"/>
          </w:tcPr>
          <w:p w14:paraId="4737AA1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纬二西路</w:t>
            </w:r>
          </w:p>
        </w:tc>
        <w:tc>
          <w:tcPr>
            <w:tcW w:w="0" w:type="auto"/>
            <w:tcBorders>
              <w:top w:val="nil"/>
              <w:left w:val="nil"/>
              <w:bottom w:val="single" w:color="auto" w:sz="4" w:space="0"/>
              <w:right w:val="single" w:color="auto" w:sz="4" w:space="0"/>
            </w:tcBorders>
            <w:shd w:val="clear" w:color="auto" w:fill="auto"/>
            <w:vAlign w:val="center"/>
          </w:tcPr>
          <w:p w14:paraId="068E536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2739</w:t>
            </w:r>
          </w:p>
        </w:tc>
        <w:tc>
          <w:tcPr>
            <w:tcW w:w="0" w:type="auto"/>
            <w:tcBorders>
              <w:top w:val="nil"/>
              <w:left w:val="nil"/>
              <w:bottom w:val="single" w:color="auto" w:sz="4" w:space="0"/>
              <w:right w:val="single" w:color="auto" w:sz="4" w:space="0"/>
            </w:tcBorders>
            <w:shd w:val="clear" w:color="auto" w:fill="auto"/>
            <w:vAlign w:val="center"/>
          </w:tcPr>
          <w:p w14:paraId="203CCB5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中线北10m处</w:t>
            </w:r>
          </w:p>
        </w:tc>
        <w:tc>
          <w:tcPr>
            <w:tcW w:w="0" w:type="auto"/>
            <w:tcBorders>
              <w:top w:val="nil"/>
              <w:left w:val="nil"/>
              <w:bottom w:val="single" w:color="auto" w:sz="4" w:space="0"/>
              <w:right w:val="single" w:color="auto" w:sz="4" w:space="0"/>
            </w:tcBorders>
            <w:shd w:val="clear" w:color="auto" w:fill="auto"/>
            <w:vAlign w:val="center"/>
          </w:tcPr>
          <w:p w14:paraId="48255F4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2720</w:t>
            </w:r>
          </w:p>
        </w:tc>
        <w:tc>
          <w:tcPr>
            <w:tcW w:w="0" w:type="auto"/>
            <w:tcBorders>
              <w:top w:val="nil"/>
              <w:left w:val="nil"/>
              <w:bottom w:val="single" w:color="auto" w:sz="4" w:space="0"/>
              <w:right w:val="single" w:color="auto" w:sz="4" w:space="0"/>
            </w:tcBorders>
            <w:shd w:val="clear" w:color="auto" w:fill="auto"/>
            <w:vAlign w:val="center"/>
          </w:tcPr>
          <w:p w14:paraId="25A2554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中线南10m处</w:t>
            </w:r>
          </w:p>
        </w:tc>
        <w:tc>
          <w:tcPr>
            <w:tcW w:w="0" w:type="auto"/>
            <w:tcBorders>
              <w:top w:val="nil"/>
              <w:left w:val="nil"/>
              <w:bottom w:val="single" w:color="auto" w:sz="4" w:space="0"/>
              <w:right w:val="single" w:color="auto" w:sz="4" w:space="0"/>
            </w:tcBorders>
            <w:shd w:val="clear" w:color="auto" w:fill="auto"/>
            <w:vAlign w:val="center"/>
          </w:tcPr>
          <w:p w14:paraId="01906882">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7E256F5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规划中线南18m处</w:t>
            </w:r>
          </w:p>
        </w:tc>
        <w:tc>
          <w:tcPr>
            <w:tcW w:w="0" w:type="auto"/>
            <w:tcBorders>
              <w:top w:val="nil"/>
              <w:left w:val="nil"/>
              <w:bottom w:val="single" w:color="auto" w:sz="4" w:space="0"/>
              <w:right w:val="single" w:color="auto" w:sz="4" w:space="0"/>
            </w:tcBorders>
            <w:shd w:val="clear" w:color="auto" w:fill="auto"/>
            <w:vAlign w:val="center"/>
          </w:tcPr>
          <w:p w14:paraId="6C8A499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2680</w:t>
            </w:r>
          </w:p>
        </w:tc>
        <w:tc>
          <w:tcPr>
            <w:tcW w:w="0" w:type="auto"/>
            <w:tcBorders>
              <w:top w:val="nil"/>
              <w:left w:val="nil"/>
              <w:bottom w:val="single" w:color="auto" w:sz="4" w:space="0"/>
              <w:right w:val="single" w:color="auto" w:sz="4" w:space="0"/>
            </w:tcBorders>
            <w:shd w:val="clear" w:color="auto" w:fill="auto"/>
            <w:vAlign w:val="center"/>
          </w:tcPr>
          <w:p w14:paraId="520E798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中线南5m处</w:t>
            </w:r>
          </w:p>
        </w:tc>
        <w:tc>
          <w:tcPr>
            <w:tcW w:w="0" w:type="auto"/>
            <w:tcBorders>
              <w:top w:val="nil"/>
              <w:left w:val="nil"/>
              <w:bottom w:val="single" w:color="auto" w:sz="4" w:space="0"/>
              <w:right w:val="single" w:color="auto" w:sz="4" w:space="0"/>
            </w:tcBorders>
            <w:shd w:val="clear" w:color="auto" w:fill="auto"/>
            <w:vAlign w:val="center"/>
          </w:tcPr>
          <w:p w14:paraId="1516669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2239</w:t>
            </w:r>
          </w:p>
        </w:tc>
        <w:tc>
          <w:tcPr>
            <w:tcW w:w="0" w:type="auto"/>
            <w:tcBorders>
              <w:top w:val="nil"/>
              <w:left w:val="nil"/>
              <w:bottom w:val="single" w:color="auto" w:sz="4" w:space="0"/>
              <w:right w:val="single" w:color="auto" w:sz="4" w:space="0"/>
            </w:tcBorders>
            <w:shd w:val="clear" w:color="auto" w:fill="auto"/>
            <w:vAlign w:val="center"/>
          </w:tcPr>
          <w:p w14:paraId="60B85D8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路中</w:t>
            </w:r>
          </w:p>
        </w:tc>
        <w:tc>
          <w:tcPr>
            <w:tcW w:w="0" w:type="auto"/>
            <w:tcBorders>
              <w:top w:val="nil"/>
              <w:left w:val="nil"/>
              <w:bottom w:val="nil"/>
              <w:right w:val="single" w:color="auto" w:sz="4" w:space="0"/>
            </w:tcBorders>
            <w:shd w:val="clear" w:color="auto" w:fill="auto"/>
            <w:vAlign w:val="center"/>
          </w:tcPr>
          <w:p w14:paraId="0EE7EF3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2200（两回）</w:t>
            </w:r>
          </w:p>
        </w:tc>
        <w:tc>
          <w:tcPr>
            <w:tcW w:w="0" w:type="auto"/>
            <w:tcBorders>
              <w:top w:val="nil"/>
              <w:left w:val="nil"/>
              <w:bottom w:val="single" w:color="auto" w:sz="4" w:space="0"/>
              <w:right w:val="single" w:color="auto" w:sz="4" w:space="0"/>
            </w:tcBorders>
            <w:shd w:val="clear" w:color="auto" w:fill="auto"/>
            <w:vAlign w:val="center"/>
          </w:tcPr>
          <w:p w14:paraId="7E2CBB8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规划强电中线南20m处</w:t>
            </w:r>
          </w:p>
        </w:tc>
        <w:tc>
          <w:tcPr>
            <w:tcW w:w="0" w:type="auto"/>
            <w:tcBorders>
              <w:top w:val="nil"/>
              <w:left w:val="nil"/>
              <w:bottom w:val="single" w:color="auto" w:sz="4" w:space="0"/>
              <w:right w:val="single" w:color="auto" w:sz="4" w:space="0"/>
            </w:tcBorders>
            <w:shd w:val="clear" w:color="auto" w:fill="auto"/>
            <w:vAlign w:val="center"/>
          </w:tcPr>
          <w:p w14:paraId="41692F12">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2759</w:t>
            </w:r>
          </w:p>
        </w:tc>
        <w:tc>
          <w:tcPr>
            <w:tcW w:w="0" w:type="auto"/>
            <w:tcBorders>
              <w:top w:val="nil"/>
              <w:left w:val="nil"/>
              <w:bottom w:val="single" w:color="auto" w:sz="4" w:space="0"/>
              <w:right w:val="single" w:color="auto" w:sz="4" w:space="0"/>
            </w:tcBorders>
            <w:shd w:val="clear" w:color="auto" w:fill="auto"/>
            <w:vAlign w:val="center"/>
          </w:tcPr>
          <w:p w14:paraId="7DD21FD2">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中线北20m处</w:t>
            </w:r>
          </w:p>
        </w:tc>
        <w:tc>
          <w:tcPr>
            <w:tcW w:w="0" w:type="auto"/>
            <w:tcBorders>
              <w:top w:val="nil"/>
              <w:left w:val="nil"/>
              <w:bottom w:val="single" w:color="auto" w:sz="4" w:space="0"/>
              <w:right w:val="single" w:color="auto" w:sz="4" w:space="0"/>
            </w:tcBorders>
            <w:shd w:val="clear" w:color="auto" w:fill="auto"/>
            <w:vAlign w:val="center"/>
          </w:tcPr>
          <w:p w14:paraId="79A5719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2100</w:t>
            </w:r>
          </w:p>
        </w:tc>
        <w:tc>
          <w:tcPr>
            <w:tcW w:w="0" w:type="auto"/>
            <w:tcBorders>
              <w:top w:val="nil"/>
              <w:left w:val="nil"/>
              <w:bottom w:val="single" w:color="auto" w:sz="4" w:space="0"/>
              <w:right w:val="single" w:color="auto" w:sz="4" w:space="0"/>
            </w:tcBorders>
            <w:shd w:val="clear" w:color="auto" w:fill="auto"/>
            <w:vAlign w:val="center"/>
          </w:tcPr>
          <w:p w14:paraId="7E6BD57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规划中线北15m处</w:t>
            </w:r>
          </w:p>
        </w:tc>
        <w:tc>
          <w:tcPr>
            <w:tcW w:w="0" w:type="auto"/>
            <w:tcBorders>
              <w:top w:val="nil"/>
              <w:left w:val="nil"/>
              <w:bottom w:val="single" w:color="auto" w:sz="4" w:space="0"/>
              <w:right w:val="single" w:color="auto" w:sz="4" w:space="0"/>
            </w:tcBorders>
            <w:shd w:val="clear" w:color="auto" w:fill="auto"/>
            <w:vAlign w:val="center"/>
          </w:tcPr>
          <w:p w14:paraId="5F62109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2759</w:t>
            </w:r>
          </w:p>
        </w:tc>
        <w:tc>
          <w:tcPr>
            <w:tcW w:w="0" w:type="auto"/>
            <w:tcBorders>
              <w:top w:val="nil"/>
              <w:left w:val="nil"/>
              <w:bottom w:val="single" w:color="auto" w:sz="4" w:space="0"/>
              <w:right w:val="single" w:color="auto" w:sz="4" w:space="0"/>
            </w:tcBorders>
            <w:shd w:val="clear" w:color="auto" w:fill="auto"/>
            <w:vAlign w:val="center"/>
          </w:tcPr>
          <w:p w14:paraId="51F18BA2">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中线南15m处</w:t>
            </w:r>
          </w:p>
        </w:tc>
        <w:tc>
          <w:tcPr>
            <w:tcW w:w="0" w:type="auto"/>
            <w:tcBorders>
              <w:top w:val="nil"/>
              <w:left w:val="nil"/>
              <w:bottom w:val="nil"/>
              <w:right w:val="single" w:color="auto" w:sz="8" w:space="0"/>
            </w:tcBorders>
            <w:shd w:val="clear" w:color="auto" w:fill="auto"/>
            <w:vAlign w:val="center"/>
          </w:tcPr>
          <w:p w14:paraId="6B074A9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太阳能路灯140</w:t>
            </w:r>
          </w:p>
        </w:tc>
      </w:tr>
      <w:tr w14:paraId="05B939C6">
        <w:tblPrEx>
          <w:tblCellMar>
            <w:top w:w="0" w:type="dxa"/>
            <w:left w:w="108" w:type="dxa"/>
            <w:bottom w:w="0" w:type="dxa"/>
            <w:right w:w="108" w:type="dxa"/>
          </w:tblCellMar>
        </w:tblPrEx>
        <w:trPr>
          <w:trHeight w:val="369" w:hRule="atLeast"/>
        </w:trPr>
        <w:tc>
          <w:tcPr>
            <w:tcW w:w="0" w:type="auto"/>
            <w:tcBorders>
              <w:top w:val="nil"/>
              <w:left w:val="single" w:color="auto" w:sz="8" w:space="0"/>
              <w:bottom w:val="single" w:color="auto" w:sz="4" w:space="0"/>
              <w:right w:val="single" w:color="auto" w:sz="4" w:space="0"/>
            </w:tcBorders>
            <w:shd w:val="clear" w:color="auto" w:fill="auto"/>
            <w:vAlign w:val="center"/>
          </w:tcPr>
          <w:p w14:paraId="7874AD6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7</w:t>
            </w:r>
          </w:p>
        </w:tc>
        <w:tc>
          <w:tcPr>
            <w:tcW w:w="0" w:type="auto"/>
            <w:tcBorders>
              <w:top w:val="nil"/>
              <w:left w:val="nil"/>
              <w:bottom w:val="single" w:color="auto" w:sz="4" w:space="0"/>
              <w:right w:val="single" w:color="auto" w:sz="4" w:space="0"/>
            </w:tcBorders>
            <w:shd w:val="clear" w:color="auto" w:fill="auto"/>
            <w:vAlign w:val="center"/>
          </w:tcPr>
          <w:p w14:paraId="6B2CBF5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纬二中路</w:t>
            </w:r>
          </w:p>
        </w:tc>
        <w:tc>
          <w:tcPr>
            <w:tcW w:w="0" w:type="auto"/>
            <w:tcBorders>
              <w:top w:val="nil"/>
              <w:left w:val="nil"/>
              <w:bottom w:val="single" w:color="auto" w:sz="4" w:space="0"/>
              <w:right w:val="single" w:color="auto" w:sz="4" w:space="0"/>
            </w:tcBorders>
            <w:shd w:val="clear" w:color="auto" w:fill="auto"/>
            <w:vAlign w:val="center"/>
          </w:tcPr>
          <w:p w14:paraId="264E08E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1633</w:t>
            </w:r>
          </w:p>
        </w:tc>
        <w:tc>
          <w:tcPr>
            <w:tcW w:w="0" w:type="auto"/>
            <w:tcBorders>
              <w:top w:val="nil"/>
              <w:left w:val="nil"/>
              <w:bottom w:val="single" w:color="auto" w:sz="4" w:space="0"/>
              <w:right w:val="single" w:color="auto" w:sz="4" w:space="0"/>
            </w:tcBorders>
            <w:shd w:val="clear" w:color="auto" w:fill="auto"/>
            <w:vAlign w:val="center"/>
          </w:tcPr>
          <w:p w14:paraId="78B6795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中线南18m处</w:t>
            </w:r>
          </w:p>
        </w:tc>
        <w:tc>
          <w:tcPr>
            <w:tcW w:w="0" w:type="auto"/>
            <w:tcBorders>
              <w:top w:val="nil"/>
              <w:left w:val="nil"/>
              <w:bottom w:val="single" w:color="auto" w:sz="4" w:space="0"/>
              <w:right w:val="single" w:color="auto" w:sz="4" w:space="0"/>
            </w:tcBorders>
            <w:shd w:val="clear" w:color="auto" w:fill="auto"/>
            <w:vAlign w:val="center"/>
          </w:tcPr>
          <w:p w14:paraId="5FCACFA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1653</w:t>
            </w:r>
          </w:p>
        </w:tc>
        <w:tc>
          <w:tcPr>
            <w:tcW w:w="0" w:type="auto"/>
            <w:tcBorders>
              <w:top w:val="nil"/>
              <w:left w:val="nil"/>
              <w:bottom w:val="single" w:color="auto" w:sz="4" w:space="0"/>
              <w:right w:val="single" w:color="auto" w:sz="4" w:space="0"/>
            </w:tcBorders>
            <w:shd w:val="clear" w:color="auto" w:fill="auto"/>
            <w:vAlign w:val="center"/>
          </w:tcPr>
          <w:p w14:paraId="6C3ADFB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中线南10m处</w:t>
            </w:r>
          </w:p>
        </w:tc>
        <w:tc>
          <w:tcPr>
            <w:tcW w:w="0" w:type="auto"/>
            <w:tcBorders>
              <w:top w:val="nil"/>
              <w:left w:val="nil"/>
              <w:bottom w:val="single" w:color="auto" w:sz="4" w:space="0"/>
              <w:right w:val="single" w:color="auto" w:sz="4" w:space="0"/>
            </w:tcBorders>
            <w:shd w:val="clear" w:color="auto" w:fill="auto"/>
            <w:vAlign w:val="center"/>
          </w:tcPr>
          <w:p w14:paraId="786E413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5FB456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规划路南20m处</w:t>
            </w:r>
          </w:p>
        </w:tc>
        <w:tc>
          <w:tcPr>
            <w:tcW w:w="0" w:type="auto"/>
            <w:tcBorders>
              <w:top w:val="nil"/>
              <w:left w:val="nil"/>
              <w:bottom w:val="single" w:color="auto" w:sz="4" w:space="0"/>
              <w:right w:val="single" w:color="auto" w:sz="4" w:space="0"/>
            </w:tcBorders>
            <w:shd w:val="clear" w:color="auto" w:fill="auto"/>
            <w:vAlign w:val="center"/>
          </w:tcPr>
          <w:p w14:paraId="4745963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1608</w:t>
            </w:r>
          </w:p>
        </w:tc>
        <w:tc>
          <w:tcPr>
            <w:tcW w:w="0" w:type="auto"/>
            <w:tcBorders>
              <w:top w:val="nil"/>
              <w:left w:val="nil"/>
              <w:bottom w:val="single" w:color="auto" w:sz="4" w:space="0"/>
              <w:right w:val="single" w:color="auto" w:sz="4" w:space="0"/>
            </w:tcBorders>
            <w:shd w:val="clear" w:color="auto" w:fill="auto"/>
            <w:vAlign w:val="center"/>
          </w:tcPr>
          <w:p w14:paraId="099F789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中线北12m处</w:t>
            </w:r>
          </w:p>
        </w:tc>
        <w:tc>
          <w:tcPr>
            <w:tcW w:w="0" w:type="auto"/>
            <w:tcBorders>
              <w:top w:val="nil"/>
              <w:left w:val="nil"/>
              <w:bottom w:val="single" w:color="auto" w:sz="4" w:space="0"/>
              <w:right w:val="single" w:color="auto" w:sz="4" w:space="0"/>
            </w:tcBorders>
            <w:shd w:val="clear" w:color="auto" w:fill="auto"/>
            <w:vAlign w:val="center"/>
          </w:tcPr>
          <w:p w14:paraId="2BC59CC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62B50D4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nil"/>
              <w:left w:val="nil"/>
              <w:bottom w:val="single" w:color="auto" w:sz="4" w:space="0"/>
              <w:right w:val="single" w:color="auto" w:sz="4" w:space="0"/>
            </w:tcBorders>
            <w:shd w:val="clear" w:color="auto" w:fill="auto"/>
            <w:vAlign w:val="center"/>
          </w:tcPr>
          <w:p w14:paraId="74BB9A20">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0704413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规划强电路南21.5m处</w:t>
            </w:r>
          </w:p>
        </w:tc>
        <w:tc>
          <w:tcPr>
            <w:tcW w:w="0" w:type="auto"/>
            <w:tcBorders>
              <w:top w:val="nil"/>
              <w:left w:val="nil"/>
              <w:bottom w:val="single" w:color="auto" w:sz="4" w:space="0"/>
              <w:right w:val="single" w:color="auto" w:sz="4" w:space="0"/>
            </w:tcBorders>
            <w:shd w:val="clear" w:color="auto" w:fill="auto"/>
            <w:vAlign w:val="center"/>
          </w:tcPr>
          <w:p w14:paraId="4C606CD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7230620D">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中线北20m处</w:t>
            </w:r>
          </w:p>
        </w:tc>
        <w:tc>
          <w:tcPr>
            <w:tcW w:w="0" w:type="auto"/>
            <w:tcBorders>
              <w:top w:val="nil"/>
              <w:left w:val="nil"/>
              <w:bottom w:val="single" w:color="auto" w:sz="4" w:space="0"/>
              <w:right w:val="single" w:color="auto" w:sz="4" w:space="0"/>
            </w:tcBorders>
            <w:shd w:val="clear" w:color="auto" w:fill="auto"/>
            <w:vAlign w:val="center"/>
          </w:tcPr>
          <w:p w14:paraId="3161A89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00CFA8F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规划路北15m处</w:t>
            </w:r>
          </w:p>
        </w:tc>
        <w:tc>
          <w:tcPr>
            <w:tcW w:w="0" w:type="auto"/>
            <w:tcBorders>
              <w:top w:val="nil"/>
              <w:left w:val="nil"/>
              <w:bottom w:val="single" w:color="auto" w:sz="4" w:space="0"/>
              <w:right w:val="single" w:color="auto" w:sz="4" w:space="0"/>
            </w:tcBorders>
            <w:shd w:val="clear" w:color="auto" w:fill="auto"/>
            <w:vAlign w:val="center"/>
          </w:tcPr>
          <w:p w14:paraId="0107E1F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2421</w:t>
            </w:r>
          </w:p>
        </w:tc>
        <w:tc>
          <w:tcPr>
            <w:tcW w:w="0" w:type="auto"/>
            <w:tcBorders>
              <w:top w:val="nil"/>
              <w:left w:val="nil"/>
              <w:bottom w:val="single" w:color="auto" w:sz="4" w:space="0"/>
              <w:right w:val="single" w:color="auto" w:sz="4" w:space="0"/>
            </w:tcBorders>
            <w:shd w:val="clear" w:color="auto" w:fill="auto"/>
            <w:vAlign w:val="center"/>
          </w:tcPr>
          <w:p w14:paraId="0E86290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中线南15m         中线北20m</w:t>
            </w:r>
          </w:p>
        </w:tc>
        <w:tc>
          <w:tcPr>
            <w:tcW w:w="0" w:type="auto"/>
            <w:tcBorders>
              <w:top w:val="single" w:color="auto" w:sz="4" w:space="0"/>
              <w:left w:val="nil"/>
              <w:bottom w:val="single" w:color="auto" w:sz="4" w:space="0"/>
              <w:right w:val="single" w:color="auto" w:sz="8" w:space="0"/>
            </w:tcBorders>
            <w:shd w:val="clear" w:color="auto" w:fill="auto"/>
            <w:vAlign w:val="center"/>
          </w:tcPr>
          <w:p w14:paraId="6387BEF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希铝厂区内</w:t>
            </w:r>
          </w:p>
        </w:tc>
      </w:tr>
      <w:tr w14:paraId="01252F93">
        <w:tblPrEx>
          <w:tblCellMar>
            <w:top w:w="0" w:type="dxa"/>
            <w:left w:w="108" w:type="dxa"/>
            <w:bottom w:w="0" w:type="dxa"/>
            <w:right w:w="108" w:type="dxa"/>
          </w:tblCellMar>
        </w:tblPrEx>
        <w:trPr>
          <w:trHeight w:val="369" w:hRule="atLeast"/>
        </w:trPr>
        <w:tc>
          <w:tcPr>
            <w:tcW w:w="0" w:type="auto"/>
            <w:tcBorders>
              <w:top w:val="nil"/>
              <w:left w:val="single" w:color="auto" w:sz="8" w:space="0"/>
              <w:bottom w:val="single" w:color="auto" w:sz="4" w:space="0"/>
              <w:right w:val="single" w:color="auto" w:sz="4" w:space="0"/>
            </w:tcBorders>
            <w:shd w:val="clear" w:color="auto" w:fill="auto"/>
            <w:vAlign w:val="center"/>
          </w:tcPr>
          <w:p w14:paraId="03E11C4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8</w:t>
            </w:r>
          </w:p>
        </w:tc>
        <w:tc>
          <w:tcPr>
            <w:tcW w:w="0" w:type="auto"/>
            <w:tcBorders>
              <w:top w:val="nil"/>
              <w:left w:val="nil"/>
              <w:bottom w:val="single" w:color="auto" w:sz="4" w:space="0"/>
              <w:right w:val="single" w:color="auto" w:sz="4" w:space="0"/>
            </w:tcBorders>
            <w:shd w:val="clear" w:color="auto" w:fill="auto"/>
            <w:vAlign w:val="center"/>
          </w:tcPr>
          <w:p w14:paraId="227AA93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纬二东路</w:t>
            </w:r>
          </w:p>
        </w:tc>
        <w:tc>
          <w:tcPr>
            <w:tcW w:w="0" w:type="auto"/>
            <w:tcBorders>
              <w:top w:val="nil"/>
              <w:left w:val="nil"/>
              <w:bottom w:val="single" w:color="auto" w:sz="4" w:space="0"/>
              <w:right w:val="single" w:color="auto" w:sz="4" w:space="0"/>
            </w:tcBorders>
            <w:shd w:val="clear" w:color="auto" w:fill="auto"/>
            <w:vAlign w:val="center"/>
          </w:tcPr>
          <w:p w14:paraId="106CC6E0">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2045</w:t>
            </w:r>
          </w:p>
        </w:tc>
        <w:tc>
          <w:tcPr>
            <w:tcW w:w="0" w:type="auto"/>
            <w:tcBorders>
              <w:top w:val="nil"/>
              <w:left w:val="nil"/>
              <w:bottom w:val="single" w:color="auto" w:sz="4" w:space="0"/>
              <w:right w:val="single" w:color="auto" w:sz="4" w:space="0"/>
            </w:tcBorders>
            <w:shd w:val="clear" w:color="auto" w:fill="auto"/>
            <w:vAlign w:val="center"/>
          </w:tcPr>
          <w:p w14:paraId="6A344E5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中线北10m处</w:t>
            </w:r>
          </w:p>
        </w:tc>
        <w:tc>
          <w:tcPr>
            <w:tcW w:w="0" w:type="auto"/>
            <w:tcBorders>
              <w:top w:val="nil"/>
              <w:left w:val="nil"/>
              <w:bottom w:val="single" w:color="auto" w:sz="4" w:space="0"/>
              <w:right w:val="single" w:color="auto" w:sz="4" w:space="0"/>
            </w:tcBorders>
            <w:shd w:val="clear" w:color="auto" w:fill="auto"/>
            <w:vAlign w:val="center"/>
          </w:tcPr>
          <w:p w14:paraId="6FC8ABB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2060</w:t>
            </w:r>
          </w:p>
        </w:tc>
        <w:tc>
          <w:tcPr>
            <w:tcW w:w="0" w:type="auto"/>
            <w:tcBorders>
              <w:top w:val="nil"/>
              <w:left w:val="nil"/>
              <w:bottom w:val="single" w:color="auto" w:sz="4" w:space="0"/>
              <w:right w:val="single" w:color="auto" w:sz="4" w:space="0"/>
            </w:tcBorders>
            <w:shd w:val="clear" w:color="auto" w:fill="auto"/>
            <w:vAlign w:val="center"/>
          </w:tcPr>
          <w:p w14:paraId="4E8AE5E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中线南10m处</w:t>
            </w:r>
          </w:p>
        </w:tc>
        <w:tc>
          <w:tcPr>
            <w:tcW w:w="0" w:type="auto"/>
            <w:tcBorders>
              <w:top w:val="nil"/>
              <w:left w:val="nil"/>
              <w:bottom w:val="single" w:color="auto" w:sz="4" w:space="0"/>
              <w:right w:val="single" w:color="auto" w:sz="4" w:space="0"/>
            </w:tcBorders>
            <w:shd w:val="clear" w:color="auto" w:fill="auto"/>
            <w:vAlign w:val="center"/>
          </w:tcPr>
          <w:p w14:paraId="746CDB9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0954E20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规划中线南18m处</w:t>
            </w:r>
          </w:p>
        </w:tc>
        <w:tc>
          <w:tcPr>
            <w:tcW w:w="0" w:type="auto"/>
            <w:tcBorders>
              <w:top w:val="nil"/>
              <w:left w:val="nil"/>
              <w:bottom w:val="single" w:color="auto" w:sz="4" w:space="0"/>
              <w:right w:val="single" w:color="auto" w:sz="4" w:space="0"/>
            </w:tcBorders>
            <w:shd w:val="clear" w:color="auto" w:fill="auto"/>
            <w:vAlign w:val="center"/>
          </w:tcPr>
          <w:p w14:paraId="49C2C99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1925</w:t>
            </w:r>
          </w:p>
        </w:tc>
        <w:tc>
          <w:tcPr>
            <w:tcW w:w="0" w:type="auto"/>
            <w:tcBorders>
              <w:top w:val="nil"/>
              <w:left w:val="nil"/>
              <w:bottom w:val="single" w:color="auto" w:sz="4" w:space="0"/>
              <w:right w:val="single" w:color="auto" w:sz="4" w:space="0"/>
            </w:tcBorders>
            <w:shd w:val="clear" w:color="auto" w:fill="auto"/>
            <w:vAlign w:val="center"/>
          </w:tcPr>
          <w:p w14:paraId="335AD602">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中线南5m处</w:t>
            </w:r>
          </w:p>
        </w:tc>
        <w:tc>
          <w:tcPr>
            <w:tcW w:w="0" w:type="auto"/>
            <w:tcBorders>
              <w:top w:val="nil"/>
              <w:left w:val="nil"/>
              <w:bottom w:val="single" w:color="auto" w:sz="4" w:space="0"/>
              <w:right w:val="single" w:color="auto" w:sz="4" w:space="0"/>
            </w:tcBorders>
            <w:shd w:val="clear" w:color="auto" w:fill="auto"/>
            <w:vAlign w:val="center"/>
          </w:tcPr>
          <w:p w14:paraId="44EF35E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1980</w:t>
            </w:r>
          </w:p>
        </w:tc>
        <w:tc>
          <w:tcPr>
            <w:tcW w:w="0" w:type="auto"/>
            <w:tcBorders>
              <w:top w:val="nil"/>
              <w:left w:val="nil"/>
              <w:bottom w:val="single" w:color="auto" w:sz="4" w:space="0"/>
              <w:right w:val="single" w:color="auto" w:sz="4" w:space="0"/>
            </w:tcBorders>
            <w:shd w:val="clear" w:color="auto" w:fill="auto"/>
            <w:vAlign w:val="center"/>
          </w:tcPr>
          <w:p w14:paraId="7F391F4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路中</w:t>
            </w:r>
          </w:p>
        </w:tc>
        <w:tc>
          <w:tcPr>
            <w:tcW w:w="0" w:type="auto"/>
            <w:tcBorders>
              <w:top w:val="nil"/>
              <w:left w:val="nil"/>
              <w:bottom w:val="single" w:color="auto" w:sz="4" w:space="0"/>
              <w:right w:val="single" w:color="auto" w:sz="4" w:space="0"/>
            </w:tcBorders>
            <w:shd w:val="clear" w:color="auto" w:fill="auto"/>
            <w:vAlign w:val="center"/>
          </w:tcPr>
          <w:p w14:paraId="4B4B5F7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FB7D88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规划强电中线南20m处</w:t>
            </w:r>
          </w:p>
        </w:tc>
        <w:tc>
          <w:tcPr>
            <w:tcW w:w="0" w:type="auto"/>
            <w:tcBorders>
              <w:top w:val="nil"/>
              <w:left w:val="nil"/>
              <w:bottom w:val="single" w:color="auto" w:sz="4" w:space="0"/>
              <w:right w:val="single" w:color="auto" w:sz="4" w:space="0"/>
            </w:tcBorders>
            <w:shd w:val="clear" w:color="auto" w:fill="auto"/>
            <w:vAlign w:val="center"/>
          </w:tcPr>
          <w:p w14:paraId="64928B7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4F477F7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中线南20m处</w:t>
            </w:r>
          </w:p>
        </w:tc>
        <w:tc>
          <w:tcPr>
            <w:tcW w:w="0" w:type="auto"/>
            <w:tcBorders>
              <w:top w:val="nil"/>
              <w:left w:val="nil"/>
              <w:bottom w:val="single" w:color="auto" w:sz="4" w:space="0"/>
              <w:right w:val="single" w:color="auto" w:sz="4" w:space="0"/>
            </w:tcBorders>
            <w:shd w:val="clear" w:color="auto" w:fill="auto"/>
            <w:vAlign w:val="center"/>
          </w:tcPr>
          <w:p w14:paraId="734C808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1800</w:t>
            </w:r>
          </w:p>
        </w:tc>
        <w:tc>
          <w:tcPr>
            <w:tcW w:w="0" w:type="auto"/>
            <w:tcBorders>
              <w:top w:val="nil"/>
              <w:left w:val="nil"/>
              <w:bottom w:val="single" w:color="auto" w:sz="4" w:space="0"/>
              <w:right w:val="single" w:color="auto" w:sz="4" w:space="0"/>
            </w:tcBorders>
            <w:shd w:val="clear" w:color="auto" w:fill="auto"/>
            <w:vAlign w:val="center"/>
          </w:tcPr>
          <w:p w14:paraId="43EFC4F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规划中线北15m处</w:t>
            </w:r>
          </w:p>
        </w:tc>
        <w:tc>
          <w:tcPr>
            <w:tcW w:w="0" w:type="auto"/>
            <w:tcBorders>
              <w:top w:val="nil"/>
              <w:left w:val="nil"/>
              <w:bottom w:val="single" w:color="auto" w:sz="4" w:space="0"/>
              <w:right w:val="single" w:color="auto" w:sz="4" w:space="0"/>
            </w:tcBorders>
            <w:shd w:val="clear" w:color="auto" w:fill="auto"/>
            <w:vAlign w:val="center"/>
          </w:tcPr>
          <w:p w14:paraId="11F667A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4110</w:t>
            </w:r>
          </w:p>
        </w:tc>
        <w:tc>
          <w:tcPr>
            <w:tcW w:w="0" w:type="auto"/>
            <w:tcBorders>
              <w:top w:val="nil"/>
              <w:left w:val="nil"/>
              <w:bottom w:val="single" w:color="auto" w:sz="4" w:space="0"/>
              <w:right w:val="single" w:color="auto" w:sz="4" w:space="0"/>
            </w:tcBorders>
            <w:shd w:val="clear" w:color="auto" w:fill="auto"/>
            <w:vAlign w:val="center"/>
          </w:tcPr>
          <w:p w14:paraId="2A339C7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中线北19m处，中心线南15m处</w:t>
            </w:r>
          </w:p>
        </w:tc>
        <w:tc>
          <w:tcPr>
            <w:tcW w:w="0" w:type="auto"/>
            <w:tcBorders>
              <w:top w:val="nil"/>
              <w:left w:val="nil"/>
              <w:bottom w:val="single" w:color="auto" w:sz="4" w:space="0"/>
              <w:right w:val="single" w:color="auto" w:sz="8" w:space="0"/>
            </w:tcBorders>
            <w:shd w:val="clear" w:color="auto" w:fill="auto"/>
            <w:vAlign w:val="center"/>
          </w:tcPr>
          <w:p w14:paraId="59C6029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r>
      <w:tr w14:paraId="25BCDC87">
        <w:tblPrEx>
          <w:tblCellMar>
            <w:top w:w="0" w:type="dxa"/>
            <w:left w:w="108" w:type="dxa"/>
            <w:bottom w:w="0" w:type="dxa"/>
            <w:right w:w="108" w:type="dxa"/>
          </w:tblCellMar>
        </w:tblPrEx>
        <w:trPr>
          <w:trHeight w:val="369" w:hRule="atLeast"/>
        </w:trPr>
        <w:tc>
          <w:tcPr>
            <w:tcW w:w="0" w:type="auto"/>
            <w:tcBorders>
              <w:top w:val="nil"/>
              <w:left w:val="single" w:color="auto" w:sz="8" w:space="0"/>
              <w:bottom w:val="single" w:color="auto" w:sz="4" w:space="0"/>
              <w:right w:val="single" w:color="auto" w:sz="4" w:space="0"/>
            </w:tcBorders>
            <w:shd w:val="clear" w:color="auto" w:fill="auto"/>
            <w:vAlign w:val="center"/>
          </w:tcPr>
          <w:p w14:paraId="63850A2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9</w:t>
            </w:r>
          </w:p>
        </w:tc>
        <w:tc>
          <w:tcPr>
            <w:tcW w:w="0" w:type="auto"/>
            <w:tcBorders>
              <w:top w:val="nil"/>
              <w:left w:val="nil"/>
              <w:bottom w:val="single" w:color="auto" w:sz="4" w:space="0"/>
              <w:right w:val="single" w:color="auto" w:sz="4" w:space="0"/>
            </w:tcBorders>
            <w:shd w:val="clear" w:color="auto" w:fill="auto"/>
            <w:vAlign w:val="center"/>
          </w:tcPr>
          <w:p w14:paraId="30BB0EC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水厂到经四路</w:t>
            </w:r>
          </w:p>
        </w:tc>
        <w:tc>
          <w:tcPr>
            <w:tcW w:w="0" w:type="auto"/>
            <w:tcBorders>
              <w:top w:val="nil"/>
              <w:left w:val="nil"/>
              <w:bottom w:val="single" w:color="auto" w:sz="4" w:space="0"/>
              <w:right w:val="single" w:color="auto" w:sz="4" w:space="0"/>
            </w:tcBorders>
            <w:shd w:val="clear" w:color="auto" w:fill="auto"/>
            <w:vAlign w:val="center"/>
          </w:tcPr>
          <w:p w14:paraId="3BAACC5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E78515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B080B4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3579（两趟）</w:t>
            </w:r>
          </w:p>
        </w:tc>
        <w:tc>
          <w:tcPr>
            <w:tcW w:w="0" w:type="auto"/>
            <w:tcBorders>
              <w:top w:val="nil"/>
              <w:left w:val="nil"/>
              <w:bottom w:val="single" w:color="auto" w:sz="4" w:space="0"/>
              <w:right w:val="single" w:color="auto" w:sz="4" w:space="0"/>
            </w:tcBorders>
            <w:shd w:val="clear" w:color="auto" w:fill="auto"/>
            <w:vAlign w:val="center"/>
          </w:tcPr>
          <w:p w14:paraId="0B798990">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8A294A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6F30122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4AC8D1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52DF7F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A283E7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534F41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4CCBA8A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1780（两回）</w:t>
            </w:r>
          </w:p>
        </w:tc>
        <w:tc>
          <w:tcPr>
            <w:tcW w:w="0" w:type="auto"/>
            <w:tcBorders>
              <w:top w:val="nil"/>
              <w:left w:val="nil"/>
              <w:bottom w:val="single" w:color="auto" w:sz="4" w:space="0"/>
              <w:right w:val="single" w:color="auto" w:sz="4" w:space="0"/>
            </w:tcBorders>
            <w:shd w:val="clear" w:color="auto" w:fill="auto"/>
            <w:vAlign w:val="center"/>
          </w:tcPr>
          <w:p w14:paraId="4A2CCF7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062DA80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44F138A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4660123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719C66F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6BDA9CB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49A754C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8" w:space="0"/>
            </w:tcBorders>
            <w:shd w:val="clear" w:color="auto" w:fill="auto"/>
            <w:vAlign w:val="center"/>
          </w:tcPr>
          <w:p w14:paraId="44AB768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r>
      <w:tr w14:paraId="2D66CEB5">
        <w:tblPrEx>
          <w:tblCellMar>
            <w:top w:w="0" w:type="dxa"/>
            <w:left w:w="108" w:type="dxa"/>
            <w:bottom w:w="0" w:type="dxa"/>
            <w:right w:w="108" w:type="dxa"/>
          </w:tblCellMar>
        </w:tblPrEx>
        <w:trPr>
          <w:trHeight w:val="369" w:hRule="atLeast"/>
        </w:trPr>
        <w:tc>
          <w:tcPr>
            <w:tcW w:w="0" w:type="auto"/>
            <w:tcBorders>
              <w:top w:val="nil"/>
              <w:left w:val="single" w:color="auto" w:sz="8" w:space="0"/>
              <w:bottom w:val="single" w:color="auto" w:sz="4" w:space="0"/>
              <w:right w:val="single" w:color="auto" w:sz="4" w:space="0"/>
            </w:tcBorders>
            <w:shd w:val="clear" w:color="auto" w:fill="auto"/>
            <w:vAlign w:val="center"/>
          </w:tcPr>
          <w:p w14:paraId="7585507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10</w:t>
            </w:r>
          </w:p>
        </w:tc>
        <w:tc>
          <w:tcPr>
            <w:tcW w:w="0" w:type="auto"/>
            <w:tcBorders>
              <w:top w:val="single" w:color="auto" w:sz="8" w:space="0"/>
              <w:left w:val="nil"/>
              <w:bottom w:val="single" w:color="auto" w:sz="4" w:space="0"/>
              <w:right w:val="single" w:color="auto" w:sz="4" w:space="0"/>
            </w:tcBorders>
            <w:shd w:val="clear" w:color="auto" w:fill="auto"/>
            <w:vAlign w:val="center"/>
          </w:tcPr>
          <w:p w14:paraId="2D48570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经二路（原经四路）</w:t>
            </w:r>
          </w:p>
        </w:tc>
        <w:tc>
          <w:tcPr>
            <w:tcW w:w="0" w:type="auto"/>
            <w:tcBorders>
              <w:top w:val="single" w:color="auto" w:sz="8" w:space="0"/>
              <w:left w:val="nil"/>
              <w:bottom w:val="single" w:color="auto" w:sz="4" w:space="0"/>
              <w:right w:val="single" w:color="auto" w:sz="4" w:space="0"/>
            </w:tcBorders>
            <w:shd w:val="clear" w:color="auto" w:fill="auto"/>
            <w:vAlign w:val="center"/>
          </w:tcPr>
          <w:p w14:paraId="2191E94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1583</w:t>
            </w:r>
          </w:p>
        </w:tc>
        <w:tc>
          <w:tcPr>
            <w:tcW w:w="0" w:type="auto"/>
            <w:tcBorders>
              <w:top w:val="single" w:color="auto" w:sz="8" w:space="0"/>
              <w:left w:val="nil"/>
              <w:bottom w:val="single" w:color="auto" w:sz="4" w:space="0"/>
              <w:right w:val="single" w:color="auto" w:sz="4" w:space="0"/>
            </w:tcBorders>
            <w:shd w:val="clear" w:color="auto" w:fill="auto"/>
            <w:vAlign w:val="center"/>
          </w:tcPr>
          <w:p w14:paraId="71D85B2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中线西13.5m处</w:t>
            </w:r>
          </w:p>
        </w:tc>
        <w:tc>
          <w:tcPr>
            <w:tcW w:w="0" w:type="auto"/>
            <w:tcBorders>
              <w:top w:val="single" w:color="auto" w:sz="8" w:space="0"/>
              <w:left w:val="nil"/>
              <w:bottom w:val="single" w:color="auto" w:sz="4" w:space="0"/>
              <w:right w:val="single" w:color="auto" w:sz="4" w:space="0"/>
            </w:tcBorders>
            <w:shd w:val="clear" w:color="auto" w:fill="auto"/>
            <w:vAlign w:val="center"/>
          </w:tcPr>
          <w:p w14:paraId="7A5D842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1558</w:t>
            </w:r>
          </w:p>
        </w:tc>
        <w:tc>
          <w:tcPr>
            <w:tcW w:w="0" w:type="auto"/>
            <w:tcBorders>
              <w:top w:val="single" w:color="auto" w:sz="8" w:space="0"/>
              <w:left w:val="nil"/>
              <w:bottom w:val="single" w:color="auto" w:sz="4" w:space="0"/>
              <w:right w:val="single" w:color="auto" w:sz="4" w:space="0"/>
            </w:tcBorders>
            <w:shd w:val="clear" w:color="auto" w:fill="auto"/>
            <w:vAlign w:val="center"/>
          </w:tcPr>
          <w:p w14:paraId="7D05F7E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纬二路北有，南没有</w:t>
            </w:r>
          </w:p>
        </w:tc>
        <w:tc>
          <w:tcPr>
            <w:tcW w:w="0" w:type="auto"/>
            <w:tcBorders>
              <w:top w:val="single" w:color="auto" w:sz="8" w:space="0"/>
              <w:left w:val="nil"/>
              <w:bottom w:val="single" w:color="auto" w:sz="4" w:space="0"/>
              <w:right w:val="single" w:color="auto" w:sz="4" w:space="0"/>
            </w:tcBorders>
            <w:shd w:val="clear" w:color="auto" w:fill="auto"/>
            <w:vAlign w:val="center"/>
          </w:tcPr>
          <w:p w14:paraId="7E581B1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2547</w:t>
            </w:r>
          </w:p>
        </w:tc>
        <w:tc>
          <w:tcPr>
            <w:tcW w:w="0" w:type="auto"/>
            <w:tcBorders>
              <w:top w:val="single" w:color="auto" w:sz="8" w:space="0"/>
              <w:left w:val="nil"/>
              <w:bottom w:val="single" w:color="auto" w:sz="4" w:space="0"/>
              <w:right w:val="single" w:color="auto" w:sz="4" w:space="0"/>
            </w:tcBorders>
            <w:shd w:val="clear" w:color="auto" w:fill="auto"/>
            <w:vAlign w:val="center"/>
          </w:tcPr>
          <w:p w14:paraId="7D7088C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规划中线东14.5m处</w:t>
            </w:r>
          </w:p>
        </w:tc>
        <w:tc>
          <w:tcPr>
            <w:tcW w:w="0" w:type="auto"/>
            <w:tcBorders>
              <w:top w:val="single" w:color="auto" w:sz="8" w:space="0"/>
              <w:left w:val="nil"/>
              <w:bottom w:val="single" w:color="auto" w:sz="4" w:space="0"/>
              <w:right w:val="single" w:color="auto" w:sz="4" w:space="0"/>
            </w:tcBorders>
            <w:shd w:val="clear" w:color="auto" w:fill="auto"/>
            <w:vAlign w:val="center"/>
          </w:tcPr>
          <w:p w14:paraId="1C6E05D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1556</w:t>
            </w:r>
          </w:p>
        </w:tc>
        <w:tc>
          <w:tcPr>
            <w:tcW w:w="0" w:type="auto"/>
            <w:tcBorders>
              <w:top w:val="single" w:color="auto" w:sz="8" w:space="0"/>
              <w:left w:val="nil"/>
              <w:bottom w:val="single" w:color="auto" w:sz="4" w:space="0"/>
              <w:right w:val="single" w:color="auto" w:sz="4" w:space="0"/>
            </w:tcBorders>
            <w:shd w:val="clear" w:color="auto" w:fill="auto"/>
            <w:vAlign w:val="center"/>
          </w:tcPr>
          <w:p w14:paraId="1A2C004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中线东6m处</w:t>
            </w:r>
          </w:p>
        </w:tc>
        <w:tc>
          <w:tcPr>
            <w:tcW w:w="0" w:type="auto"/>
            <w:tcBorders>
              <w:top w:val="single" w:color="auto" w:sz="8" w:space="0"/>
              <w:left w:val="nil"/>
              <w:bottom w:val="single" w:color="auto" w:sz="4" w:space="0"/>
              <w:right w:val="single" w:color="auto" w:sz="4" w:space="0"/>
            </w:tcBorders>
            <w:shd w:val="clear" w:color="auto" w:fill="auto"/>
            <w:vAlign w:val="center"/>
          </w:tcPr>
          <w:p w14:paraId="0DD519D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1590</w:t>
            </w:r>
          </w:p>
        </w:tc>
        <w:tc>
          <w:tcPr>
            <w:tcW w:w="0" w:type="auto"/>
            <w:tcBorders>
              <w:top w:val="single" w:color="auto" w:sz="8" w:space="0"/>
              <w:left w:val="nil"/>
              <w:bottom w:val="single" w:color="auto" w:sz="4" w:space="0"/>
              <w:right w:val="single" w:color="auto" w:sz="4" w:space="0"/>
            </w:tcBorders>
            <w:shd w:val="clear" w:color="auto" w:fill="auto"/>
            <w:vAlign w:val="center"/>
          </w:tcPr>
          <w:p w14:paraId="0BD49D4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规划路中</w:t>
            </w:r>
          </w:p>
        </w:tc>
        <w:tc>
          <w:tcPr>
            <w:tcW w:w="0" w:type="auto"/>
            <w:tcBorders>
              <w:top w:val="single" w:color="auto" w:sz="8" w:space="0"/>
              <w:left w:val="nil"/>
              <w:bottom w:val="single" w:color="auto" w:sz="4" w:space="0"/>
              <w:right w:val="single" w:color="auto" w:sz="4" w:space="0"/>
            </w:tcBorders>
            <w:shd w:val="clear" w:color="auto" w:fill="auto"/>
            <w:vAlign w:val="center"/>
          </w:tcPr>
          <w:p w14:paraId="0889033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single" w:color="auto" w:sz="8" w:space="0"/>
              <w:left w:val="nil"/>
              <w:bottom w:val="single" w:color="auto" w:sz="4" w:space="0"/>
              <w:right w:val="single" w:color="auto" w:sz="4" w:space="0"/>
            </w:tcBorders>
            <w:shd w:val="clear" w:color="auto" w:fill="auto"/>
            <w:vAlign w:val="center"/>
          </w:tcPr>
          <w:p w14:paraId="15B5E7D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规划中线东16m处</w:t>
            </w:r>
          </w:p>
        </w:tc>
        <w:tc>
          <w:tcPr>
            <w:tcW w:w="0" w:type="auto"/>
            <w:tcBorders>
              <w:top w:val="single" w:color="auto" w:sz="8" w:space="0"/>
              <w:left w:val="nil"/>
              <w:bottom w:val="single" w:color="auto" w:sz="4" w:space="0"/>
              <w:right w:val="single" w:color="auto" w:sz="4" w:space="0"/>
            </w:tcBorders>
            <w:shd w:val="clear" w:color="auto" w:fill="auto"/>
            <w:vAlign w:val="center"/>
          </w:tcPr>
          <w:p w14:paraId="33480BF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single" w:color="auto" w:sz="8" w:space="0"/>
              <w:left w:val="nil"/>
              <w:bottom w:val="single" w:color="auto" w:sz="4" w:space="0"/>
              <w:right w:val="single" w:color="auto" w:sz="4" w:space="0"/>
            </w:tcBorders>
            <w:shd w:val="clear" w:color="auto" w:fill="auto"/>
            <w:vAlign w:val="center"/>
          </w:tcPr>
          <w:p w14:paraId="47A99DA2">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规划中线西15m处</w:t>
            </w:r>
          </w:p>
        </w:tc>
        <w:tc>
          <w:tcPr>
            <w:tcW w:w="0" w:type="auto"/>
            <w:tcBorders>
              <w:top w:val="single" w:color="auto" w:sz="8" w:space="0"/>
              <w:left w:val="nil"/>
              <w:bottom w:val="single" w:color="auto" w:sz="4" w:space="0"/>
              <w:right w:val="single" w:color="auto" w:sz="4" w:space="0"/>
            </w:tcBorders>
            <w:shd w:val="clear" w:color="auto" w:fill="auto"/>
            <w:vAlign w:val="center"/>
          </w:tcPr>
          <w:p w14:paraId="4676B22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single" w:color="auto" w:sz="8" w:space="0"/>
              <w:left w:val="nil"/>
              <w:bottom w:val="single" w:color="auto" w:sz="4" w:space="0"/>
              <w:right w:val="single" w:color="auto" w:sz="4" w:space="0"/>
            </w:tcBorders>
            <w:shd w:val="clear" w:color="auto" w:fill="auto"/>
            <w:vAlign w:val="center"/>
          </w:tcPr>
          <w:p w14:paraId="1A8AEB4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规划中线西9m处</w:t>
            </w:r>
          </w:p>
        </w:tc>
        <w:tc>
          <w:tcPr>
            <w:tcW w:w="0" w:type="auto"/>
            <w:tcBorders>
              <w:top w:val="single" w:color="auto" w:sz="8" w:space="0"/>
              <w:left w:val="nil"/>
              <w:bottom w:val="single" w:color="auto" w:sz="4" w:space="0"/>
              <w:right w:val="single" w:color="auto" w:sz="4" w:space="0"/>
            </w:tcBorders>
            <w:shd w:val="clear" w:color="auto" w:fill="auto"/>
            <w:vAlign w:val="center"/>
          </w:tcPr>
          <w:p w14:paraId="7F81791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1600</w:t>
            </w:r>
          </w:p>
        </w:tc>
        <w:tc>
          <w:tcPr>
            <w:tcW w:w="0" w:type="auto"/>
            <w:tcBorders>
              <w:top w:val="single" w:color="auto" w:sz="8" w:space="0"/>
              <w:left w:val="nil"/>
              <w:bottom w:val="single" w:color="auto" w:sz="4" w:space="0"/>
              <w:right w:val="single" w:color="auto" w:sz="4" w:space="0"/>
            </w:tcBorders>
            <w:shd w:val="clear" w:color="auto" w:fill="auto"/>
            <w:vAlign w:val="center"/>
          </w:tcPr>
          <w:p w14:paraId="0B76455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规划中线东12.5m处</w:t>
            </w:r>
          </w:p>
        </w:tc>
        <w:tc>
          <w:tcPr>
            <w:tcW w:w="0" w:type="auto"/>
            <w:tcBorders>
              <w:top w:val="single" w:color="auto" w:sz="8" w:space="0"/>
              <w:left w:val="nil"/>
              <w:bottom w:val="nil"/>
              <w:right w:val="single" w:color="auto" w:sz="8" w:space="0"/>
            </w:tcBorders>
            <w:shd w:val="clear" w:color="auto" w:fill="auto"/>
            <w:vAlign w:val="center"/>
          </w:tcPr>
          <w:p w14:paraId="536198F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路灯90</w:t>
            </w:r>
          </w:p>
        </w:tc>
      </w:tr>
      <w:tr w14:paraId="5779DE25">
        <w:tblPrEx>
          <w:tblCellMar>
            <w:top w:w="0" w:type="dxa"/>
            <w:left w:w="108" w:type="dxa"/>
            <w:bottom w:w="0" w:type="dxa"/>
            <w:right w:w="108" w:type="dxa"/>
          </w:tblCellMar>
        </w:tblPrEx>
        <w:trPr>
          <w:trHeight w:val="369" w:hRule="atLeast"/>
        </w:trPr>
        <w:tc>
          <w:tcPr>
            <w:tcW w:w="0" w:type="auto"/>
            <w:tcBorders>
              <w:top w:val="nil"/>
              <w:left w:val="single" w:color="auto" w:sz="8" w:space="0"/>
              <w:bottom w:val="single" w:color="auto" w:sz="4" w:space="0"/>
              <w:right w:val="single" w:color="auto" w:sz="4" w:space="0"/>
            </w:tcBorders>
            <w:shd w:val="clear" w:color="auto" w:fill="auto"/>
            <w:vAlign w:val="center"/>
          </w:tcPr>
          <w:p w14:paraId="28433282">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11</w:t>
            </w:r>
          </w:p>
        </w:tc>
        <w:tc>
          <w:tcPr>
            <w:tcW w:w="0" w:type="auto"/>
            <w:tcBorders>
              <w:top w:val="nil"/>
              <w:left w:val="nil"/>
              <w:bottom w:val="single" w:color="auto" w:sz="4" w:space="0"/>
              <w:right w:val="single" w:color="auto" w:sz="4" w:space="0"/>
            </w:tcBorders>
            <w:shd w:val="clear" w:color="auto" w:fill="auto"/>
            <w:vAlign w:val="center"/>
          </w:tcPr>
          <w:p w14:paraId="18E7FE5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纬三路</w:t>
            </w:r>
          </w:p>
        </w:tc>
        <w:tc>
          <w:tcPr>
            <w:tcW w:w="0" w:type="auto"/>
            <w:tcBorders>
              <w:top w:val="nil"/>
              <w:left w:val="nil"/>
              <w:bottom w:val="single" w:color="auto" w:sz="4" w:space="0"/>
              <w:right w:val="single" w:color="auto" w:sz="4" w:space="0"/>
            </w:tcBorders>
            <w:shd w:val="clear" w:color="auto" w:fill="auto"/>
            <w:vAlign w:val="center"/>
          </w:tcPr>
          <w:p w14:paraId="47E141C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3800</w:t>
            </w:r>
          </w:p>
        </w:tc>
        <w:tc>
          <w:tcPr>
            <w:tcW w:w="0" w:type="auto"/>
            <w:tcBorders>
              <w:top w:val="nil"/>
              <w:left w:val="nil"/>
              <w:bottom w:val="single" w:color="auto" w:sz="4" w:space="0"/>
              <w:right w:val="single" w:color="auto" w:sz="4" w:space="0"/>
            </w:tcBorders>
            <w:shd w:val="clear" w:color="auto" w:fill="auto"/>
            <w:vAlign w:val="center"/>
          </w:tcPr>
          <w:p w14:paraId="5944E2C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中线北11m处</w:t>
            </w:r>
          </w:p>
        </w:tc>
        <w:tc>
          <w:tcPr>
            <w:tcW w:w="0" w:type="auto"/>
            <w:tcBorders>
              <w:top w:val="nil"/>
              <w:left w:val="nil"/>
              <w:bottom w:val="single" w:color="auto" w:sz="4" w:space="0"/>
              <w:right w:val="single" w:color="auto" w:sz="4" w:space="0"/>
            </w:tcBorders>
            <w:shd w:val="clear" w:color="auto" w:fill="auto"/>
            <w:vAlign w:val="center"/>
          </w:tcPr>
          <w:p w14:paraId="245DF9C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52C2871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nil"/>
              <w:left w:val="nil"/>
              <w:bottom w:val="single" w:color="auto" w:sz="4" w:space="0"/>
              <w:right w:val="single" w:color="auto" w:sz="4" w:space="0"/>
            </w:tcBorders>
            <w:shd w:val="clear" w:color="auto" w:fill="auto"/>
            <w:vAlign w:val="center"/>
          </w:tcPr>
          <w:p w14:paraId="45F98D8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16477</w:t>
            </w:r>
          </w:p>
        </w:tc>
        <w:tc>
          <w:tcPr>
            <w:tcW w:w="0" w:type="auto"/>
            <w:tcBorders>
              <w:top w:val="nil"/>
              <w:left w:val="nil"/>
              <w:bottom w:val="single" w:color="auto" w:sz="4" w:space="0"/>
              <w:right w:val="single" w:color="auto" w:sz="4" w:space="0"/>
            </w:tcBorders>
            <w:shd w:val="clear" w:color="auto" w:fill="auto"/>
            <w:vAlign w:val="center"/>
          </w:tcPr>
          <w:p w14:paraId="6DD4C22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中线两侧13.0m处</w:t>
            </w:r>
          </w:p>
        </w:tc>
        <w:tc>
          <w:tcPr>
            <w:tcW w:w="0" w:type="auto"/>
            <w:tcBorders>
              <w:top w:val="nil"/>
              <w:left w:val="nil"/>
              <w:bottom w:val="single" w:color="auto" w:sz="4" w:space="0"/>
              <w:right w:val="single" w:color="auto" w:sz="4" w:space="0"/>
            </w:tcBorders>
            <w:shd w:val="clear" w:color="auto" w:fill="auto"/>
            <w:vAlign w:val="center"/>
          </w:tcPr>
          <w:p w14:paraId="641752C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4200</w:t>
            </w:r>
          </w:p>
        </w:tc>
        <w:tc>
          <w:tcPr>
            <w:tcW w:w="0" w:type="auto"/>
            <w:tcBorders>
              <w:top w:val="nil"/>
              <w:left w:val="nil"/>
              <w:bottom w:val="single" w:color="auto" w:sz="4" w:space="0"/>
              <w:right w:val="single" w:color="auto" w:sz="4" w:space="0"/>
            </w:tcBorders>
            <w:shd w:val="clear" w:color="auto" w:fill="auto"/>
            <w:vAlign w:val="center"/>
          </w:tcPr>
          <w:p w14:paraId="105A31F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nil"/>
              <w:left w:val="nil"/>
              <w:bottom w:val="single" w:color="auto" w:sz="4" w:space="0"/>
              <w:right w:val="single" w:color="auto" w:sz="4" w:space="0"/>
            </w:tcBorders>
            <w:shd w:val="clear" w:color="auto" w:fill="auto"/>
            <w:vAlign w:val="center"/>
          </w:tcPr>
          <w:p w14:paraId="3C01E58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7537</w:t>
            </w:r>
          </w:p>
        </w:tc>
        <w:tc>
          <w:tcPr>
            <w:tcW w:w="0" w:type="auto"/>
            <w:tcBorders>
              <w:top w:val="nil"/>
              <w:left w:val="nil"/>
              <w:bottom w:val="single" w:color="auto" w:sz="4" w:space="0"/>
              <w:right w:val="single" w:color="auto" w:sz="4" w:space="0"/>
            </w:tcBorders>
            <w:shd w:val="clear" w:color="auto" w:fill="auto"/>
            <w:vAlign w:val="center"/>
          </w:tcPr>
          <w:p w14:paraId="50AAB71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中线南5m处经一路以西路中</w:t>
            </w:r>
          </w:p>
        </w:tc>
        <w:tc>
          <w:tcPr>
            <w:tcW w:w="0" w:type="auto"/>
            <w:tcBorders>
              <w:top w:val="nil"/>
              <w:left w:val="nil"/>
              <w:bottom w:val="single" w:color="auto" w:sz="4" w:space="0"/>
              <w:right w:val="single" w:color="auto" w:sz="4" w:space="0"/>
            </w:tcBorders>
            <w:shd w:val="clear" w:color="auto" w:fill="auto"/>
            <w:vAlign w:val="center"/>
          </w:tcPr>
          <w:p w14:paraId="38CB810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4160（四回）</w:t>
            </w:r>
          </w:p>
        </w:tc>
        <w:tc>
          <w:tcPr>
            <w:tcW w:w="0" w:type="auto"/>
            <w:tcBorders>
              <w:top w:val="nil"/>
              <w:left w:val="nil"/>
              <w:bottom w:val="single" w:color="auto" w:sz="4" w:space="0"/>
              <w:right w:val="single" w:color="auto" w:sz="4" w:space="0"/>
            </w:tcBorders>
            <w:shd w:val="clear" w:color="auto" w:fill="auto"/>
            <w:vAlign w:val="center"/>
          </w:tcPr>
          <w:p w14:paraId="611D7E2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中线两侧8m处</w:t>
            </w:r>
          </w:p>
        </w:tc>
        <w:tc>
          <w:tcPr>
            <w:tcW w:w="0" w:type="auto"/>
            <w:tcBorders>
              <w:top w:val="nil"/>
              <w:left w:val="nil"/>
              <w:bottom w:val="single" w:color="auto" w:sz="4" w:space="0"/>
              <w:right w:val="single" w:color="auto" w:sz="4" w:space="0"/>
            </w:tcBorders>
            <w:shd w:val="clear" w:color="auto" w:fill="auto"/>
            <w:vAlign w:val="center"/>
          </w:tcPr>
          <w:p w14:paraId="3040599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7EA6F51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nil"/>
              <w:left w:val="nil"/>
              <w:bottom w:val="single" w:color="auto" w:sz="4" w:space="0"/>
              <w:right w:val="single" w:color="auto" w:sz="4" w:space="0"/>
            </w:tcBorders>
            <w:shd w:val="clear" w:color="auto" w:fill="auto"/>
            <w:vAlign w:val="center"/>
          </w:tcPr>
          <w:p w14:paraId="469197A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3600</w:t>
            </w:r>
          </w:p>
        </w:tc>
        <w:tc>
          <w:tcPr>
            <w:tcW w:w="0" w:type="auto"/>
            <w:tcBorders>
              <w:top w:val="nil"/>
              <w:left w:val="nil"/>
              <w:bottom w:val="single" w:color="auto" w:sz="4" w:space="0"/>
              <w:right w:val="single" w:color="auto" w:sz="4" w:space="0"/>
            </w:tcBorders>
            <w:shd w:val="clear" w:color="auto" w:fill="auto"/>
            <w:vAlign w:val="center"/>
          </w:tcPr>
          <w:p w14:paraId="09020FC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经二~经四中线南8.5m处</w:t>
            </w:r>
          </w:p>
        </w:tc>
        <w:tc>
          <w:tcPr>
            <w:tcW w:w="0" w:type="auto"/>
            <w:tcBorders>
              <w:top w:val="nil"/>
              <w:left w:val="nil"/>
              <w:bottom w:val="single" w:color="auto" w:sz="4" w:space="0"/>
              <w:right w:val="single" w:color="auto" w:sz="4" w:space="0"/>
            </w:tcBorders>
            <w:shd w:val="clear" w:color="auto" w:fill="auto"/>
            <w:vAlign w:val="center"/>
          </w:tcPr>
          <w:p w14:paraId="3CEA536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7600</w:t>
            </w:r>
          </w:p>
        </w:tc>
        <w:tc>
          <w:tcPr>
            <w:tcW w:w="0" w:type="auto"/>
            <w:tcBorders>
              <w:top w:val="nil"/>
              <w:left w:val="nil"/>
              <w:bottom w:val="single" w:color="auto" w:sz="4" w:space="0"/>
              <w:right w:val="single" w:color="auto" w:sz="4" w:space="0"/>
            </w:tcBorders>
            <w:shd w:val="clear" w:color="auto" w:fill="auto"/>
            <w:vAlign w:val="center"/>
          </w:tcPr>
          <w:p w14:paraId="4941ECFD">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中线北14.5m处</w:t>
            </w:r>
          </w:p>
        </w:tc>
        <w:tc>
          <w:tcPr>
            <w:tcW w:w="0" w:type="auto"/>
            <w:tcBorders>
              <w:top w:val="single" w:color="auto" w:sz="4" w:space="0"/>
              <w:left w:val="nil"/>
              <w:bottom w:val="single" w:color="auto" w:sz="4" w:space="0"/>
              <w:right w:val="single" w:color="auto" w:sz="8" w:space="0"/>
            </w:tcBorders>
            <w:shd w:val="clear" w:color="auto" w:fill="auto"/>
            <w:vAlign w:val="center"/>
          </w:tcPr>
          <w:p w14:paraId="730DD1F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r>
      <w:tr w14:paraId="773A120B">
        <w:tblPrEx>
          <w:tblCellMar>
            <w:top w:w="0" w:type="dxa"/>
            <w:left w:w="108" w:type="dxa"/>
            <w:bottom w:w="0" w:type="dxa"/>
            <w:right w:w="108" w:type="dxa"/>
          </w:tblCellMar>
        </w:tblPrEx>
        <w:trPr>
          <w:trHeight w:val="369" w:hRule="atLeast"/>
        </w:trPr>
        <w:tc>
          <w:tcPr>
            <w:tcW w:w="0" w:type="auto"/>
            <w:tcBorders>
              <w:top w:val="nil"/>
              <w:left w:val="single" w:color="auto" w:sz="8" w:space="0"/>
              <w:bottom w:val="single" w:color="auto" w:sz="4" w:space="0"/>
              <w:right w:val="single" w:color="auto" w:sz="4" w:space="0"/>
            </w:tcBorders>
            <w:shd w:val="clear" w:color="auto" w:fill="auto"/>
            <w:vAlign w:val="center"/>
          </w:tcPr>
          <w:p w14:paraId="6EDA46B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12</w:t>
            </w:r>
          </w:p>
        </w:tc>
        <w:tc>
          <w:tcPr>
            <w:tcW w:w="0" w:type="auto"/>
            <w:tcBorders>
              <w:top w:val="nil"/>
              <w:left w:val="nil"/>
              <w:bottom w:val="single" w:color="auto" w:sz="4" w:space="0"/>
              <w:right w:val="single" w:color="auto" w:sz="4" w:space="0"/>
            </w:tcBorders>
            <w:shd w:val="clear" w:color="auto" w:fill="auto"/>
            <w:vAlign w:val="center"/>
          </w:tcPr>
          <w:p w14:paraId="24830252">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经一路</w:t>
            </w:r>
          </w:p>
        </w:tc>
        <w:tc>
          <w:tcPr>
            <w:tcW w:w="0" w:type="auto"/>
            <w:tcBorders>
              <w:top w:val="nil"/>
              <w:left w:val="nil"/>
              <w:bottom w:val="single" w:color="auto" w:sz="4" w:space="0"/>
              <w:right w:val="single" w:color="auto" w:sz="4" w:space="0"/>
            </w:tcBorders>
            <w:shd w:val="clear" w:color="auto" w:fill="auto"/>
            <w:vAlign w:val="center"/>
          </w:tcPr>
          <w:p w14:paraId="3681FA1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720</w:t>
            </w:r>
          </w:p>
        </w:tc>
        <w:tc>
          <w:tcPr>
            <w:tcW w:w="0" w:type="auto"/>
            <w:tcBorders>
              <w:top w:val="nil"/>
              <w:left w:val="nil"/>
              <w:bottom w:val="single" w:color="auto" w:sz="4" w:space="0"/>
              <w:right w:val="single" w:color="auto" w:sz="4" w:space="0"/>
            </w:tcBorders>
            <w:shd w:val="clear" w:color="auto" w:fill="auto"/>
            <w:vAlign w:val="center"/>
          </w:tcPr>
          <w:p w14:paraId="6CEECB8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中线东12.5m处</w:t>
            </w:r>
          </w:p>
        </w:tc>
        <w:tc>
          <w:tcPr>
            <w:tcW w:w="0" w:type="auto"/>
            <w:tcBorders>
              <w:top w:val="nil"/>
              <w:left w:val="nil"/>
              <w:bottom w:val="single" w:color="auto" w:sz="4" w:space="0"/>
              <w:right w:val="single" w:color="auto" w:sz="4" w:space="0"/>
            </w:tcBorders>
            <w:shd w:val="clear" w:color="auto" w:fill="auto"/>
            <w:vAlign w:val="center"/>
          </w:tcPr>
          <w:p w14:paraId="700A157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770</w:t>
            </w:r>
          </w:p>
        </w:tc>
        <w:tc>
          <w:tcPr>
            <w:tcW w:w="0" w:type="auto"/>
            <w:tcBorders>
              <w:top w:val="nil"/>
              <w:left w:val="nil"/>
              <w:bottom w:val="single" w:color="auto" w:sz="4" w:space="0"/>
              <w:right w:val="single" w:color="auto" w:sz="4" w:space="0"/>
            </w:tcBorders>
            <w:shd w:val="clear" w:color="auto" w:fill="auto"/>
            <w:vAlign w:val="center"/>
          </w:tcPr>
          <w:p w14:paraId="29F2AE82">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中线西12.5m处</w:t>
            </w:r>
          </w:p>
        </w:tc>
        <w:tc>
          <w:tcPr>
            <w:tcW w:w="0" w:type="auto"/>
            <w:tcBorders>
              <w:top w:val="nil"/>
              <w:left w:val="nil"/>
              <w:bottom w:val="single" w:color="auto" w:sz="4" w:space="0"/>
              <w:right w:val="single" w:color="auto" w:sz="4" w:space="0"/>
            </w:tcBorders>
            <w:shd w:val="clear" w:color="auto" w:fill="auto"/>
            <w:vAlign w:val="center"/>
          </w:tcPr>
          <w:p w14:paraId="7301D47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865</w:t>
            </w:r>
          </w:p>
        </w:tc>
        <w:tc>
          <w:tcPr>
            <w:tcW w:w="0" w:type="auto"/>
            <w:tcBorders>
              <w:top w:val="nil"/>
              <w:left w:val="nil"/>
              <w:bottom w:val="single" w:color="auto" w:sz="4" w:space="0"/>
              <w:right w:val="single" w:color="auto" w:sz="4" w:space="0"/>
            </w:tcBorders>
            <w:shd w:val="clear" w:color="auto" w:fill="auto"/>
            <w:vAlign w:val="center"/>
          </w:tcPr>
          <w:p w14:paraId="0ADCC1C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中线两侧14.0m处</w:t>
            </w:r>
          </w:p>
        </w:tc>
        <w:tc>
          <w:tcPr>
            <w:tcW w:w="0" w:type="auto"/>
            <w:tcBorders>
              <w:top w:val="nil"/>
              <w:left w:val="nil"/>
              <w:bottom w:val="single" w:color="auto" w:sz="4" w:space="0"/>
              <w:right w:val="single" w:color="auto" w:sz="4" w:space="0"/>
            </w:tcBorders>
            <w:shd w:val="clear" w:color="auto" w:fill="auto"/>
            <w:vAlign w:val="center"/>
          </w:tcPr>
          <w:p w14:paraId="031582A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1453</w:t>
            </w:r>
          </w:p>
        </w:tc>
        <w:tc>
          <w:tcPr>
            <w:tcW w:w="0" w:type="auto"/>
            <w:tcBorders>
              <w:top w:val="nil"/>
              <w:left w:val="nil"/>
              <w:bottom w:val="single" w:color="auto" w:sz="4" w:space="0"/>
              <w:right w:val="single" w:color="auto" w:sz="4" w:space="0"/>
            </w:tcBorders>
            <w:shd w:val="clear" w:color="auto" w:fill="auto"/>
            <w:vAlign w:val="center"/>
          </w:tcPr>
          <w:p w14:paraId="0E5A27B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中线西10m处</w:t>
            </w:r>
          </w:p>
        </w:tc>
        <w:tc>
          <w:tcPr>
            <w:tcW w:w="0" w:type="auto"/>
            <w:tcBorders>
              <w:top w:val="nil"/>
              <w:left w:val="nil"/>
              <w:bottom w:val="single" w:color="auto" w:sz="4" w:space="0"/>
              <w:right w:val="single" w:color="auto" w:sz="4" w:space="0"/>
            </w:tcBorders>
            <w:shd w:val="clear" w:color="auto" w:fill="auto"/>
            <w:vAlign w:val="center"/>
          </w:tcPr>
          <w:p w14:paraId="20A1445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2516</w:t>
            </w:r>
          </w:p>
        </w:tc>
        <w:tc>
          <w:tcPr>
            <w:tcW w:w="0" w:type="auto"/>
            <w:tcBorders>
              <w:top w:val="nil"/>
              <w:left w:val="nil"/>
              <w:bottom w:val="single" w:color="auto" w:sz="4" w:space="0"/>
              <w:right w:val="single" w:color="auto" w:sz="4" w:space="0"/>
            </w:tcBorders>
            <w:shd w:val="clear" w:color="auto" w:fill="auto"/>
            <w:vAlign w:val="center"/>
          </w:tcPr>
          <w:p w14:paraId="3D35DAB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规划路中</w:t>
            </w:r>
          </w:p>
        </w:tc>
        <w:tc>
          <w:tcPr>
            <w:tcW w:w="0" w:type="auto"/>
            <w:tcBorders>
              <w:top w:val="nil"/>
              <w:left w:val="nil"/>
              <w:bottom w:val="single" w:color="auto" w:sz="4" w:space="0"/>
              <w:right w:val="single" w:color="auto" w:sz="4" w:space="0"/>
            </w:tcBorders>
            <w:shd w:val="clear" w:color="auto" w:fill="auto"/>
            <w:vAlign w:val="center"/>
          </w:tcPr>
          <w:p w14:paraId="46D2CC1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E5B97A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中线两侧8m处</w:t>
            </w:r>
          </w:p>
        </w:tc>
        <w:tc>
          <w:tcPr>
            <w:tcW w:w="0" w:type="auto"/>
            <w:tcBorders>
              <w:top w:val="nil"/>
              <w:left w:val="nil"/>
              <w:bottom w:val="single" w:color="auto" w:sz="4" w:space="0"/>
              <w:right w:val="single" w:color="auto" w:sz="4" w:space="0"/>
            </w:tcBorders>
            <w:shd w:val="clear" w:color="auto" w:fill="auto"/>
            <w:vAlign w:val="center"/>
          </w:tcPr>
          <w:p w14:paraId="4104896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6039CF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nil"/>
              <w:left w:val="nil"/>
              <w:bottom w:val="single" w:color="auto" w:sz="4" w:space="0"/>
              <w:right w:val="single" w:color="auto" w:sz="4" w:space="0"/>
            </w:tcBorders>
            <w:shd w:val="clear" w:color="auto" w:fill="auto"/>
            <w:vAlign w:val="center"/>
          </w:tcPr>
          <w:p w14:paraId="4D8C258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7BF68B3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nil"/>
              <w:left w:val="nil"/>
              <w:bottom w:val="single" w:color="auto" w:sz="4" w:space="0"/>
              <w:right w:val="single" w:color="auto" w:sz="4" w:space="0"/>
            </w:tcBorders>
            <w:shd w:val="clear" w:color="auto" w:fill="auto"/>
            <w:vAlign w:val="center"/>
          </w:tcPr>
          <w:p w14:paraId="4D64242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26EE94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nil"/>
              <w:left w:val="nil"/>
              <w:bottom w:val="single" w:color="auto" w:sz="4" w:space="0"/>
              <w:right w:val="single" w:color="auto" w:sz="8" w:space="0"/>
            </w:tcBorders>
            <w:shd w:val="clear" w:color="auto" w:fill="auto"/>
            <w:vAlign w:val="center"/>
          </w:tcPr>
          <w:p w14:paraId="0C4C227D">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竣工图894m</w:t>
            </w:r>
          </w:p>
        </w:tc>
      </w:tr>
      <w:tr w14:paraId="294FE4D8">
        <w:tblPrEx>
          <w:tblCellMar>
            <w:top w:w="0" w:type="dxa"/>
            <w:left w:w="108" w:type="dxa"/>
            <w:bottom w:w="0" w:type="dxa"/>
            <w:right w:w="108" w:type="dxa"/>
          </w:tblCellMar>
        </w:tblPrEx>
        <w:trPr>
          <w:trHeight w:val="369" w:hRule="atLeast"/>
        </w:trPr>
        <w:tc>
          <w:tcPr>
            <w:tcW w:w="0" w:type="auto"/>
            <w:tcBorders>
              <w:top w:val="nil"/>
              <w:left w:val="single" w:color="auto" w:sz="8" w:space="0"/>
              <w:bottom w:val="single" w:color="auto" w:sz="4" w:space="0"/>
              <w:right w:val="single" w:color="auto" w:sz="4" w:space="0"/>
            </w:tcBorders>
            <w:shd w:val="clear" w:color="auto" w:fill="auto"/>
            <w:vAlign w:val="center"/>
          </w:tcPr>
          <w:p w14:paraId="3730564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13</w:t>
            </w:r>
          </w:p>
        </w:tc>
        <w:tc>
          <w:tcPr>
            <w:tcW w:w="0" w:type="auto"/>
            <w:tcBorders>
              <w:top w:val="nil"/>
              <w:left w:val="nil"/>
              <w:bottom w:val="single" w:color="auto" w:sz="4" w:space="0"/>
              <w:right w:val="single" w:color="auto" w:sz="4" w:space="0"/>
            </w:tcBorders>
            <w:shd w:val="clear" w:color="auto" w:fill="auto"/>
            <w:vAlign w:val="center"/>
          </w:tcPr>
          <w:p w14:paraId="7C766BE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纬一西路（经二路东）</w:t>
            </w:r>
          </w:p>
        </w:tc>
        <w:tc>
          <w:tcPr>
            <w:tcW w:w="0" w:type="auto"/>
            <w:tcBorders>
              <w:top w:val="nil"/>
              <w:left w:val="nil"/>
              <w:bottom w:val="single" w:color="auto" w:sz="4" w:space="0"/>
              <w:right w:val="single" w:color="auto" w:sz="4" w:space="0"/>
            </w:tcBorders>
            <w:shd w:val="clear" w:color="auto" w:fill="auto"/>
            <w:vAlign w:val="center"/>
          </w:tcPr>
          <w:p w14:paraId="53CB3F9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1035</w:t>
            </w:r>
          </w:p>
        </w:tc>
        <w:tc>
          <w:tcPr>
            <w:tcW w:w="0" w:type="auto"/>
            <w:tcBorders>
              <w:top w:val="nil"/>
              <w:left w:val="nil"/>
              <w:bottom w:val="single" w:color="auto" w:sz="4" w:space="0"/>
              <w:right w:val="single" w:color="auto" w:sz="4" w:space="0"/>
            </w:tcBorders>
            <w:shd w:val="clear" w:color="auto" w:fill="auto"/>
            <w:vAlign w:val="center"/>
          </w:tcPr>
          <w:p w14:paraId="0612FD5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中线南12.5m处</w:t>
            </w:r>
          </w:p>
        </w:tc>
        <w:tc>
          <w:tcPr>
            <w:tcW w:w="0" w:type="auto"/>
            <w:tcBorders>
              <w:top w:val="nil"/>
              <w:left w:val="nil"/>
              <w:bottom w:val="single" w:color="auto" w:sz="4" w:space="0"/>
              <w:right w:val="single" w:color="auto" w:sz="4" w:space="0"/>
            </w:tcBorders>
            <w:shd w:val="clear" w:color="auto" w:fill="auto"/>
            <w:vAlign w:val="center"/>
          </w:tcPr>
          <w:p w14:paraId="5F690C5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85412E2">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nil"/>
              <w:left w:val="nil"/>
              <w:bottom w:val="single" w:color="auto" w:sz="4" w:space="0"/>
              <w:right w:val="single" w:color="auto" w:sz="4" w:space="0"/>
            </w:tcBorders>
            <w:shd w:val="clear" w:color="auto" w:fill="auto"/>
            <w:vAlign w:val="center"/>
          </w:tcPr>
          <w:p w14:paraId="72A68C9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2030</w:t>
            </w:r>
          </w:p>
        </w:tc>
        <w:tc>
          <w:tcPr>
            <w:tcW w:w="0" w:type="auto"/>
            <w:tcBorders>
              <w:top w:val="nil"/>
              <w:left w:val="nil"/>
              <w:bottom w:val="single" w:color="auto" w:sz="4" w:space="0"/>
              <w:right w:val="single" w:color="auto" w:sz="4" w:space="0"/>
            </w:tcBorders>
            <w:shd w:val="clear" w:color="auto" w:fill="auto"/>
            <w:vAlign w:val="center"/>
          </w:tcPr>
          <w:p w14:paraId="4B4979E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中线两侧14.0m处</w:t>
            </w:r>
          </w:p>
        </w:tc>
        <w:tc>
          <w:tcPr>
            <w:tcW w:w="0" w:type="auto"/>
            <w:tcBorders>
              <w:top w:val="nil"/>
              <w:left w:val="nil"/>
              <w:bottom w:val="single" w:color="auto" w:sz="4" w:space="0"/>
              <w:right w:val="single" w:color="auto" w:sz="4" w:space="0"/>
            </w:tcBorders>
            <w:shd w:val="clear" w:color="auto" w:fill="auto"/>
            <w:vAlign w:val="center"/>
          </w:tcPr>
          <w:p w14:paraId="0BCE7F40">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995</w:t>
            </w:r>
          </w:p>
        </w:tc>
        <w:tc>
          <w:tcPr>
            <w:tcW w:w="0" w:type="auto"/>
            <w:tcBorders>
              <w:top w:val="nil"/>
              <w:left w:val="nil"/>
              <w:bottom w:val="single" w:color="auto" w:sz="4" w:space="0"/>
              <w:right w:val="single" w:color="auto" w:sz="4" w:space="0"/>
            </w:tcBorders>
            <w:shd w:val="clear" w:color="auto" w:fill="auto"/>
            <w:vAlign w:val="center"/>
          </w:tcPr>
          <w:p w14:paraId="1827FBF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中线南8.5m处</w:t>
            </w:r>
          </w:p>
        </w:tc>
        <w:tc>
          <w:tcPr>
            <w:tcW w:w="0" w:type="auto"/>
            <w:tcBorders>
              <w:top w:val="nil"/>
              <w:left w:val="nil"/>
              <w:bottom w:val="single" w:color="auto" w:sz="4" w:space="0"/>
              <w:right w:val="single" w:color="auto" w:sz="4" w:space="0"/>
            </w:tcBorders>
            <w:shd w:val="clear" w:color="auto" w:fill="auto"/>
            <w:vAlign w:val="center"/>
          </w:tcPr>
          <w:p w14:paraId="4082B3A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1020</w:t>
            </w:r>
          </w:p>
        </w:tc>
        <w:tc>
          <w:tcPr>
            <w:tcW w:w="0" w:type="auto"/>
            <w:tcBorders>
              <w:top w:val="nil"/>
              <w:left w:val="nil"/>
              <w:bottom w:val="single" w:color="auto" w:sz="4" w:space="0"/>
              <w:right w:val="single" w:color="auto" w:sz="4" w:space="0"/>
            </w:tcBorders>
            <w:shd w:val="clear" w:color="auto" w:fill="auto"/>
            <w:vAlign w:val="center"/>
          </w:tcPr>
          <w:p w14:paraId="49CA6E8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规划路中</w:t>
            </w:r>
          </w:p>
        </w:tc>
        <w:tc>
          <w:tcPr>
            <w:tcW w:w="0" w:type="auto"/>
            <w:tcBorders>
              <w:top w:val="nil"/>
              <w:left w:val="nil"/>
              <w:bottom w:val="single" w:color="auto" w:sz="4" w:space="0"/>
              <w:right w:val="single" w:color="auto" w:sz="4" w:space="0"/>
            </w:tcBorders>
            <w:shd w:val="clear" w:color="auto" w:fill="auto"/>
            <w:vAlign w:val="center"/>
          </w:tcPr>
          <w:p w14:paraId="6601FDD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7CFF79D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中线两侧11.5m处</w:t>
            </w:r>
          </w:p>
        </w:tc>
        <w:tc>
          <w:tcPr>
            <w:tcW w:w="0" w:type="auto"/>
            <w:tcBorders>
              <w:top w:val="nil"/>
              <w:left w:val="nil"/>
              <w:bottom w:val="single" w:color="auto" w:sz="4" w:space="0"/>
              <w:right w:val="single" w:color="auto" w:sz="4" w:space="0"/>
            </w:tcBorders>
            <w:shd w:val="clear" w:color="auto" w:fill="auto"/>
            <w:vAlign w:val="center"/>
          </w:tcPr>
          <w:p w14:paraId="7264A4FD">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5CD5B4A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nil"/>
              <w:left w:val="nil"/>
              <w:bottom w:val="single" w:color="auto" w:sz="4" w:space="0"/>
              <w:right w:val="single" w:color="auto" w:sz="4" w:space="0"/>
            </w:tcBorders>
            <w:shd w:val="clear" w:color="auto" w:fill="auto"/>
            <w:vAlign w:val="center"/>
          </w:tcPr>
          <w:p w14:paraId="3DEB149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CF7F82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nil"/>
              <w:left w:val="nil"/>
              <w:bottom w:val="single" w:color="auto" w:sz="4" w:space="0"/>
              <w:right w:val="single" w:color="auto" w:sz="4" w:space="0"/>
            </w:tcBorders>
            <w:shd w:val="clear" w:color="auto" w:fill="auto"/>
            <w:vAlign w:val="center"/>
          </w:tcPr>
          <w:p w14:paraId="76903D2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9C79C5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无</w:t>
            </w:r>
          </w:p>
        </w:tc>
        <w:tc>
          <w:tcPr>
            <w:tcW w:w="0" w:type="auto"/>
            <w:tcBorders>
              <w:top w:val="nil"/>
              <w:left w:val="nil"/>
              <w:bottom w:val="single" w:color="auto" w:sz="4" w:space="0"/>
              <w:right w:val="single" w:color="auto" w:sz="8" w:space="0"/>
            </w:tcBorders>
            <w:shd w:val="clear" w:color="auto" w:fill="auto"/>
            <w:vAlign w:val="center"/>
          </w:tcPr>
          <w:p w14:paraId="6A7AAC6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路1031m</w:t>
            </w:r>
          </w:p>
        </w:tc>
      </w:tr>
      <w:tr w14:paraId="7A9880AD">
        <w:tblPrEx>
          <w:tblCellMar>
            <w:top w:w="0" w:type="dxa"/>
            <w:left w:w="108" w:type="dxa"/>
            <w:bottom w:w="0" w:type="dxa"/>
            <w:right w:w="108" w:type="dxa"/>
          </w:tblCellMar>
        </w:tblPrEx>
        <w:trPr>
          <w:trHeight w:val="369" w:hRule="atLeast"/>
        </w:trPr>
        <w:tc>
          <w:tcPr>
            <w:tcW w:w="0" w:type="auto"/>
            <w:tcBorders>
              <w:top w:val="nil"/>
              <w:left w:val="single" w:color="auto" w:sz="8" w:space="0"/>
              <w:bottom w:val="single" w:color="auto" w:sz="4" w:space="0"/>
              <w:right w:val="single" w:color="auto" w:sz="4" w:space="0"/>
            </w:tcBorders>
            <w:shd w:val="clear" w:color="auto" w:fill="auto"/>
            <w:vAlign w:val="center"/>
          </w:tcPr>
          <w:p w14:paraId="44849F82">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14</w:t>
            </w:r>
          </w:p>
        </w:tc>
        <w:tc>
          <w:tcPr>
            <w:tcW w:w="0" w:type="auto"/>
            <w:tcBorders>
              <w:top w:val="nil"/>
              <w:left w:val="nil"/>
              <w:bottom w:val="single" w:color="auto" w:sz="4" w:space="0"/>
              <w:right w:val="single" w:color="auto" w:sz="4" w:space="0"/>
            </w:tcBorders>
            <w:shd w:val="clear" w:color="auto" w:fill="auto"/>
            <w:vAlign w:val="center"/>
          </w:tcPr>
          <w:p w14:paraId="52F92E5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纬一西路（经一路至经二路）</w:t>
            </w:r>
          </w:p>
        </w:tc>
        <w:tc>
          <w:tcPr>
            <w:tcW w:w="0" w:type="auto"/>
            <w:tcBorders>
              <w:top w:val="nil"/>
              <w:left w:val="nil"/>
              <w:bottom w:val="single" w:color="auto" w:sz="4" w:space="0"/>
              <w:right w:val="single" w:color="auto" w:sz="4" w:space="0"/>
            </w:tcBorders>
            <w:shd w:val="clear" w:color="auto" w:fill="auto"/>
            <w:vAlign w:val="center"/>
          </w:tcPr>
          <w:p w14:paraId="70E4050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3ADFBF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E7DBF3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420DAA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57B6468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DF666E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0DF6CA22">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03BB4B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EDF29F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5E6C19D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7215CC5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74B9ADD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084C27F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02E605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776E010">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589598D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0DB45F1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6BF286F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8" w:space="0"/>
            </w:tcBorders>
            <w:shd w:val="clear" w:color="auto" w:fill="auto"/>
            <w:vAlign w:val="center"/>
          </w:tcPr>
          <w:p w14:paraId="41438AF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r>
      <w:tr w14:paraId="6E1E9C72">
        <w:tblPrEx>
          <w:tblCellMar>
            <w:top w:w="0" w:type="dxa"/>
            <w:left w:w="108" w:type="dxa"/>
            <w:bottom w:w="0" w:type="dxa"/>
            <w:right w:w="108" w:type="dxa"/>
          </w:tblCellMar>
        </w:tblPrEx>
        <w:trPr>
          <w:trHeight w:val="369" w:hRule="atLeast"/>
        </w:trPr>
        <w:tc>
          <w:tcPr>
            <w:tcW w:w="0" w:type="auto"/>
            <w:tcBorders>
              <w:top w:val="nil"/>
              <w:left w:val="single" w:color="auto" w:sz="8" w:space="0"/>
              <w:bottom w:val="single" w:color="auto" w:sz="4" w:space="0"/>
              <w:right w:val="single" w:color="auto" w:sz="4" w:space="0"/>
            </w:tcBorders>
            <w:shd w:val="clear" w:color="auto" w:fill="auto"/>
            <w:vAlign w:val="center"/>
          </w:tcPr>
          <w:p w14:paraId="28E44F3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15</w:t>
            </w:r>
          </w:p>
        </w:tc>
        <w:tc>
          <w:tcPr>
            <w:tcW w:w="0" w:type="auto"/>
            <w:tcBorders>
              <w:top w:val="nil"/>
              <w:left w:val="nil"/>
              <w:bottom w:val="single" w:color="auto" w:sz="4" w:space="0"/>
              <w:right w:val="single" w:color="auto" w:sz="4" w:space="0"/>
            </w:tcBorders>
            <w:shd w:val="clear" w:color="auto" w:fill="auto"/>
            <w:vAlign w:val="center"/>
          </w:tcPr>
          <w:p w14:paraId="5859AFD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纬一东路</w:t>
            </w:r>
          </w:p>
        </w:tc>
        <w:tc>
          <w:tcPr>
            <w:tcW w:w="0" w:type="auto"/>
            <w:tcBorders>
              <w:top w:val="nil"/>
              <w:left w:val="nil"/>
              <w:bottom w:val="single" w:color="auto" w:sz="4" w:space="0"/>
              <w:right w:val="single" w:color="auto" w:sz="4" w:space="0"/>
            </w:tcBorders>
            <w:shd w:val="clear" w:color="auto" w:fill="auto"/>
            <w:vAlign w:val="center"/>
          </w:tcPr>
          <w:p w14:paraId="7284169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1432</w:t>
            </w:r>
          </w:p>
        </w:tc>
        <w:tc>
          <w:tcPr>
            <w:tcW w:w="0" w:type="auto"/>
            <w:tcBorders>
              <w:top w:val="nil"/>
              <w:left w:val="nil"/>
              <w:bottom w:val="single" w:color="auto" w:sz="4" w:space="0"/>
              <w:right w:val="single" w:color="auto" w:sz="4" w:space="0"/>
            </w:tcBorders>
            <w:shd w:val="clear" w:color="auto" w:fill="auto"/>
            <w:vAlign w:val="center"/>
          </w:tcPr>
          <w:p w14:paraId="69B5BFF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046441A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1432</w:t>
            </w:r>
          </w:p>
        </w:tc>
        <w:tc>
          <w:tcPr>
            <w:tcW w:w="0" w:type="auto"/>
            <w:tcBorders>
              <w:top w:val="nil"/>
              <w:left w:val="nil"/>
              <w:bottom w:val="single" w:color="auto" w:sz="4" w:space="0"/>
              <w:right w:val="single" w:color="auto" w:sz="4" w:space="0"/>
            </w:tcBorders>
            <w:shd w:val="clear" w:color="auto" w:fill="auto"/>
            <w:vAlign w:val="center"/>
          </w:tcPr>
          <w:p w14:paraId="20E89FD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88A5A1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2864</w:t>
            </w:r>
          </w:p>
        </w:tc>
        <w:tc>
          <w:tcPr>
            <w:tcW w:w="0" w:type="auto"/>
            <w:tcBorders>
              <w:top w:val="nil"/>
              <w:left w:val="nil"/>
              <w:bottom w:val="single" w:color="auto" w:sz="4" w:space="0"/>
              <w:right w:val="single" w:color="auto" w:sz="4" w:space="0"/>
            </w:tcBorders>
            <w:shd w:val="clear" w:color="auto" w:fill="auto"/>
            <w:vAlign w:val="center"/>
          </w:tcPr>
          <w:p w14:paraId="1E21D0F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F3E97DD">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1432</w:t>
            </w:r>
          </w:p>
        </w:tc>
        <w:tc>
          <w:tcPr>
            <w:tcW w:w="0" w:type="auto"/>
            <w:tcBorders>
              <w:top w:val="nil"/>
              <w:left w:val="nil"/>
              <w:bottom w:val="single" w:color="auto" w:sz="4" w:space="0"/>
              <w:right w:val="single" w:color="auto" w:sz="4" w:space="0"/>
            </w:tcBorders>
            <w:shd w:val="clear" w:color="auto" w:fill="auto"/>
            <w:vAlign w:val="center"/>
          </w:tcPr>
          <w:p w14:paraId="5C0ACB5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752F6A4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1432</w:t>
            </w:r>
          </w:p>
        </w:tc>
        <w:tc>
          <w:tcPr>
            <w:tcW w:w="0" w:type="auto"/>
            <w:tcBorders>
              <w:top w:val="nil"/>
              <w:left w:val="nil"/>
              <w:bottom w:val="single" w:color="auto" w:sz="4" w:space="0"/>
              <w:right w:val="single" w:color="auto" w:sz="4" w:space="0"/>
            </w:tcBorders>
            <w:shd w:val="clear" w:color="auto" w:fill="auto"/>
            <w:vAlign w:val="center"/>
          </w:tcPr>
          <w:p w14:paraId="4133558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2666AB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5350FDF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45DDB00D">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7E3FD3F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5C3DEDC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60BE01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01494C9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EBA0A0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8" w:space="0"/>
            </w:tcBorders>
            <w:shd w:val="clear" w:color="auto" w:fill="auto"/>
            <w:vAlign w:val="center"/>
          </w:tcPr>
          <w:p w14:paraId="1F9EE52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路灯74</w:t>
            </w:r>
          </w:p>
        </w:tc>
      </w:tr>
      <w:tr w14:paraId="72C367C4">
        <w:tblPrEx>
          <w:tblCellMar>
            <w:top w:w="0" w:type="dxa"/>
            <w:left w:w="108" w:type="dxa"/>
            <w:bottom w:w="0" w:type="dxa"/>
            <w:right w:w="108" w:type="dxa"/>
          </w:tblCellMar>
        </w:tblPrEx>
        <w:trPr>
          <w:trHeight w:val="369" w:hRule="atLeast"/>
        </w:trPr>
        <w:tc>
          <w:tcPr>
            <w:tcW w:w="0" w:type="auto"/>
            <w:tcBorders>
              <w:top w:val="nil"/>
              <w:left w:val="single" w:color="auto" w:sz="8" w:space="0"/>
              <w:bottom w:val="single" w:color="auto" w:sz="4" w:space="0"/>
              <w:right w:val="single" w:color="auto" w:sz="4" w:space="0"/>
            </w:tcBorders>
            <w:shd w:val="clear" w:color="auto" w:fill="auto"/>
            <w:vAlign w:val="center"/>
          </w:tcPr>
          <w:p w14:paraId="7DB10C8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16</w:t>
            </w:r>
          </w:p>
        </w:tc>
        <w:tc>
          <w:tcPr>
            <w:tcW w:w="0" w:type="auto"/>
            <w:tcBorders>
              <w:top w:val="nil"/>
              <w:left w:val="nil"/>
              <w:bottom w:val="single" w:color="auto" w:sz="4" w:space="0"/>
              <w:right w:val="single" w:color="auto" w:sz="4" w:space="0"/>
            </w:tcBorders>
            <w:shd w:val="clear" w:color="auto" w:fill="auto"/>
            <w:vAlign w:val="center"/>
          </w:tcPr>
          <w:p w14:paraId="71CCF2A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经四南路</w:t>
            </w:r>
          </w:p>
        </w:tc>
        <w:tc>
          <w:tcPr>
            <w:tcW w:w="0" w:type="auto"/>
            <w:tcBorders>
              <w:top w:val="nil"/>
              <w:left w:val="nil"/>
              <w:bottom w:val="single" w:color="auto" w:sz="4" w:space="0"/>
              <w:right w:val="single" w:color="auto" w:sz="4" w:space="0"/>
            </w:tcBorders>
            <w:shd w:val="clear" w:color="auto" w:fill="auto"/>
            <w:vAlign w:val="center"/>
          </w:tcPr>
          <w:p w14:paraId="5765F41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8BD39B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5C7C976C">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6F1CB9D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A9780C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5030</w:t>
            </w:r>
          </w:p>
        </w:tc>
        <w:tc>
          <w:tcPr>
            <w:tcW w:w="0" w:type="auto"/>
            <w:tcBorders>
              <w:top w:val="nil"/>
              <w:left w:val="nil"/>
              <w:bottom w:val="single" w:color="auto" w:sz="4" w:space="0"/>
              <w:right w:val="single" w:color="auto" w:sz="4" w:space="0"/>
            </w:tcBorders>
            <w:shd w:val="clear" w:color="auto" w:fill="auto"/>
            <w:vAlign w:val="center"/>
          </w:tcPr>
          <w:p w14:paraId="4A81A01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AA85FB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9370B05">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7C0039C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780</w:t>
            </w:r>
          </w:p>
        </w:tc>
        <w:tc>
          <w:tcPr>
            <w:tcW w:w="0" w:type="auto"/>
            <w:tcBorders>
              <w:top w:val="nil"/>
              <w:left w:val="nil"/>
              <w:bottom w:val="single" w:color="auto" w:sz="4" w:space="0"/>
              <w:right w:val="single" w:color="auto" w:sz="4" w:space="0"/>
            </w:tcBorders>
            <w:shd w:val="clear" w:color="auto" w:fill="auto"/>
            <w:vAlign w:val="center"/>
          </w:tcPr>
          <w:p w14:paraId="224240E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4FBD03D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524A9A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07DAE0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0252B0D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0D5E6A6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7EBCB61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5F428CB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9CB214D">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8" w:space="0"/>
            </w:tcBorders>
            <w:shd w:val="clear" w:color="auto" w:fill="auto"/>
            <w:vAlign w:val="center"/>
          </w:tcPr>
          <w:p w14:paraId="0E60F80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路灯146</w:t>
            </w:r>
          </w:p>
        </w:tc>
      </w:tr>
      <w:tr w14:paraId="0E4ED0E7">
        <w:tblPrEx>
          <w:tblCellMar>
            <w:top w:w="0" w:type="dxa"/>
            <w:left w:w="108" w:type="dxa"/>
            <w:bottom w:w="0" w:type="dxa"/>
            <w:right w:w="108" w:type="dxa"/>
          </w:tblCellMar>
        </w:tblPrEx>
        <w:trPr>
          <w:trHeight w:val="369" w:hRule="atLeast"/>
        </w:trPr>
        <w:tc>
          <w:tcPr>
            <w:tcW w:w="0" w:type="auto"/>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086676A2">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合计</w:t>
            </w:r>
          </w:p>
        </w:tc>
        <w:tc>
          <w:tcPr>
            <w:tcW w:w="0" w:type="auto"/>
            <w:tcBorders>
              <w:top w:val="nil"/>
              <w:left w:val="nil"/>
              <w:bottom w:val="single" w:color="auto" w:sz="4" w:space="0"/>
              <w:right w:val="single" w:color="auto" w:sz="4" w:space="0"/>
            </w:tcBorders>
            <w:shd w:val="clear" w:color="auto" w:fill="auto"/>
            <w:vAlign w:val="center"/>
          </w:tcPr>
          <w:p w14:paraId="11A736B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24744</w:t>
            </w:r>
          </w:p>
        </w:tc>
        <w:tc>
          <w:tcPr>
            <w:tcW w:w="0" w:type="auto"/>
            <w:tcBorders>
              <w:top w:val="nil"/>
              <w:left w:val="nil"/>
              <w:bottom w:val="single" w:color="auto" w:sz="4" w:space="0"/>
              <w:right w:val="single" w:color="auto" w:sz="4" w:space="0"/>
            </w:tcBorders>
            <w:shd w:val="clear" w:color="auto" w:fill="auto"/>
            <w:vAlign w:val="center"/>
          </w:tcPr>
          <w:p w14:paraId="565A5E4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6739E8A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13741</w:t>
            </w:r>
          </w:p>
        </w:tc>
        <w:tc>
          <w:tcPr>
            <w:tcW w:w="0" w:type="auto"/>
            <w:tcBorders>
              <w:top w:val="nil"/>
              <w:left w:val="nil"/>
              <w:bottom w:val="single" w:color="auto" w:sz="4" w:space="0"/>
              <w:right w:val="single" w:color="auto" w:sz="4" w:space="0"/>
            </w:tcBorders>
            <w:shd w:val="clear" w:color="auto" w:fill="auto"/>
            <w:vAlign w:val="center"/>
          </w:tcPr>
          <w:p w14:paraId="56C91AC7">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5D75A96E">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32993</w:t>
            </w:r>
          </w:p>
        </w:tc>
        <w:tc>
          <w:tcPr>
            <w:tcW w:w="0" w:type="auto"/>
            <w:tcBorders>
              <w:top w:val="nil"/>
              <w:left w:val="nil"/>
              <w:bottom w:val="single" w:color="auto" w:sz="4" w:space="0"/>
              <w:right w:val="single" w:color="auto" w:sz="4" w:space="0"/>
            </w:tcBorders>
            <w:shd w:val="clear" w:color="auto" w:fill="auto"/>
            <w:vAlign w:val="center"/>
          </w:tcPr>
          <w:p w14:paraId="1506AC48">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4F0A273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22289</w:t>
            </w:r>
          </w:p>
        </w:tc>
        <w:tc>
          <w:tcPr>
            <w:tcW w:w="0" w:type="auto"/>
            <w:tcBorders>
              <w:top w:val="nil"/>
              <w:left w:val="nil"/>
              <w:bottom w:val="single" w:color="auto" w:sz="4" w:space="0"/>
              <w:right w:val="single" w:color="auto" w:sz="4" w:space="0"/>
            </w:tcBorders>
            <w:shd w:val="clear" w:color="auto" w:fill="auto"/>
            <w:vAlign w:val="center"/>
          </w:tcPr>
          <w:p w14:paraId="7BA3D51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0D8BA4B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25389</w:t>
            </w:r>
          </w:p>
        </w:tc>
        <w:tc>
          <w:tcPr>
            <w:tcW w:w="0" w:type="auto"/>
            <w:tcBorders>
              <w:top w:val="nil"/>
              <w:left w:val="nil"/>
              <w:bottom w:val="single" w:color="auto" w:sz="4" w:space="0"/>
              <w:right w:val="single" w:color="auto" w:sz="4" w:space="0"/>
            </w:tcBorders>
            <w:shd w:val="clear" w:color="auto" w:fill="auto"/>
            <w:vAlign w:val="center"/>
          </w:tcPr>
          <w:p w14:paraId="0B2BCB1F">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728EDC5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0</w:t>
            </w:r>
          </w:p>
        </w:tc>
        <w:tc>
          <w:tcPr>
            <w:tcW w:w="0" w:type="auto"/>
            <w:tcBorders>
              <w:top w:val="nil"/>
              <w:left w:val="nil"/>
              <w:bottom w:val="single" w:color="auto" w:sz="4" w:space="0"/>
              <w:right w:val="single" w:color="auto" w:sz="4" w:space="0"/>
            </w:tcBorders>
            <w:shd w:val="clear" w:color="auto" w:fill="auto"/>
            <w:vAlign w:val="center"/>
          </w:tcPr>
          <w:p w14:paraId="3ACE5576">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592422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8973</w:t>
            </w:r>
          </w:p>
        </w:tc>
        <w:tc>
          <w:tcPr>
            <w:tcW w:w="0" w:type="auto"/>
            <w:tcBorders>
              <w:top w:val="nil"/>
              <w:left w:val="nil"/>
              <w:bottom w:val="single" w:color="auto" w:sz="4" w:space="0"/>
              <w:right w:val="single" w:color="auto" w:sz="4" w:space="0"/>
            </w:tcBorders>
            <w:shd w:val="clear" w:color="auto" w:fill="auto"/>
            <w:vAlign w:val="center"/>
          </w:tcPr>
          <w:p w14:paraId="2D85568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323E59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9020</w:t>
            </w:r>
          </w:p>
        </w:tc>
        <w:tc>
          <w:tcPr>
            <w:tcW w:w="0" w:type="auto"/>
            <w:tcBorders>
              <w:top w:val="nil"/>
              <w:left w:val="nil"/>
              <w:bottom w:val="single" w:color="auto" w:sz="4" w:space="0"/>
              <w:right w:val="single" w:color="auto" w:sz="4" w:space="0"/>
            </w:tcBorders>
            <w:shd w:val="clear" w:color="auto" w:fill="auto"/>
            <w:vAlign w:val="center"/>
          </w:tcPr>
          <w:p w14:paraId="18C4A86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03B96A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21229</w:t>
            </w:r>
          </w:p>
        </w:tc>
        <w:tc>
          <w:tcPr>
            <w:tcW w:w="0" w:type="auto"/>
            <w:tcBorders>
              <w:top w:val="nil"/>
              <w:left w:val="nil"/>
              <w:bottom w:val="single" w:color="auto" w:sz="4" w:space="0"/>
              <w:right w:val="single" w:color="auto" w:sz="4" w:space="0"/>
            </w:tcBorders>
            <w:shd w:val="clear" w:color="auto" w:fill="auto"/>
            <w:vAlign w:val="center"/>
          </w:tcPr>
          <w:p w14:paraId="03C5095D">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481880E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　</w:t>
            </w:r>
          </w:p>
        </w:tc>
      </w:tr>
    </w:tbl>
    <w:p w14:paraId="118622F6">
      <w:pPr>
        <w:ind w:firstLine="480"/>
        <w:rPr>
          <w:rFonts w:cs="Times New Roman"/>
          <w:color w:val="000000" w:themeColor="text1"/>
          <w14:textFill>
            <w14:solidFill>
              <w14:schemeClr w14:val="tx1"/>
            </w14:solidFill>
          </w14:textFill>
        </w:rPr>
        <w:sectPr>
          <w:footerReference r:id="rId20" w:type="default"/>
          <w:pgSz w:w="16838" w:h="11906" w:orient="landscape"/>
          <w:pgMar w:top="1418" w:right="1418" w:bottom="1418" w:left="1418" w:header="850" w:footer="850" w:gutter="0"/>
          <w:cols w:space="720" w:num="1"/>
          <w:docGrid w:linePitch="326" w:charSpace="0"/>
        </w:sectPr>
      </w:pPr>
    </w:p>
    <w:p w14:paraId="790C5093">
      <w:pPr>
        <w:pStyle w:val="5"/>
        <w:rPr>
          <w:color w:val="000000" w:themeColor="text1"/>
          <w14:textFill>
            <w14:solidFill>
              <w14:schemeClr w14:val="tx1"/>
            </w14:solidFill>
          </w14:textFill>
        </w:rPr>
      </w:pPr>
      <w:r>
        <w:rPr>
          <w:color w:val="000000" w:themeColor="text1"/>
          <w14:textFill>
            <w14:solidFill>
              <w14:schemeClr w14:val="tx1"/>
            </w14:solidFill>
          </w14:textFill>
        </w:rPr>
        <w:t>供热工程</w:t>
      </w:r>
    </w:p>
    <w:p w14:paraId="7D113FB1">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内蒙古能源发电投资集团有限公司包头固阳金山工业园区热电厂</w:t>
      </w:r>
      <w:r>
        <w:rPr>
          <w:rFonts w:cs="Times New Roman"/>
          <w:color w:val="000000" w:themeColor="text1"/>
          <w14:textFill>
            <w14:solidFill>
              <w14:schemeClr w14:val="tx1"/>
            </w14:solidFill>
          </w14:textFill>
        </w:rPr>
        <w:t>2×350MW</w:t>
      </w:r>
      <w:r>
        <w:rPr>
          <w:rFonts w:hint="eastAsia" w:cs="Times New Roman"/>
          <w:color w:val="000000" w:themeColor="text1"/>
          <w14:textFill>
            <w14:solidFill>
              <w14:schemeClr w14:val="tx1"/>
            </w14:solidFill>
          </w14:textFill>
        </w:rPr>
        <w:t>发电机组工程位于园区范围内。该工程为新建建设生产类项目，建设规模为建设</w:t>
      </w:r>
      <w:r>
        <w:rPr>
          <w:rFonts w:cs="Times New Roman"/>
          <w:color w:val="000000" w:themeColor="text1"/>
          <w14:textFill>
            <w14:solidFill>
              <w14:schemeClr w14:val="tx1"/>
            </w14:solidFill>
          </w14:textFill>
        </w:rPr>
        <w:t>2×350MW</w:t>
      </w:r>
      <w:r>
        <w:rPr>
          <w:rFonts w:hint="eastAsia" w:cs="Times New Roman"/>
          <w:color w:val="000000" w:themeColor="text1"/>
          <w14:textFill>
            <w14:solidFill>
              <w14:schemeClr w14:val="tx1"/>
            </w14:solidFill>
          </w14:textFill>
        </w:rPr>
        <w:t>超临界热电联产间直接空冷供热机组，同步实施脱硫、脱硝。</w:t>
      </w:r>
      <w:r>
        <w:rPr>
          <w:rFonts w:cs="Times New Roman"/>
          <w:color w:val="000000" w:themeColor="text1"/>
          <w14:textFill>
            <w14:solidFill>
              <w14:schemeClr w14:val="tx1"/>
            </w14:solidFill>
          </w14:textFill>
        </w:rPr>
        <w:t>集中供热系统均采用两级管网的间接连接系统，系统包括热源、热力网、一次水管网、换热站和街区热水供热管网；考虑各系统一次网能联网运行，热力网供回水温度统一确定为130/70℃，街区热水供热管网供回水温度为85/60℃。</w:t>
      </w:r>
      <w:r>
        <w:rPr>
          <w:rFonts w:hint="eastAsia" w:cs="Times New Roman"/>
          <w:color w:val="000000" w:themeColor="text1"/>
          <w14:textFill>
            <w14:solidFill>
              <w14:schemeClr w14:val="tx1"/>
            </w14:solidFill>
          </w14:textFill>
        </w:rPr>
        <w:t>项目建设由厂区，进厂道路及施工生产生活区组成。本工程总占地</w:t>
      </w:r>
      <w:r>
        <w:rPr>
          <w:rFonts w:cs="Times New Roman"/>
          <w:color w:val="000000" w:themeColor="text1"/>
          <w14:textFill>
            <w14:solidFill>
              <w14:schemeClr w14:val="tx1"/>
            </w14:solidFill>
          </w14:textFill>
        </w:rPr>
        <w:t>53.40hm²</w:t>
      </w:r>
      <w:r>
        <w:rPr>
          <w:rFonts w:hint="eastAsia" w:cs="Times New Roman"/>
          <w:color w:val="000000" w:themeColor="text1"/>
          <w14:textFill>
            <w14:solidFill>
              <w14:schemeClr w14:val="tx1"/>
            </w14:solidFill>
          </w14:textFill>
        </w:rPr>
        <w:t>，全部为永久占地，占地类型为工业用地。</w:t>
      </w:r>
    </w:p>
    <w:p w14:paraId="0591DE61">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该工程于2017年3月5日开工，于2019年6月30日竣工，总工期28个月，总投资226543万元。2015年7月8日，内蒙古自治区水利厅以内水保[2015]151号文对本工程水土保持方案予以批复。</w:t>
      </w:r>
    </w:p>
    <w:p w14:paraId="035A41C2">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该工程主要承担固阳县和金山园区供热，同时为当地发展提供电力支撑，为热电联产机组。本期工程建设投产后，供电量</w:t>
      </w:r>
      <w:r>
        <w:rPr>
          <w:rFonts w:cs="Times New Roman"/>
          <w:color w:val="000000" w:themeColor="text1"/>
          <w14:textFill>
            <w14:solidFill>
              <w14:schemeClr w14:val="tx1"/>
            </w14:solidFill>
          </w14:textFill>
        </w:rPr>
        <w:t>35.99×108kW•h/a</w:t>
      </w:r>
      <w:r>
        <w:rPr>
          <w:rFonts w:hint="eastAsia" w:cs="Times New Roman"/>
          <w:color w:val="000000" w:themeColor="text1"/>
          <w14:textFill>
            <w14:solidFill>
              <w14:schemeClr w14:val="tx1"/>
            </w14:solidFill>
          </w14:textFill>
        </w:rPr>
        <w:t>，供热量为</w:t>
      </w:r>
      <w:r>
        <w:rPr>
          <w:rFonts w:cs="Times New Roman"/>
          <w:color w:val="000000" w:themeColor="text1"/>
          <w14:textFill>
            <w14:solidFill>
              <w14:schemeClr w14:val="tx1"/>
            </w14:solidFill>
          </w14:textFill>
        </w:rPr>
        <w:t>4.76×106GJ/a</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采暖供热管网枝状布置，管道采用直埋方式沿城市道路两侧敷设。热力网与街区热水供热管网通过换热站连接。采用分片供热的方式，供热干管通过换热站进入用户。</w:t>
      </w:r>
    </w:p>
    <w:p w14:paraId="54FE545E">
      <w:pPr>
        <w:pStyle w:val="5"/>
        <w:rPr>
          <w:color w:val="000000" w:themeColor="text1"/>
          <w14:textFill>
            <w14:solidFill>
              <w14:schemeClr w14:val="tx1"/>
            </w14:solidFill>
          </w14:textFill>
        </w:rPr>
      </w:pPr>
      <w:r>
        <w:rPr>
          <w:color w:val="000000" w:themeColor="text1"/>
          <w14:textFill>
            <w14:solidFill>
              <w14:schemeClr w14:val="tx1"/>
            </w14:solidFill>
          </w14:textFill>
        </w:rPr>
        <w:t>燃气工程</w:t>
      </w:r>
    </w:p>
    <w:p w14:paraId="7295E9C6">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园区配套</w:t>
      </w:r>
      <w:r>
        <w:rPr>
          <w:rFonts w:hint="eastAsia" w:cs="Times New Roman"/>
          <w:color w:val="000000" w:themeColor="text1"/>
          <w14:textFill>
            <w14:solidFill>
              <w14:schemeClr w14:val="tx1"/>
            </w14:solidFill>
          </w14:textFill>
        </w:rPr>
        <w:t>燃气工程为</w:t>
      </w:r>
      <w:r>
        <w:rPr>
          <w:rFonts w:cs="Times New Roman"/>
          <w:color w:val="000000" w:themeColor="text1"/>
          <w14:textFill>
            <w14:solidFill>
              <w14:schemeClr w14:val="tx1"/>
            </w14:solidFill>
          </w14:textFill>
        </w:rPr>
        <w:t>土右旗—包头金山工业园区天然气管道供应工程</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现状全长91公里，年供气量4.97亿立方米，于2015年8月通气。</w:t>
      </w:r>
    </w:p>
    <w:p w14:paraId="7E24D9B5">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规划范围内设置天然气门站一处，位于园区东侧，经四路和纬二东路交叉口东北侧，用地面积约0.7hm²。园区内共设置加气站1处，位于园区西部，为纬三路北侧。燃气管网采用以环状为主，环状和枝状管网相结合的方式布置，燃气干管宜靠近用气大户，主干管必须成环。园区燃气管网由规划天然气门站引出，压力级制为中压一级（中压A级，0.2&lt;P&lt;0.4mpa)，建筑单体可视情况采用楼栋调压器，园区内企业可根据情况设专用调压站。</w:t>
      </w:r>
    </w:p>
    <w:p w14:paraId="25A85B63">
      <w:pPr>
        <w:pStyle w:val="5"/>
        <w:rPr>
          <w:color w:val="000000" w:themeColor="text1"/>
          <w14:textFill>
            <w14:solidFill>
              <w14:schemeClr w14:val="tx1"/>
            </w14:solidFill>
          </w14:textFill>
        </w:rPr>
      </w:pPr>
      <w:r>
        <w:rPr>
          <w:color w:val="000000" w:themeColor="text1"/>
          <w14:textFill>
            <w14:solidFill>
              <w14:schemeClr w14:val="tx1"/>
            </w14:solidFill>
          </w14:textFill>
        </w:rPr>
        <w:t>供电工程</w:t>
      </w:r>
    </w:p>
    <w:p w14:paraId="41086075">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现状包头金山工业园区西侧有220KV变电站一座（固南变)，容量为180MW，在包头金山工业园区南侧有500KV变电站一座（固阳变)，容量为750MW。园区范围内现状有万胜220KV变电站、包钢110固阳矿山变电站、明登110KV变电站。</w:t>
      </w:r>
    </w:p>
    <w:p w14:paraId="01EF02BB">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220KV变电站作为整个园区的主供电源，向园区提供110/35/10KV等级供电线路。</w:t>
      </w:r>
    </w:p>
    <w:p w14:paraId="30AADBB9">
      <w:pPr>
        <w:pStyle w:val="5"/>
        <w:rPr>
          <w:color w:val="000000" w:themeColor="text1"/>
          <w14:textFill>
            <w14:solidFill>
              <w14:schemeClr w14:val="tx1"/>
            </w14:solidFill>
          </w14:textFill>
        </w:rPr>
      </w:pPr>
      <w:r>
        <w:rPr>
          <w:color w:val="000000" w:themeColor="text1"/>
          <w14:textFill>
            <w14:solidFill>
              <w14:schemeClr w14:val="tx1"/>
            </w14:solidFill>
          </w14:textFill>
        </w:rPr>
        <w:t>污水处理厂</w:t>
      </w:r>
    </w:p>
    <w:p w14:paraId="27EB8E3A">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包头金山经济开发区污水处理厂选址位于经二路与纬三路交叉口东侧，处理规模0.8万吨/d，主要处理对象为金山工业园区的生活污水。该污水处理厂处理规模可以满足园区污水处理要求。园区生活污水量按生活给水量估算，污水排放系数取0.85，日变化系数取1.3，预测规划期末园区最高日生活污水量约为1641m³/d。</w:t>
      </w:r>
    </w:p>
    <w:p w14:paraId="31A9973D">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污水管线的布置原则是尽可能利用有利地形，使污水管道的坡度与地面一致，以减少管道的埋深，尽可能减少或少设中途泵站。污水干管一般沿道路布置，通常设置在机动车道下，尽可能避免穿越河道等障碍物，尽量减少与其他地下管线交叉，沿纬二路、纬三路设污水干管，管径为D600—D1000，其他道路下污水管管径不小于D400。</w:t>
      </w:r>
    </w:p>
    <w:p w14:paraId="4AECFFCE">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污水处理厂的中水主要作为为园区浇洒道路及绿化用水。规划沿纬二路、纬三路设中水管，管径为DN300mm—DN600mm。</w:t>
      </w:r>
    </w:p>
    <w:bookmarkEnd w:id="91"/>
    <w:p w14:paraId="7CDFC70E">
      <w:pPr>
        <w:pStyle w:val="4"/>
        <w:spacing w:before="120" w:after="120"/>
      </w:pPr>
      <w:r>
        <w:t>园区</w:t>
      </w:r>
      <w:bookmarkEnd w:id="88"/>
      <w:bookmarkEnd w:id="89"/>
      <w:bookmarkEnd w:id="90"/>
      <w:r>
        <w:t>水土保持开展情况</w:t>
      </w:r>
    </w:p>
    <w:p w14:paraId="30DE6B95">
      <w:pPr>
        <w:pStyle w:val="66"/>
      </w:pPr>
      <w:bookmarkStart w:id="92" w:name="_Hlk140596030"/>
      <w:bookmarkStart w:id="93" w:name="_Toc85444533"/>
      <w:r>
        <w:t>园区现有水土保持措施有各企业内部道路及硬化区透水砖铺设、绿化区绿化美化；园区道路及交通设施区人行道及停车位区域透水砖铺设；园区防护绿地绿化美化等措施。但各区块均未考虑雨水集渗设施的布设，需本评估报告进行补充设计。</w:t>
      </w:r>
    </w:p>
    <w:p w14:paraId="351C23A7">
      <w:pPr>
        <w:pStyle w:val="66"/>
      </w:pPr>
      <w:r>
        <w:t>园区现已入驻企业</w:t>
      </w:r>
      <w:r>
        <w:rPr>
          <w:rFonts w:hint="eastAsia"/>
        </w:rPr>
        <w:t>项目</w:t>
      </w:r>
      <w:r>
        <w:t>共66</w:t>
      </w:r>
      <w:r>
        <w:rPr>
          <w:rFonts w:hint="eastAsia"/>
        </w:rPr>
        <w:t>个</w:t>
      </w:r>
      <w:r>
        <w:t>，根据园区管理办公室的配调查，园区内有32</w:t>
      </w:r>
      <w:r>
        <w:rPr>
          <w:rFonts w:hint="eastAsia"/>
        </w:rPr>
        <w:t>个项目</w:t>
      </w:r>
      <w:r>
        <w:t>编制过水土保持方案，其余企业均未进行水土保持方案编制工作。</w:t>
      </w:r>
    </w:p>
    <w:p w14:paraId="27FF0278">
      <w:pPr>
        <w:ind w:firstLine="0" w:firstLineChars="0"/>
        <w:jc w:val="left"/>
        <w:rPr>
          <w:rFonts w:cs="Times New Roman"/>
          <w:b/>
          <w:color w:val="000000" w:themeColor="text1"/>
          <w14:textFill>
            <w14:solidFill>
              <w14:schemeClr w14:val="tx1"/>
            </w14:solidFill>
          </w14:textFill>
        </w:rPr>
      </w:pPr>
      <w:r>
        <w:rPr>
          <w:rFonts w:cs="Times New Roman"/>
          <w:b/>
          <w:color w:val="000000" w:themeColor="text1"/>
          <w14:textFill>
            <w14:solidFill>
              <w14:schemeClr w14:val="tx1"/>
            </w14:solidFill>
          </w14:textFill>
        </w:rPr>
        <w:t>1.1.11入驻企业水土保持方案编制及实施情况</w:t>
      </w:r>
    </w:p>
    <w:bookmarkEnd w:id="92"/>
    <w:bookmarkEnd w:id="93"/>
    <w:p w14:paraId="2F980AAC">
      <w:pPr>
        <w:ind w:firstLine="480"/>
        <w:rPr>
          <w:rStyle w:val="65"/>
          <w:rFonts w:cs="Times New Roman"/>
        </w:rPr>
      </w:pPr>
      <w:r>
        <w:rPr>
          <w:rStyle w:val="65"/>
          <w:rFonts w:cs="Times New Roman"/>
        </w:rPr>
        <w:t>根据园区管理办公室的配调查，园区内入驻企业共66</w:t>
      </w:r>
      <w:r>
        <w:rPr>
          <w:rStyle w:val="65"/>
          <w:rFonts w:hint="eastAsia" w:cs="Times New Roman"/>
        </w:rPr>
        <w:t>个项目</w:t>
      </w:r>
      <w:r>
        <w:rPr>
          <w:rStyle w:val="65"/>
          <w:rFonts w:cs="Times New Roman"/>
        </w:rPr>
        <w:t>且其中有32</w:t>
      </w:r>
      <w:r>
        <w:rPr>
          <w:rStyle w:val="65"/>
          <w:rFonts w:hint="eastAsia" w:cs="Times New Roman"/>
        </w:rPr>
        <w:t>个项目</w:t>
      </w:r>
      <w:r>
        <w:rPr>
          <w:rStyle w:val="65"/>
          <w:rFonts w:cs="Times New Roman"/>
        </w:rPr>
        <w:t>编制过水土保持方案</w:t>
      </w:r>
      <w:r>
        <w:rPr>
          <w:rStyle w:val="65"/>
          <w:rFonts w:hint="eastAsia" w:cs="Times New Roman"/>
        </w:rPr>
        <w:t>(地块1编制3</w:t>
      </w:r>
      <w:r>
        <w:rPr>
          <w:rStyle w:val="65"/>
          <w:rFonts w:cs="Times New Roman"/>
        </w:rPr>
        <w:t>1</w:t>
      </w:r>
      <w:r>
        <w:rPr>
          <w:rStyle w:val="65"/>
          <w:rFonts w:hint="eastAsia" w:cs="Times New Roman"/>
        </w:rPr>
        <w:t>个，地块2编制1个</w:t>
      </w:r>
      <w:r>
        <w:rPr>
          <w:rStyle w:val="65"/>
          <w:rFonts w:cs="Times New Roman"/>
        </w:rPr>
        <w:t>)，</w:t>
      </w:r>
      <w:r>
        <w:rPr>
          <w:rStyle w:val="65"/>
          <w:rFonts w:hint="eastAsia" w:cs="Times New Roman"/>
        </w:rPr>
        <w:t>有6个项目已完成水土保持设施竣工验收。</w:t>
      </w:r>
      <w:r>
        <w:rPr>
          <w:rStyle w:val="65"/>
          <w:rFonts w:cs="Times New Roman"/>
        </w:rPr>
        <w:t>其余</w:t>
      </w:r>
      <w:r>
        <w:rPr>
          <w:rStyle w:val="65"/>
          <w:rFonts w:hint="eastAsia" w:cs="Times New Roman"/>
        </w:rPr>
        <w:t>项目</w:t>
      </w:r>
      <w:r>
        <w:rPr>
          <w:rStyle w:val="65"/>
          <w:rFonts w:cs="Times New Roman"/>
        </w:rPr>
        <w:t>均未进行水土保持方案编制工作。</w:t>
      </w:r>
      <w:r>
        <w:rPr>
          <w:rStyle w:val="65"/>
          <w:rFonts w:hint="eastAsia" w:cs="Times New Roman"/>
        </w:rPr>
        <w:t>地块</w:t>
      </w:r>
      <w:r>
        <w:rPr>
          <w:rStyle w:val="65"/>
          <w:rFonts w:cs="Times New Roman"/>
        </w:rPr>
        <w:t>1</w:t>
      </w:r>
      <w:r>
        <w:rPr>
          <w:rStyle w:val="65"/>
          <w:rFonts w:hint="eastAsia" w:cs="Times New Roman"/>
        </w:rPr>
        <w:t>（金山产业园北区）工矿用地面积</w:t>
      </w:r>
      <w:r>
        <w:rPr>
          <w:rStyle w:val="65"/>
          <w:rFonts w:cs="Times New Roman"/>
        </w:rPr>
        <w:t>1004.28hm²</w:t>
      </w:r>
      <w:r>
        <w:rPr>
          <w:rStyle w:val="65"/>
          <w:rFonts w:hint="eastAsia" w:cs="Times New Roman"/>
        </w:rPr>
        <w:t>，工矿用地建成区面积</w:t>
      </w:r>
      <w:r>
        <w:rPr>
          <w:rStyle w:val="65"/>
          <w:rFonts w:cs="Times New Roman"/>
        </w:rPr>
        <w:t>696.08hm²</w:t>
      </w:r>
      <w:r>
        <w:rPr>
          <w:rStyle w:val="65"/>
          <w:rFonts w:hint="eastAsia" w:cs="Times New Roman"/>
        </w:rPr>
        <w:t>，未建区面积为</w:t>
      </w:r>
      <w:r>
        <w:rPr>
          <w:rStyle w:val="65"/>
          <w:rFonts w:cs="Times New Roman"/>
        </w:rPr>
        <w:t>308.20hm²</w:t>
      </w:r>
      <w:r>
        <w:rPr>
          <w:rStyle w:val="65"/>
          <w:rFonts w:hint="eastAsia" w:cs="Times New Roman"/>
        </w:rPr>
        <w:t>，入驻项目已编报水土保持方案防治责任范围8</w:t>
      </w:r>
      <w:r>
        <w:rPr>
          <w:rStyle w:val="65"/>
          <w:rFonts w:cs="Times New Roman"/>
        </w:rPr>
        <w:t>83.99 hm²</w:t>
      </w:r>
      <w:r>
        <w:rPr>
          <w:rStyle w:val="65"/>
          <w:rFonts w:hint="eastAsia" w:cs="Times New Roman"/>
        </w:rPr>
        <w:t>；地块</w:t>
      </w:r>
      <w:r>
        <w:rPr>
          <w:rStyle w:val="65"/>
          <w:rFonts w:cs="Times New Roman"/>
        </w:rPr>
        <w:t>2</w:t>
      </w:r>
      <w:r>
        <w:rPr>
          <w:rStyle w:val="65"/>
          <w:rFonts w:hint="eastAsia" w:cs="Times New Roman"/>
        </w:rPr>
        <w:t>（下湿壕片区）工矿用地面积</w:t>
      </w:r>
      <w:r>
        <w:rPr>
          <w:rStyle w:val="65"/>
          <w:rFonts w:cs="Times New Roman"/>
        </w:rPr>
        <w:t>147.08hm²</w:t>
      </w:r>
      <w:r>
        <w:rPr>
          <w:rStyle w:val="65"/>
          <w:rFonts w:hint="eastAsia" w:cs="Times New Roman"/>
        </w:rPr>
        <w:t>，建成区面积</w:t>
      </w:r>
      <w:r>
        <w:rPr>
          <w:rStyle w:val="65"/>
          <w:rFonts w:cs="Times New Roman"/>
        </w:rPr>
        <w:t>147.08hm²</w:t>
      </w:r>
      <w:r>
        <w:rPr>
          <w:rStyle w:val="65"/>
          <w:rFonts w:hint="eastAsia" w:cs="Times New Roman"/>
        </w:rPr>
        <w:t>，入驻项目已编报水土保持方案防治责任范围</w:t>
      </w:r>
      <w:r>
        <w:rPr>
          <w:rStyle w:val="65"/>
          <w:rFonts w:cs="Times New Roman"/>
        </w:rPr>
        <w:t>115.35hm²</w:t>
      </w:r>
      <w:r>
        <w:rPr>
          <w:rStyle w:val="65"/>
          <w:rFonts w:hint="eastAsia" w:cs="Times New Roman"/>
        </w:rPr>
        <w:t>。</w:t>
      </w:r>
    </w:p>
    <w:p w14:paraId="19C85F41">
      <w:pPr>
        <w:ind w:firstLine="480"/>
        <w:rPr>
          <w:bCs/>
          <w:color w:val="000000" w:themeColor="text1"/>
          <w14:textFill>
            <w14:solidFill>
              <w14:schemeClr w14:val="tx1"/>
            </w14:solidFill>
          </w14:textFill>
        </w:rPr>
      </w:pPr>
      <w:r>
        <w:rPr>
          <w:rStyle w:val="65"/>
          <w:rFonts w:hint="eastAsia" w:cs="Times New Roman"/>
        </w:rPr>
        <w:t>地块1（金山产业园北区）工矿用地入驻项目情况见表</w:t>
      </w:r>
      <w:r>
        <w:rPr>
          <w:rStyle w:val="65"/>
          <w:rFonts w:cs="Times New Roman"/>
        </w:rPr>
        <w:t>1-8</w:t>
      </w:r>
      <w:r>
        <w:rPr>
          <w:bCs/>
          <w:color w:val="000000" w:themeColor="text1"/>
          <w14:textFill>
            <w14:solidFill>
              <w14:schemeClr w14:val="tx1"/>
            </w14:solidFill>
          </w14:textFill>
        </w:rPr>
        <w:t>。</w:t>
      </w:r>
      <w:bookmarkStart w:id="94" w:name="_Hlk88746880"/>
      <w:r>
        <w:rPr>
          <w:rFonts w:hint="eastAsia"/>
          <w:bCs/>
          <w:color w:val="000000" w:themeColor="text1"/>
          <w14:textFill>
            <w14:solidFill>
              <w14:schemeClr w14:val="tx1"/>
            </w14:solidFill>
          </w14:textFill>
        </w:rPr>
        <w:t>地块2（下湿壕片区）工矿用地入驻项目情况见表1</w:t>
      </w:r>
      <w:r>
        <w:rPr>
          <w:bCs/>
          <w:color w:val="000000" w:themeColor="text1"/>
          <w14:textFill>
            <w14:solidFill>
              <w14:schemeClr w14:val="tx1"/>
            </w14:solidFill>
          </w14:textFill>
        </w:rPr>
        <w:t>-9</w:t>
      </w:r>
      <w:r>
        <w:rPr>
          <w:rFonts w:hint="eastAsia"/>
          <w:bCs/>
          <w:color w:val="000000" w:themeColor="text1"/>
          <w14:textFill>
            <w14:solidFill>
              <w14:schemeClr w14:val="tx1"/>
            </w14:solidFill>
          </w14:textFill>
        </w:rPr>
        <w:t>。</w:t>
      </w:r>
    </w:p>
    <w:bookmarkEnd w:id="94"/>
    <w:p w14:paraId="61286F50">
      <w:pPr>
        <w:pStyle w:val="35"/>
        <w:rPr>
          <w:rFonts w:eastAsia="仿宋_GB2312" w:cs="Times New Roman"/>
          <w:color w:val="000000" w:themeColor="text1"/>
          <w:spacing w:val="0"/>
          <w:lang w:eastAsia="zh-CN"/>
          <w14:textFill>
            <w14:solidFill>
              <w14:schemeClr w14:val="tx1"/>
            </w14:solidFill>
          </w14:textFill>
        </w:rPr>
        <w:sectPr>
          <w:footerReference r:id="rId21" w:type="default"/>
          <w:pgSz w:w="11906" w:h="16838"/>
          <w:pgMar w:top="1418" w:right="1418" w:bottom="1418" w:left="1418" w:header="850" w:footer="850" w:gutter="0"/>
          <w:cols w:space="720" w:num="1"/>
          <w:docGrid w:linePitch="326" w:charSpace="0"/>
        </w:sectPr>
      </w:pPr>
    </w:p>
    <w:p w14:paraId="3CF3F4B4">
      <w:pPr>
        <w:pStyle w:val="44"/>
        <w:rPr>
          <w:color w:val="000000" w:themeColor="text1"/>
          <w:spacing w:val="70"/>
          <w:lang w:eastAsia="zh-CN"/>
          <w14:textFill>
            <w14:solidFill>
              <w14:schemeClr w14:val="tx1"/>
            </w14:solidFill>
          </w14:textFill>
        </w:rPr>
      </w:pPr>
      <w:bookmarkStart w:id="95" w:name="_Hlk153911537"/>
      <w:r>
        <w:rPr>
          <w:color w:val="000000" w:themeColor="text1"/>
          <w:spacing w:val="70"/>
          <w:lang w:eastAsia="zh-CN"/>
          <w14:textFill>
            <w14:solidFill>
              <w14:schemeClr w14:val="tx1"/>
            </w14:solidFill>
          </w14:textFill>
        </w:rPr>
        <w:t>表1-8                地块1（金山产业园北区）工矿用地</w:t>
      </w:r>
      <w:r>
        <w:rPr>
          <w:rFonts w:hint="eastAsia"/>
          <w:color w:val="000000" w:themeColor="text1"/>
          <w:spacing w:val="70"/>
          <w:lang w:eastAsia="zh-CN"/>
          <w14:textFill>
            <w14:solidFill>
              <w14:schemeClr w14:val="tx1"/>
            </w14:solidFill>
          </w14:textFill>
        </w:rPr>
        <w:t>入驻</w:t>
      </w:r>
      <w:r>
        <w:rPr>
          <w:color w:val="000000" w:themeColor="text1"/>
          <w:spacing w:val="70"/>
          <w:lang w:eastAsia="zh-CN"/>
          <w14:textFill>
            <w14:solidFill>
              <w14:schemeClr w14:val="tx1"/>
            </w14:solidFill>
          </w14:textFill>
        </w:rPr>
        <w:t>项目情况一览表</w:t>
      </w:r>
    </w:p>
    <w:tbl>
      <w:tblPr>
        <w:tblStyle w:val="28"/>
        <w:tblW w:w="15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1317"/>
        <w:gridCol w:w="2226"/>
        <w:gridCol w:w="1418"/>
        <w:gridCol w:w="709"/>
        <w:gridCol w:w="803"/>
        <w:gridCol w:w="42"/>
        <w:gridCol w:w="572"/>
        <w:gridCol w:w="18"/>
        <w:gridCol w:w="549"/>
        <w:gridCol w:w="11"/>
        <w:gridCol w:w="981"/>
        <w:gridCol w:w="1693"/>
        <w:gridCol w:w="8"/>
        <w:gridCol w:w="844"/>
        <w:gridCol w:w="15"/>
        <w:gridCol w:w="829"/>
        <w:gridCol w:w="865"/>
        <w:gridCol w:w="27"/>
        <w:gridCol w:w="1527"/>
        <w:gridCol w:w="1051"/>
      </w:tblGrid>
      <w:tr w14:paraId="61BA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21" w:type="dxa"/>
            <w:tcBorders>
              <w:bottom w:val="single" w:color="auto" w:sz="4" w:space="0"/>
              <w:insideH w:val="single" w:sz="4" w:space="0"/>
            </w:tcBorders>
            <w:noWrap/>
            <w:vAlign w:val="center"/>
          </w:tcPr>
          <w:p w14:paraId="43EF53F2">
            <w:pPr>
              <w:pStyle w:val="149"/>
              <w:rPr>
                <w:sz w:val="13"/>
                <w:szCs w:val="13"/>
              </w:rPr>
            </w:pPr>
            <w:r>
              <w:rPr>
                <w:sz w:val="13"/>
                <w:szCs w:val="13"/>
              </w:rPr>
              <w:t>序号</w:t>
            </w:r>
          </w:p>
        </w:tc>
        <w:tc>
          <w:tcPr>
            <w:tcW w:w="1317" w:type="dxa"/>
            <w:tcBorders>
              <w:bottom w:val="single" w:color="auto" w:sz="4" w:space="0"/>
              <w:insideH w:val="single" w:sz="4" w:space="0"/>
            </w:tcBorders>
            <w:noWrap/>
            <w:vAlign w:val="center"/>
          </w:tcPr>
          <w:p w14:paraId="64A19040">
            <w:pPr>
              <w:pStyle w:val="149"/>
              <w:rPr>
                <w:sz w:val="13"/>
                <w:szCs w:val="13"/>
              </w:rPr>
            </w:pPr>
            <w:r>
              <w:rPr>
                <w:sz w:val="13"/>
                <w:szCs w:val="13"/>
              </w:rPr>
              <w:t>企业名称</w:t>
            </w:r>
          </w:p>
        </w:tc>
        <w:tc>
          <w:tcPr>
            <w:tcW w:w="2226" w:type="dxa"/>
            <w:tcBorders>
              <w:bottom w:val="single" w:color="auto" w:sz="4" w:space="0"/>
              <w:insideH w:val="single" w:sz="4" w:space="0"/>
            </w:tcBorders>
            <w:noWrap/>
            <w:vAlign w:val="center"/>
          </w:tcPr>
          <w:p w14:paraId="274A5C2F">
            <w:pPr>
              <w:pStyle w:val="149"/>
              <w:rPr>
                <w:sz w:val="13"/>
                <w:szCs w:val="13"/>
              </w:rPr>
            </w:pPr>
            <w:r>
              <w:rPr>
                <w:sz w:val="13"/>
                <w:szCs w:val="13"/>
              </w:rPr>
              <w:t>项目名称</w:t>
            </w:r>
          </w:p>
        </w:tc>
        <w:tc>
          <w:tcPr>
            <w:tcW w:w="1418" w:type="dxa"/>
            <w:tcBorders>
              <w:bottom w:val="single" w:color="auto" w:sz="4" w:space="0"/>
              <w:insideH w:val="single" w:sz="4" w:space="0"/>
            </w:tcBorders>
            <w:noWrap/>
            <w:vAlign w:val="center"/>
          </w:tcPr>
          <w:p w14:paraId="7B7B6356">
            <w:pPr>
              <w:pStyle w:val="149"/>
              <w:rPr>
                <w:sz w:val="13"/>
                <w:szCs w:val="13"/>
              </w:rPr>
            </w:pPr>
            <w:r>
              <w:rPr>
                <w:sz w:val="13"/>
                <w:szCs w:val="13"/>
              </w:rPr>
              <w:t>立项文号</w:t>
            </w:r>
          </w:p>
        </w:tc>
        <w:tc>
          <w:tcPr>
            <w:tcW w:w="709" w:type="dxa"/>
            <w:tcBorders>
              <w:bottom w:val="single" w:color="auto" w:sz="4" w:space="0"/>
              <w:insideH w:val="single" w:sz="4" w:space="0"/>
            </w:tcBorders>
            <w:noWrap/>
            <w:vAlign w:val="center"/>
          </w:tcPr>
          <w:p w14:paraId="4FB6D95D">
            <w:pPr>
              <w:pStyle w:val="149"/>
              <w:rPr>
                <w:sz w:val="13"/>
                <w:szCs w:val="13"/>
              </w:rPr>
            </w:pPr>
            <w:r>
              <w:rPr>
                <w:sz w:val="13"/>
                <w:szCs w:val="13"/>
              </w:rPr>
              <w:t>防治责任范围（hm²）</w:t>
            </w:r>
          </w:p>
        </w:tc>
        <w:tc>
          <w:tcPr>
            <w:tcW w:w="803" w:type="dxa"/>
            <w:tcBorders>
              <w:bottom w:val="single" w:color="auto" w:sz="4" w:space="0"/>
              <w:insideH w:val="single" w:sz="4" w:space="0"/>
            </w:tcBorders>
            <w:noWrap/>
            <w:vAlign w:val="center"/>
          </w:tcPr>
          <w:p w14:paraId="2035B02B">
            <w:pPr>
              <w:pStyle w:val="149"/>
              <w:rPr>
                <w:sz w:val="13"/>
                <w:szCs w:val="13"/>
              </w:rPr>
            </w:pPr>
            <w:r>
              <w:rPr>
                <w:sz w:val="13"/>
                <w:szCs w:val="13"/>
              </w:rPr>
              <w:t>建设年限</w:t>
            </w:r>
          </w:p>
        </w:tc>
        <w:tc>
          <w:tcPr>
            <w:tcW w:w="614" w:type="dxa"/>
            <w:gridSpan w:val="2"/>
            <w:tcBorders>
              <w:bottom w:val="single" w:color="auto" w:sz="4" w:space="0"/>
              <w:insideH w:val="single" w:sz="4" w:space="0"/>
            </w:tcBorders>
            <w:noWrap/>
            <w:vAlign w:val="center"/>
          </w:tcPr>
          <w:p w14:paraId="1D0866EC">
            <w:pPr>
              <w:pStyle w:val="149"/>
              <w:rPr>
                <w:sz w:val="13"/>
                <w:szCs w:val="13"/>
              </w:rPr>
            </w:pPr>
            <w:r>
              <w:rPr>
                <w:sz w:val="13"/>
                <w:szCs w:val="13"/>
              </w:rPr>
              <w:t>经营状况</w:t>
            </w:r>
          </w:p>
        </w:tc>
        <w:tc>
          <w:tcPr>
            <w:tcW w:w="567" w:type="dxa"/>
            <w:gridSpan w:val="2"/>
            <w:tcBorders>
              <w:bottom w:val="single" w:color="auto" w:sz="4" w:space="0"/>
              <w:insideH w:val="single" w:sz="4" w:space="0"/>
            </w:tcBorders>
            <w:noWrap/>
            <w:vAlign w:val="center"/>
          </w:tcPr>
          <w:p w14:paraId="40233096">
            <w:pPr>
              <w:pStyle w:val="149"/>
              <w:rPr>
                <w:sz w:val="13"/>
                <w:szCs w:val="13"/>
              </w:rPr>
            </w:pPr>
            <w:r>
              <w:rPr>
                <w:sz w:val="13"/>
                <w:szCs w:val="13"/>
              </w:rPr>
              <w:t>生产情况</w:t>
            </w:r>
          </w:p>
        </w:tc>
        <w:tc>
          <w:tcPr>
            <w:tcW w:w="992" w:type="dxa"/>
            <w:gridSpan w:val="2"/>
            <w:tcBorders>
              <w:bottom w:val="single" w:color="auto" w:sz="4" w:space="0"/>
              <w:insideH w:val="single" w:sz="4" w:space="0"/>
            </w:tcBorders>
            <w:noWrap/>
            <w:vAlign w:val="center"/>
          </w:tcPr>
          <w:p w14:paraId="5B9D7AAB">
            <w:pPr>
              <w:pStyle w:val="149"/>
              <w:rPr>
                <w:sz w:val="13"/>
                <w:szCs w:val="13"/>
              </w:rPr>
            </w:pPr>
            <w:r>
              <w:rPr>
                <w:sz w:val="13"/>
                <w:szCs w:val="13"/>
              </w:rPr>
              <w:t>水保方案编制情况</w:t>
            </w:r>
          </w:p>
        </w:tc>
        <w:tc>
          <w:tcPr>
            <w:tcW w:w="1701" w:type="dxa"/>
            <w:gridSpan w:val="2"/>
            <w:tcBorders>
              <w:bottom w:val="single" w:color="auto" w:sz="4" w:space="0"/>
              <w:insideH w:val="single" w:sz="4" w:space="0"/>
            </w:tcBorders>
            <w:noWrap/>
            <w:vAlign w:val="center"/>
          </w:tcPr>
          <w:p w14:paraId="6D007D42">
            <w:pPr>
              <w:pStyle w:val="149"/>
              <w:rPr>
                <w:sz w:val="13"/>
                <w:szCs w:val="13"/>
              </w:rPr>
            </w:pPr>
            <w:r>
              <w:rPr>
                <w:sz w:val="13"/>
                <w:szCs w:val="13"/>
              </w:rPr>
              <w:t>水土保持方案批复</w:t>
            </w:r>
          </w:p>
        </w:tc>
        <w:tc>
          <w:tcPr>
            <w:tcW w:w="844" w:type="dxa"/>
            <w:tcBorders>
              <w:bottom w:val="single" w:color="auto" w:sz="4" w:space="0"/>
              <w:insideH w:val="single" w:sz="4" w:space="0"/>
            </w:tcBorders>
            <w:vAlign w:val="center"/>
          </w:tcPr>
          <w:p w14:paraId="4FCEE185">
            <w:pPr>
              <w:pStyle w:val="149"/>
              <w:rPr>
                <w:sz w:val="13"/>
                <w:szCs w:val="13"/>
              </w:rPr>
            </w:pPr>
            <w:r>
              <w:rPr>
                <w:sz w:val="13"/>
                <w:szCs w:val="13"/>
              </w:rPr>
              <w:t>土方开挖（万m³）</w:t>
            </w:r>
          </w:p>
        </w:tc>
        <w:tc>
          <w:tcPr>
            <w:tcW w:w="844" w:type="dxa"/>
            <w:gridSpan w:val="2"/>
            <w:tcBorders>
              <w:bottom w:val="single" w:color="auto" w:sz="4" w:space="0"/>
              <w:insideH w:val="single" w:sz="4" w:space="0"/>
            </w:tcBorders>
            <w:vAlign w:val="center"/>
          </w:tcPr>
          <w:p w14:paraId="6830C114">
            <w:pPr>
              <w:pStyle w:val="149"/>
              <w:rPr>
                <w:sz w:val="13"/>
                <w:szCs w:val="13"/>
              </w:rPr>
            </w:pPr>
            <w:r>
              <w:rPr>
                <w:sz w:val="13"/>
                <w:szCs w:val="13"/>
              </w:rPr>
              <w:t>土方回填（万m³）</w:t>
            </w:r>
          </w:p>
        </w:tc>
        <w:tc>
          <w:tcPr>
            <w:tcW w:w="892" w:type="dxa"/>
            <w:gridSpan w:val="2"/>
            <w:tcBorders>
              <w:bottom w:val="single" w:color="auto" w:sz="4" w:space="0"/>
              <w:insideH w:val="single" w:sz="4" w:space="0"/>
            </w:tcBorders>
            <w:vAlign w:val="center"/>
          </w:tcPr>
          <w:p w14:paraId="76D6F24A">
            <w:pPr>
              <w:pStyle w:val="149"/>
              <w:rPr>
                <w:sz w:val="13"/>
                <w:szCs w:val="13"/>
              </w:rPr>
            </w:pPr>
            <w:r>
              <w:rPr>
                <w:sz w:val="13"/>
                <w:szCs w:val="13"/>
              </w:rPr>
              <w:t>绿化面积（hm²）</w:t>
            </w:r>
          </w:p>
        </w:tc>
        <w:tc>
          <w:tcPr>
            <w:tcW w:w="1527" w:type="dxa"/>
            <w:tcBorders>
              <w:bottom w:val="single" w:color="auto" w:sz="4" w:space="0"/>
              <w:insideH w:val="single" w:sz="4" w:space="0"/>
            </w:tcBorders>
            <w:noWrap/>
            <w:vAlign w:val="center"/>
          </w:tcPr>
          <w:p w14:paraId="426B49B4">
            <w:pPr>
              <w:pStyle w:val="149"/>
              <w:rPr>
                <w:sz w:val="13"/>
                <w:szCs w:val="13"/>
              </w:rPr>
            </w:pPr>
            <w:r>
              <w:rPr>
                <w:sz w:val="13"/>
                <w:szCs w:val="13"/>
              </w:rPr>
              <w:t>主要水土保持措施</w:t>
            </w:r>
          </w:p>
        </w:tc>
        <w:tc>
          <w:tcPr>
            <w:tcW w:w="1051" w:type="dxa"/>
            <w:tcBorders>
              <w:bottom w:val="single" w:color="auto" w:sz="4" w:space="0"/>
              <w:insideH w:val="single" w:sz="4" w:space="0"/>
            </w:tcBorders>
            <w:noWrap/>
            <w:vAlign w:val="center"/>
          </w:tcPr>
          <w:p w14:paraId="26DC3AFC">
            <w:pPr>
              <w:pStyle w:val="149"/>
              <w:rPr>
                <w:sz w:val="13"/>
                <w:szCs w:val="13"/>
              </w:rPr>
            </w:pPr>
            <w:r>
              <w:rPr>
                <w:sz w:val="13"/>
                <w:szCs w:val="13"/>
              </w:rPr>
              <w:t>水土保持设施竣工验收情况</w:t>
            </w:r>
          </w:p>
        </w:tc>
      </w:tr>
      <w:tr w14:paraId="009D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44FC5758">
            <w:pPr>
              <w:pStyle w:val="149"/>
              <w:rPr>
                <w:sz w:val="13"/>
                <w:szCs w:val="13"/>
              </w:rPr>
            </w:pPr>
            <w:r>
              <w:rPr>
                <w:sz w:val="13"/>
                <w:szCs w:val="13"/>
              </w:rPr>
              <w:t>1</w:t>
            </w:r>
          </w:p>
        </w:tc>
        <w:tc>
          <w:tcPr>
            <w:tcW w:w="1317" w:type="dxa"/>
            <w:noWrap/>
            <w:vAlign w:val="center"/>
          </w:tcPr>
          <w:p w14:paraId="18D0F1FC">
            <w:pPr>
              <w:pStyle w:val="149"/>
              <w:rPr>
                <w:sz w:val="13"/>
                <w:szCs w:val="13"/>
              </w:rPr>
            </w:pPr>
            <w:r>
              <w:rPr>
                <w:sz w:val="13"/>
                <w:szCs w:val="13"/>
              </w:rPr>
              <w:t>包头市新恒丰能源有限公司</w:t>
            </w:r>
          </w:p>
        </w:tc>
        <w:tc>
          <w:tcPr>
            <w:tcW w:w="2226" w:type="dxa"/>
            <w:noWrap/>
            <w:vAlign w:val="center"/>
          </w:tcPr>
          <w:p w14:paraId="4CBC04AE">
            <w:pPr>
              <w:pStyle w:val="149"/>
              <w:rPr>
                <w:sz w:val="13"/>
                <w:szCs w:val="13"/>
              </w:rPr>
            </w:pPr>
            <w:r>
              <w:rPr>
                <w:sz w:val="13"/>
                <w:szCs w:val="13"/>
              </w:rPr>
              <w:t>包头市新恒丰能源有限公司年产50万吨轻金属材料加工项目</w:t>
            </w:r>
          </w:p>
        </w:tc>
        <w:tc>
          <w:tcPr>
            <w:tcW w:w="1418" w:type="dxa"/>
            <w:noWrap/>
            <w:vAlign w:val="center"/>
          </w:tcPr>
          <w:p w14:paraId="5E7EBBB1">
            <w:pPr>
              <w:pStyle w:val="149"/>
              <w:rPr>
                <w:sz w:val="13"/>
                <w:szCs w:val="13"/>
              </w:rPr>
            </w:pPr>
            <w:r>
              <w:rPr>
                <w:sz w:val="13"/>
                <w:szCs w:val="13"/>
              </w:rPr>
              <w:t>包发改产业函［2016］1号文</w:t>
            </w:r>
          </w:p>
        </w:tc>
        <w:tc>
          <w:tcPr>
            <w:tcW w:w="709" w:type="dxa"/>
            <w:noWrap/>
            <w:vAlign w:val="center"/>
          </w:tcPr>
          <w:p w14:paraId="0D15C316">
            <w:pPr>
              <w:pStyle w:val="149"/>
              <w:rPr>
                <w:sz w:val="13"/>
                <w:szCs w:val="13"/>
              </w:rPr>
            </w:pPr>
            <w:r>
              <w:rPr>
                <w:sz w:val="13"/>
                <w:szCs w:val="13"/>
              </w:rPr>
              <w:t>52.23</w:t>
            </w:r>
          </w:p>
        </w:tc>
        <w:tc>
          <w:tcPr>
            <w:tcW w:w="803" w:type="dxa"/>
            <w:noWrap/>
            <w:vAlign w:val="center"/>
          </w:tcPr>
          <w:p w14:paraId="07D26390">
            <w:pPr>
              <w:pStyle w:val="149"/>
              <w:rPr>
                <w:sz w:val="13"/>
                <w:szCs w:val="13"/>
              </w:rPr>
            </w:pPr>
            <w:r>
              <w:rPr>
                <w:sz w:val="13"/>
                <w:szCs w:val="13"/>
              </w:rPr>
              <w:t>2017-2019</w:t>
            </w:r>
          </w:p>
        </w:tc>
        <w:tc>
          <w:tcPr>
            <w:tcW w:w="614" w:type="dxa"/>
            <w:gridSpan w:val="2"/>
            <w:noWrap/>
            <w:vAlign w:val="center"/>
          </w:tcPr>
          <w:p w14:paraId="6036A46A">
            <w:pPr>
              <w:pStyle w:val="149"/>
              <w:rPr>
                <w:sz w:val="13"/>
                <w:szCs w:val="13"/>
              </w:rPr>
            </w:pPr>
            <w:r>
              <w:rPr>
                <w:sz w:val="13"/>
                <w:szCs w:val="13"/>
              </w:rPr>
              <w:t>建成</w:t>
            </w:r>
          </w:p>
        </w:tc>
        <w:tc>
          <w:tcPr>
            <w:tcW w:w="567" w:type="dxa"/>
            <w:gridSpan w:val="2"/>
            <w:noWrap/>
            <w:vAlign w:val="center"/>
          </w:tcPr>
          <w:p w14:paraId="66F0EFC6">
            <w:pPr>
              <w:pStyle w:val="149"/>
              <w:rPr>
                <w:sz w:val="13"/>
                <w:szCs w:val="13"/>
              </w:rPr>
            </w:pPr>
            <w:r>
              <w:rPr>
                <w:sz w:val="13"/>
                <w:szCs w:val="13"/>
              </w:rPr>
              <w:t>生产</w:t>
            </w:r>
          </w:p>
        </w:tc>
        <w:tc>
          <w:tcPr>
            <w:tcW w:w="992" w:type="dxa"/>
            <w:gridSpan w:val="2"/>
            <w:noWrap/>
            <w:vAlign w:val="center"/>
          </w:tcPr>
          <w:p w14:paraId="14DAD2C3">
            <w:pPr>
              <w:pStyle w:val="149"/>
              <w:rPr>
                <w:sz w:val="13"/>
                <w:szCs w:val="13"/>
              </w:rPr>
            </w:pPr>
            <w:r>
              <w:rPr>
                <w:sz w:val="13"/>
                <w:szCs w:val="13"/>
              </w:rPr>
              <w:t>已编制方案</w:t>
            </w:r>
          </w:p>
        </w:tc>
        <w:tc>
          <w:tcPr>
            <w:tcW w:w="1701" w:type="dxa"/>
            <w:gridSpan w:val="2"/>
            <w:noWrap/>
            <w:vAlign w:val="center"/>
          </w:tcPr>
          <w:p w14:paraId="449CDE95">
            <w:pPr>
              <w:pStyle w:val="149"/>
              <w:rPr>
                <w:sz w:val="13"/>
                <w:szCs w:val="13"/>
              </w:rPr>
            </w:pPr>
            <w:r>
              <w:rPr>
                <w:sz w:val="13"/>
                <w:szCs w:val="13"/>
              </w:rPr>
              <w:t>包水函[2017]94 号文</w:t>
            </w:r>
          </w:p>
        </w:tc>
        <w:tc>
          <w:tcPr>
            <w:tcW w:w="844" w:type="dxa"/>
            <w:noWrap/>
            <w:vAlign w:val="center"/>
          </w:tcPr>
          <w:p w14:paraId="1973C315">
            <w:pPr>
              <w:pStyle w:val="149"/>
              <w:rPr>
                <w:sz w:val="13"/>
                <w:szCs w:val="13"/>
              </w:rPr>
            </w:pPr>
            <w:r>
              <w:rPr>
                <w:sz w:val="13"/>
                <w:szCs w:val="13"/>
              </w:rPr>
              <w:t>14.25</w:t>
            </w:r>
          </w:p>
        </w:tc>
        <w:tc>
          <w:tcPr>
            <w:tcW w:w="844" w:type="dxa"/>
            <w:gridSpan w:val="2"/>
            <w:noWrap/>
            <w:vAlign w:val="center"/>
          </w:tcPr>
          <w:p w14:paraId="1600288E">
            <w:pPr>
              <w:pStyle w:val="149"/>
              <w:rPr>
                <w:sz w:val="13"/>
                <w:szCs w:val="13"/>
              </w:rPr>
            </w:pPr>
            <w:r>
              <w:rPr>
                <w:sz w:val="13"/>
                <w:szCs w:val="13"/>
              </w:rPr>
              <w:t>14.25</w:t>
            </w:r>
          </w:p>
        </w:tc>
        <w:tc>
          <w:tcPr>
            <w:tcW w:w="892" w:type="dxa"/>
            <w:gridSpan w:val="2"/>
            <w:vAlign w:val="center"/>
          </w:tcPr>
          <w:p w14:paraId="3EA46DD6">
            <w:pPr>
              <w:pStyle w:val="149"/>
              <w:rPr>
                <w:sz w:val="13"/>
                <w:szCs w:val="13"/>
              </w:rPr>
            </w:pPr>
            <w:r>
              <w:rPr>
                <w:sz w:val="13"/>
                <w:szCs w:val="13"/>
              </w:rPr>
              <w:t>10.52</w:t>
            </w:r>
          </w:p>
        </w:tc>
        <w:tc>
          <w:tcPr>
            <w:tcW w:w="1527" w:type="dxa"/>
            <w:noWrap/>
            <w:vAlign w:val="center"/>
          </w:tcPr>
          <w:p w14:paraId="12434404">
            <w:pPr>
              <w:pStyle w:val="149"/>
              <w:rPr>
                <w:sz w:val="13"/>
                <w:szCs w:val="13"/>
              </w:rPr>
            </w:pPr>
            <w:r>
              <w:rPr>
                <w:sz w:val="13"/>
                <w:szCs w:val="13"/>
              </w:rPr>
              <w:t>铺砌透水砖、排水暗管、碎石压盖、土地整治、空地绿化、密目网苫盖</w:t>
            </w:r>
          </w:p>
        </w:tc>
        <w:tc>
          <w:tcPr>
            <w:tcW w:w="1051" w:type="dxa"/>
            <w:noWrap/>
            <w:vAlign w:val="center"/>
          </w:tcPr>
          <w:p w14:paraId="5A05AD7C">
            <w:pPr>
              <w:pStyle w:val="149"/>
              <w:rPr>
                <w:sz w:val="13"/>
                <w:szCs w:val="13"/>
              </w:rPr>
            </w:pPr>
            <w:r>
              <w:rPr>
                <w:sz w:val="13"/>
                <w:szCs w:val="13"/>
              </w:rPr>
              <w:t>完成</w:t>
            </w:r>
          </w:p>
        </w:tc>
      </w:tr>
      <w:tr w14:paraId="4EDD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05FB40A4">
            <w:pPr>
              <w:pStyle w:val="149"/>
              <w:rPr>
                <w:sz w:val="13"/>
                <w:szCs w:val="13"/>
              </w:rPr>
            </w:pPr>
            <w:r>
              <w:rPr>
                <w:sz w:val="13"/>
                <w:szCs w:val="13"/>
              </w:rPr>
              <w:t>2</w:t>
            </w:r>
          </w:p>
        </w:tc>
        <w:tc>
          <w:tcPr>
            <w:tcW w:w="1317" w:type="dxa"/>
            <w:noWrap/>
            <w:vAlign w:val="center"/>
          </w:tcPr>
          <w:p w14:paraId="2CA4E9A5">
            <w:pPr>
              <w:pStyle w:val="149"/>
              <w:rPr>
                <w:sz w:val="13"/>
                <w:szCs w:val="13"/>
              </w:rPr>
            </w:pPr>
            <w:r>
              <w:rPr>
                <w:sz w:val="13"/>
                <w:szCs w:val="13"/>
              </w:rPr>
              <w:t>固阳义正诚碳素有限公司</w:t>
            </w:r>
          </w:p>
        </w:tc>
        <w:tc>
          <w:tcPr>
            <w:tcW w:w="2226" w:type="dxa"/>
            <w:noWrap/>
            <w:vAlign w:val="center"/>
          </w:tcPr>
          <w:p w14:paraId="3C677AB8">
            <w:pPr>
              <w:pStyle w:val="149"/>
              <w:rPr>
                <w:sz w:val="13"/>
                <w:szCs w:val="13"/>
              </w:rPr>
            </w:pPr>
            <w:r>
              <w:rPr>
                <w:sz w:val="13"/>
                <w:szCs w:val="13"/>
              </w:rPr>
              <w:t>固阳义正诚碳素有限公司25万吨/年碳素项目</w:t>
            </w:r>
          </w:p>
        </w:tc>
        <w:tc>
          <w:tcPr>
            <w:tcW w:w="1418" w:type="dxa"/>
            <w:noWrap/>
            <w:vAlign w:val="center"/>
          </w:tcPr>
          <w:p w14:paraId="4D481B51">
            <w:pPr>
              <w:pStyle w:val="149"/>
              <w:rPr>
                <w:sz w:val="13"/>
                <w:szCs w:val="13"/>
              </w:rPr>
            </w:pPr>
            <w:r>
              <w:rPr>
                <w:sz w:val="13"/>
                <w:szCs w:val="13"/>
              </w:rPr>
              <w:t>固经信审批发【2017】15号</w:t>
            </w:r>
          </w:p>
        </w:tc>
        <w:tc>
          <w:tcPr>
            <w:tcW w:w="709" w:type="dxa"/>
            <w:noWrap/>
            <w:vAlign w:val="center"/>
          </w:tcPr>
          <w:p w14:paraId="21B21F69">
            <w:pPr>
              <w:pStyle w:val="149"/>
              <w:rPr>
                <w:sz w:val="13"/>
                <w:szCs w:val="13"/>
              </w:rPr>
            </w:pPr>
            <w:r>
              <w:rPr>
                <w:sz w:val="13"/>
                <w:szCs w:val="13"/>
              </w:rPr>
              <w:t>18.27</w:t>
            </w:r>
          </w:p>
        </w:tc>
        <w:tc>
          <w:tcPr>
            <w:tcW w:w="803" w:type="dxa"/>
            <w:noWrap/>
            <w:vAlign w:val="center"/>
          </w:tcPr>
          <w:p w14:paraId="62AFB012">
            <w:pPr>
              <w:pStyle w:val="149"/>
              <w:rPr>
                <w:sz w:val="13"/>
                <w:szCs w:val="13"/>
              </w:rPr>
            </w:pPr>
            <w:r>
              <w:rPr>
                <w:sz w:val="13"/>
                <w:szCs w:val="13"/>
              </w:rPr>
              <w:t>2017-2019</w:t>
            </w:r>
          </w:p>
        </w:tc>
        <w:tc>
          <w:tcPr>
            <w:tcW w:w="614" w:type="dxa"/>
            <w:gridSpan w:val="2"/>
            <w:noWrap/>
            <w:vAlign w:val="center"/>
          </w:tcPr>
          <w:p w14:paraId="650D4621">
            <w:pPr>
              <w:pStyle w:val="149"/>
              <w:rPr>
                <w:sz w:val="13"/>
                <w:szCs w:val="13"/>
              </w:rPr>
            </w:pPr>
            <w:r>
              <w:rPr>
                <w:sz w:val="13"/>
                <w:szCs w:val="13"/>
              </w:rPr>
              <w:t>建成</w:t>
            </w:r>
          </w:p>
        </w:tc>
        <w:tc>
          <w:tcPr>
            <w:tcW w:w="567" w:type="dxa"/>
            <w:gridSpan w:val="2"/>
            <w:noWrap/>
            <w:vAlign w:val="center"/>
          </w:tcPr>
          <w:p w14:paraId="263A9916">
            <w:pPr>
              <w:pStyle w:val="149"/>
              <w:rPr>
                <w:sz w:val="13"/>
                <w:szCs w:val="13"/>
              </w:rPr>
            </w:pPr>
            <w:r>
              <w:rPr>
                <w:sz w:val="13"/>
                <w:szCs w:val="13"/>
              </w:rPr>
              <w:t>生产</w:t>
            </w:r>
          </w:p>
        </w:tc>
        <w:tc>
          <w:tcPr>
            <w:tcW w:w="992" w:type="dxa"/>
            <w:gridSpan w:val="2"/>
            <w:noWrap/>
            <w:vAlign w:val="center"/>
          </w:tcPr>
          <w:p w14:paraId="1EEECD4D">
            <w:pPr>
              <w:pStyle w:val="149"/>
              <w:rPr>
                <w:sz w:val="13"/>
                <w:szCs w:val="13"/>
              </w:rPr>
            </w:pPr>
            <w:r>
              <w:rPr>
                <w:sz w:val="13"/>
                <w:szCs w:val="13"/>
              </w:rPr>
              <w:t>已编制方案</w:t>
            </w:r>
          </w:p>
        </w:tc>
        <w:tc>
          <w:tcPr>
            <w:tcW w:w="1701" w:type="dxa"/>
            <w:gridSpan w:val="2"/>
            <w:noWrap/>
            <w:vAlign w:val="center"/>
          </w:tcPr>
          <w:p w14:paraId="7883EA29">
            <w:pPr>
              <w:pStyle w:val="149"/>
              <w:rPr>
                <w:sz w:val="13"/>
                <w:szCs w:val="13"/>
              </w:rPr>
            </w:pPr>
            <w:r>
              <w:rPr>
                <w:sz w:val="13"/>
                <w:szCs w:val="13"/>
              </w:rPr>
              <w:t>包水函[2017]95 号文</w:t>
            </w:r>
          </w:p>
        </w:tc>
        <w:tc>
          <w:tcPr>
            <w:tcW w:w="844" w:type="dxa"/>
            <w:noWrap/>
            <w:vAlign w:val="center"/>
          </w:tcPr>
          <w:p w14:paraId="1E6CEA65">
            <w:pPr>
              <w:pStyle w:val="149"/>
              <w:rPr>
                <w:sz w:val="13"/>
                <w:szCs w:val="13"/>
              </w:rPr>
            </w:pPr>
            <w:r>
              <w:rPr>
                <w:sz w:val="13"/>
                <w:szCs w:val="13"/>
              </w:rPr>
              <w:t>1.66</w:t>
            </w:r>
          </w:p>
        </w:tc>
        <w:tc>
          <w:tcPr>
            <w:tcW w:w="844" w:type="dxa"/>
            <w:gridSpan w:val="2"/>
            <w:noWrap/>
            <w:vAlign w:val="center"/>
          </w:tcPr>
          <w:p w14:paraId="5ECD3ADF">
            <w:pPr>
              <w:pStyle w:val="149"/>
              <w:rPr>
                <w:sz w:val="13"/>
                <w:szCs w:val="13"/>
              </w:rPr>
            </w:pPr>
            <w:r>
              <w:rPr>
                <w:sz w:val="13"/>
                <w:szCs w:val="13"/>
              </w:rPr>
              <w:t>1.66</w:t>
            </w:r>
          </w:p>
        </w:tc>
        <w:tc>
          <w:tcPr>
            <w:tcW w:w="892" w:type="dxa"/>
            <w:gridSpan w:val="2"/>
            <w:vAlign w:val="center"/>
          </w:tcPr>
          <w:p w14:paraId="7121EAD8">
            <w:pPr>
              <w:pStyle w:val="149"/>
              <w:rPr>
                <w:sz w:val="13"/>
                <w:szCs w:val="13"/>
              </w:rPr>
            </w:pPr>
            <w:r>
              <w:rPr>
                <w:sz w:val="13"/>
                <w:szCs w:val="13"/>
              </w:rPr>
              <w:t>3.74</w:t>
            </w:r>
          </w:p>
        </w:tc>
        <w:tc>
          <w:tcPr>
            <w:tcW w:w="1527" w:type="dxa"/>
            <w:noWrap/>
            <w:vAlign w:val="center"/>
          </w:tcPr>
          <w:p w14:paraId="492ED6CF">
            <w:pPr>
              <w:pStyle w:val="149"/>
              <w:rPr>
                <w:sz w:val="13"/>
                <w:szCs w:val="13"/>
              </w:rPr>
            </w:pPr>
            <w:r>
              <w:rPr>
                <w:sz w:val="13"/>
                <w:szCs w:val="13"/>
              </w:rPr>
              <w:t>铺砌透水砖、排水暗管、碎石压盖、土地整治、空地绿化、密目网苫盖</w:t>
            </w:r>
          </w:p>
        </w:tc>
        <w:tc>
          <w:tcPr>
            <w:tcW w:w="1051" w:type="dxa"/>
            <w:noWrap/>
            <w:vAlign w:val="center"/>
          </w:tcPr>
          <w:p w14:paraId="5AEA4342">
            <w:pPr>
              <w:pStyle w:val="149"/>
              <w:rPr>
                <w:sz w:val="13"/>
                <w:szCs w:val="13"/>
              </w:rPr>
            </w:pPr>
            <w:r>
              <w:rPr>
                <w:sz w:val="13"/>
                <w:szCs w:val="13"/>
              </w:rPr>
              <w:t>完成</w:t>
            </w:r>
          </w:p>
        </w:tc>
      </w:tr>
      <w:tr w14:paraId="2C302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08D25DC0">
            <w:pPr>
              <w:pStyle w:val="149"/>
              <w:rPr>
                <w:sz w:val="13"/>
                <w:szCs w:val="13"/>
              </w:rPr>
            </w:pPr>
            <w:r>
              <w:rPr>
                <w:sz w:val="13"/>
                <w:szCs w:val="13"/>
              </w:rPr>
              <w:t>3</w:t>
            </w:r>
          </w:p>
        </w:tc>
        <w:tc>
          <w:tcPr>
            <w:tcW w:w="1317" w:type="dxa"/>
            <w:noWrap/>
            <w:vAlign w:val="center"/>
          </w:tcPr>
          <w:p w14:paraId="7E26415B">
            <w:pPr>
              <w:pStyle w:val="149"/>
              <w:rPr>
                <w:sz w:val="13"/>
                <w:szCs w:val="13"/>
              </w:rPr>
            </w:pPr>
            <w:r>
              <w:rPr>
                <w:sz w:val="13"/>
                <w:szCs w:val="13"/>
              </w:rPr>
              <w:t>包头市新恒丰能源有限公司</w:t>
            </w:r>
          </w:p>
        </w:tc>
        <w:tc>
          <w:tcPr>
            <w:tcW w:w="2226" w:type="dxa"/>
            <w:vAlign w:val="center"/>
          </w:tcPr>
          <w:p w14:paraId="2BDB7711">
            <w:pPr>
              <w:pStyle w:val="149"/>
              <w:rPr>
                <w:sz w:val="13"/>
                <w:szCs w:val="13"/>
              </w:rPr>
            </w:pPr>
            <w:r>
              <w:rPr>
                <w:sz w:val="13"/>
                <w:szCs w:val="13"/>
              </w:rPr>
              <w:t>包头市新恒丰能源有限公司铝厂供电工程</w:t>
            </w:r>
          </w:p>
        </w:tc>
        <w:tc>
          <w:tcPr>
            <w:tcW w:w="1418" w:type="dxa"/>
            <w:noWrap/>
            <w:vAlign w:val="center"/>
          </w:tcPr>
          <w:p w14:paraId="43EFBBA4">
            <w:pPr>
              <w:pStyle w:val="149"/>
              <w:rPr>
                <w:sz w:val="13"/>
                <w:szCs w:val="13"/>
              </w:rPr>
            </w:pPr>
            <w:r>
              <w:rPr>
                <w:sz w:val="13"/>
                <w:szCs w:val="13"/>
              </w:rPr>
              <w:t>固发改审批字【2018】17号</w:t>
            </w:r>
          </w:p>
        </w:tc>
        <w:tc>
          <w:tcPr>
            <w:tcW w:w="709" w:type="dxa"/>
            <w:vAlign w:val="center"/>
          </w:tcPr>
          <w:p w14:paraId="171E7C2B">
            <w:pPr>
              <w:pStyle w:val="149"/>
              <w:rPr>
                <w:sz w:val="13"/>
                <w:szCs w:val="13"/>
              </w:rPr>
            </w:pPr>
            <w:r>
              <w:rPr>
                <w:sz w:val="13"/>
                <w:szCs w:val="13"/>
              </w:rPr>
              <w:t>2.04</w:t>
            </w:r>
          </w:p>
        </w:tc>
        <w:tc>
          <w:tcPr>
            <w:tcW w:w="803" w:type="dxa"/>
            <w:noWrap/>
            <w:vAlign w:val="center"/>
          </w:tcPr>
          <w:p w14:paraId="5DD4614E">
            <w:pPr>
              <w:pStyle w:val="149"/>
              <w:rPr>
                <w:sz w:val="13"/>
                <w:szCs w:val="13"/>
              </w:rPr>
            </w:pPr>
            <w:r>
              <w:rPr>
                <w:sz w:val="13"/>
                <w:szCs w:val="13"/>
              </w:rPr>
              <w:t>2018-2018</w:t>
            </w:r>
          </w:p>
        </w:tc>
        <w:tc>
          <w:tcPr>
            <w:tcW w:w="614" w:type="dxa"/>
            <w:gridSpan w:val="2"/>
            <w:noWrap/>
            <w:vAlign w:val="center"/>
          </w:tcPr>
          <w:p w14:paraId="3DC2E594">
            <w:pPr>
              <w:pStyle w:val="149"/>
              <w:rPr>
                <w:sz w:val="13"/>
                <w:szCs w:val="13"/>
              </w:rPr>
            </w:pPr>
            <w:r>
              <w:rPr>
                <w:sz w:val="13"/>
                <w:szCs w:val="13"/>
              </w:rPr>
              <w:t>建成</w:t>
            </w:r>
          </w:p>
        </w:tc>
        <w:tc>
          <w:tcPr>
            <w:tcW w:w="567" w:type="dxa"/>
            <w:gridSpan w:val="2"/>
            <w:noWrap/>
            <w:vAlign w:val="center"/>
          </w:tcPr>
          <w:p w14:paraId="280DBFBE">
            <w:pPr>
              <w:pStyle w:val="149"/>
              <w:rPr>
                <w:sz w:val="13"/>
                <w:szCs w:val="13"/>
              </w:rPr>
            </w:pPr>
            <w:r>
              <w:rPr>
                <w:sz w:val="13"/>
                <w:szCs w:val="13"/>
              </w:rPr>
              <w:t>生产</w:t>
            </w:r>
          </w:p>
        </w:tc>
        <w:tc>
          <w:tcPr>
            <w:tcW w:w="992" w:type="dxa"/>
            <w:gridSpan w:val="2"/>
            <w:noWrap/>
            <w:vAlign w:val="center"/>
          </w:tcPr>
          <w:p w14:paraId="74521B11">
            <w:pPr>
              <w:pStyle w:val="149"/>
              <w:rPr>
                <w:sz w:val="13"/>
                <w:szCs w:val="13"/>
              </w:rPr>
            </w:pPr>
            <w:r>
              <w:rPr>
                <w:sz w:val="13"/>
                <w:szCs w:val="13"/>
              </w:rPr>
              <w:t>已编制方案</w:t>
            </w:r>
          </w:p>
        </w:tc>
        <w:tc>
          <w:tcPr>
            <w:tcW w:w="1701" w:type="dxa"/>
            <w:gridSpan w:val="2"/>
            <w:vAlign w:val="center"/>
          </w:tcPr>
          <w:p w14:paraId="58FD7CC1">
            <w:pPr>
              <w:pStyle w:val="149"/>
              <w:rPr>
                <w:sz w:val="13"/>
                <w:szCs w:val="13"/>
              </w:rPr>
            </w:pPr>
            <w:r>
              <w:rPr>
                <w:sz w:val="13"/>
                <w:szCs w:val="13"/>
              </w:rPr>
              <w:t>包水函[2018]50 号文</w:t>
            </w:r>
          </w:p>
        </w:tc>
        <w:tc>
          <w:tcPr>
            <w:tcW w:w="844" w:type="dxa"/>
            <w:vAlign w:val="center"/>
          </w:tcPr>
          <w:p w14:paraId="63B257F5">
            <w:pPr>
              <w:pStyle w:val="149"/>
              <w:rPr>
                <w:sz w:val="13"/>
                <w:szCs w:val="13"/>
              </w:rPr>
            </w:pPr>
            <w:r>
              <w:rPr>
                <w:sz w:val="13"/>
                <w:szCs w:val="13"/>
              </w:rPr>
              <w:t>0.89</w:t>
            </w:r>
          </w:p>
        </w:tc>
        <w:tc>
          <w:tcPr>
            <w:tcW w:w="844" w:type="dxa"/>
            <w:gridSpan w:val="2"/>
            <w:vAlign w:val="center"/>
          </w:tcPr>
          <w:p w14:paraId="4F80BBD8">
            <w:pPr>
              <w:pStyle w:val="149"/>
              <w:rPr>
                <w:sz w:val="13"/>
                <w:szCs w:val="13"/>
              </w:rPr>
            </w:pPr>
            <w:r>
              <w:rPr>
                <w:sz w:val="13"/>
                <w:szCs w:val="13"/>
              </w:rPr>
              <w:t>0.89</w:t>
            </w:r>
          </w:p>
        </w:tc>
        <w:tc>
          <w:tcPr>
            <w:tcW w:w="892" w:type="dxa"/>
            <w:gridSpan w:val="2"/>
            <w:vAlign w:val="center"/>
          </w:tcPr>
          <w:p w14:paraId="717DAC5F">
            <w:pPr>
              <w:pStyle w:val="149"/>
              <w:rPr>
                <w:sz w:val="13"/>
                <w:szCs w:val="13"/>
              </w:rPr>
            </w:pPr>
            <w:r>
              <w:rPr>
                <w:sz w:val="13"/>
                <w:szCs w:val="13"/>
              </w:rPr>
              <w:t>1.01</w:t>
            </w:r>
          </w:p>
        </w:tc>
        <w:tc>
          <w:tcPr>
            <w:tcW w:w="1527" w:type="dxa"/>
            <w:noWrap/>
            <w:vAlign w:val="center"/>
          </w:tcPr>
          <w:p w14:paraId="06E66B06">
            <w:pPr>
              <w:pStyle w:val="149"/>
              <w:rPr>
                <w:sz w:val="13"/>
                <w:szCs w:val="13"/>
              </w:rPr>
            </w:pPr>
            <w:r>
              <w:rPr>
                <w:sz w:val="13"/>
                <w:szCs w:val="13"/>
              </w:rPr>
              <w:t>土地整治、空地绿化</w:t>
            </w:r>
          </w:p>
        </w:tc>
        <w:tc>
          <w:tcPr>
            <w:tcW w:w="1051" w:type="dxa"/>
            <w:noWrap/>
            <w:vAlign w:val="center"/>
          </w:tcPr>
          <w:p w14:paraId="66E3F156">
            <w:pPr>
              <w:pStyle w:val="149"/>
              <w:rPr>
                <w:sz w:val="13"/>
                <w:szCs w:val="13"/>
              </w:rPr>
            </w:pPr>
            <w:r>
              <w:rPr>
                <w:sz w:val="13"/>
                <w:szCs w:val="13"/>
              </w:rPr>
              <w:t>完成</w:t>
            </w:r>
          </w:p>
        </w:tc>
      </w:tr>
      <w:tr w14:paraId="2F35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27B0C326">
            <w:pPr>
              <w:pStyle w:val="149"/>
              <w:rPr>
                <w:sz w:val="13"/>
                <w:szCs w:val="13"/>
              </w:rPr>
            </w:pPr>
            <w:r>
              <w:rPr>
                <w:sz w:val="13"/>
                <w:szCs w:val="13"/>
              </w:rPr>
              <w:t>4</w:t>
            </w:r>
          </w:p>
        </w:tc>
        <w:tc>
          <w:tcPr>
            <w:tcW w:w="1317" w:type="dxa"/>
            <w:noWrap/>
            <w:vAlign w:val="center"/>
          </w:tcPr>
          <w:p w14:paraId="30EEFBD7">
            <w:pPr>
              <w:pStyle w:val="149"/>
              <w:rPr>
                <w:sz w:val="13"/>
                <w:szCs w:val="13"/>
              </w:rPr>
            </w:pPr>
            <w:r>
              <w:rPr>
                <w:sz w:val="13"/>
                <w:szCs w:val="13"/>
              </w:rPr>
              <w:t>包钢集团固阳矿山有限公司</w:t>
            </w:r>
          </w:p>
        </w:tc>
        <w:tc>
          <w:tcPr>
            <w:tcW w:w="2226" w:type="dxa"/>
            <w:noWrap/>
            <w:vAlign w:val="center"/>
          </w:tcPr>
          <w:p w14:paraId="56298312">
            <w:pPr>
              <w:pStyle w:val="149"/>
              <w:rPr>
                <w:sz w:val="13"/>
                <w:szCs w:val="13"/>
              </w:rPr>
            </w:pPr>
            <w:r>
              <w:rPr>
                <w:sz w:val="13"/>
                <w:szCs w:val="13"/>
              </w:rPr>
              <w:t>包钢集团固阳矿山有限公司240万吨/年链回环球团项目</w:t>
            </w:r>
          </w:p>
        </w:tc>
        <w:tc>
          <w:tcPr>
            <w:tcW w:w="1418" w:type="dxa"/>
            <w:noWrap/>
            <w:vAlign w:val="center"/>
          </w:tcPr>
          <w:p w14:paraId="10138C3C">
            <w:pPr>
              <w:pStyle w:val="149"/>
              <w:rPr>
                <w:sz w:val="13"/>
                <w:szCs w:val="13"/>
              </w:rPr>
            </w:pPr>
            <w:r>
              <w:rPr>
                <w:sz w:val="13"/>
                <w:szCs w:val="13"/>
              </w:rPr>
              <w:t>内发改产业字【2012】706号</w:t>
            </w:r>
          </w:p>
        </w:tc>
        <w:tc>
          <w:tcPr>
            <w:tcW w:w="709" w:type="dxa"/>
            <w:noWrap/>
            <w:vAlign w:val="center"/>
          </w:tcPr>
          <w:p w14:paraId="416A5D1B">
            <w:pPr>
              <w:pStyle w:val="149"/>
              <w:rPr>
                <w:sz w:val="13"/>
                <w:szCs w:val="13"/>
              </w:rPr>
            </w:pPr>
            <w:r>
              <w:rPr>
                <w:sz w:val="13"/>
                <w:szCs w:val="13"/>
              </w:rPr>
              <w:t>37.99</w:t>
            </w:r>
          </w:p>
        </w:tc>
        <w:tc>
          <w:tcPr>
            <w:tcW w:w="803" w:type="dxa"/>
            <w:noWrap/>
            <w:vAlign w:val="center"/>
          </w:tcPr>
          <w:p w14:paraId="7C7DD248">
            <w:pPr>
              <w:pStyle w:val="149"/>
              <w:rPr>
                <w:sz w:val="13"/>
                <w:szCs w:val="13"/>
              </w:rPr>
            </w:pPr>
            <w:r>
              <w:rPr>
                <w:sz w:val="13"/>
                <w:szCs w:val="13"/>
              </w:rPr>
              <w:t>2011-2012</w:t>
            </w:r>
          </w:p>
        </w:tc>
        <w:tc>
          <w:tcPr>
            <w:tcW w:w="614" w:type="dxa"/>
            <w:gridSpan w:val="2"/>
            <w:noWrap/>
            <w:vAlign w:val="center"/>
          </w:tcPr>
          <w:p w14:paraId="6B8EABA2">
            <w:pPr>
              <w:pStyle w:val="149"/>
              <w:rPr>
                <w:sz w:val="13"/>
                <w:szCs w:val="13"/>
              </w:rPr>
            </w:pPr>
            <w:r>
              <w:rPr>
                <w:sz w:val="13"/>
                <w:szCs w:val="13"/>
              </w:rPr>
              <w:t>建成</w:t>
            </w:r>
          </w:p>
        </w:tc>
        <w:tc>
          <w:tcPr>
            <w:tcW w:w="567" w:type="dxa"/>
            <w:gridSpan w:val="2"/>
            <w:noWrap/>
            <w:vAlign w:val="center"/>
          </w:tcPr>
          <w:p w14:paraId="0B5A55A3">
            <w:pPr>
              <w:pStyle w:val="149"/>
              <w:rPr>
                <w:sz w:val="13"/>
                <w:szCs w:val="13"/>
              </w:rPr>
            </w:pPr>
            <w:r>
              <w:rPr>
                <w:sz w:val="13"/>
                <w:szCs w:val="13"/>
              </w:rPr>
              <w:t>生产</w:t>
            </w:r>
          </w:p>
        </w:tc>
        <w:tc>
          <w:tcPr>
            <w:tcW w:w="992" w:type="dxa"/>
            <w:gridSpan w:val="2"/>
            <w:noWrap/>
            <w:vAlign w:val="center"/>
          </w:tcPr>
          <w:p w14:paraId="3245E595">
            <w:pPr>
              <w:pStyle w:val="149"/>
              <w:rPr>
                <w:sz w:val="13"/>
                <w:szCs w:val="13"/>
              </w:rPr>
            </w:pPr>
            <w:r>
              <w:rPr>
                <w:sz w:val="13"/>
                <w:szCs w:val="13"/>
              </w:rPr>
              <w:t>已编制方案</w:t>
            </w:r>
          </w:p>
        </w:tc>
        <w:tc>
          <w:tcPr>
            <w:tcW w:w="1701" w:type="dxa"/>
            <w:gridSpan w:val="2"/>
            <w:noWrap/>
            <w:vAlign w:val="center"/>
          </w:tcPr>
          <w:p w14:paraId="273840E9">
            <w:pPr>
              <w:pStyle w:val="149"/>
              <w:rPr>
                <w:sz w:val="13"/>
                <w:szCs w:val="13"/>
              </w:rPr>
            </w:pPr>
            <w:r>
              <w:rPr>
                <w:sz w:val="13"/>
                <w:szCs w:val="13"/>
              </w:rPr>
              <w:t>内水保[2013]198 号</w:t>
            </w:r>
          </w:p>
        </w:tc>
        <w:tc>
          <w:tcPr>
            <w:tcW w:w="844" w:type="dxa"/>
            <w:noWrap/>
            <w:vAlign w:val="center"/>
          </w:tcPr>
          <w:p w14:paraId="02F91A1F">
            <w:pPr>
              <w:pStyle w:val="149"/>
              <w:rPr>
                <w:sz w:val="13"/>
                <w:szCs w:val="13"/>
              </w:rPr>
            </w:pPr>
            <w:r>
              <w:rPr>
                <w:sz w:val="13"/>
                <w:szCs w:val="13"/>
              </w:rPr>
              <w:t>8.3</w:t>
            </w:r>
          </w:p>
        </w:tc>
        <w:tc>
          <w:tcPr>
            <w:tcW w:w="844" w:type="dxa"/>
            <w:gridSpan w:val="2"/>
            <w:noWrap/>
            <w:vAlign w:val="center"/>
          </w:tcPr>
          <w:p w14:paraId="2EA9BCCB">
            <w:pPr>
              <w:pStyle w:val="149"/>
              <w:rPr>
                <w:sz w:val="13"/>
                <w:szCs w:val="13"/>
              </w:rPr>
            </w:pPr>
            <w:r>
              <w:rPr>
                <w:sz w:val="13"/>
                <w:szCs w:val="13"/>
              </w:rPr>
              <w:t>8.3</w:t>
            </w:r>
          </w:p>
        </w:tc>
        <w:tc>
          <w:tcPr>
            <w:tcW w:w="892" w:type="dxa"/>
            <w:gridSpan w:val="2"/>
            <w:vAlign w:val="center"/>
          </w:tcPr>
          <w:p w14:paraId="6D691593">
            <w:pPr>
              <w:pStyle w:val="149"/>
              <w:rPr>
                <w:sz w:val="13"/>
                <w:szCs w:val="13"/>
              </w:rPr>
            </w:pPr>
            <w:r>
              <w:rPr>
                <w:sz w:val="13"/>
                <w:szCs w:val="13"/>
              </w:rPr>
              <w:t>7.88</w:t>
            </w:r>
          </w:p>
        </w:tc>
        <w:tc>
          <w:tcPr>
            <w:tcW w:w="1527" w:type="dxa"/>
            <w:noWrap/>
            <w:vAlign w:val="center"/>
          </w:tcPr>
          <w:p w14:paraId="66474871">
            <w:pPr>
              <w:pStyle w:val="149"/>
              <w:rPr>
                <w:sz w:val="13"/>
                <w:szCs w:val="13"/>
              </w:rPr>
            </w:pPr>
            <w:r>
              <w:rPr>
                <w:sz w:val="13"/>
                <w:szCs w:val="13"/>
              </w:rPr>
              <w:t>铺砌透水砖、排水暗管、土地整治、空地绿化、密目网苫盖</w:t>
            </w:r>
          </w:p>
        </w:tc>
        <w:tc>
          <w:tcPr>
            <w:tcW w:w="1051" w:type="dxa"/>
            <w:noWrap/>
            <w:vAlign w:val="center"/>
          </w:tcPr>
          <w:p w14:paraId="34A1F80A">
            <w:pPr>
              <w:pStyle w:val="149"/>
              <w:rPr>
                <w:sz w:val="13"/>
                <w:szCs w:val="13"/>
              </w:rPr>
            </w:pPr>
            <w:r>
              <w:rPr>
                <w:sz w:val="13"/>
                <w:szCs w:val="13"/>
              </w:rPr>
              <w:t>完成</w:t>
            </w:r>
          </w:p>
        </w:tc>
      </w:tr>
      <w:tr w14:paraId="7E8E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25DBDA84">
            <w:pPr>
              <w:pStyle w:val="149"/>
              <w:rPr>
                <w:sz w:val="13"/>
                <w:szCs w:val="13"/>
              </w:rPr>
            </w:pPr>
            <w:r>
              <w:rPr>
                <w:sz w:val="13"/>
                <w:szCs w:val="13"/>
              </w:rPr>
              <w:t>5</w:t>
            </w:r>
          </w:p>
        </w:tc>
        <w:tc>
          <w:tcPr>
            <w:tcW w:w="1317" w:type="dxa"/>
            <w:noWrap/>
            <w:vAlign w:val="center"/>
          </w:tcPr>
          <w:p w14:paraId="20AE37EF">
            <w:pPr>
              <w:pStyle w:val="149"/>
              <w:rPr>
                <w:sz w:val="13"/>
                <w:szCs w:val="13"/>
              </w:rPr>
            </w:pPr>
            <w:r>
              <w:rPr>
                <w:sz w:val="13"/>
                <w:szCs w:val="13"/>
              </w:rPr>
              <w:t>内蒙古奥原新材料有限公司</w:t>
            </w:r>
          </w:p>
        </w:tc>
        <w:tc>
          <w:tcPr>
            <w:tcW w:w="2226" w:type="dxa"/>
            <w:noWrap/>
            <w:vAlign w:val="center"/>
          </w:tcPr>
          <w:p w14:paraId="6BA70762">
            <w:pPr>
              <w:pStyle w:val="149"/>
              <w:rPr>
                <w:sz w:val="13"/>
                <w:szCs w:val="13"/>
              </w:rPr>
            </w:pPr>
            <w:r>
              <w:rPr>
                <w:sz w:val="13"/>
                <w:szCs w:val="13"/>
              </w:rPr>
              <w:t>内蒙古奥原新材料有限公司10000吨/年锂离子电池负极材料项目</w:t>
            </w:r>
          </w:p>
        </w:tc>
        <w:tc>
          <w:tcPr>
            <w:tcW w:w="1418" w:type="dxa"/>
            <w:noWrap/>
            <w:vAlign w:val="center"/>
          </w:tcPr>
          <w:p w14:paraId="28DCAE4C">
            <w:pPr>
              <w:pStyle w:val="149"/>
              <w:rPr>
                <w:sz w:val="13"/>
                <w:szCs w:val="13"/>
              </w:rPr>
            </w:pPr>
            <w:r>
              <w:rPr>
                <w:sz w:val="13"/>
                <w:szCs w:val="13"/>
              </w:rPr>
              <w:t>项目编号：2018-150222-30-03-002241</w:t>
            </w:r>
          </w:p>
        </w:tc>
        <w:tc>
          <w:tcPr>
            <w:tcW w:w="709" w:type="dxa"/>
            <w:noWrap/>
            <w:vAlign w:val="center"/>
          </w:tcPr>
          <w:p w14:paraId="7ECB9533">
            <w:pPr>
              <w:pStyle w:val="149"/>
              <w:rPr>
                <w:sz w:val="13"/>
                <w:szCs w:val="13"/>
              </w:rPr>
            </w:pPr>
            <w:r>
              <w:rPr>
                <w:sz w:val="13"/>
                <w:szCs w:val="13"/>
              </w:rPr>
              <w:t>5.45</w:t>
            </w:r>
          </w:p>
        </w:tc>
        <w:tc>
          <w:tcPr>
            <w:tcW w:w="803" w:type="dxa"/>
            <w:noWrap/>
            <w:vAlign w:val="center"/>
          </w:tcPr>
          <w:p w14:paraId="6E17777C">
            <w:pPr>
              <w:pStyle w:val="149"/>
              <w:rPr>
                <w:sz w:val="13"/>
                <w:szCs w:val="13"/>
              </w:rPr>
            </w:pPr>
            <w:r>
              <w:rPr>
                <w:sz w:val="13"/>
                <w:szCs w:val="13"/>
              </w:rPr>
              <w:t>2018-2022</w:t>
            </w:r>
          </w:p>
        </w:tc>
        <w:tc>
          <w:tcPr>
            <w:tcW w:w="614" w:type="dxa"/>
            <w:gridSpan w:val="2"/>
            <w:noWrap/>
            <w:vAlign w:val="center"/>
          </w:tcPr>
          <w:p w14:paraId="4328CFCF">
            <w:pPr>
              <w:pStyle w:val="149"/>
              <w:rPr>
                <w:sz w:val="13"/>
                <w:szCs w:val="13"/>
              </w:rPr>
            </w:pPr>
            <w:r>
              <w:rPr>
                <w:sz w:val="13"/>
                <w:szCs w:val="13"/>
              </w:rPr>
              <w:t>续建</w:t>
            </w:r>
          </w:p>
        </w:tc>
        <w:tc>
          <w:tcPr>
            <w:tcW w:w="567" w:type="dxa"/>
            <w:gridSpan w:val="2"/>
            <w:noWrap/>
            <w:vAlign w:val="center"/>
          </w:tcPr>
          <w:p w14:paraId="6D3ECAE1">
            <w:pPr>
              <w:pStyle w:val="149"/>
              <w:rPr>
                <w:sz w:val="13"/>
                <w:szCs w:val="13"/>
              </w:rPr>
            </w:pPr>
            <w:r>
              <w:rPr>
                <w:sz w:val="13"/>
                <w:szCs w:val="13"/>
              </w:rPr>
              <w:t>生产</w:t>
            </w:r>
          </w:p>
        </w:tc>
        <w:tc>
          <w:tcPr>
            <w:tcW w:w="992" w:type="dxa"/>
            <w:gridSpan w:val="2"/>
            <w:noWrap/>
            <w:vAlign w:val="center"/>
          </w:tcPr>
          <w:p w14:paraId="39E85336">
            <w:pPr>
              <w:pStyle w:val="149"/>
              <w:rPr>
                <w:sz w:val="13"/>
                <w:szCs w:val="13"/>
              </w:rPr>
            </w:pPr>
            <w:r>
              <w:rPr>
                <w:sz w:val="13"/>
                <w:szCs w:val="13"/>
              </w:rPr>
              <w:t>已编制方案</w:t>
            </w:r>
          </w:p>
        </w:tc>
        <w:tc>
          <w:tcPr>
            <w:tcW w:w="1701" w:type="dxa"/>
            <w:gridSpan w:val="2"/>
            <w:noWrap/>
            <w:vAlign w:val="center"/>
          </w:tcPr>
          <w:p w14:paraId="4225BB5B">
            <w:pPr>
              <w:pStyle w:val="149"/>
              <w:rPr>
                <w:sz w:val="13"/>
                <w:szCs w:val="13"/>
              </w:rPr>
            </w:pPr>
            <w:r>
              <w:rPr>
                <w:sz w:val="13"/>
                <w:szCs w:val="13"/>
              </w:rPr>
              <w:t>固水保许可［2021］02 号</w:t>
            </w:r>
          </w:p>
        </w:tc>
        <w:tc>
          <w:tcPr>
            <w:tcW w:w="844" w:type="dxa"/>
            <w:noWrap/>
            <w:vAlign w:val="center"/>
          </w:tcPr>
          <w:p w14:paraId="736EC4B8">
            <w:pPr>
              <w:pStyle w:val="149"/>
              <w:rPr>
                <w:sz w:val="13"/>
                <w:szCs w:val="13"/>
              </w:rPr>
            </w:pPr>
            <w:r>
              <w:rPr>
                <w:sz w:val="13"/>
                <w:szCs w:val="13"/>
              </w:rPr>
              <w:t>2.09</w:t>
            </w:r>
          </w:p>
        </w:tc>
        <w:tc>
          <w:tcPr>
            <w:tcW w:w="844" w:type="dxa"/>
            <w:gridSpan w:val="2"/>
            <w:noWrap/>
            <w:vAlign w:val="center"/>
          </w:tcPr>
          <w:p w14:paraId="439B7C4D">
            <w:pPr>
              <w:pStyle w:val="149"/>
              <w:rPr>
                <w:sz w:val="13"/>
                <w:szCs w:val="13"/>
              </w:rPr>
            </w:pPr>
            <w:r>
              <w:rPr>
                <w:sz w:val="13"/>
                <w:szCs w:val="13"/>
              </w:rPr>
              <w:t>2.09</w:t>
            </w:r>
          </w:p>
        </w:tc>
        <w:tc>
          <w:tcPr>
            <w:tcW w:w="892" w:type="dxa"/>
            <w:gridSpan w:val="2"/>
            <w:vAlign w:val="center"/>
          </w:tcPr>
          <w:p w14:paraId="07D51EAA">
            <w:pPr>
              <w:pStyle w:val="149"/>
              <w:rPr>
                <w:sz w:val="13"/>
                <w:szCs w:val="13"/>
              </w:rPr>
            </w:pPr>
            <w:r>
              <w:rPr>
                <w:sz w:val="13"/>
                <w:szCs w:val="13"/>
              </w:rPr>
              <w:t>0.82</w:t>
            </w:r>
          </w:p>
        </w:tc>
        <w:tc>
          <w:tcPr>
            <w:tcW w:w="1527" w:type="dxa"/>
            <w:noWrap/>
            <w:vAlign w:val="center"/>
          </w:tcPr>
          <w:p w14:paraId="1AFF170E">
            <w:pPr>
              <w:pStyle w:val="149"/>
              <w:rPr>
                <w:sz w:val="13"/>
                <w:szCs w:val="13"/>
              </w:rPr>
            </w:pPr>
            <w:r>
              <w:rPr>
                <w:sz w:val="13"/>
                <w:szCs w:val="13"/>
              </w:rPr>
              <w:t>表土剥离、排水暗管、土地整治、空地绿化、密目网苫盖</w:t>
            </w:r>
          </w:p>
        </w:tc>
        <w:tc>
          <w:tcPr>
            <w:tcW w:w="1051" w:type="dxa"/>
            <w:noWrap/>
            <w:vAlign w:val="center"/>
          </w:tcPr>
          <w:p w14:paraId="62FAEA55">
            <w:pPr>
              <w:pStyle w:val="149"/>
              <w:rPr>
                <w:sz w:val="13"/>
                <w:szCs w:val="13"/>
              </w:rPr>
            </w:pPr>
            <w:r>
              <w:rPr>
                <w:sz w:val="13"/>
                <w:szCs w:val="13"/>
              </w:rPr>
              <w:t>完成</w:t>
            </w:r>
          </w:p>
        </w:tc>
      </w:tr>
      <w:tr w14:paraId="614C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389FA19C">
            <w:pPr>
              <w:pStyle w:val="149"/>
              <w:rPr>
                <w:sz w:val="13"/>
                <w:szCs w:val="13"/>
              </w:rPr>
            </w:pPr>
            <w:r>
              <w:rPr>
                <w:sz w:val="13"/>
                <w:szCs w:val="13"/>
              </w:rPr>
              <w:t>6</w:t>
            </w:r>
          </w:p>
        </w:tc>
        <w:tc>
          <w:tcPr>
            <w:tcW w:w="1317" w:type="dxa"/>
            <w:noWrap/>
            <w:vAlign w:val="center"/>
          </w:tcPr>
          <w:p w14:paraId="13AB609E">
            <w:pPr>
              <w:pStyle w:val="149"/>
              <w:rPr>
                <w:sz w:val="13"/>
                <w:szCs w:val="13"/>
              </w:rPr>
            </w:pPr>
            <w:r>
              <w:rPr>
                <w:sz w:val="13"/>
                <w:szCs w:val="13"/>
              </w:rPr>
              <w:t>内蒙古能源发电投资集团有限公司</w:t>
            </w:r>
          </w:p>
        </w:tc>
        <w:tc>
          <w:tcPr>
            <w:tcW w:w="2226" w:type="dxa"/>
            <w:noWrap/>
            <w:vAlign w:val="center"/>
          </w:tcPr>
          <w:p w14:paraId="059E569C">
            <w:pPr>
              <w:pStyle w:val="149"/>
              <w:rPr>
                <w:sz w:val="13"/>
                <w:szCs w:val="13"/>
              </w:rPr>
            </w:pPr>
            <w:r>
              <w:rPr>
                <w:sz w:val="13"/>
                <w:szCs w:val="13"/>
              </w:rPr>
              <w:t>内蒙古能源发电投资集团有限公司包头固阳金山工业园区热电厂2*350MW发电机组工程</w:t>
            </w:r>
          </w:p>
        </w:tc>
        <w:tc>
          <w:tcPr>
            <w:tcW w:w="1418" w:type="dxa"/>
            <w:noWrap/>
            <w:vAlign w:val="center"/>
          </w:tcPr>
          <w:p w14:paraId="0CBB7EB9">
            <w:pPr>
              <w:pStyle w:val="149"/>
              <w:rPr>
                <w:sz w:val="13"/>
                <w:szCs w:val="13"/>
              </w:rPr>
            </w:pPr>
            <w:r>
              <w:rPr>
                <w:sz w:val="13"/>
                <w:szCs w:val="13"/>
              </w:rPr>
              <w:t>内发改能源字[2015]1460号</w:t>
            </w:r>
          </w:p>
        </w:tc>
        <w:tc>
          <w:tcPr>
            <w:tcW w:w="709" w:type="dxa"/>
            <w:noWrap/>
            <w:vAlign w:val="center"/>
          </w:tcPr>
          <w:p w14:paraId="0DDB86EA">
            <w:pPr>
              <w:pStyle w:val="149"/>
              <w:rPr>
                <w:sz w:val="13"/>
                <w:szCs w:val="13"/>
              </w:rPr>
            </w:pPr>
            <w:r>
              <w:rPr>
                <w:sz w:val="13"/>
                <w:szCs w:val="13"/>
              </w:rPr>
              <w:t>53.4</w:t>
            </w:r>
          </w:p>
        </w:tc>
        <w:tc>
          <w:tcPr>
            <w:tcW w:w="803" w:type="dxa"/>
            <w:noWrap/>
            <w:vAlign w:val="center"/>
          </w:tcPr>
          <w:p w14:paraId="08359629">
            <w:pPr>
              <w:pStyle w:val="149"/>
              <w:rPr>
                <w:sz w:val="13"/>
                <w:szCs w:val="13"/>
              </w:rPr>
            </w:pPr>
            <w:r>
              <w:rPr>
                <w:sz w:val="13"/>
                <w:szCs w:val="13"/>
              </w:rPr>
              <w:t>2017-2019</w:t>
            </w:r>
          </w:p>
        </w:tc>
        <w:tc>
          <w:tcPr>
            <w:tcW w:w="614" w:type="dxa"/>
            <w:gridSpan w:val="2"/>
            <w:noWrap/>
            <w:vAlign w:val="center"/>
          </w:tcPr>
          <w:p w14:paraId="447616DF">
            <w:pPr>
              <w:pStyle w:val="149"/>
              <w:rPr>
                <w:sz w:val="13"/>
                <w:szCs w:val="13"/>
              </w:rPr>
            </w:pPr>
            <w:r>
              <w:rPr>
                <w:sz w:val="13"/>
                <w:szCs w:val="13"/>
              </w:rPr>
              <w:t>建成</w:t>
            </w:r>
          </w:p>
        </w:tc>
        <w:tc>
          <w:tcPr>
            <w:tcW w:w="567" w:type="dxa"/>
            <w:gridSpan w:val="2"/>
            <w:noWrap/>
            <w:vAlign w:val="center"/>
          </w:tcPr>
          <w:p w14:paraId="3F1D688D">
            <w:pPr>
              <w:pStyle w:val="149"/>
              <w:rPr>
                <w:sz w:val="13"/>
                <w:szCs w:val="13"/>
              </w:rPr>
            </w:pPr>
            <w:r>
              <w:rPr>
                <w:sz w:val="13"/>
                <w:szCs w:val="13"/>
              </w:rPr>
              <w:t>生产</w:t>
            </w:r>
          </w:p>
        </w:tc>
        <w:tc>
          <w:tcPr>
            <w:tcW w:w="992" w:type="dxa"/>
            <w:gridSpan w:val="2"/>
            <w:noWrap/>
            <w:vAlign w:val="center"/>
          </w:tcPr>
          <w:p w14:paraId="2F521170">
            <w:pPr>
              <w:pStyle w:val="149"/>
              <w:rPr>
                <w:sz w:val="13"/>
                <w:szCs w:val="13"/>
              </w:rPr>
            </w:pPr>
            <w:r>
              <w:rPr>
                <w:sz w:val="13"/>
                <w:szCs w:val="13"/>
              </w:rPr>
              <w:t>已编制方案</w:t>
            </w:r>
          </w:p>
        </w:tc>
        <w:tc>
          <w:tcPr>
            <w:tcW w:w="1701" w:type="dxa"/>
            <w:gridSpan w:val="2"/>
            <w:noWrap/>
            <w:vAlign w:val="center"/>
          </w:tcPr>
          <w:p w14:paraId="3667BC81">
            <w:pPr>
              <w:pStyle w:val="149"/>
              <w:rPr>
                <w:sz w:val="13"/>
                <w:szCs w:val="13"/>
              </w:rPr>
            </w:pPr>
            <w:r>
              <w:rPr>
                <w:sz w:val="13"/>
                <w:szCs w:val="13"/>
              </w:rPr>
              <w:t>内水保[2015]151 号文</w:t>
            </w:r>
          </w:p>
        </w:tc>
        <w:tc>
          <w:tcPr>
            <w:tcW w:w="844" w:type="dxa"/>
            <w:noWrap/>
            <w:vAlign w:val="center"/>
          </w:tcPr>
          <w:p w14:paraId="4553DBFC">
            <w:pPr>
              <w:pStyle w:val="149"/>
              <w:rPr>
                <w:sz w:val="13"/>
                <w:szCs w:val="13"/>
              </w:rPr>
            </w:pPr>
            <w:r>
              <w:rPr>
                <w:sz w:val="13"/>
                <w:szCs w:val="13"/>
              </w:rPr>
              <w:t>37.77</w:t>
            </w:r>
          </w:p>
        </w:tc>
        <w:tc>
          <w:tcPr>
            <w:tcW w:w="844" w:type="dxa"/>
            <w:gridSpan w:val="2"/>
            <w:noWrap/>
            <w:vAlign w:val="center"/>
          </w:tcPr>
          <w:p w14:paraId="30740D81">
            <w:pPr>
              <w:pStyle w:val="149"/>
              <w:rPr>
                <w:sz w:val="13"/>
                <w:szCs w:val="13"/>
              </w:rPr>
            </w:pPr>
            <w:r>
              <w:rPr>
                <w:sz w:val="13"/>
                <w:szCs w:val="13"/>
              </w:rPr>
              <w:t>37.77</w:t>
            </w:r>
          </w:p>
        </w:tc>
        <w:tc>
          <w:tcPr>
            <w:tcW w:w="892" w:type="dxa"/>
            <w:gridSpan w:val="2"/>
            <w:vAlign w:val="center"/>
          </w:tcPr>
          <w:p w14:paraId="44064B5D">
            <w:pPr>
              <w:pStyle w:val="149"/>
              <w:rPr>
                <w:sz w:val="13"/>
                <w:szCs w:val="13"/>
              </w:rPr>
            </w:pPr>
            <w:r>
              <w:rPr>
                <w:sz w:val="13"/>
                <w:szCs w:val="13"/>
              </w:rPr>
              <w:t>7.62</w:t>
            </w:r>
          </w:p>
        </w:tc>
        <w:tc>
          <w:tcPr>
            <w:tcW w:w="1527" w:type="dxa"/>
            <w:noWrap/>
            <w:vAlign w:val="center"/>
          </w:tcPr>
          <w:p w14:paraId="624B3C49">
            <w:pPr>
              <w:pStyle w:val="149"/>
              <w:rPr>
                <w:sz w:val="13"/>
                <w:szCs w:val="13"/>
              </w:rPr>
            </w:pPr>
            <w:r>
              <w:rPr>
                <w:sz w:val="13"/>
                <w:szCs w:val="13"/>
              </w:rPr>
              <w:t>表土剥离、铺砌透水砖、节水灌溉、排水暗管、土地整治、空地绿化、密目网苫盖</w:t>
            </w:r>
          </w:p>
        </w:tc>
        <w:tc>
          <w:tcPr>
            <w:tcW w:w="1051" w:type="dxa"/>
            <w:noWrap/>
            <w:vAlign w:val="center"/>
          </w:tcPr>
          <w:p w14:paraId="75AD0F0D">
            <w:pPr>
              <w:pStyle w:val="149"/>
              <w:rPr>
                <w:sz w:val="13"/>
                <w:szCs w:val="13"/>
              </w:rPr>
            </w:pPr>
            <w:r>
              <w:rPr>
                <w:sz w:val="13"/>
                <w:szCs w:val="13"/>
              </w:rPr>
              <w:t>完成</w:t>
            </w:r>
          </w:p>
        </w:tc>
      </w:tr>
      <w:tr w14:paraId="62790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3E166E2D">
            <w:pPr>
              <w:pStyle w:val="149"/>
              <w:rPr>
                <w:sz w:val="13"/>
                <w:szCs w:val="13"/>
              </w:rPr>
            </w:pPr>
            <w:r>
              <w:rPr>
                <w:sz w:val="13"/>
                <w:szCs w:val="13"/>
              </w:rPr>
              <w:t>7</w:t>
            </w:r>
          </w:p>
        </w:tc>
        <w:tc>
          <w:tcPr>
            <w:tcW w:w="1317" w:type="dxa"/>
            <w:noWrap/>
            <w:vAlign w:val="center"/>
          </w:tcPr>
          <w:p w14:paraId="601B3ECD">
            <w:pPr>
              <w:pStyle w:val="149"/>
              <w:rPr>
                <w:sz w:val="13"/>
                <w:szCs w:val="13"/>
              </w:rPr>
            </w:pPr>
            <w:r>
              <w:rPr>
                <w:sz w:val="13"/>
                <w:szCs w:val="13"/>
              </w:rPr>
              <w:t>包头市港亿隆能源服务有限公司</w:t>
            </w:r>
          </w:p>
        </w:tc>
        <w:tc>
          <w:tcPr>
            <w:tcW w:w="2226" w:type="dxa"/>
            <w:noWrap/>
            <w:vAlign w:val="center"/>
          </w:tcPr>
          <w:p w14:paraId="772B6909">
            <w:pPr>
              <w:pStyle w:val="149"/>
              <w:rPr>
                <w:sz w:val="13"/>
                <w:szCs w:val="13"/>
              </w:rPr>
            </w:pPr>
            <w:r>
              <w:rPr>
                <w:sz w:val="13"/>
                <w:szCs w:val="13"/>
              </w:rPr>
              <w:t>包头市港亿隆能源服务有限公司输供气项目</w:t>
            </w:r>
          </w:p>
        </w:tc>
        <w:tc>
          <w:tcPr>
            <w:tcW w:w="1418" w:type="dxa"/>
            <w:noWrap/>
            <w:vAlign w:val="center"/>
          </w:tcPr>
          <w:p w14:paraId="19FE307D">
            <w:pPr>
              <w:pStyle w:val="149"/>
              <w:rPr>
                <w:sz w:val="13"/>
                <w:szCs w:val="13"/>
              </w:rPr>
            </w:pPr>
            <w:r>
              <w:rPr>
                <w:sz w:val="13"/>
                <w:szCs w:val="13"/>
              </w:rPr>
              <w:t>2019-150222-45-03-030790</w:t>
            </w:r>
          </w:p>
        </w:tc>
        <w:tc>
          <w:tcPr>
            <w:tcW w:w="709" w:type="dxa"/>
            <w:noWrap/>
            <w:vAlign w:val="center"/>
          </w:tcPr>
          <w:p w14:paraId="31D1CB1E">
            <w:pPr>
              <w:pStyle w:val="149"/>
              <w:rPr>
                <w:sz w:val="13"/>
                <w:szCs w:val="13"/>
              </w:rPr>
            </w:pPr>
            <w:r>
              <w:rPr>
                <w:sz w:val="13"/>
                <w:szCs w:val="13"/>
              </w:rPr>
              <w:t>0.39</w:t>
            </w:r>
          </w:p>
        </w:tc>
        <w:tc>
          <w:tcPr>
            <w:tcW w:w="803" w:type="dxa"/>
            <w:noWrap/>
            <w:vAlign w:val="center"/>
          </w:tcPr>
          <w:p w14:paraId="11C70C21">
            <w:pPr>
              <w:pStyle w:val="149"/>
              <w:rPr>
                <w:sz w:val="13"/>
                <w:szCs w:val="13"/>
              </w:rPr>
            </w:pPr>
            <w:r>
              <w:rPr>
                <w:sz w:val="13"/>
                <w:szCs w:val="13"/>
              </w:rPr>
              <w:t>2019-2020</w:t>
            </w:r>
          </w:p>
        </w:tc>
        <w:tc>
          <w:tcPr>
            <w:tcW w:w="614" w:type="dxa"/>
            <w:gridSpan w:val="2"/>
            <w:noWrap/>
            <w:vAlign w:val="center"/>
          </w:tcPr>
          <w:p w14:paraId="091EDAA2">
            <w:pPr>
              <w:pStyle w:val="149"/>
              <w:rPr>
                <w:sz w:val="13"/>
                <w:szCs w:val="13"/>
              </w:rPr>
            </w:pPr>
            <w:r>
              <w:rPr>
                <w:sz w:val="13"/>
                <w:szCs w:val="13"/>
              </w:rPr>
              <w:t>建成</w:t>
            </w:r>
          </w:p>
        </w:tc>
        <w:tc>
          <w:tcPr>
            <w:tcW w:w="567" w:type="dxa"/>
            <w:gridSpan w:val="2"/>
            <w:noWrap/>
            <w:vAlign w:val="center"/>
          </w:tcPr>
          <w:p w14:paraId="2AD38896">
            <w:pPr>
              <w:pStyle w:val="149"/>
              <w:rPr>
                <w:sz w:val="13"/>
                <w:szCs w:val="13"/>
              </w:rPr>
            </w:pPr>
            <w:r>
              <w:rPr>
                <w:sz w:val="13"/>
                <w:szCs w:val="13"/>
              </w:rPr>
              <w:t>运营</w:t>
            </w:r>
          </w:p>
        </w:tc>
        <w:tc>
          <w:tcPr>
            <w:tcW w:w="992" w:type="dxa"/>
            <w:gridSpan w:val="2"/>
            <w:noWrap/>
            <w:vAlign w:val="center"/>
          </w:tcPr>
          <w:p w14:paraId="5088647B">
            <w:pPr>
              <w:pStyle w:val="149"/>
              <w:rPr>
                <w:sz w:val="13"/>
                <w:szCs w:val="13"/>
              </w:rPr>
            </w:pPr>
            <w:r>
              <w:rPr>
                <w:sz w:val="13"/>
                <w:szCs w:val="13"/>
              </w:rPr>
              <w:t>已编制方案</w:t>
            </w:r>
          </w:p>
        </w:tc>
        <w:tc>
          <w:tcPr>
            <w:tcW w:w="1701" w:type="dxa"/>
            <w:gridSpan w:val="2"/>
            <w:noWrap/>
            <w:vAlign w:val="center"/>
          </w:tcPr>
          <w:p w14:paraId="3F389D2C">
            <w:pPr>
              <w:pStyle w:val="149"/>
              <w:rPr>
                <w:sz w:val="13"/>
                <w:szCs w:val="13"/>
              </w:rPr>
            </w:pPr>
            <w:r>
              <w:rPr>
                <w:sz w:val="13"/>
                <w:szCs w:val="13"/>
              </w:rPr>
              <w:t>固水保许可（2021）14号</w:t>
            </w:r>
          </w:p>
        </w:tc>
        <w:tc>
          <w:tcPr>
            <w:tcW w:w="844" w:type="dxa"/>
            <w:noWrap/>
            <w:vAlign w:val="center"/>
          </w:tcPr>
          <w:p w14:paraId="361D5517">
            <w:pPr>
              <w:pStyle w:val="149"/>
              <w:rPr>
                <w:sz w:val="13"/>
                <w:szCs w:val="13"/>
              </w:rPr>
            </w:pPr>
            <w:r>
              <w:rPr>
                <w:sz w:val="13"/>
                <w:szCs w:val="13"/>
              </w:rPr>
              <w:t>0.23</w:t>
            </w:r>
          </w:p>
        </w:tc>
        <w:tc>
          <w:tcPr>
            <w:tcW w:w="844" w:type="dxa"/>
            <w:gridSpan w:val="2"/>
            <w:noWrap/>
            <w:vAlign w:val="center"/>
          </w:tcPr>
          <w:p w14:paraId="1FAF28A9">
            <w:pPr>
              <w:pStyle w:val="149"/>
              <w:rPr>
                <w:sz w:val="13"/>
                <w:szCs w:val="13"/>
              </w:rPr>
            </w:pPr>
            <w:r>
              <w:rPr>
                <w:sz w:val="13"/>
                <w:szCs w:val="13"/>
              </w:rPr>
              <w:t>0.23</w:t>
            </w:r>
          </w:p>
        </w:tc>
        <w:tc>
          <w:tcPr>
            <w:tcW w:w="892" w:type="dxa"/>
            <w:gridSpan w:val="2"/>
            <w:vAlign w:val="center"/>
          </w:tcPr>
          <w:p w14:paraId="077B92B2">
            <w:pPr>
              <w:pStyle w:val="149"/>
              <w:rPr>
                <w:sz w:val="13"/>
                <w:szCs w:val="13"/>
              </w:rPr>
            </w:pPr>
            <w:r>
              <w:rPr>
                <w:sz w:val="13"/>
                <w:szCs w:val="13"/>
              </w:rPr>
              <w:t>0.10</w:t>
            </w:r>
          </w:p>
        </w:tc>
        <w:tc>
          <w:tcPr>
            <w:tcW w:w="1527" w:type="dxa"/>
            <w:noWrap/>
            <w:vAlign w:val="center"/>
          </w:tcPr>
          <w:p w14:paraId="10469DAE">
            <w:pPr>
              <w:pStyle w:val="149"/>
              <w:rPr>
                <w:sz w:val="13"/>
                <w:szCs w:val="13"/>
              </w:rPr>
            </w:pPr>
            <w:r>
              <w:rPr>
                <w:sz w:val="13"/>
                <w:szCs w:val="13"/>
              </w:rPr>
              <w:t>土地整治、空地绿化、密目网苫盖</w:t>
            </w:r>
          </w:p>
        </w:tc>
        <w:tc>
          <w:tcPr>
            <w:tcW w:w="1051" w:type="dxa"/>
            <w:noWrap/>
            <w:vAlign w:val="center"/>
          </w:tcPr>
          <w:p w14:paraId="0B7AC91D">
            <w:pPr>
              <w:pStyle w:val="149"/>
              <w:rPr>
                <w:sz w:val="13"/>
                <w:szCs w:val="13"/>
              </w:rPr>
            </w:pPr>
            <w:r>
              <w:rPr>
                <w:sz w:val="13"/>
                <w:szCs w:val="13"/>
              </w:rPr>
              <w:t>未完成</w:t>
            </w:r>
          </w:p>
        </w:tc>
      </w:tr>
      <w:tr w14:paraId="63F2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2D9C190D">
            <w:pPr>
              <w:pStyle w:val="149"/>
              <w:rPr>
                <w:sz w:val="13"/>
                <w:szCs w:val="13"/>
              </w:rPr>
            </w:pPr>
            <w:r>
              <w:rPr>
                <w:sz w:val="13"/>
                <w:szCs w:val="13"/>
              </w:rPr>
              <w:t>8</w:t>
            </w:r>
          </w:p>
        </w:tc>
        <w:tc>
          <w:tcPr>
            <w:tcW w:w="1317" w:type="dxa"/>
            <w:noWrap/>
            <w:vAlign w:val="center"/>
          </w:tcPr>
          <w:p w14:paraId="5E7C0FE2">
            <w:pPr>
              <w:pStyle w:val="149"/>
              <w:rPr>
                <w:sz w:val="13"/>
                <w:szCs w:val="13"/>
              </w:rPr>
            </w:pPr>
            <w:r>
              <w:rPr>
                <w:sz w:val="13"/>
                <w:szCs w:val="13"/>
              </w:rPr>
              <w:t>包头海平面金属科技有限公司</w:t>
            </w:r>
          </w:p>
        </w:tc>
        <w:tc>
          <w:tcPr>
            <w:tcW w:w="2226" w:type="dxa"/>
            <w:noWrap/>
            <w:vAlign w:val="center"/>
          </w:tcPr>
          <w:p w14:paraId="3E947572">
            <w:pPr>
              <w:pStyle w:val="149"/>
              <w:rPr>
                <w:sz w:val="13"/>
                <w:szCs w:val="13"/>
              </w:rPr>
            </w:pPr>
            <w:r>
              <w:rPr>
                <w:sz w:val="13"/>
                <w:szCs w:val="13"/>
              </w:rPr>
              <w:t>包头海平面金属科技有限公司年产200万吨水泥、熟料项目</w:t>
            </w:r>
          </w:p>
        </w:tc>
        <w:tc>
          <w:tcPr>
            <w:tcW w:w="1418" w:type="dxa"/>
            <w:noWrap/>
            <w:vAlign w:val="center"/>
          </w:tcPr>
          <w:p w14:paraId="7AF4E0A9">
            <w:pPr>
              <w:pStyle w:val="149"/>
              <w:rPr>
                <w:sz w:val="13"/>
                <w:szCs w:val="13"/>
              </w:rPr>
            </w:pPr>
            <w:r>
              <w:rPr>
                <w:sz w:val="13"/>
                <w:szCs w:val="13"/>
              </w:rPr>
              <w:t>内经信投规字【2020】594号</w:t>
            </w:r>
          </w:p>
        </w:tc>
        <w:tc>
          <w:tcPr>
            <w:tcW w:w="709" w:type="dxa"/>
            <w:noWrap/>
            <w:vAlign w:val="center"/>
          </w:tcPr>
          <w:p w14:paraId="2A50A247">
            <w:pPr>
              <w:pStyle w:val="149"/>
              <w:rPr>
                <w:sz w:val="13"/>
                <w:szCs w:val="13"/>
              </w:rPr>
            </w:pPr>
            <w:r>
              <w:rPr>
                <w:sz w:val="13"/>
                <w:szCs w:val="13"/>
              </w:rPr>
              <w:t>69.35</w:t>
            </w:r>
          </w:p>
        </w:tc>
        <w:tc>
          <w:tcPr>
            <w:tcW w:w="803" w:type="dxa"/>
            <w:noWrap/>
            <w:vAlign w:val="center"/>
          </w:tcPr>
          <w:p w14:paraId="58FF02AD">
            <w:pPr>
              <w:pStyle w:val="149"/>
              <w:rPr>
                <w:sz w:val="13"/>
                <w:szCs w:val="13"/>
              </w:rPr>
            </w:pPr>
            <w:r>
              <w:rPr>
                <w:sz w:val="13"/>
                <w:szCs w:val="13"/>
              </w:rPr>
              <w:t>2011-2012</w:t>
            </w:r>
          </w:p>
        </w:tc>
        <w:tc>
          <w:tcPr>
            <w:tcW w:w="614" w:type="dxa"/>
            <w:gridSpan w:val="2"/>
            <w:noWrap/>
            <w:vAlign w:val="center"/>
          </w:tcPr>
          <w:p w14:paraId="269A9E53">
            <w:pPr>
              <w:pStyle w:val="149"/>
              <w:rPr>
                <w:sz w:val="13"/>
                <w:szCs w:val="13"/>
              </w:rPr>
            </w:pPr>
            <w:r>
              <w:rPr>
                <w:sz w:val="13"/>
                <w:szCs w:val="13"/>
              </w:rPr>
              <w:t>建成</w:t>
            </w:r>
          </w:p>
        </w:tc>
        <w:tc>
          <w:tcPr>
            <w:tcW w:w="567" w:type="dxa"/>
            <w:gridSpan w:val="2"/>
            <w:noWrap/>
            <w:vAlign w:val="center"/>
          </w:tcPr>
          <w:p w14:paraId="3642B447">
            <w:pPr>
              <w:pStyle w:val="149"/>
              <w:rPr>
                <w:sz w:val="13"/>
                <w:szCs w:val="13"/>
              </w:rPr>
            </w:pPr>
            <w:r>
              <w:rPr>
                <w:sz w:val="13"/>
                <w:szCs w:val="13"/>
              </w:rPr>
              <w:t>生产</w:t>
            </w:r>
          </w:p>
        </w:tc>
        <w:tc>
          <w:tcPr>
            <w:tcW w:w="992" w:type="dxa"/>
            <w:gridSpan w:val="2"/>
            <w:noWrap/>
            <w:vAlign w:val="center"/>
          </w:tcPr>
          <w:p w14:paraId="7FE9327D">
            <w:pPr>
              <w:pStyle w:val="149"/>
              <w:rPr>
                <w:sz w:val="13"/>
                <w:szCs w:val="13"/>
              </w:rPr>
            </w:pPr>
            <w:r>
              <w:rPr>
                <w:sz w:val="13"/>
                <w:szCs w:val="13"/>
              </w:rPr>
              <w:t>已编制方案</w:t>
            </w:r>
          </w:p>
        </w:tc>
        <w:tc>
          <w:tcPr>
            <w:tcW w:w="1701" w:type="dxa"/>
            <w:gridSpan w:val="2"/>
            <w:noWrap/>
            <w:vAlign w:val="center"/>
          </w:tcPr>
          <w:p w14:paraId="7874F035">
            <w:pPr>
              <w:pStyle w:val="149"/>
              <w:rPr>
                <w:sz w:val="13"/>
                <w:szCs w:val="13"/>
              </w:rPr>
            </w:pPr>
            <w:r>
              <w:rPr>
                <w:sz w:val="13"/>
                <w:szCs w:val="13"/>
              </w:rPr>
              <w:t>固水务发[2021]41号</w:t>
            </w:r>
          </w:p>
        </w:tc>
        <w:tc>
          <w:tcPr>
            <w:tcW w:w="844" w:type="dxa"/>
            <w:noWrap/>
            <w:vAlign w:val="center"/>
          </w:tcPr>
          <w:p w14:paraId="3C2EA255">
            <w:pPr>
              <w:pStyle w:val="149"/>
              <w:rPr>
                <w:sz w:val="13"/>
                <w:szCs w:val="13"/>
              </w:rPr>
            </w:pPr>
            <w:r>
              <w:rPr>
                <w:sz w:val="13"/>
                <w:szCs w:val="13"/>
              </w:rPr>
              <w:t>18.72</w:t>
            </w:r>
          </w:p>
        </w:tc>
        <w:tc>
          <w:tcPr>
            <w:tcW w:w="844" w:type="dxa"/>
            <w:gridSpan w:val="2"/>
            <w:noWrap/>
            <w:vAlign w:val="center"/>
          </w:tcPr>
          <w:p w14:paraId="608D218C">
            <w:pPr>
              <w:pStyle w:val="149"/>
              <w:rPr>
                <w:sz w:val="13"/>
                <w:szCs w:val="13"/>
              </w:rPr>
            </w:pPr>
            <w:r>
              <w:rPr>
                <w:sz w:val="13"/>
                <w:szCs w:val="13"/>
              </w:rPr>
              <w:t>18.72</w:t>
            </w:r>
          </w:p>
        </w:tc>
        <w:tc>
          <w:tcPr>
            <w:tcW w:w="892" w:type="dxa"/>
            <w:gridSpan w:val="2"/>
            <w:vAlign w:val="center"/>
          </w:tcPr>
          <w:p w14:paraId="68FF6830">
            <w:pPr>
              <w:pStyle w:val="149"/>
              <w:rPr>
                <w:sz w:val="13"/>
                <w:szCs w:val="13"/>
              </w:rPr>
            </w:pPr>
            <w:r>
              <w:rPr>
                <w:sz w:val="13"/>
                <w:szCs w:val="13"/>
              </w:rPr>
              <w:t>12.45</w:t>
            </w:r>
          </w:p>
        </w:tc>
        <w:tc>
          <w:tcPr>
            <w:tcW w:w="1527" w:type="dxa"/>
            <w:noWrap/>
            <w:vAlign w:val="center"/>
          </w:tcPr>
          <w:p w14:paraId="16FDE697">
            <w:pPr>
              <w:pStyle w:val="149"/>
              <w:rPr>
                <w:sz w:val="13"/>
                <w:szCs w:val="13"/>
              </w:rPr>
            </w:pPr>
            <w:r>
              <w:rPr>
                <w:sz w:val="13"/>
                <w:szCs w:val="13"/>
              </w:rPr>
              <w:t>铺砌透水砖、排水暗管、土地整治、空地绿化、密目网苫盖</w:t>
            </w:r>
          </w:p>
        </w:tc>
        <w:tc>
          <w:tcPr>
            <w:tcW w:w="1051" w:type="dxa"/>
            <w:noWrap/>
            <w:vAlign w:val="center"/>
          </w:tcPr>
          <w:p w14:paraId="44BCA6B2">
            <w:pPr>
              <w:pStyle w:val="149"/>
              <w:rPr>
                <w:sz w:val="13"/>
                <w:szCs w:val="13"/>
              </w:rPr>
            </w:pPr>
            <w:r>
              <w:rPr>
                <w:sz w:val="13"/>
                <w:szCs w:val="13"/>
              </w:rPr>
              <w:t>未完成</w:t>
            </w:r>
          </w:p>
        </w:tc>
      </w:tr>
      <w:tr w14:paraId="1F08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354A6387">
            <w:pPr>
              <w:pStyle w:val="149"/>
              <w:rPr>
                <w:sz w:val="13"/>
                <w:szCs w:val="13"/>
              </w:rPr>
            </w:pPr>
            <w:r>
              <w:rPr>
                <w:sz w:val="13"/>
                <w:szCs w:val="13"/>
              </w:rPr>
              <w:t>9</w:t>
            </w:r>
          </w:p>
        </w:tc>
        <w:tc>
          <w:tcPr>
            <w:tcW w:w="1317" w:type="dxa"/>
            <w:noWrap/>
            <w:vAlign w:val="center"/>
          </w:tcPr>
          <w:p w14:paraId="7D9E7B7D">
            <w:pPr>
              <w:pStyle w:val="149"/>
              <w:rPr>
                <w:sz w:val="13"/>
                <w:szCs w:val="13"/>
              </w:rPr>
            </w:pPr>
            <w:r>
              <w:rPr>
                <w:sz w:val="13"/>
                <w:szCs w:val="13"/>
              </w:rPr>
              <w:t>包头市维尔佳机电修造有限公司</w:t>
            </w:r>
          </w:p>
        </w:tc>
        <w:tc>
          <w:tcPr>
            <w:tcW w:w="2226" w:type="dxa"/>
            <w:noWrap/>
            <w:vAlign w:val="center"/>
          </w:tcPr>
          <w:p w14:paraId="3FD5C1E9">
            <w:pPr>
              <w:pStyle w:val="149"/>
              <w:rPr>
                <w:sz w:val="13"/>
                <w:szCs w:val="13"/>
              </w:rPr>
            </w:pPr>
            <w:r>
              <w:rPr>
                <w:sz w:val="13"/>
                <w:szCs w:val="13"/>
              </w:rPr>
              <w:t>包头市维尔佳机电修造有限公司机电设备</w:t>
            </w:r>
          </w:p>
        </w:tc>
        <w:tc>
          <w:tcPr>
            <w:tcW w:w="1418" w:type="dxa"/>
            <w:noWrap/>
            <w:vAlign w:val="center"/>
          </w:tcPr>
          <w:p w14:paraId="0CC54D03">
            <w:pPr>
              <w:pStyle w:val="149"/>
              <w:rPr>
                <w:sz w:val="13"/>
                <w:szCs w:val="13"/>
              </w:rPr>
            </w:pPr>
            <w:r>
              <w:rPr>
                <w:sz w:val="13"/>
                <w:szCs w:val="13"/>
              </w:rPr>
              <w:t>2020-150222-11-03-026270</w:t>
            </w:r>
          </w:p>
        </w:tc>
        <w:tc>
          <w:tcPr>
            <w:tcW w:w="709" w:type="dxa"/>
            <w:noWrap/>
            <w:vAlign w:val="center"/>
          </w:tcPr>
          <w:p w14:paraId="4C02306D">
            <w:pPr>
              <w:pStyle w:val="149"/>
              <w:rPr>
                <w:sz w:val="13"/>
                <w:szCs w:val="13"/>
              </w:rPr>
            </w:pPr>
            <w:r>
              <w:rPr>
                <w:sz w:val="13"/>
                <w:szCs w:val="13"/>
              </w:rPr>
              <w:t>1.09</w:t>
            </w:r>
          </w:p>
        </w:tc>
        <w:tc>
          <w:tcPr>
            <w:tcW w:w="803" w:type="dxa"/>
            <w:noWrap/>
            <w:vAlign w:val="center"/>
          </w:tcPr>
          <w:p w14:paraId="18C6EC3E">
            <w:pPr>
              <w:pStyle w:val="149"/>
              <w:rPr>
                <w:sz w:val="13"/>
                <w:szCs w:val="13"/>
              </w:rPr>
            </w:pPr>
            <w:r>
              <w:rPr>
                <w:sz w:val="13"/>
                <w:szCs w:val="13"/>
              </w:rPr>
              <w:t>2012-2013</w:t>
            </w:r>
          </w:p>
        </w:tc>
        <w:tc>
          <w:tcPr>
            <w:tcW w:w="614" w:type="dxa"/>
            <w:gridSpan w:val="2"/>
            <w:noWrap/>
            <w:vAlign w:val="center"/>
          </w:tcPr>
          <w:p w14:paraId="1A043F4F">
            <w:pPr>
              <w:pStyle w:val="149"/>
              <w:rPr>
                <w:sz w:val="13"/>
                <w:szCs w:val="13"/>
              </w:rPr>
            </w:pPr>
            <w:r>
              <w:rPr>
                <w:sz w:val="13"/>
                <w:szCs w:val="13"/>
              </w:rPr>
              <w:t>建成</w:t>
            </w:r>
          </w:p>
        </w:tc>
        <w:tc>
          <w:tcPr>
            <w:tcW w:w="567" w:type="dxa"/>
            <w:gridSpan w:val="2"/>
            <w:noWrap/>
            <w:vAlign w:val="center"/>
          </w:tcPr>
          <w:p w14:paraId="593F82B5">
            <w:pPr>
              <w:pStyle w:val="149"/>
              <w:rPr>
                <w:sz w:val="13"/>
                <w:szCs w:val="13"/>
              </w:rPr>
            </w:pPr>
            <w:r>
              <w:rPr>
                <w:sz w:val="13"/>
                <w:szCs w:val="13"/>
              </w:rPr>
              <w:t>生产</w:t>
            </w:r>
          </w:p>
        </w:tc>
        <w:tc>
          <w:tcPr>
            <w:tcW w:w="992" w:type="dxa"/>
            <w:gridSpan w:val="2"/>
            <w:noWrap/>
            <w:vAlign w:val="center"/>
          </w:tcPr>
          <w:p w14:paraId="5D826A81">
            <w:pPr>
              <w:pStyle w:val="149"/>
              <w:rPr>
                <w:sz w:val="13"/>
                <w:szCs w:val="13"/>
              </w:rPr>
            </w:pPr>
            <w:r>
              <w:rPr>
                <w:sz w:val="13"/>
                <w:szCs w:val="13"/>
              </w:rPr>
              <w:t>已编制方案</w:t>
            </w:r>
          </w:p>
        </w:tc>
        <w:tc>
          <w:tcPr>
            <w:tcW w:w="1701" w:type="dxa"/>
            <w:gridSpan w:val="2"/>
            <w:noWrap/>
            <w:vAlign w:val="center"/>
          </w:tcPr>
          <w:p w14:paraId="5D3CA2E8">
            <w:pPr>
              <w:pStyle w:val="149"/>
              <w:rPr>
                <w:sz w:val="13"/>
                <w:szCs w:val="13"/>
              </w:rPr>
            </w:pPr>
            <w:r>
              <w:rPr>
                <w:sz w:val="13"/>
                <w:szCs w:val="13"/>
              </w:rPr>
              <w:t>固水保许可〔2022〕6号</w:t>
            </w:r>
          </w:p>
        </w:tc>
        <w:tc>
          <w:tcPr>
            <w:tcW w:w="844" w:type="dxa"/>
            <w:vAlign w:val="center"/>
          </w:tcPr>
          <w:p w14:paraId="29FEF004">
            <w:pPr>
              <w:pStyle w:val="149"/>
              <w:rPr>
                <w:sz w:val="13"/>
                <w:szCs w:val="13"/>
              </w:rPr>
            </w:pPr>
            <w:r>
              <w:rPr>
                <w:sz w:val="13"/>
                <w:szCs w:val="13"/>
              </w:rPr>
              <w:t>0.3148</w:t>
            </w:r>
          </w:p>
        </w:tc>
        <w:tc>
          <w:tcPr>
            <w:tcW w:w="844" w:type="dxa"/>
            <w:gridSpan w:val="2"/>
            <w:vAlign w:val="center"/>
          </w:tcPr>
          <w:p w14:paraId="7F6A9804">
            <w:pPr>
              <w:pStyle w:val="149"/>
              <w:rPr>
                <w:sz w:val="13"/>
                <w:szCs w:val="13"/>
              </w:rPr>
            </w:pPr>
            <w:r>
              <w:rPr>
                <w:sz w:val="13"/>
                <w:szCs w:val="13"/>
              </w:rPr>
              <w:t>0.3148</w:t>
            </w:r>
          </w:p>
        </w:tc>
        <w:tc>
          <w:tcPr>
            <w:tcW w:w="892" w:type="dxa"/>
            <w:gridSpan w:val="2"/>
            <w:vAlign w:val="center"/>
          </w:tcPr>
          <w:p w14:paraId="1B9359E2">
            <w:pPr>
              <w:pStyle w:val="149"/>
              <w:rPr>
                <w:sz w:val="13"/>
                <w:szCs w:val="13"/>
              </w:rPr>
            </w:pPr>
            <w:r>
              <w:rPr>
                <w:sz w:val="13"/>
                <w:szCs w:val="13"/>
              </w:rPr>
              <w:t>0.17</w:t>
            </w:r>
          </w:p>
        </w:tc>
        <w:tc>
          <w:tcPr>
            <w:tcW w:w="1527" w:type="dxa"/>
            <w:noWrap/>
            <w:vAlign w:val="center"/>
          </w:tcPr>
          <w:p w14:paraId="4739CDE6">
            <w:pPr>
              <w:pStyle w:val="149"/>
              <w:rPr>
                <w:sz w:val="13"/>
                <w:szCs w:val="13"/>
              </w:rPr>
            </w:pPr>
            <w:r>
              <w:rPr>
                <w:sz w:val="13"/>
                <w:szCs w:val="13"/>
              </w:rPr>
              <w:t>铺砌透水砖、土地整治、空地绿化</w:t>
            </w:r>
          </w:p>
        </w:tc>
        <w:tc>
          <w:tcPr>
            <w:tcW w:w="1051" w:type="dxa"/>
            <w:noWrap/>
            <w:vAlign w:val="center"/>
          </w:tcPr>
          <w:p w14:paraId="48B833E7">
            <w:pPr>
              <w:pStyle w:val="149"/>
              <w:rPr>
                <w:sz w:val="13"/>
                <w:szCs w:val="13"/>
              </w:rPr>
            </w:pPr>
            <w:r>
              <w:rPr>
                <w:sz w:val="13"/>
                <w:szCs w:val="13"/>
              </w:rPr>
              <w:t>未完成</w:t>
            </w:r>
          </w:p>
        </w:tc>
      </w:tr>
      <w:tr w14:paraId="1268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10281141">
            <w:pPr>
              <w:pStyle w:val="149"/>
              <w:rPr>
                <w:sz w:val="13"/>
                <w:szCs w:val="13"/>
              </w:rPr>
            </w:pPr>
            <w:r>
              <w:rPr>
                <w:sz w:val="13"/>
                <w:szCs w:val="13"/>
              </w:rPr>
              <w:t>10</w:t>
            </w:r>
          </w:p>
        </w:tc>
        <w:tc>
          <w:tcPr>
            <w:tcW w:w="1317" w:type="dxa"/>
            <w:noWrap/>
            <w:vAlign w:val="center"/>
          </w:tcPr>
          <w:p w14:paraId="64BA201E">
            <w:pPr>
              <w:pStyle w:val="149"/>
              <w:rPr>
                <w:sz w:val="13"/>
                <w:szCs w:val="13"/>
              </w:rPr>
            </w:pPr>
            <w:r>
              <w:rPr>
                <w:sz w:val="13"/>
                <w:szCs w:val="13"/>
              </w:rPr>
              <w:t>包头市西贝建筑机械有限公司</w:t>
            </w:r>
          </w:p>
        </w:tc>
        <w:tc>
          <w:tcPr>
            <w:tcW w:w="2226" w:type="dxa"/>
            <w:noWrap/>
            <w:vAlign w:val="center"/>
          </w:tcPr>
          <w:p w14:paraId="2ED22A95">
            <w:pPr>
              <w:pStyle w:val="149"/>
              <w:rPr>
                <w:sz w:val="13"/>
                <w:szCs w:val="13"/>
              </w:rPr>
            </w:pPr>
            <w:r>
              <w:rPr>
                <w:sz w:val="13"/>
                <w:szCs w:val="13"/>
              </w:rPr>
              <w:t>包头市西贝建筑机械有限公司施工升降机、塔机建筑机械设备智能化生产制造建设项目</w:t>
            </w:r>
          </w:p>
        </w:tc>
        <w:tc>
          <w:tcPr>
            <w:tcW w:w="1418" w:type="dxa"/>
            <w:noWrap/>
            <w:vAlign w:val="center"/>
          </w:tcPr>
          <w:p w14:paraId="50C30D71">
            <w:pPr>
              <w:pStyle w:val="149"/>
              <w:rPr>
                <w:sz w:val="13"/>
                <w:szCs w:val="13"/>
              </w:rPr>
            </w:pPr>
            <w:r>
              <w:rPr>
                <w:sz w:val="13"/>
                <w:szCs w:val="13"/>
              </w:rPr>
              <w:t>项目编号：2020-150222-34-03-003654</w:t>
            </w:r>
          </w:p>
        </w:tc>
        <w:tc>
          <w:tcPr>
            <w:tcW w:w="709" w:type="dxa"/>
            <w:noWrap/>
            <w:vAlign w:val="center"/>
          </w:tcPr>
          <w:p w14:paraId="48672490">
            <w:pPr>
              <w:pStyle w:val="149"/>
              <w:rPr>
                <w:sz w:val="13"/>
                <w:szCs w:val="13"/>
              </w:rPr>
            </w:pPr>
            <w:r>
              <w:rPr>
                <w:sz w:val="13"/>
                <w:szCs w:val="13"/>
              </w:rPr>
              <w:t>2.33</w:t>
            </w:r>
          </w:p>
        </w:tc>
        <w:tc>
          <w:tcPr>
            <w:tcW w:w="803" w:type="dxa"/>
            <w:noWrap/>
            <w:vAlign w:val="center"/>
          </w:tcPr>
          <w:p w14:paraId="2BC3A3D8">
            <w:pPr>
              <w:pStyle w:val="149"/>
              <w:rPr>
                <w:sz w:val="13"/>
                <w:szCs w:val="13"/>
              </w:rPr>
            </w:pPr>
            <w:r>
              <w:rPr>
                <w:sz w:val="13"/>
                <w:szCs w:val="13"/>
              </w:rPr>
              <w:t>2020-2021</w:t>
            </w:r>
          </w:p>
        </w:tc>
        <w:tc>
          <w:tcPr>
            <w:tcW w:w="614" w:type="dxa"/>
            <w:gridSpan w:val="2"/>
            <w:noWrap/>
            <w:vAlign w:val="center"/>
          </w:tcPr>
          <w:p w14:paraId="5B32B4AC">
            <w:pPr>
              <w:pStyle w:val="149"/>
              <w:rPr>
                <w:sz w:val="13"/>
                <w:szCs w:val="13"/>
              </w:rPr>
            </w:pPr>
            <w:r>
              <w:rPr>
                <w:sz w:val="13"/>
                <w:szCs w:val="13"/>
              </w:rPr>
              <w:t>建成</w:t>
            </w:r>
          </w:p>
        </w:tc>
        <w:tc>
          <w:tcPr>
            <w:tcW w:w="567" w:type="dxa"/>
            <w:gridSpan w:val="2"/>
            <w:noWrap/>
            <w:vAlign w:val="center"/>
          </w:tcPr>
          <w:p w14:paraId="5AB95F6C">
            <w:pPr>
              <w:pStyle w:val="149"/>
              <w:rPr>
                <w:sz w:val="13"/>
                <w:szCs w:val="13"/>
              </w:rPr>
            </w:pPr>
            <w:r>
              <w:rPr>
                <w:sz w:val="13"/>
                <w:szCs w:val="13"/>
              </w:rPr>
              <w:t>未运营</w:t>
            </w:r>
          </w:p>
        </w:tc>
        <w:tc>
          <w:tcPr>
            <w:tcW w:w="992" w:type="dxa"/>
            <w:gridSpan w:val="2"/>
            <w:noWrap/>
            <w:vAlign w:val="center"/>
          </w:tcPr>
          <w:p w14:paraId="548C1318">
            <w:pPr>
              <w:pStyle w:val="149"/>
              <w:rPr>
                <w:sz w:val="13"/>
                <w:szCs w:val="13"/>
              </w:rPr>
            </w:pPr>
            <w:r>
              <w:rPr>
                <w:sz w:val="13"/>
                <w:szCs w:val="13"/>
              </w:rPr>
              <w:t>已编制方案</w:t>
            </w:r>
          </w:p>
        </w:tc>
        <w:tc>
          <w:tcPr>
            <w:tcW w:w="1701" w:type="dxa"/>
            <w:gridSpan w:val="2"/>
            <w:noWrap/>
            <w:vAlign w:val="center"/>
          </w:tcPr>
          <w:p w14:paraId="56F7333A">
            <w:pPr>
              <w:pStyle w:val="149"/>
              <w:rPr>
                <w:sz w:val="13"/>
                <w:szCs w:val="13"/>
              </w:rPr>
            </w:pPr>
            <w:r>
              <w:rPr>
                <w:sz w:val="13"/>
                <w:szCs w:val="13"/>
              </w:rPr>
              <w:t>固水保许可（2021）13号</w:t>
            </w:r>
          </w:p>
        </w:tc>
        <w:tc>
          <w:tcPr>
            <w:tcW w:w="844" w:type="dxa"/>
            <w:noWrap/>
            <w:vAlign w:val="center"/>
          </w:tcPr>
          <w:p w14:paraId="5AFEEB10">
            <w:pPr>
              <w:pStyle w:val="149"/>
              <w:rPr>
                <w:sz w:val="13"/>
                <w:szCs w:val="13"/>
              </w:rPr>
            </w:pPr>
            <w:r>
              <w:rPr>
                <w:sz w:val="13"/>
                <w:szCs w:val="13"/>
              </w:rPr>
              <w:t>1.3754</w:t>
            </w:r>
          </w:p>
        </w:tc>
        <w:tc>
          <w:tcPr>
            <w:tcW w:w="844" w:type="dxa"/>
            <w:gridSpan w:val="2"/>
            <w:noWrap/>
            <w:vAlign w:val="center"/>
          </w:tcPr>
          <w:p w14:paraId="0F4F13C6">
            <w:pPr>
              <w:pStyle w:val="149"/>
              <w:rPr>
                <w:sz w:val="13"/>
                <w:szCs w:val="13"/>
              </w:rPr>
            </w:pPr>
            <w:r>
              <w:rPr>
                <w:sz w:val="13"/>
                <w:szCs w:val="13"/>
              </w:rPr>
              <w:t>1.3754</w:t>
            </w:r>
          </w:p>
        </w:tc>
        <w:tc>
          <w:tcPr>
            <w:tcW w:w="892" w:type="dxa"/>
            <w:gridSpan w:val="2"/>
            <w:vAlign w:val="center"/>
          </w:tcPr>
          <w:p w14:paraId="3F244750">
            <w:pPr>
              <w:pStyle w:val="149"/>
              <w:rPr>
                <w:sz w:val="13"/>
                <w:szCs w:val="13"/>
              </w:rPr>
            </w:pPr>
            <w:r>
              <w:rPr>
                <w:sz w:val="13"/>
                <w:szCs w:val="13"/>
              </w:rPr>
              <w:t>0.19</w:t>
            </w:r>
          </w:p>
        </w:tc>
        <w:tc>
          <w:tcPr>
            <w:tcW w:w="1527" w:type="dxa"/>
            <w:noWrap/>
            <w:vAlign w:val="center"/>
          </w:tcPr>
          <w:p w14:paraId="57BC8232">
            <w:pPr>
              <w:pStyle w:val="149"/>
              <w:rPr>
                <w:sz w:val="13"/>
                <w:szCs w:val="13"/>
              </w:rPr>
            </w:pPr>
            <w:r>
              <w:rPr>
                <w:sz w:val="13"/>
                <w:szCs w:val="13"/>
              </w:rPr>
              <w:t>节水灌溉、铺砌透水砖、土地整治、空地绿化</w:t>
            </w:r>
          </w:p>
        </w:tc>
        <w:tc>
          <w:tcPr>
            <w:tcW w:w="1051" w:type="dxa"/>
            <w:noWrap/>
            <w:vAlign w:val="center"/>
          </w:tcPr>
          <w:p w14:paraId="1504647E">
            <w:pPr>
              <w:pStyle w:val="149"/>
              <w:rPr>
                <w:sz w:val="13"/>
                <w:szCs w:val="13"/>
              </w:rPr>
            </w:pPr>
            <w:r>
              <w:rPr>
                <w:sz w:val="13"/>
                <w:szCs w:val="13"/>
              </w:rPr>
              <w:t>未完成</w:t>
            </w:r>
          </w:p>
        </w:tc>
      </w:tr>
      <w:tr w14:paraId="6A31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767E6CB3">
            <w:pPr>
              <w:pStyle w:val="149"/>
              <w:rPr>
                <w:sz w:val="13"/>
                <w:szCs w:val="13"/>
              </w:rPr>
            </w:pPr>
            <w:r>
              <w:rPr>
                <w:sz w:val="13"/>
                <w:szCs w:val="13"/>
              </w:rPr>
              <w:t>11</w:t>
            </w:r>
          </w:p>
        </w:tc>
        <w:tc>
          <w:tcPr>
            <w:tcW w:w="1317" w:type="dxa"/>
            <w:noWrap/>
            <w:vAlign w:val="center"/>
          </w:tcPr>
          <w:p w14:paraId="22EF4F12">
            <w:pPr>
              <w:pStyle w:val="149"/>
              <w:rPr>
                <w:sz w:val="13"/>
                <w:szCs w:val="13"/>
              </w:rPr>
            </w:pPr>
            <w:r>
              <w:rPr>
                <w:sz w:val="13"/>
                <w:szCs w:val="13"/>
              </w:rPr>
              <w:t>固阳县华茂机动车检测有限责任公司</w:t>
            </w:r>
          </w:p>
        </w:tc>
        <w:tc>
          <w:tcPr>
            <w:tcW w:w="2226" w:type="dxa"/>
            <w:noWrap/>
            <w:vAlign w:val="center"/>
          </w:tcPr>
          <w:p w14:paraId="7DAB149B">
            <w:pPr>
              <w:pStyle w:val="149"/>
              <w:rPr>
                <w:sz w:val="13"/>
                <w:szCs w:val="13"/>
              </w:rPr>
            </w:pPr>
            <w:r>
              <w:rPr>
                <w:sz w:val="13"/>
                <w:szCs w:val="13"/>
              </w:rPr>
              <w:t>固阳县华茂机动车监测中心机动车检测项目</w:t>
            </w:r>
          </w:p>
        </w:tc>
        <w:tc>
          <w:tcPr>
            <w:tcW w:w="1418" w:type="dxa"/>
            <w:noWrap/>
            <w:vAlign w:val="center"/>
          </w:tcPr>
          <w:p w14:paraId="381EE078">
            <w:pPr>
              <w:pStyle w:val="149"/>
              <w:rPr>
                <w:sz w:val="13"/>
                <w:szCs w:val="13"/>
              </w:rPr>
            </w:pPr>
            <w:r>
              <w:rPr>
                <w:sz w:val="13"/>
                <w:szCs w:val="13"/>
              </w:rPr>
              <w:t>固发改字【2009】87</w:t>
            </w:r>
          </w:p>
        </w:tc>
        <w:tc>
          <w:tcPr>
            <w:tcW w:w="709" w:type="dxa"/>
            <w:noWrap/>
            <w:vAlign w:val="center"/>
          </w:tcPr>
          <w:p w14:paraId="5A134DFB">
            <w:pPr>
              <w:pStyle w:val="149"/>
              <w:rPr>
                <w:sz w:val="13"/>
                <w:szCs w:val="13"/>
              </w:rPr>
            </w:pPr>
            <w:r>
              <w:rPr>
                <w:sz w:val="13"/>
                <w:szCs w:val="13"/>
              </w:rPr>
              <w:t>5.75</w:t>
            </w:r>
          </w:p>
        </w:tc>
        <w:tc>
          <w:tcPr>
            <w:tcW w:w="803" w:type="dxa"/>
            <w:noWrap/>
            <w:vAlign w:val="center"/>
          </w:tcPr>
          <w:p w14:paraId="637D4008">
            <w:pPr>
              <w:pStyle w:val="149"/>
              <w:rPr>
                <w:sz w:val="13"/>
                <w:szCs w:val="13"/>
              </w:rPr>
            </w:pPr>
            <w:r>
              <w:rPr>
                <w:sz w:val="13"/>
                <w:szCs w:val="13"/>
              </w:rPr>
              <w:t>2011-2012</w:t>
            </w:r>
          </w:p>
        </w:tc>
        <w:tc>
          <w:tcPr>
            <w:tcW w:w="614" w:type="dxa"/>
            <w:gridSpan w:val="2"/>
            <w:noWrap/>
            <w:vAlign w:val="center"/>
          </w:tcPr>
          <w:p w14:paraId="0073262B">
            <w:pPr>
              <w:pStyle w:val="149"/>
              <w:rPr>
                <w:sz w:val="13"/>
                <w:szCs w:val="13"/>
              </w:rPr>
            </w:pPr>
            <w:r>
              <w:rPr>
                <w:sz w:val="13"/>
                <w:szCs w:val="13"/>
              </w:rPr>
              <w:t>建成</w:t>
            </w:r>
          </w:p>
        </w:tc>
        <w:tc>
          <w:tcPr>
            <w:tcW w:w="567" w:type="dxa"/>
            <w:gridSpan w:val="2"/>
            <w:noWrap/>
            <w:vAlign w:val="center"/>
          </w:tcPr>
          <w:p w14:paraId="579F2973">
            <w:pPr>
              <w:pStyle w:val="149"/>
              <w:rPr>
                <w:sz w:val="13"/>
                <w:szCs w:val="13"/>
              </w:rPr>
            </w:pPr>
            <w:r>
              <w:rPr>
                <w:sz w:val="13"/>
                <w:szCs w:val="13"/>
              </w:rPr>
              <w:t>生产</w:t>
            </w:r>
          </w:p>
        </w:tc>
        <w:tc>
          <w:tcPr>
            <w:tcW w:w="992" w:type="dxa"/>
            <w:gridSpan w:val="2"/>
            <w:noWrap/>
            <w:vAlign w:val="center"/>
          </w:tcPr>
          <w:p w14:paraId="6E884333">
            <w:pPr>
              <w:pStyle w:val="149"/>
              <w:rPr>
                <w:sz w:val="13"/>
                <w:szCs w:val="13"/>
              </w:rPr>
            </w:pPr>
            <w:r>
              <w:rPr>
                <w:sz w:val="13"/>
                <w:szCs w:val="13"/>
              </w:rPr>
              <w:t>已编制方案</w:t>
            </w:r>
          </w:p>
        </w:tc>
        <w:tc>
          <w:tcPr>
            <w:tcW w:w="1701" w:type="dxa"/>
            <w:gridSpan w:val="2"/>
            <w:noWrap/>
            <w:vAlign w:val="center"/>
          </w:tcPr>
          <w:p w14:paraId="2988BCF4">
            <w:pPr>
              <w:pStyle w:val="149"/>
              <w:rPr>
                <w:sz w:val="13"/>
                <w:szCs w:val="13"/>
              </w:rPr>
            </w:pPr>
            <w:r>
              <w:rPr>
                <w:sz w:val="13"/>
                <w:szCs w:val="13"/>
              </w:rPr>
              <w:t>水保报告〔2022〕31（市审）</w:t>
            </w:r>
          </w:p>
        </w:tc>
        <w:tc>
          <w:tcPr>
            <w:tcW w:w="844" w:type="dxa"/>
            <w:vAlign w:val="center"/>
          </w:tcPr>
          <w:p w14:paraId="245D9D3F">
            <w:pPr>
              <w:pStyle w:val="149"/>
              <w:rPr>
                <w:sz w:val="13"/>
                <w:szCs w:val="13"/>
              </w:rPr>
            </w:pPr>
            <w:r>
              <w:rPr>
                <w:sz w:val="13"/>
                <w:szCs w:val="13"/>
              </w:rPr>
              <w:t>0.76</w:t>
            </w:r>
          </w:p>
        </w:tc>
        <w:tc>
          <w:tcPr>
            <w:tcW w:w="844" w:type="dxa"/>
            <w:gridSpan w:val="2"/>
            <w:vAlign w:val="center"/>
          </w:tcPr>
          <w:p w14:paraId="021E62AE">
            <w:pPr>
              <w:pStyle w:val="149"/>
              <w:rPr>
                <w:sz w:val="13"/>
                <w:szCs w:val="13"/>
              </w:rPr>
            </w:pPr>
            <w:r>
              <w:rPr>
                <w:sz w:val="13"/>
                <w:szCs w:val="13"/>
              </w:rPr>
              <w:t>0.76</w:t>
            </w:r>
          </w:p>
        </w:tc>
        <w:tc>
          <w:tcPr>
            <w:tcW w:w="892" w:type="dxa"/>
            <w:gridSpan w:val="2"/>
            <w:vAlign w:val="center"/>
          </w:tcPr>
          <w:p w14:paraId="1778BA88">
            <w:pPr>
              <w:pStyle w:val="149"/>
              <w:rPr>
                <w:sz w:val="13"/>
                <w:szCs w:val="13"/>
              </w:rPr>
            </w:pPr>
            <w:r>
              <w:rPr>
                <w:sz w:val="13"/>
                <w:szCs w:val="13"/>
              </w:rPr>
              <w:t>3.29</w:t>
            </w:r>
          </w:p>
        </w:tc>
        <w:tc>
          <w:tcPr>
            <w:tcW w:w="1527" w:type="dxa"/>
            <w:noWrap/>
            <w:vAlign w:val="center"/>
          </w:tcPr>
          <w:p w14:paraId="39202EA1">
            <w:pPr>
              <w:pStyle w:val="149"/>
              <w:rPr>
                <w:sz w:val="13"/>
                <w:szCs w:val="13"/>
              </w:rPr>
            </w:pPr>
            <w:r>
              <w:rPr>
                <w:sz w:val="13"/>
                <w:szCs w:val="13"/>
              </w:rPr>
              <w:t>铺砌透水砖、土地整治、空地绿化、密目网苫盖</w:t>
            </w:r>
          </w:p>
        </w:tc>
        <w:tc>
          <w:tcPr>
            <w:tcW w:w="1051" w:type="dxa"/>
            <w:noWrap/>
            <w:vAlign w:val="center"/>
          </w:tcPr>
          <w:p w14:paraId="58894D83">
            <w:pPr>
              <w:pStyle w:val="149"/>
              <w:rPr>
                <w:sz w:val="13"/>
                <w:szCs w:val="13"/>
              </w:rPr>
            </w:pPr>
            <w:r>
              <w:rPr>
                <w:sz w:val="13"/>
                <w:szCs w:val="13"/>
              </w:rPr>
              <w:t>未完成</w:t>
            </w:r>
          </w:p>
        </w:tc>
      </w:tr>
      <w:tr w14:paraId="27CE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09536FB9">
            <w:pPr>
              <w:pStyle w:val="149"/>
              <w:rPr>
                <w:sz w:val="13"/>
                <w:szCs w:val="13"/>
              </w:rPr>
            </w:pPr>
            <w:r>
              <w:rPr>
                <w:sz w:val="13"/>
                <w:szCs w:val="13"/>
              </w:rPr>
              <w:t>12</w:t>
            </w:r>
          </w:p>
        </w:tc>
        <w:tc>
          <w:tcPr>
            <w:tcW w:w="1317" w:type="dxa"/>
            <w:noWrap/>
            <w:vAlign w:val="center"/>
          </w:tcPr>
          <w:p w14:paraId="2255A938">
            <w:pPr>
              <w:pStyle w:val="149"/>
              <w:rPr>
                <w:sz w:val="13"/>
                <w:szCs w:val="13"/>
              </w:rPr>
            </w:pPr>
            <w:r>
              <w:rPr>
                <w:sz w:val="13"/>
                <w:szCs w:val="13"/>
              </w:rPr>
              <w:t>华维农装智谷（内蒙古）有限公司</w:t>
            </w:r>
          </w:p>
        </w:tc>
        <w:tc>
          <w:tcPr>
            <w:tcW w:w="2226" w:type="dxa"/>
            <w:noWrap/>
            <w:vAlign w:val="center"/>
          </w:tcPr>
          <w:p w14:paraId="224A980C">
            <w:pPr>
              <w:pStyle w:val="149"/>
              <w:rPr>
                <w:sz w:val="13"/>
                <w:szCs w:val="13"/>
              </w:rPr>
            </w:pPr>
            <w:r>
              <w:rPr>
                <w:sz w:val="13"/>
                <w:szCs w:val="13"/>
              </w:rPr>
              <w:t>华维农装智谷滴管新材料项目</w:t>
            </w:r>
          </w:p>
        </w:tc>
        <w:tc>
          <w:tcPr>
            <w:tcW w:w="1418" w:type="dxa"/>
            <w:noWrap/>
            <w:vAlign w:val="center"/>
          </w:tcPr>
          <w:p w14:paraId="0E59A0BA">
            <w:pPr>
              <w:pStyle w:val="149"/>
              <w:rPr>
                <w:sz w:val="13"/>
                <w:szCs w:val="13"/>
              </w:rPr>
            </w:pPr>
            <w:r>
              <w:rPr>
                <w:sz w:val="13"/>
                <w:szCs w:val="13"/>
              </w:rPr>
              <w:t>项目代码：2101-150222-07-01-688461</w:t>
            </w:r>
          </w:p>
        </w:tc>
        <w:tc>
          <w:tcPr>
            <w:tcW w:w="709" w:type="dxa"/>
            <w:noWrap/>
            <w:vAlign w:val="center"/>
          </w:tcPr>
          <w:p w14:paraId="12A018E4">
            <w:pPr>
              <w:pStyle w:val="149"/>
              <w:rPr>
                <w:sz w:val="13"/>
                <w:szCs w:val="13"/>
              </w:rPr>
            </w:pPr>
            <w:r>
              <w:rPr>
                <w:sz w:val="13"/>
                <w:szCs w:val="13"/>
              </w:rPr>
              <w:t>2.07</w:t>
            </w:r>
          </w:p>
        </w:tc>
        <w:tc>
          <w:tcPr>
            <w:tcW w:w="803" w:type="dxa"/>
            <w:noWrap/>
            <w:vAlign w:val="center"/>
          </w:tcPr>
          <w:p w14:paraId="0F0C2566">
            <w:pPr>
              <w:pStyle w:val="149"/>
              <w:rPr>
                <w:sz w:val="13"/>
                <w:szCs w:val="13"/>
              </w:rPr>
            </w:pPr>
            <w:r>
              <w:rPr>
                <w:sz w:val="13"/>
                <w:szCs w:val="13"/>
              </w:rPr>
              <w:t>2020-2020</w:t>
            </w:r>
          </w:p>
        </w:tc>
        <w:tc>
          <w:tcPr>
            <w:tcW w:w="614" w:type="dxa"/>
            <w:gridSpan w:val="2"/>
            <w:noWrap/>
            <w:vAlign w:val="center"/>
          </w:tcPr>
          <w:p w14:paraId="1C6E960C">
            <w:pPr>
              <w:pStyle w:val="149"/>
              <w:rPr>
                <w:sz w:val="13"/>
                <w:szCs w:val="13"/>
              </w:rPr>
            </w:pPr>
            <w:r>
              <w:rPr>
                <w:sz w:val="13"/>
                <w:szCs w:val="13"/>
              </w:rPr>
              <w:t>建成</w:t>
            </w:r>
          </w:p>
        </w:tc>
        <w:tc>
          <w:tcPr>
            <w:tcW w:w="567" w:type="dxa"/>
            <w:gridSpan w:val="2"/>
            <w:noWrap/>
            <w:vAlign w:val="center"/>
          </w:tcPr>
          <w:p w14:paraId="41D241AF">
            <w:pPr>
              <w:pStyle w:val="149"/>
              <w:rPr>
                <w:sz w:val="13"/>
                <w:szCs w:val="13"/>
              </w:rPr>
            </w:pPr>
            <w:r>
              <w:rPr>
                <w:sz w:val="13"/>
                <w:szCs w:val="13"/>
              </w:rPr>
              <w:t>生产</w:t>
            </w:r>
          </w:p>
        </w:tc>
        <w:tc>
          <w:tcPr>
            <w:tcW w:w="992" w:type="dxa"/>
            <w:gridSpan w:val="2"/>
            <w:noWrap/>
            <w:vAlign w:val="center"/>
          </w:tcPr>
          <w:p w14:paraId="11338872">
            <w:pPr>
              <w:pStyle w:val="149"/>
              <w:rPr>
                <w:sz w:val="13"/>
                <w:szCs w:val="13"/>
              </w:rPr>
            </w:pPr>
            <w:r>
              <w:rPr>
                <w:sz w:val="13"/>
                <w:szCs w:val="13"/>
              </w:rPr>
              <w:t>已编制方案</w:t>
            </w:r>
          </w:p>
        </w:tc>
        <w:tc>
          <w:tcPr>
            <w:tcW w:w="1701" w:type="dxa"/>
            <w:gridSpan w:val="2"/>
            <w:noWrap/>
            <w:vAlign w:val="center"/>
          </w:tcPr>
          <w:p w14:paraId="066C5725">
            <w:pPr>
              <w:pStyle w:val="149"/>
              <w:rPr>
                <w:sz w:val="13"/>
                <w:szCs w:val="13"/>
              </w:rPr>
            </w:pPr>
            <w:r>
              <w:rPr>
                <w:sz w:val="13"/>
                <w:szCs w:val="13"/>
              </w:rPr>
              <w:t>固水保许可〔2022〕4号</w:t>
            </w:r>
          </w:p>
        </w:tc>
        <w:tc>
          <w:tcPr>
            <w:tcW w:w="844" w:type="dxa"/>
            <w:vAlign w:val="center"/>
          </w:tcPr>
          <w:p w14:paraId="3A874F12">
            <w:pPr>
              <w:pStyle w:val="149"/>
              <w:rPr>
                <w:sz w:val="13"/>
                <w:szCs w:val="13"/>
              </w:rPr>
            </w:pPr>
            <w:r>
              <w:rPr>
                <w:sz w:val="13"/>
                <w:szCs w:val="13"/>
              </w:rPr>
              <w:t>0.31</w:t>
            </w:r>
          </w:p>
        </w:tc>
        <w:tc>
          <w:tcPr>
            <w:tcW w:w="844" w:type="dxa"/>
            <w:gridSpan w:val="2"/>
            <w:vAlign w:val="center"/>
          </w:tcPr>
          <w:p w14:paraId="3E68D8CF">
            <w:pPr>
              <w:pStyle w:val="149"/>
              <w:rPr>
                <w:sz w:val="13"/>
                <w:szCs w:val="13"/>
              </w:rPr>
            </w:pPr>
            <w:r>
              <w:rPr>
                <w:sz w:val="13"/>
                <w:szCs w:val="13"/>
              </w:rPr>
              <w:t>0.31</w:t>
            </w:r>
          </w:p>
        </w:tc>
        <w:tc>
          <w:tcPr>
            <w:tcW w:w="892" w:type="dxa"/>
            <w:gridSpan w:val="2"/>
            <w:vAlign w:val="center"/>
          </w:tcPr>
          <w:p w14:paraId="4721F5CC">
            <w:pPr>
              <w:pStyle w:val="149"/>
              <w:rPr>
                <w:sz w:val="13"/>
                <w:szCs w:val="13"/>
              </w:rPr>
            </w:pPr>
            <w:r>
              <w:rPr>
                <w:sz w:val="13"/>
                <w:szCs w:val="13"/>
              </w:rPr>
              <w:t>0.2</w:t>
            </w:r>
          </w:p>
        </w:tc>
        <w:tc>
          <w:tcPr>
            <w:tcW w:w="1527" w:type="dxa"/>
            <w:noWrap/>
            <w:vAlign w:val="center"/>
          </w:tcPr>
          <w:p w14:paraId="35C82C7B">
            <w:pPr>
              <w:pStyle w:val="149"/>
              <w:rPr>
                <w:sz w:val="13"/>
                <w:szCs w:val="13"/>
              </w:rPr>
            </w:pPr>
            <w:r>
              <w:rPr>
                <w:sz w:val="13"/>
                <w:szCs w:val="13"/>
              </w:rPr>
              <w:t>铺砌透水砖、排水暗管、土地整治、空地绿化、密目网苫盖</w:t>
            </w:r>
          </w:p>
        </w:tc>
        <w:tc>
          <w:tcPr>
            <w:tcW w:w="1051" w:type="dxa"/>
            <w:noWrap/>
            <w:vAlign w:val="center"/>
          </w:tcPr>
          <w:p w14:paraId="239F0342">
            <w:pPr>
              <w:pStyle w:val="149"/>
              <w:rPr>
                <w:sz w:val="13"/>
                <w:szCs w:val="13"/>
              </w:rPr>
            </w:pPr>
            <w:r>
              <w:rPr>
                <w:sz w:val="13"/>
                <w:szCs w:val="13"/>
              </w:rPr>
              <w:t>未完成</w:t>
            </w:r>
          </w:p>
        </w:tc>
      </w:tr>
      <w:tr w14:paraId="1FA1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69856FB2">
            <w:pPr>
              <w:pStyle w:val="149"/>
              <w:rPr>
                <w:sz w:val="13"/>
                <w:szCs w:val="13"/>
              </w:rPr>
            </w:pPr>
            <w:r>
              <w:rPr>
                <w:sz w:val="13"/>
                <w:szCs w:val="13"/>
              </w:rPr>
              <w:t>13</w:t>
            </w:r>
          </w:p>
        </w:tc>
        <w:tc>
          <w:tcPr>
            <w:tcW w:w="1317" w:type="dxa"/>
            <w:noWrap/>
            <w:vAlign w:val="center"/>
          </w:tcPr>
          <w:p w14:paraId="43334FB7">
            <w:pPr>
              <w:pStyle w:val="149"/>
              <w:rPr>
                <w:sz w:val="13"/>
                <w:szCs w:val="13"/>
              </w:rPr>
            </w:pPr>
            <w:r>
              <w:rPr>
                <w:sz w:val="13"/>
                <w:szCs w:val="13"/>
              </w:rPr>
              <w:t>内蒙古港亿天然气有限公司</w:t>
            </w:r>
          </w:p>
        </w:tc>
        <w:tc>
          <w:tcPr>
            <w:tcW w:w="2226" w:type="dxa"/>
            <w:noWrap/>
            <w:vAlign w:val="center"/>
          </w:tcPr>
          <w:p w14:paraId="24947CDA">
            <w:pPr>
              <w:pStyle w:val="149"/>
              <w:rPr>
                <w:sz w:val="13"/>
                <w:szCs w:val="13"/>
              </w:rPr>
            </w:pPr>
            <w:r>
              <w:rPr>
                <w:sz w:val="13"/>
                <w:szCs w:val="13"/>
              </w:rPr>
              <w:t>土右旗·至固阳金山工业园区天然气工程</w:t>
            </w:r>
          </w:p>
        </w:tc>
        <w:tc>
          <w:tcPr>
            <w:tcW w:w="1418" w:type="dxa"/>
            <w:noWrap/>
            <w:vAlign w:val="center"/>
          </w:tcPr>
          <w:p w14:paraId="0C26E854">
            <w:pPr>
              <w:pStyle w:val="149"/>
              <w:rPr>
                <w:sz w:val="13"/>
                <w:szCs w:val="13"/>
              </w:rPr>
            </w:pPr>
            <w:r>
              <w:rPr>
                <w:sz w:val="13"/>
                <w:szCs w:val="13"/>
              </w:rPr>
              <w:t>包发改能源字【2013】753号</w:t>
            </w:r>
          </w:p>
        </w:tc>
        <w:tc>
          <w:tcPr>
            <w:tcW w:w="709" w:type="dxa"/>
            <w:noWrap/>
            <w:vAlign w:val="center"/>
          </w:tcPr>
          <w:p w14:paraId="6D75EAAA">
            <w:pPr>
              <w:pStyle w:val="149"/>
              <w:rPr>
                <w:sz w:val="13"/>
                <w:szCs w:val="13"/>
              </w:rPr>
            </w:pPr>
            <w:r>
              <w:rPr>
                <w:sz w:val="13"/>
                <w:szCs w:val="13"/>
              </w:rPr>
              <w:t>0.77</w:t>
            </w:r>
          </w:p>
        </w:tc>
        <w:tc>
          <w:tcPr>
            <w:tcW w:w="803" w:type="dxa"/>
            <w:noWrap/>
            <w:vAlign w:val="center"/>
          </w:tcPr>
          <w:p w14:paraId="63D95371">
            <w:pPr>
              <w:pStyle w:val="149"/>
              <w:rPr>
                <w:sz w:val="13"/>
                <w:szCs w:val="13"/>
              </w:rPr>
            </w:pPr>
            <w:r>
              <w:rPr>
                <w:sz w:val="13"/>
                <w:szCs w:val="13"/>
              </w:rPr>
              <w:t>2013-2014</w:t>
            </w:r>
          </w:p>
        </w:tc>
        <w:tc>
          <w:tcPr>
            <w:tcW w:w="614" w:type="dxa"/>
            <w:gridSpan w:val="2"/>
            <w:noWrap/>
            <w:vAlign w:val="center"/>
          </w:tcPr>
          <w:p w14:paraId="327AC927">
            <w:pPr>
              <w:pStyle w:val="149"/>
              <w:rPr>
                <w:sz w:val="13"/>
                <w:szCs w:val="13"/>
              </w:rPr>
            </w:pPr>
            <w:r>
              <w:rPr>
                <w:sz w:val="13"/>
                <w:szCs w:val="13"/>
              </w:rPr>
              <w:t>建成</w:t>
            </w:r>
          </w:p>
        </w:tc>
        <w:tc>
          <w:tcPr>
            <w:tcW w:w="567" w:type="dxa"/>
            <w:gridSpan w:val="2"/>
            <w:noWrap/>
            <w:vAlign w:val="center"/>
          </w:tcPr>
          <w:p w14:paraId="3912DF1B">
            <w:pPr>
              <w:pStyle w:val="149"/>
              <w:rPr>
                <w:sz w:val="13"/>
                <w:szCs w:val="13"/>
              </w:rPr>
            </w:pPr>
            <w:r>
              <w:rPr>
                <w:sz w:val="13"/>
                <w:szCs w:val="13"/>
              </w:rPr>
              <w:t>运营</w:t>
            </w:r>
          </w:p>
        </w:tc>
        <w:tc>
          <w:tcPr>
            <w:tcW w:w="992" w:type="dxa"/>
            <w:gridSpan w:val="2"/>
            <w:noWrap/>
            <w:vAlign w:val="center"/>
          </w:tcPr>
          <w:p w14:paraId="3AE92FE4">
            <w:pPr>
              <w:pStyle w:val="149"/>
              <w:rPr>
                <w:sz w:val="13"/>
                <w:szCs w:val="13"/>
              </w:rPr>
            </w:pPr>
            <w:r>
              <w:rPr>
                <w:sz w:val="13"/>
                <w:szCs w:val="13"/>
              </w:rPr>
              <w:t>已编制方案</w:t>
            </w:r>
          </w:p>
        </w:tc>
        <w:tc>
          <w:tcPr>
            <w:tcW w:w="1701" w:type="dxa"/>
            <w:gridSpan w:val="2"/>
            <w:noWrap/>
            <w:vAlign w:val="center"/>
          </w:tcPr>
          <w:p w14:paraId="52B421CC">
            <w:pPr>
              <w:pStyle w:val="149"/>
              <w:rPr>
                <w:sz w:val="13"/>
                <w:szCs w:val="13"/>
              </w:rPr>
            </w:pPr>
            <w:r>
              <w:rPr>
                <w:sz w:val="13"/>
                <w:szCs w:val="13"/>
              </w:rPr>
              <w:t>固水保许可（2021）14号</w:t>
            </w:r>
          </w:p>
        </w:tc>
        <w:tc>
          <w:tcPr>
            <w:tcW w:w="844" w:type="dxa"/>
            <w:noWrap/>
            <w:vAlign w:val="center"/>
          </w:tcPr>
          <w:p w14:paraId="10CCB766">
            <w:pPr>
              <w:pStyle w:val="149"/>
              <w:rPr>
                <w:sz w:val="13"/>
                <w:szCs w:val="13"/>
              </w:rPr>
            </w:pPr>
            <w:r>
              <w:rPr>
                <w:sz w:val="13"/>
                <w:szCs w:val="13"/>
              </w:rPr>
              <w:t>0.45</w:t>
            </w:r>
          </w:p>
        </w:tc>
        <w:tc>
          <w:tcPr>
            <w:tcW w:w="844" w:type="dxa"/>
            <w:gridSpan w:val="2"/>
            <w:noWrap/>
            <w:vAlign w:val="center"/>
          </w:tcPr>
          <w:p w14:paraId="5FE8E71C">
            <w:pPr>
              <w:pStyle w:val="149"/>
              <w:rPr>
                <w:sz w:val="13"/>
                <w:szCs w:val="13"/>
              </w:rPr>
            </w:pPr>
            <w:r>
              <w:rPr>
                <w:sz w:val="13"/>
                <w:szCs w:val="13"/>
              </w:rPr>
              <w:t>0.45</w:t>
            </w:r>
          </w:p>
        </w:tc>
        <w:tc>
          <w:tcPr>
            <w:tcW w:w="892" w:type="dxa"/>
            <w:gridSpan w:val="2"/>
            <w:vAlign w:val="center"/>
          </w:tcPr>
          <w:p w14:paraId="1CA8397D">
            <w:pPr>
              <w:pStyle w:val="149"/>
              <w:rPr>
                <w:sz w:val="13"/>
                <w:szCs w:val="13"/>
              </w:rPr>
            </w:pPr>
            <w:r>
              <w:rPr>
                <w:sz w:val="13"/>
                <w:szCs w:val="13"/>
              </w:rPr>
              <w:t>0.19</w:t>
            </w:r>
          </w:p>
        </w:tc>
        <w:tc>
          <w:tcPr>
            <w:tcW w:w="1527" w:type="dxa"/>
            <w:noWrap/>
            <w:vAlign w:val="center"/>
          </w:tcPr>
          <w:p w14:paraId="099D5A9E">
            <w:pPr>
              <w:pStyle w:val="149"/>
              <w:rPr>
                <w:sz w:val="13"/>
                <w:szCs w:val="13"/>
              </w:rPr>
            </w:pPr>
            <w:r>
              <w:rPr>
                <w:sz w:val="13"/>
                <w:szCs w:val="13"/>
              </w:rPr>
              <w:t>土地整治、空地绿化、密目网苫盖</w:t>
            </w:r>
          </w:p>
          <w:p w14:paraId="4FF65144">
            <w:pPr>
              <w:pStyle w:val="149"/>
              <w:rPr>
                <w:sz w:val="13"/>
                <w:szCs w:val="13"/>
              </w:rPr>
            </w:pPr>
          </w:p>
          <w:p w14:paraId="585B7952">
            <w:pPr>
              <w:pStyle w:val="149"/>
              <w:rPr>
                <w:sz w:val="13"/>
                <w:szCs w:val="13"/>
              </w:rPr>
            </w:pPr>
          </w:p>
        </w:tc>
        <w:tc>
          <w:tcPr>
            <w:tcW w:w="1051" w:type="dxa"/>
            <w:noWrap/>
            <w:vAlign w:val="center"/>
          </w:tcPr>
          <w:p w14:paraId="6CAB5AEB">
            <w:pPr>
              <w:pStyle w:val="149"/>
              <w:rPr>
                <w:sz w:val="13"/>
                <w:szCs w:val="13"/>
              </w:rPr>
            </w:pPr>
            <w:r>
              <w:rPr>
                <w:sz w:val="13"/>
                <w:szCs w:val="13"/>
              </w:rPr>
              <w:t>未完成</w:t>
            </w:r>
          </w:p>
        </w:tc>
      </w:tr>
      <w:tr w14:paraId="05A1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2C002FEB">
            <w:pPr>
              <w:pStyle w:val="149"/>
              <w:rPr>
                <w:sz w:val="13"/>
                <w:szCs w:val="13"/>
              </w:rPr>
            </w:pPr>
            <w:r>
              <w:rPr>
                <w:sz w:val="13"/>
                <w:szCs w:val="13"/>
              </w:rPr>
              <w:t>14</w:t>
            </w:r>
          </w:p>
        </w:tc>
        <w:tc>
          <w:tcPr>
            <w:tcW w:w="1317" w:type="dxa"/>
            <w:noWrap/>
            <w:vAlign w:val="center"/>
          </w:tcPr>
          <w:p w14:paraId="7A3C9DCC">
            <w:pPr>
              <w:pStyle w:val="149"/>
              <w:rPr>
                <w:sz w:val="13"/>
                <w:szCs w:val="13"/>
              </w:rPr>
            </w:pPr>
            <w:r>
              <w:rPr>
                <w:sz w:val="13"/>
                <w:szCs w:val="13"/>
              </w:rPr>
              <w:t>内蒙古宏盛美亚科技环保设备有限公司</w:t>
            </w:r>
          </w:p>
        </w:tc>
        <w:tc>
          <w:tcPr>
            <w:tcW w:w="2226" w:type="dxa"/>
            <w:noWrap/>
            <w:vAlign w:val="center"/>
          </w:tcPr>
          <w:p w14:paraId="0F3BDD0C">
            <w:pPr>
              <w:pStyle w:val="149"/>
              <w:rPr>
                <w:sz w:val="13"/>
                <w:szCs w:val="13"/>
              </w:rPr>
            </w:pPr>
            <w:r>
              <w:rPr>
                <w:sz w:val="13"/>
                <w:szCs w:val="13"/>
              </w:rPr>
              <w:t>内蒙古宏盛美亚环保设备有限公司年产50台尾矿干排设备生产项目</w:t>
            </w:r>
          </w:p>
        </w:tc>
        <w:tc>
          <w:tcPr>
            <w:tcW w:w="1418" w:type="dxa"/>
            <w:noWrap/>
            <w:vAlign w:val="center"/>
          </w:tcPr>
          <w:p w14:paraId="2E75567D">
            <w:pPr>
              <w:pStyle w:val="149"/>
              <w:rPr>
                <w:sz w:val="13"/>
                <w:szCs w:val="13"/>
              </w:rPr>
            </w:pPr>
            <w:r>
              <w:rPr>
                <w:sz w:val="13"/>
                <w:szCs w:val="13"/>
              </w:rPr>
              <w:t>项目编号：2018-150222-42-03-031739</w:t>
            </w:r>
          </w:p>
        </w:tc>
        <w:tc>
          <w:tcPr>
            <w:tcW w:w="709" w:type="dxa"/>
            <w:noWrap/>
            <w:vAlign w:val="center"/>
          </w:tcPr>
          <w:p w14:paraId="4622C420">
            <w:pPr>
              <w:pStyle w:val="149"/>
              <w:rPr>
                <w:sz w:val="13"/>
                <w:szCs w:val="13"/>
              </w:rPr>
            </w:pPr>
            <w:r>
              <w:rPr>
                <w:sz w:val="13"/>
                <w:szCs w:val="13"/>
              </w:rPr>
              <w:t>1.99</w:t>
            </w:r>
          </w:p>
        </w:tc>
        <w:tc>
          <w:tcPr>
            <w:tcW w:w="803" w:type="dxa"/>
            <w:noWrap/>
            <w:vAlign w:val="center"/>
          </w:tcPr>
          <w:p w14:paraId="5D150CA8">
            <w:pPr>
              <w:pStyle w:val="149"/>
              <w:rPr>
                <w:sz w:val="13"/>
                <w:szCs w:val="13"/>
              </w:rPr>
            </w:pPr>
            <w:r>
              <w:rPr>
                <w:sz w:val="13"/>
                <w:szCs w:val="13"/>
              </w:rPr>
              <w:t>2019-2020</w:t>
            </w:r>
          </w:p>
        </w:tc>
        <w:tc>
          <w:tcPr>
            <w:tcW w:w="614" w:type="dxa"/>
            <w:gridSpan w:val="2"/>
            <w:noWrap/>
            <w:vAlign w:val="center"/>
          </w:tcPr>
          <w:p w14:paraId="057A5C15">
            <w:pPr>
              <w:pStyle w:val="149"/>
              <w:rPr>
                <w:sz w:val="13"/>
                <w:szCs w:val="13"/>
              </w:rPr>
            </w:pPr>
            <w:r>
              <w:rPr>
                <w:sz w:val="13"/>
                <w:szCs w:val="13"/>
              </w:rPr>
              <w:t>建成</w:t>
            </w:r>
          </w:p>
        </w:tc>
        <w:tc>
          <w:tcPr>
            <w:tcW w:w="567" w:type="dxa"/>
            <w:gridSpan w:val="2"/>
            <w:noWrap/>
            <w:vAlign w:val="center"/>
          </w:tcPr>
          <w:p w14:paraId="079CB676">
            <w:pPr>
              <w:pStyle w:val="149"/>
              <w:rPr>
                <w:sz w:val="13"/>
                <w:szCs w:val="13"/>
              </w:rPr>
            </w:pPr>
            <w:r>
              <w:rPr>
                <w:sz w:val="13"/>
                <w:szCs w:val="13"/>
              </w:rPr>
              <w:t>生产</w:t>
            </w:r>
          </w:p>
        </w:tc>
        <w:tc>
          <w:tcPr>
            <w:tcW w:w="992" w:type="dxa"/>
            <w:gridSpan w:val="2"/>
            <w:noWrap/>
            <w:vAlign w:val="center"/>
          </w:tcPr>
          <w:p w14:paraId="06EF0190">
            <w:pPr>
              <w:pStyle w:val="149"/>
              <w:rPr>
                <w:sz w:val="13"/>
                <w:szCs w:val="13"/>
              </w:rPr>
            </w:pPr>
            <w:r>
              <w:rPr>
                <w:sz w:val="13"/>
                <w:szCs w:val="13"/>
              </w:rPr>
              <w:t>已编制方案</w:t>
            </w:r>
          </w:p>
        </w:tc>
        <w:tc>
          <w:tcPr>
            <w:tcW w:w="1701" w:type="dxa"/>
            <w:gridSpan w:val="2"/>
            <w:noWrap/>
            <w:vAlign w:val="center"/>
          </w:tcPr>
          <w:p w14:paraId="55E102B3">
            <w:pPr>
              <w:pStyle w:val="149"/>
              <w:rPr>
                <w:sz w:val="13"/>
                <w:szCs w:val="13"/>
              </w:rPr>
            </w:pPr>
            <w:r>
              <w:rPr>
                <w:sz w:val="13"/>
                <w:szCs w:val="13"/>
              </w:rPr>
              <w:t>固水保许可〔2022〕3号</w:t>
            </w:r>
          </w:p>
        </w:tc>
        <w:tc>
          <w:tcPr>
            <w:tcW w:w="844" w:type="dxa"/>
            <w:vAlign w:val="center"/>
          </w:tcPr>
          <w:p w14:paraId="17D78146">
            <w:pPr>
              <w:pStyle w:val="149"/>
              <w:rPr>
                <w:sz w:val="13"/>
                <w:szCs w:val="13"/>
              </w:rPr>
            </w:pPr>
            <w:r>
              <w:rPr>
                <w:sz w:val="13"/>
                <w:szCs w:val="13"/>
              </w:rPr>
              <w:t>1.88</w:t>
            </w:r>
          </w:p>
        </w:tc>
        <w:tc>
          <w:tcPr>
            <w:tcW w:w="844" w:type="dxa"/>
            <w:gridSpan w:val="2"/>
            <w:vAlign w:val="center"/>
          </w:tcPr>
          <w:p w14:paraId="1194772F">
            <w:pPr>
              <w:pStyle w:val="149"/>
              <w:rPr>
                <w:sz w:val="13"/>
                <w:szCs w:val="13"/>
              </w:rPr>
            </w:pPr>
            <w:r>
              <w:rPr>
                <w:sz w:val="13"/>
                <w:szCs w:val="13"/>
              </w:rPr>
              <w:t>1.88</w:t>
            </w:r>
          </w:p>
        </w:tc>
        <w:tc>
          <w:tcPr>
            <w:tcW w:w="892" w:type="dxa"/>
            <w:gridSpan w:val="2"/>
            <w:vAlign w:val="center"/>
          </w:tcPr>
          <w:p w14:paraId="7497B871">
            <w:pPr>
              <w:pStyle w:val="149"/>
              <w:rPr>
                <w:sz w:val="13"/>
                <w:szCs w:val="13"/>
              </w:rPr>
            </w:pPr>
            <w:r>
              <w:rPr>
                <w:sz w:val="13"/>
                <w:szCs w:val="13"/>
              </w:rPr>
              <w:t>0.37</w:t>
            </w:r>
          </w:p>
        </w:tc>
        <w:tc>
          <w:tcPr>
            <w:tcW w:w="1527" w:type="dxa"/>
            <w:noWrap/>
            <w:vAlign w:val="center"/>
          </w:tcPr>
          <w:p w14:paraId="5C06CB67">
            <w:pPr>
              <w:pStyle w:val="149"/>
              <w:rPr>
                <w:sz w:val="13"/>
                <w:szCs w:val="13"/>
              </w:rPr>
            </w:pPr>
            <w:r>
              <w:rPr>
                <w:sz w:val="13"/>
                <w:szCs w:val="13"/>
              </w:rPr>
              <w:t>节水灌溉、空地绿化</w:t>
            </w:r>
          </w:p>
        </w:tc>
        <w:tc>
          <w:tcPr>
            <w:tcW w:w="1051" w:type="dxa"/>
            <w:noWrap/>
            <w:vAlign w:val="center"/>
          </w:tcPr>
          <w:p w14:paraId="06CF2D24">
            <w:pPr>
              <w:pStyle w:val="149"/>
              <w:rPr>
                <w:sz w:val="13"/>
                <w:szCs w:val="13"/>
              </w:rPr>
            </w:pPr>
            <w:r>
              <w:rPr>
                <w:sz w:val="13"/>
                <w:szCs w:val="13"/>
              </w:rPr>
              <w:t>未完成</w:t>
            </w:r>
          </w:p>
        </w:tc>
      </w:tr>
      <w:tr w14:paraId="5582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5A1B18E6">
            <w:pPr>
              <w:pStyle w:val="149"/>
              <w:rPr>
                <w:sz w:val="13"/>
                <w:szCs w:val="13"/>
              </w:rPr>
            </w:pPr>
            <w:r>
              <w:rPr>
                <w:sz w:val="13"/>
                <w:szCs w:val="13"/>
              </w:rPr>
              <w:t>15</w:t>
            </w:r>
          </w:p>
        </w:tc>
        <w:tc>
          <w:tcPr>
            <w:tcW w:w="1317" w:type="dxa"/>
            <w:noWrap/>
            <w:vAlign w:val="center"/>
          </w:tcPr>
          <w:p w14:paraId="78BE38C1">
            <w:pPr>
              <w:pStyle w:val="149"/>
              <w:rPr>
                <w:sz w:val="13"/>
                <w:szCs w:val="13"/>
              </w:rPr>
            </w:pPr>
            <w:r>
              <w:rPr>
                <w:sz w:val="13"/>
                <w:szCs w:val="13"/>
              </w:rPr>
              <w:t>内蒙古特变电工能源装备有限公司</w:t>
            </w:r>
          </w:p>
        </w:tc>
        <w:tc>
          <w:tcPr>
            <w:tcW w:w="2226" w:type="dxa"/>
            <w:noWrap/>
            <w:vAlign w:val="center"/>
          </w:tcPr>
          <w:p w14:paraId="280ED63B">
            <w:pPr>
              <w:pStyle w:val="149"/>
              <w:rPr>
                <w:sz w:val="13"/>
                <w:szCs w:val="13"/>
              </w:rPr>
            </w:pPr>
            <w:r>
              <w:rPr>
                <w:sz w:val="13"/>
                <w:szCs w:val="13"/>
              </w:rPr>
              <w:t>内蒙古特变电工能源装备有限公司特变电工风电塔筒项目</w:t>
            </w:r>
          </w:p>
        </w:tc>
        <w:tc>
          <w:tcPr>
            <w:tcW w:w="1418" w:type="dxa"/>
            <w:noWrap/>
            <w:vAlign w:val="center"/>
          </w:tcPr>
          <w:p w14:paraId="597C4D5A">
            <w:pPr>
              <w:pStyle w:val="149"/>
              <w:rPr>
                <w:sz w:val="13"/>
                <w:szCs w:val="13"/>
              </w:rPr>
            </w:pPr>
            <w:r>
              <w:rPr>
                <w:sz w:val="13"/>
                <w:szCs w:val="13"/>
              </w:rPr>
              <w:t>2103-150222-07-01-157663</w:t>
            </w:r>
          </w:p>
        </w:tc>
        <w:tc>
          <w:tcPr>
            <w:tcW w:w="709" w:type="dxa"/>
            <w:noWrap/>
            <w:vAlign w:val="center"/>
          </w:tcPr>
          <w:p w14:paraId="2A0411A6">
            <w:pPr>
              <w:pStyle w:val="149"/>
              <w:rPr>
                <w:sz w:val="13"/>
                <w:szCs w:val="13"/>
              </w:rPr>
            </w:pPr>
            <w:r>
              <w:rPr>
                <w:sz w:val="13"/>
                <w:szCs w:val="13"/>
              </w:rPr>
              <w:t>6.5</w:t>
            </w:r>
          </w:p>
        </w:tc>
        <w:tc>
          <w:tcPr>
            <w:tcW w:w="803" w:type="dxa"/>
            <w:noWrap/>
            <w:vAlign w:val="center"/>
          </w:tcPr>
          <w:p w14:paraId="7730DA49">
            <w:pPr>
              <w:pStyle w:val="149"/>
              <w:rPr>
                <w:sz w:val="13"/>
                <w:szCs w:val="13"/>
              </w:rPr>
            </w:pPr>
            <w:r>
              <w:rPr>
                <w:sz w:val="13"/>
                <w:szCs w:val="13"/>
              </w:rPr>
              <w:t>2021-2021</w:t>
            </w:r>
          </w:p>
        </w:tc>
        <w:tc>
          <w:tcPr>
            <w:tcW w:w="614" w:type="dxa"/>
            <w:gridSpan w:val="2"/>
            <w:noWrap/>
            <w:vAlign w:val="center"/>
          </w:tcPr>
          <w:p w14:paraId="313A14D6">
            <w:pPr>
              <w:pStyle w:val="149"/>
              <w:rPr>
                <w:sz w:val="13"/>
                <w:szCs w:val="13"/>
              </w:rPr>
            </w:pPr>
            <w:r>
              <w:rPr>
                <w:sz w:val="13"/>
                <w:szCs w:val="13"/>
              </w:rPr>
              <w:t>建成</w:t>
            </w:r>
          </w:p>
        </w:tc>
        <w:tc>
          <w:tcPr>
            <w:tcW w:w="567" w:type="dxa"/>
            <w:gridSpan w:val="2"/>
            <w:noWrap/>
            <w:vAlign w:val="center"/>
          </w:tcPr>
          <w:p w14:paraId="0441B442">
            <w:pPr>
              <w:pStyle w:val="149"/>
              <w:rPr>
                <w:sz w:val="13"/>
                <w:szCs w:val="13"/>
              </w:rPr>
            </w:pPr>
            <w:r>
              <w:rPr>
                <w:sz w:val="13"/>
                <w:szCs w:val="13"/>
              </w:rPr>
              <w:t>生产</w:t>
            </w:r>
          </w:p>
        </w:tc>
        <w:tc>
          <w:tcPr>
            <w:tcW w:w="992" w:type="dxa"/>
            <w:gridSpan w:val="2"/>
            <w:noWrap/>
            <w:vAlign w:val="center"/>
          </w:tcPr>
          <w:p w14:paraId="1E4728BB">
            <w:pPr>
              <w:pStyle w:val="149"/>
              <w:rPr>
                <w:sz w:val="13"/>
                <w:szCs w:val="13"/>
              </w:rPr>
            </w:pPr>
            <w:r>
              <w:rPr>
                <w:sz w:val="13"/>
                <w:szCs w:val="13"/>
              </w:rPr>
              <w:t>已编制方案</w:t>
            </w:r>
          </w:p>
        </w:tc>
        <w:tc>
          <w:tcPr>
            <w:tcW w:w="1701" w:type="dxa"/>
            <w:gridSpan w:val="2"/>
            <w:noWrap/>
            <w:vAlign w:val="center"/>
          </w:tcPr>
          <w:p w14:paraId="630ADD5D">
            <w:pPr>
              <w:pStyle w:val="149"/>
              <w:rPr>
                <w:sz w:val="13"/>
                <w:szCs w:val="13"/>
              </w:rPr>
            </w:pPr>
            <w:r>
              <w:rPr>
                <w:sz w:val="13"/>
                <w:szCs w:val="13"/>
              </w:rPr>
              <w:t>固水保许可（2021）12号</w:t>
            </w:r>
          </w:p>
        </w:tc>
        <w:tc>
          <w:tcPr>
            <w:tcW w:w="844" w:type="dxa"/>
            <w:noWrap/>
            <w:vAlign w:val="center"/>
          </w:tcPr>
          <w:p w14:paraId="06884DFC">
            <w:pPr>
              <w:pStyle w:val="149"/>
              <w:rPr>
                <w:sz w:val="13"/>
                <w:szCs w:val="13"/>
              </w:rPr>
            </w:pPr>
            <w:r>
              <w:rPr>
                <w:sz w:val="13"/>
                <w:szCs w:val="13"/>
              </w:rPr>
              <w:t>2.275</w:t>
            </w:r>
          </w:p>
        </w:tc>
        <w:tc>
          <w:tcPr>
            <w:tcW w:w="844" w:type="dxa"/>
            <w:gridSpan w:val="2"/>
            <w:noWrap/>
            <w:vAlign w:val="center"/>
          </w:tcPr>
          <w:p w14:paraId="0F9F6FB5">
            <w:pPr>
              <w:pStyle w:val="149"/>
              <w:rPr>
                <w:sz w:val="13"/>
                <w:szCs w:val="13"/>
              </w:rPr>
            </w:pPr>
            <w:r>
              <w:rPr>
                <w:sz w:val="13"/>
                <w:szCs w:val="13"/>
              </w:rPr>
              <w:t>2.275</w:t>
            </w:r>
          </w:p>
        </w:tc>
        <w:tc>
          <w:tcPr>
            <w:tcW w:w="892" w:type="dxa"/>
            <w:gridSpan w:val="2"/>
            <w:vAlign w:val="center"/>
          </w:tcPr>
          <w:p w14:paraId="5C57C85E">
            <w:pPr>
              <w:pStyle w:val="149"/>
              <w:rPr>
                <w:sz w:val="13"/>
                <w:szCs w:val="13"/>
              </w:rPr>
            </w:pPr>
            <w:r>
              <w:rPr>
                <w:sz w:val="13"/>
                <w:szCs w:val="13"/>
              </w:rPr>
              <w:t>2.2</w:t>
            </w:r>
          </w:p>
        </w:tc>
        <w:tc>
          <w:tcPr>
            <w:tcW w:w="1527" w:type="dxa"/>
            <w:noWrap/>
            <w:vAlign w:val="center"/>
          </w:tcPr>
          <w:p w14:paraId="55337DE2">
            <w:pPr>
              <w:pStyle w:val="149"/>
              <w:rPr>
                <w:sz w:val="13"/>
                <w:szCs w:val="13"/>
              </w:rPr>
            </w:pPr>
            <w:r>
              <w:rPr>
                <w:sz w:val="13"/>
                <w:szCs w:val="13"/>
              </w:rPr>
              <w:t>土地整治、空地绿化、密目网苫盖</w:t>
            </w:r>
          </w:p>
        </w:tc>
        <w:tc>
          <w:tcPr>
            <w:tcW w:w="1051" w:type="dxa"/>
            <w:noWrap/>
            <w:vAlign w:val="center"/>
          </w:tcPr>
          <w:p w14:paraId="61360B23">
            <w:pPr>
              <w:pStyle w:val="149"/>
              <w:rPr>
                <w:sz w:val="13"/>
                <w:szCs w:val="13"/>
              </w:rPr>
            </w:pPr>
            <w:r>
              <w:rPr>
                <w:sz w:val="13"/>
                <w:szCs w:val="13"/>
              </w:rPr>
              <w:t>未完成</w:t>
            </w:r>
          </w:p>
        </w:tc>
      </w:tr>
      <w:tr w14:paraId="1A9B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50479A60">
            <w:pPr>
              <w:pStyle w:val="149"/>
              <w:rPr>
                <w:sz w:val="13"/>
                <w:szCs w:val="13"/>
              </w:rPr>
            </w:pPr>
            <w:r>
              <w:rPr>
                <w:sz w:val="13"/>
                <w:szCs w:val="13"/>
              </w:rPr>
              <w:t>16</w:t>
            </w:r>
          </w:p>
        </w:tc>
        <w:tc>
          <w:tcPr>
            <w:tcW w:w="1317" w:type="dxa"/>
            <w:noWrap/>
            <w:vAlign w:val="center"/>
          </w:tcPr>
          <w:p w14:paraId="08E3085A">
            <w:pPr>
              <w:pStyle w:val="149"/>
              <w:rPr>
                <w:sz w:val="13"/>
                <w:szCs w:val="13"/>
              </w:rPr>
            </w:pPr>
            <w:r>
              <w:rPr>
                <w:sz w:val="13"/>
                <w:szCs w:val="13"/>
              </w:rPr>
              <w:t>包头市扩疆物流有限公司</w:t>
            </w:r>
          </w:p>
        </w:tc>
        <w:tc>
          <w:tcPr>
            <w:tcW w:w="2226" w:type="dxa"/>
            <w:noWrap/>
            <w:vAlign w:val="center"/>
          </w:tcPr>
          <w:p w14:paraId="4B330B4D">
            <w:pPr>
              <w:pStyle w:val="149"/>
              <w:rPr>
                <w:sz w:val="13"/>
                <w:szCs w:val="13"/>
              </w:rPr>
            </w:pPr>
            <w:r>
              <w:rPr>
                <w:sz w:val="13"/>
                <w:szCs w:val="13"/>
              </w:rPr>
              <w:t>包头市扩疆物流有限公司物流配送项目</w:t>
            </w:r>
          </w:p>
        </w:tc>
        <w:tc>
          <w:tcPr>
            <w:tcW w:w="1418" w:type="dxa"/>
            <w:noWrap/>
            <w:vAlign w:val="center"/>
          </w:tcPr>
          <w:p w14:paraId="63B86774">
            <w:pPr>
              <w:pStyle w:val="149"/>
              <w:rPr>
                <w:sz w:val="13"/>
                <w:szCs w:val="13"/>
              </w:rPr>
            </w:pPr>
            <w:r>
              <w:rPr>
                <w:sz w:val="13"/>
                <w:szCs w:val="13"/>
              </w:rPr>
              <w:t>项目编号：2019-150222-59-03-011201</w:t>
            </w:r>
          </w:p>
        </w:tc>
        <w:tc>
          <w:tcPr>
            <w:tcW w:w="709" w:type="dxa"/>
            <w:noWrap/>
            <w:vAlign w:val="center"/>
          </w:tcPr>
          <w:p w14:paraId="1D056F07">
            <w:pPr>
              <w:pStyle w:val="149"/>
              <w:rPr>
                <w:sz w:val="13"/>
                <w:szCs w:val="13"/>
              </w:rPr>
            </w:pPr>
            <w:r>
              <w:rPr>
                <w:sz w:val="13"/>
                <w:szCs w:val="13"/>
              </w:rPr>
              <w:t>2.41</w:t>
            </w:r>
          </w:p>
        </w:tc>
        <w:tc>
          <w:tcPr>
            <w:tcW w:w="803" w:type="dxa"/>
            <w:noWrap/>
            <w:vAlign w:val="center"/>
          </w:tcPr>
          <w:p w14:paraId="5E1E2388">
            <w:pPr>
              <w:pStyle w:val="149"/>
              <w:rPr>
                <w:sz w:val="13"/>
                <w:szCs w:val="13"/>
              </w:rPr>
            </w:pPr>
            <w:r>
              <w:rPr>
                <w:sz w:val="13"/>
                <w:szCs w:val="13"/>
              </w:rPr>
              <w:t>2019-2020</w:t>
            </w:r>
          </w:p>
        </w:tc>
        <w:tc>
          <w:tcPr>
            <w:tcW w:w="614" w:type="dxa"/>
            <w:gridSpan w:val="2"/>
            <w:noWrap/>
            <w:vAlign w:val="center"/>
          </w:tcPr>
          <w:p w14:paraId="799C72D9">
            <w:pPr>
              <w:pStyle w:val="149"/>
              <w:rPr>
                <w:sz w:val="13"/>
                <w:szCs w:val="13"/>
              </w:rPr>
            </w:pPr>
            <w:r>
              <w:rPr>
                <w:sz w:val="13"/>
                <w:szCs w:val="13"/>
              </w:rPr>
              <w:t>建成</w:t>
            </w:r>
          </w:p>
        </w:tc>
        <w:tc>
          <w:tcPr>
            <w:tcW w:w="567" w:type="dxa"/>
            <w:gridSpan w:val="2"/>
            <w:noWrap/>
            <w:vAlign w:val="center"/>
          </w:tcPr>
          <w:p w14:paraId="17546EB2">
            <w:pPr>
              <w:pStyle w:val="149"/>
              <w:rPr>
                <w:sz w:val="13"/>
                <w:szCs w:val="13"/>
              </w:rPr>
            </w:pPr>
            <w:r>
              <w:rPr>
                <w:sz w:val="13"/>
                <w:szCs w:val="13"/>
              </w:rPr>
              <w:t>生产</w:t>
            </w:r>
          </w:p>
        </w:tc>
        <w:tc>
          <w:tcPr>
            <w:tcW w:w="992" w:type="dxa"/>
            <w:gridSpan w:val="2"/>
            <w:noWrap/>
            <w:vAlign w:val="center"/>
          </w:tcPr>
          <w:p w14:paraId="66DC02D9">
            <w:pPr>
              <w:pStyle w:val="149"/>
              <w:rPr>
                <w:sz w:val="13"/>
                <w:szCs w:val="13"/>
              </w:rPr>
            </w:pPr>
            <w:r>
              <w:rPr>
                <w:sz w:val="13"/>
                <w:szCs w:val="13"/>
              </w:rPr>
              <w:t>已编制方案</w:t>
            </w:r>
          </w:p>
        </w:tc>
        <w:tc>
          <w:tcPr>
            <w:tcW w:w="1701" w:type="dxa"/>
            <w:gridSpan w:val="2"/>
            <w:noWrap/>
            <w:vAlign w:val="center"/>
          </w:tcPr>
          <w:p w14:paraId="7F8044BD">
            <w:pPr>
              <w:pStyle w:val="149"/>
              <w:rPr>
                <w:sz w:val="13"/>
                <w:szCs w:val="13"/>
              </w:rPr>
            </w:pPr>
            <w:r>
              <w:rPr>
                <w:sz w:val="13"/>
                <w:szCs w:val="13"/>
              </w:rPr>
              <w:t>固水保许可〔2022〕7号</w:t>
            </w:r>
          </w:p>
        </w:tc>
        <w:tc>
          <w:tcPr>
            <w:tcW w:w="844" w:type="dxa"/>
            <w:vAlign w:val="center"/>
          </w:tcPr>
          <w:p w14:paraId="1F7F5182">
            <w:pPr>
              <w:pStyle w:val="149"/>
              <w:rPr>
                <w:sz w:val="13"/>
                <w:szCs w:val="13"/>
              </w:rPr>
            </w:pPr>
            <w:r>
              <w:rPr>
                <w:sz w:val="13"/>
                <w:szCs w:val="13"/>
              </w:rPr>
              <w:t>0.5</w:t>
            </w:r>
          </w:p>
        </w:tc>
        <w:tc>
          <w:tcPr>
            <w:tcW w:w="844" w:type="dxa"/>
            <w:gridSpan w:val="2"/>
            <w:vAlign w:val="center"/>
          </w:tcPr>
          <w:p w14:paraId="4B8DA821">
            <w:pPr>
              <w:pStyle w:val="149"/>
              <w:rPr>
                <w:sz w:val="13"/>
                <w:szCs w:val="13"/>
              </w:rPr>
            </w:pPr>
            <w:r>
              <w:rPr>
                <w:sz w:val="13"/>
                <w:szCs w:val="13"/>
              </w:rPr>
              <w:t>0.5</w:t>
            </w:r>
          </w:p>
        </w:tc>
        <w:tc>
          <w:tcPr>
            <w:tcW w:w="892" w:type="dxa"/>
            <w:gridSpan w:val="2"/>
            <w:vAlign w:val="center"/>
          </w:tcPr>
          <w:p w14:paraId="0FB87661">
            <w:pPr>
              <w:pStyle w:val="149"/>
              <w:rPr>
                <w:sz w:val="13"/>
                <w:szCs w:val="13"/>
              </w:rPr>
            </w:pPr>
            <w:r>
              <w:rPr>
                <w:sz w:val="13"/>
                <w:szCs w:val="13"/>
              </w:rPr>
              <w:t>0.29</w:t>
            </w:r>
          </w:p>
        </w:tc>
        <w:tc>
          <w:tcPr>
            <w:tcW w:w="1527" w:type="dxa"/>
            <w:noWrap/>
            <w:vAlign w:val="center"/>
          </w:tcPr>
          <w:p w14:paraId="0F11F55D">
            <w:pPr>
              <w:pStyle w:val="149"/>
              <w:rPr>
                <w:sz w:val="13"/>
                <w:szCs w:val="13"/>
              </w:rPr>
            </w:pPr>
            <w:r>
              <w:rPr>
                <w:sz w:val="13"/>
                <w:szCs w:val="13"/>
              </w:rPr>
              <w:t>铺砌透水砖、排水暗管、碎石压盖、土地整治、空地绿化、密目网苫盖</w:t>
            </w:r>
          </w:p>
        </w:tc>
        <w:tc>
          <w:tcPr>
            <w:tcW w:w="1051" w:type="dxa"/>
            <w:noWrap/>
            <w:vAlign w:val="center"/>
          </w:tcPr>
          <w:p w14:paraId="0CE00CF1">
            <w:pPr>
              <w:pStyle w:val="149"/>
              <w:rPr>
                <w:sz w:val="13"/>
                <w:szCs w:val="13"/>
              </w:rPr>
            </w:pPr>
            <w:r>
              <w:rPr>
                <w:sz w:val="13"/>
                <w:szCs w:val="13"/>
              </w:rPr>
              <w:t>未完成</w:t>
            </w:r>
          </w:p>
        </w:tc>
      </w:tr>
      <w:tr w14:paraId="23970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7DCDFEE3">
            <w:pPr>
              <w:pStyle w:val="149"/>
              <w:rPr>
                <w:sz w:val="13"/>
                <w:szCs w:val="13"/>
              </w:rPr>
            </w:pPr>
            <w:r>
              <w:rPr>
                <w:sz w:val="13"/>
                <w:szCs w:val="13"/>
              </w:rPr>
              <w:t>17</w:t>
            </w:r>
          </w:p>
        </w:tc>
        <w:tc>
          <w:tcPr>
            <w:tcW w:w="1317" w:type="dxa"/>
            <w:noWrap/>
            <w:vAlign w:val="center"/>
          </w:tcPr>
          <w:p w14:paraId="35C5CB7D">
            <w:pPr>
              <w:pStyle w:val="149"/>
              <w:rPr>
                <w:sz w:val="13"/>
                <w:szCs w:val="13"/>
              </w:rPr>
            </w:pPr>
            <w:r>
              <w:rPr>
                <w:sz w:val="13"/>
                <w:szCs w:val="13"/>
              </w:rPr>
              <w:t>固阳县泰恒贸易有限责任公司</w:t>
            </w:r>
          </w:p>
        </w:tc>
        <w:tc>
          <w:tcPr>
            <w:tcW w:w="2226" w:type="dxa"/>
            <w:noWrap/>
            <w:vAlign w:val="center"/>
          </w:tcPr>
          <w:p w14:paraId="6A524A18">
            <w:pPr>
              <w:pStyle w:val="149"/>
              <w:rPr>
                <w:sz w:val="13"/>
                <w:szCs w:val="13"/>
              </w:rPr>
            </w:pPr>
            <w:r>
              <w:rPr>
                <w:sz w:val="13"/>
                <w:szCs w:val="13"/>
              </w:rPr>
              <w:t>固阳县泰恒贸易有限责任公司年产120万吨铁矿粉精选造块技术改造项目</w:t>
            </w:r>
          </w:p>
        </w:tc>
        <w:tc>
          <w:tcPr>
            <w:tcW w:w="1418" w:type="dxa"/>
            <w:noWrap/>
            <w:vAlign w:val="center"/>
          </w:tcPr>
          <w:p w14:paraId="27CB60AE">
            <w:pPr>
              <w:pStyle w:val="149"/>
              <w:rPr>
                <w:sz w:val="13"/>
                <w:szCs w:val="13"/>
              </w:rPr>
            </w:pPr>
            <w:r>
              <w:rPr>
                <w:sz w:val="13"/>
                <w:szCs w:val="13"/>
              </w:rPr>
              <w:t>包经工发（2010）262号</w:t>
            </w:r>
          </w:p>
        </w:tc>
        <w:tc>
          <w:tcPr>
            <w:tcW w:w="709" w:type="dxa"/>
            <w:noWrap/>
            <w:vAlign w:val="center"/>
          </w:tcPr>
          <w:p w14:paraId="3B37898F">
            <w:pPr>
              <w:pStyle w:val="149"/>
              <w:rPr>
                <w:sz w:val="13"/>
                <w:szCs w:val="13"/>
              </w:rPr>
            </w:pPr>
            <w:r>
              <w:rPr>
                <w:sz w:val="13"/>
                <w:szCs w:val="13"/>
              </w:rPr>
              <w:t>34.63</w:t>
            </w:r>
          </w:p>
        </w:tc>
        <w:tc>
          <w:tcPr>
            <w:tcW w:w="803" w:type="dxa"/>
            <w:noWrap/>
            <w:vAlign w:val="center"/>
          </w:tcPr>
          <w:p w14:paraId="4BE1D164">
            <w:pPr>
              <w:pStyle w:val="149"/>
              <w:rPr>
                <w:sz w:val="13"/>
                <w:szCs w:val="13"/>
              </w:rPr>
            </w:pPr>
            <w:r>
              <w:rPr>
                <w:sz w:val="13"/>
                <w:szCs w:val="13"/>
              </w:rPr>
              <w:t>2011-2012</w:t>
            </w:r>
          </w:p>
        </w:tc>
        <w:tc>
          <w:tcPr>
            <w:tcW w:w="614" w:type="dxa"/>
            <w:gridSpan w:val="2"/>
            <w:noWrap/>
            <w:vAlign w:val="center"/>
          </w:tcPr>
          <w:p w14:paraId="3A5AF105">
            <w:pPr>
              <w:pStyle w:val="149"/>
              <w:rPr>
                <w:sz w:val="13"/>
                <w:szCs w:val="13"/>
              </w:rPr>
            </w:pPr>
            <w:r>
              <w:rPr>
                <w:sz w:val="13"/>
                <w:szCs w:val="13"/>
              </w:rPr>
              <w:t>建成</w:t>
            </w:r>
          </w:p>
        </w:tc>
        <w:tc>
          <w:tcPr>
            <w:tcW w:w="567" w:type="dxa"/>
            <w:gridSpan w:val="2"/>
            <w:noWrap/>
            <w:vAlign w:val="center"/>
          </w:tcPr>
          <w:p w14:paraId="1DFEE744">
            <w:pPr>
              <w:pStyle w:val="149"/>
              <w:rPr>
                <w:sz w:val="13"/>
                <w:szCs w:val="13"/>
              </w:rPr>
            </w:pPr>
            <w:r>
              <w:rPr>
                <w:sz w:val="13"/>
                <w:szCs w:val="13"/>
              </w:rPr>
              <w:t>运营</w:t>
            </w:r>
          </w:p>
        </w:tc>
        <w:tc>
          <w:tcPr>
            <w:tcW w:w="992" w:type="dxa"/>
            <w:gridSpan w:val="2"/>
            <w:noWrap/>
            <w:vAlign w:val="center"/>
          </w:tcPr>
          <w:p w14:paraId="3E707AE4">
            <w:pPr>
              <w:pStyle w:val="149"/>
              <w:rPr>
                <w:sz w:val="13"/>
                <w:szCs w:val="13"/>
              </w:rPr>
            </w:pPr>
            <w:r>
              <w:rPr>
                <w:sz w:val="13"/>
                <w:szCs w:val="13"/>
              </w:rPr>
              <w:t>已编制方案</w:t>
            </w:r>
          </w:p>
        </w:tc>
        <w:tc>
          <w:tcPr>
            <w:tcW w:w="1701" w:type="dxa"/>
            <w:gridSpan w:val="2"/>
            <w:noWrap/>
            <w:vAlign w:val="center"/>
          </w:tcPr>
          <w:p w14:paraId="51856EBE">
            <w:pPr>
              <w:pStyle w:val="149"/>
              <w:rPr>
                <w:sz w:val="13"/>
                <w:szCs w:val="13"/>
              </w:rPr>
            </w:pPr>
            <w:r>
              <w:rPr>
                <w:sz w:val="13"/>
                <w:szCs w:val="13"/>
              </w:rPr>
              <w:t>包水保许决〔2020〕30号</w:t>
            </w:r>
          </w:p>
        </w:tc>
        <w:tc>
          <w:tcPr>
            <w:tcW w:w="844" w:type="dxa"/>
            <w:noWrap/>
            <w:vAlign w:val="center"/>
          </w:tcPr>
          <w:p w14:paraId="47C03932">
            <w:pPr>
              <w:pStyle w:val="149"/>
              <w:rPr>
                <w:sz w:val="13"/>
                <w:szCs w:val="13"/>
              </w:rPr>
            </w:pPr>
            <w:r>
              <w:rPr>
                <w:sz w:val="13"/>
                <w:szCs w:val="13"/>
              </w:rPr>
              <w:t>10.04</w:t>
            </w:r>
          </w:p>
        </w:tc>
        <w:tc>
          <w:tcPr>
            <w:tcW w:w="844" w:type="dxa"/>
            <w:gridSpan w:val="2"/>
            <w:noWrap/>
            <w:vAlign w:val="center"/>
          </w:tcPr>
          <w:p w14:paraId="7EB2F30F">
            <w:pPr>
              <w:pStyle w:val="149"/>
              <w:rPr>
                <w:sz w:val="13"/>
                <w:szCs w:val="13"/>
              </w:rPr>
            </w:pPr>
            <w:r>
              <w:rPr>
                <w:sz w:val="13"/>
                <w:szCs w:val="13"/>
              </w:rPr>
              <w:t>10.04</w:t>
            </w:r>
          </w:p>
        </w:tc>
        <w:tc>
          <w:tcPr>
            <w:tcW w:w="892" w:type="dxa"/>
            <w:gridSpan w:val="2"/>
            <w:vAlign w:val="center"/>
          </w:tcPr>
          <w:p w14:paraId="2A8E02D9">
            <w:pPr>
              <w:pStyle w:val="149"/>
              <w:rPr>
                <w:sz w:val="13"/>
                <w:szCs w:val="13"/>
              </w:rPr>
            </w:pPr>
            <w:r>
              <w:rPr>
                <w:sz w:val="13"/>
                <w:szCs w:val="13"/>
              </w:rPr>
              <w:t>6.85</w:t>
            </w:r>
          </w:p>
        </w:tc>
        <w:tc>
          <w:tcPr>
            <w:tcW w:w="1527" w:type="dxa"/>
            <w:noWrap/>
            <w:vAlign w:val="center"/>
          </w:tcPr>
          <w:p w14:paraId="4BD1782F">
            <w:pPr>
              <w:pStyle w:val="149"/>
              <w:rPr>
                <w:sz w:val="13"/>
                <w:szCs w:val="13"/>
              </w:rPr>
            </w:pPr>
            <w:r>
              <w:rPr>
                <w:sz w:val="13"/>
                <w:szCs w:val="13"/>
              </w:rPr>
              <w:t>铺砌透水砖、排水暗管、土地整治、空地绿化、密目网苫盖</w:t>
            </w:r>
          </w:p>
        </w:tc>
        <w:tc>
          <w:tcPr>
            <w:tcW w:w="1051" w:type="dxa"/>
            <w:noWrap/>
            <w:vAlign w:val="center"/>
          </w:tcPr>
          <w:p w14:paraId="3EA5380A">
            <w:pPr>
              <w:pStyle w:val="149"/>
              <w:rPr>
                <w:sz w:val="13"/>
                <w:szCs w:val="13"/>
              </w:rPr>
            </w:pPr>
            <w:r>
              <w:rPr>
                <w:sz w:val="13"/>
                <w:szCs w:val="13"/>
              </w:rPr>
              <w:t>未完成</w:t>
            </w:r>
          </w:p>
        </w:tc>
      </w:tr>
      <w:tr w14:paraId="5A3D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4B5EA5C6">
            <w:pPr>
              <w:pStyle w:val="149"/>
              <w:rPr>
                <w:sz w:val="13"/>
                <w:szCs w:val="13"/>
              </w:rPr>
            </w:pPr>
            <w:r>
              <w:rPr>
                <w:sz w:val="13"/>
                <w:szCs w:val="13"/>
              </w:rPr>
              <w:t>18</w:t>
            </w:r>
          </w:p>
        </w:tc>
        <w:tc>
          <w:tcPr>
            <w:tcW w:w="1317" w:type="dxa"/>
            <w:noWrap/>
            <w:vAlign w:val="center"/>
          </w:tcPr>
          <w:p w14:paraId="7882C1A8">
            <w:pPr>
              <w:pStyle w:val="149"/>
              <w:rPr>
                <w:sz w:val="13"/>
                <w:szCs w:val="13"/>
              </w:rPr>
            </w:pPr>
            <w:r>
              <w:rPr>
                <w:sz w:val="13"/>
                <w:szCs w:val="13"/>
              </w:rPr>
              <w:t>新恒丰能源有限公司</w:t>
            </w:r>
          </w:p>
        </w:tc>
        <w:tc>
          <w:tcPr>
            <w:tcW w:w="2226" w:type="dxa"/>
            <w:vAlign w:val="center"/>
          </w:tcPr>
          <w:p w14:paraId="75E892F1">
            <w:pPr>
              <w:pStyle w:val="149"/>
              <w:rPr>
                <w:sz w:val="13"/>
                <w:szCs w:val="13"/>
              </w:rPr>
            </w:pPr>
            <w:r>
              <w:rPr>
                <w:sz w:val="13"/>
                <w:szCs w:val="13"/>
              </w:rPr>
              <w:t>新恒丰能源有限公司一般工业固体废物渣场建设项目（一期）</w:t>
            </w:r>
          </w:p>
        </w:tc>
        <w:tc>
          <w:tcPr>
            <w:tcW w:w="1418" w:type="dxa"/>
            <w:noWrap/>
            <w:vAlign w:val="center"/>
          </w:tcPr>
          <w:p w14:paraId="405CDAB6">
            <w:pPr>
              <w:pStyle w:val="149"/>
              <w:rPr>
                <w:sz w:val="13"/>
                <w:szCs w:val="13"/>
              </w:rPr>
            </w:pPr>
            <w:r>
              <w:rPr>
                <w:sz w:val="13"/>
                <w:szCs w:val="13"/>
              </w:rPr>
              <w:t>　</w:t>
            </w:r>
          </w:p>
        </w:tc>
        <w:tc>
          <w:tcPr>
            <w:tcW w:w="709" w:type="dxa"/>
            <w:vAlign w:val="center"/>
          </w:tcPr>
          <w:p w14:paraId="1ECD9E37">
            <w:pPr>
              <w:pStyle w:val="149"/>
              <w:rPr>
                <w:sz w:val="13"/>
                <w:szCs w:val="13"/>
              </w:rPr>
            </w:pPr>
            <w:r>
              <w:rPr>
                <w:sz w:val="13"/>
                <w:szCs w:val="13"/>
              </w:rPr>
              <w:t>10.91</w:t>
            </w:r>
          </w:p>
        </w:tc>
        <w:tc>
          <w:tcPr>
            <w:tcW w:w="803" w:type="dxa"/>
            <w:noWrap/>
            <w:vAlign w:val="center"/>
          </w:tcPr>
          <w:p w14:paraId="04C4895D">
            <w:pPr>
              <w:pStyle w:val="149"/>
              <w:rPr>
                <w:sz w:val="13"/>
                <w:szCs w:val="13"/>
              </w:rPr>
            </w:pPr>
            <w:r>
              <w:rPr>
                <w:sz w:val="13"/>
                <w:szCs w:val="13"/>
              </w:rPr>
              <w:t>2022-2023</w:t>
            </w:r>
          </w:p>
        </w:tc>
        <w:tc>
          <w:tcPr>
            <w:tcW w:w="614" w:type="dxa"/>
            <w:gridSpan w:val="2"/>
            <w:noWrap/>
            <w:vAlign w:val="center"/>
          </w:tcPr>
          <w:p w14:paraId="3A88DA19">
            <w:pPr>
              <w:pStyle w:val="149"/>
              <w:rPr>
                <w:sz w:val="13"/>
                <w:szCs w:val="13"/>
              </w:rPr>
            </w:pPr>
            <w:r>
              <w:rPr>
                <w:sz w:val="13"/>
                <w:szCs w:val="13"/>
              </w:rPr>
              <w:t>建成</w:t>
            </w:r>
          </w:p>
        </w:tc>
        <w:tc>
          <w:tcPr>
            <w:tcW w:w="567" w:type="dxa"/>
            <w:gridSpan w:val="2"/>
            <w:noWrap/>
            <w:vAlign w:val="center"/>
          </w:tcPr>
          <w:p w14:paraId="463D3CDA">
            <w:pPr>
              <w:pStyle w:val="149"/>
              <w:rPr>
                <w:sz w:val="13"/>
                <w:szCs w:val="13"/>
              </w:rPr>
            </w:pPr>
            <w:r>
              <w:rPr>
                <w:sz w:val="13"/>
                <w:szCs w:val="13"/>
              </w:rPr>
              <w:t>生产</w:t>
            </w:r>
          </w:p>
        </w:tc>
        <w:tc>
          <w:tcPr>
            <w:tcW w:w="992" w:type="dxa"/>
            <w:gridSpan w:val="2"/>
            <w:noWrap/>
            <w:vAlign w:val="center"/>
          </w:tcPr>
          <w:p w14:paraId="7E9CE575">
            <w:pPr>
              <w:pStyle w:val="149"/>
              <w:rPr>
                <w:sz w:val="13"/>
                <w:szCs w:val="13"/>
              </w:rPr>
            </w:pPr>
            <w:r>
              <w:rPr>
                <w:sz w:val="13"/>
                <w:szCs w:val="13"/>
              </w:rPr>
              <w:t>已编制方案</w:t>
            </w:r>
          </w:p>
        </w:tc>
        <w:tc>
          <w:tcPr>
            <w:tcW w:w="1701" w:type="dxa"/>
            <w:gridSpan w:val="2"/>
            <w:vAlign w:val="center"/>
          </w:tcPr>
          <w:p w14:paraId="25419E1D">
            <w:pPr>
              <w:pStyle w:val="149"/>
              <w:rPr>
                <w:sz w:val="13"/>
                <w:szCs w:val="13"/>
              </w:rPr>
            </w:pPr>
            <w:r>
              <w:rPr>
                <w:sz w:val="13"/>
                <w:szCs w:val="13"/>
              </w:rPr>
              <w:t>固水发〔2022〕195号</w:t>
            </w:r>
          </w:p>
        </w:tc>
        <w:tc>
          <w:tcPr>
            <w:tcW w:w="844" w:type="dxa"/>
            <w:vAlign w:val="center"/>
          </w:tcPr>
          <w:p w14:paraId="44384EF0">
            <w:pPr>
              <w:pStyle w:val="149"/>
              <w:rPr>
                <w:sz w:val="13"/>
                <w:szCs w:val="13"/>
              </w:rPr>
            </w:pPr>
            <w:r>
              <w:rPr>
                <w:sz w:val="13"/>
                <w:szCs w:val="13"/>
              </w:rPr>
              <w:t>3.49</w:t>
            </w:r>
          </w:p>
        </w:tc>
        <w:tc>
          <w:tcPr>
            <w:tcW w:w="844" w:type="dxa"/>
            <w:gridSpan w:val="2"/>
            <w:vAlign w:val="center"/>
          </w:tcPr>
          <w:p w14:paraId="3E11C213">
            <w:pPr>
              <w:pStyle w:val="149"/>
              <w:rPr>
                <w:sz w:val="13"/>
                <w:szCs w:val="13"/>
              </w:rPr>
            </w:pPr>
            <w:r>
              <w:rPr>
                <w:sz w:val="13"/>
                <w:szCs w:val="13"/>
              </w:rPr>
              <w:t>3.49</w:t>
            </w:r>
          </w:p>
        </w:tc>
        <w:tc>
          <w:tcPr>
            <w:tcW w:w="892" w:type="dxa"/>
            <w:gridSpan w:val="2"/>
            <w:vAlign w:val="center"/>
          </w:tcPr>
          <w:p w14:paraId="46C8FB7E">
            <w:pPr>
              <w:pStyle w:val="149"/>
              <w:rPr>
                <w:sz w:val="13"/>
                <w:szCs w:val="13"/>
              </w:rPr>
            </w:pPr>
            <w:r>
              <w:rPr>
                <w:sz w:val="13"/>
                <w:szCs w:val="13"/>
              </w:rPr>
              <w:t>1.94</w:t>
            </w:r>
          </w:p>
        </w:tc>
        <w:tc>
          <w:tcPr>
            <w:tcW w:w="1527" w:type="dxa"/>
            <w:noWrap/>
            <w:vAlign w:val="center"/>
          </w:tcPr>
          <w:p w14:paraId="044FDD1A">
            <w:pPr>
              <w:pStyle w:val="149"/>
              <w:rPr>
                <w:sz w:val="13"/>
                <w:szCs w:val="13"/>
              </w:rPr>
            </w:pPr>
            <w:r>
              <w:rPr>
                <w:sz w:val="13"/>
                <w:szCs w:val="13"/>
              </w:rPr>
              <w:t>排水暗管、土地整治、空地绿化、密目网苫盖</w:t>
            </w:r>
          </w:p>
        </w:tc>
        <w:tc>
          <w:tcPr>
            <w:tcW w:w="1051" w:type="dxa"/>
            <w:noWrap/>
            <w:vAlign w:val="center"/>
          </w:tcPr>
          <w:p w14:paraId="1B0C6753">
            <w:pPr>
              <w:pStyle w:val="149"/>
              <w:rPr>
                <w:sz w:val="13"/>
                <w:szCs w:val="13"/>
              </w:rPr>
            </w:pPr>
            <w:r>
              <w:rPr>
                <w:sz w:val="13"/>
                <w:szCs w:val="13"/>
              </w:rPr>
              <w:t>未完成</w:t>
            </w:r>
          </w:p>
        </w:tc>
      </w:tr>
      <w:tr w14:paraId="342B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52046423">
            <w:pPr>
              <w:pStyle w:val="149"/>
              <w:rPr>
                <w:sz w:val="13"/>
                <w:szCs w:val="13"/>
              </w:rPr>
            </w:pPr>
            <w:r>
              <w:rPr>
                <w:sz w:val="13"/>
                <w:szCs w:val="13"/>
              </w:rPr>
              <w:t>19</w:t>
            </w:r>
          </w:p>
        </w:tc>
        <w:tc>
          <w:tcPr>
            <w:tcW w:w="1317" w:type="dxa"/>
            <w:vAlign w:val="center"/>
          </w:tcPr>
          <w:p w14:paraId="167FA7DD">
            <w:pPr>
              <w:pStyle w:val="149"/>
              <w:rPr>
                <w:sz w:val="13"/>
                <w:szCs w:val="13"/>
              </w:rPr>
            </w:pPr>
            <w:r>
              <w:rPr>
                <w:sz w:val="13"/>
                <w:szCs w:val="13"/>
              </w:rPr>
              <w:t>包头市腾领新材料科技有限公司</w:t>
            </w:r>
          </w:p>
        </w:tc>
        <w:tc>
          <w:tcPr>
            <w:tcW w:w="2226" w:type="dxa"/>
            <w:vAlign w:val="center"/>
          </w:tcPr>
          <w:p w14:paraId="350809F9">
            <w:pPr>
              <w:pStyle w:val="149"/>
              <w:rPr>
                <w:sz w:val="13"/>
                <w:szCs w:val="13"/>
              </w:rPr>
            </w:pPr>
            <w:r>
              <w:rPr>
                <w:sz w:val="13"/>
                <w:szCs w:val="13"/>
              </w:rPr>
              <w:t>包头市腾领新材料科技有限公司年产10万吨环保型自焙电极项目</w:t>
            </w:r>
          </w:p>
        </w:tc>
        <w:tc>
          <w:tcPr>
            <w:tcW w:w="1418" w:type="dxa"/>
            <w:vAlign w:val="center"/>
          </w:tcPr>
          <w:p w14:paraId="42EB5AA8">
            <w:pPr>
              <w:pStyle w:val="149"/>
              <w:rPr>
                <w:sz w:val="13"/>
                <w:szCs w:val="13"/>
              </w:rPr>
            </w:pPr>
            <w:r>
              <w:rPr>
                <w:sz w:val="13"/>
                <w:szCs w:val="13"/>
              </w:rPr>
              <w:t>项目代码：</w:t>
            </w:r>
            <w:r>
              <w:rPr>
                <w:sz w:val="13"/>
                <w:szCs w:val="13"/>
              </w:rPr>
              <w:br w:type="textWrapping"/>
            </w:r>
            <w:r>
              <w:rPr>
                <w:sz w:val="13"/>
                <w:szCs w:val="13"/>
              </w:rPr>
              <w:t>2111-150222-04-01-129907</w:t>
            </w:r>
          </w:p>
        </w:tc>
        <w:tc>
          <w:tcPr>
            <w:tcW w:w="709" w:type="dxa"/>
            <w:vAlign w:val="center"/>
          </w:tcPr>
          <w:p w14:paraId="3AABD0EC">
            <w:pPr>
              <w:pStyle w:val="149"/>
              <w:rPr>
                <w:sz w:val="13"/>
                <w:szCs w:val="13"/>
              </w:rPr>
            </w:pPr>
            <w:r>
              <w:rPr>
                <w:sz w:val="13"/>
                <w:szCs w:val="13"/>
              </w:rPr>
              <w:t>3.79</w:t>
            </w:r>
          </w:p>
        </w:tc>
        <w:tc>
          <w:tcPr>
            <w:tcW w:w="803" w:type="dxa"/>
            <w:noWrap/>
            <w:vAlign w:val="center"/>
          </w:tcPr>
          <w:p w14:paraId="242CF4FA">
            <w:pPr>
              <w:pStyle w:val="149"/>
              <w:rPr>
                <w:sz w:val="13"/>
                <w:szCs w:val="13"/>
              </w:rPr>
            </w:pPr>
            <w:r>
              <w:rPr>
                <w:sz w:val="13"/>
                <w:szCs w:val="13"/>
              </w:rPr>
              <w:t>2022-2023</w:t>
            </w:r>
          </w:p>
        </w:tc>
        <w:tc>
          <w:tcPr>
            <w:tcW w:w="614" w:type="dxa"/>
            <w:gridSpan w:val="2"/>
            <w:noWrap/>
            <w:vAlign w:val="center"/>
          </w:tcPr>
          <w:p w14:paraId="04D79308">
            <w:pPr>
              <w:pStyle w:val="149"/>
              <w:rPr>
                <w:sz w:val="13"/>
                <w:szCs w:val="13"/>
              </w:rPr>
            </w:pPr>
            <w:r>
              <w:rPr>
                <w:sz w:val="13"/>
                <w:szCs w:val="13"/>
              </w:rPr>
              <w:t>建成</w:t>
            </w:r>
          </w:p>
        </w:tc>
        <w:tc>
          <w:tcPr>
            <w:tcW w:w="567" w:type="dxa"/>
            <w:gridSpan w:val="2"/>
            <w:noWrap/>
            <w:vAlign w:val="center"/>
          </w:tcPr>
          <w:p w14:paraId="3775448B">
            <w:pPr>
              <w:pStyle w:val="149"/>
              <w:rPr>
                <w:sz w:val="13"/>
                <w:szCs w:val="13"/>
              </w:rPr>
            </w:pPr>
            <w:r>
              <w:rPr>
                <w:sz w:val="13"/>
                <w:szCs w:val="13"/>
              </w:rPr>
              <w:t>未运营</w:t>
            </w:r>
          </w:p>
        </w:tc>
        <w:tc>
          <w:tcPr>
            <w:tcW w:w="992" w:type="dxa"/>
            <w:gridSpan w:val="2"/>
            <w:noWrap/>
            <w:vAlign w:val="center"/>
          </w:tcPr>
          <w:p w14:paraId="0620CAE9">
            <w:pPr>
              <w:pStyle w:val="149"/>
              <w:rPr>
                <w:sz w:val="13"/>
                <w:szCs w:val="13"/>
              </w:rPr>
            </w:pPr>
            <w:r>
              <w:rPr>
                <w:sz w:val="13"/>
                <w:szCs w:val="13"/>
              </w:rPr>
              <w:t>已编制方案</w:t>
            </w:r>
          </w:p>
        </w:tc>
        <w:tc>
          <w:tcPr>
            <w:tcW w:w="1701" w:type="dxa"/>
            <w:gridSpan w:val="2"/>
            <w:vAlign w:val="center"/>
          </w:tcPr>
          <w:p w14:paraId="44CC42EB">
            <w:pPr>
              <w:pStyle w:val="149"/>
              <w:rPr>
                <w:sz w:val="13"/>
                <w:szCs w:val="13"/>
              </w:rPr>
            </w:pPr>
            <w:r>
              <w:rPr>
                <w:sz w:val="13"/>
                <w:szCs w:val="13"/>
              </w:rPr>
              <w:t>固水保许可〔2023〕2号</w:t>
            </w:r>
          </w:p>
        </w:tc>
        <w:tc>
          <w:tcPr>
            <w:tcW w:w="844" w:type="dxa"/>
            <w:vAlign w:val="center"/>
          </w:tcPr>
          <w:p w14:paraId="3E764E37">
            <w:pPr>
              <w:pStyle w:val="149"/>
              <w:rPr>
                <w:sz w:val="13"/>
                <w:szCs w:val="13"/>
              </w:rPr>
            </w:pPr>
            <w:r>
              <w:rPr>
                <w:sz w:val="13"/>
                <w:szCs w:val="13"/>
              </w:rPr>
              <w:t>0.64</w:t>
            </w:r>
          </w:p>
        </w:tc>
        <w:tc>
          <w:tcPr>
            <w:tcW w:w="844" w:type="dxa"/>
            <w:gridSpan w:val="2"/>
            <w:vAlign w:val="center"/>
          </w:tcPr>
          <w:p w14:paraId="591807B5">
            <w:pPr>
              <w:pStyle w:val="149"/>
              <w:rPr>
                <w:sz w:val="13"/>
                <w:szCs w:val="13"/>
              </w:rPr>
            </w:pPr>
            <w:r>
              <w:rPr>
                <w:sz w:val="13"/>
                <w:szCs w:val="13"/>
              </w:rPr>
              <w:t>0.64</w:t>
            </w:r>
          </w:p>
        </w:tc>
        <w:tc>
          <w:tcPr>
            <w:tcW w:w="892" w:type="dxa"/>
            <w:gridSpan w:val="2"/>
            <w:vAlign w:val="center"/>
          </w:tcPr>
          <w:p w14:paraId="422BC53A">
            <w:pPr>
              <w:pStyle w:val="149"/>
              <w:rPr>
                <w:sz w:val="13"/>
                <w:szCs w:val="13"/>
              </w:rPr>
            </w:pPr>
            <w:r>
              <w:rPr>
                <w:sz w:val="13"/>
                <w:szCs w:val="13"/>
              </w:rPr>
              <w:t>0.27</w:t>
            </w:r>
          </w:p>
        </w:tc>
        <w:tc>
          <w:tcPr>
            <w:tcW w:w="1527" w:type="dxa"/>
            <w:noWrap/>
            <w:vAlign w:val="center"/>
          </w:tcPr>
          <w:p w14:paraId="170BB7DA">
            <w:pPr>
              <w:pStyle w:val="149"/>
              <w:rPr>
                <w:sz w:val="13"/>
                <w:szCs w:val="13"/>
              </w:rPr>
            </w:pPr>
            <w:r>
              <w:rPr>
                <w:sz w:val="13"/>
                <w:szCs w:val="13"/>
              </w:rPr>
              <w:t>土地整治、空地绿化、密目网苫盖</w:t>
            </w:r>
          </w:p>
        </w:tc>
        <w:tc>
          <w:tcPr>
            <w:tcW w:w="1051" w:type="dxa"/>
            <w:noWrap/>
            <w:vAlign w:val="center"/>
          </w:tcPr>
          <w:p w14:paraId="03F5AD8F">
            <w:pPr>
              <w:pStyle w:val="149"/>
              <w:rPr>
                <w:sz w:val="13"/>
                <w:szCs w:val="13"/>
              </w:rPr>
            </w:pPr>
            <w:r>
              <w:rPr>
                <w:sz w:val="13"/>
                <w:szCs w:val="13"/>
              </w:rPr>
              <w:t>未完成</w:t>
            </w:r>
          </w:p>
        </w:tc>
      </w:tr>
      <w:tr w14:paraId="4AE4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550F8357">
            <w:pPr>
              <w:pStyle w:val="149"/>
              <w:rPr>
                <w:sz w:val="13"/>
                <w:szCs w:val="13"/>
              </w:rPr>
            </w:pPr>
            <w:r>
              <w:rPr>
                <w:sz w:val="13"/>
                <w:szCs w:val="13"/>
              </w:rPr>
              <w:t>20</w:t>
            </w:r>
          </w:p>
        </w:tc>
        <w:tc>
          <w:tcPr>
            <w:tcW w:w="1317" w:type="dxa"/>
            <w:vAlign w:val="center"/>
          </w:tcPr>
          <w:p w14:paraId="13FB81C4">
            <w:pPr>
              <w:pStyle w:val="149"/>
              <w:rPr>
                <w:sz w:val="13"/>
                <w:szCs w:val="13"/>
              </w:rPr>
            </w:pPr>
            <w:r>
              <w:rPr>
                <w:sz w:val="13"/>
                <w:szCs w:val="13"/>
              </w:rPr>
              <w:t>内蒙古铭都管理有限公司</w:t>
            </w:r>
          </w:p>
        </w:tc>
        <w:tc>
          <w:tcPr>
            <w:tcW w:w="2226" w:type="dxa"/>
            <w:vAlign w:val="center"/>
          </w:tcPr>
          <w:p w14:paraId="2447F9AA">
            <w:pPr>
              <w:pStyle w:val="149"/>
              <w:rPr>
                <w:sz w:val="13"/>
                <w:szCs w:val="13"/>
              </w:rPr>
            </w:pPr>
            <w:r>
              <w:rPr>
                <w:sz w:val="13"/>
                <w:szCs w:val="13"/>
              </w:rPr>
              <w:t>内蒙古铭都管理有限公司风力发电装备制造标准化厂房建设项目</w:t>
            </w:r>
          </w:p>
        </w:tc>
        <w:tc>
          <w:tcPr>
            <w:tcW w:w="1418" w:type="dxa"/>
            <w:noWrap/>
            <w:vAlign w:val="center"/>
          </w:tcPr>
          <w:p w14:paraId="149CA3F8">
            <w:pPr>
              <w:pStyle w:val="149"/>
              <w:rPr>
                <w:sz w:val="13"/>
                <w:szCs w:val="13"/>
              </w:rPr>
            </w:pPr>
            <w:r>
              <w:rPr>
                <w:sz w:val="13"/>
                <w:szCs w:val="13"/>
              </w:rPr>
              <w:t>项目代码： 2202-150222-04-01-706342</w:t>
            </w:r>
          </w:p>
        </w:tc>
        <w:tc>
          <w:tcPr>
            <w:tcW w:w="709" w:type="dxa"/>
            <w:vAlign w:val="center"/>
          </w:tcPr>
          <w:p w14:paraId="4E718E80">
            <w:pPr>
              <w:pStyle w:val="149"/>
              <w:rPr>
                <w:sz w:val="13"/>
                <w:szCs w:val="13"/>
              </w:rPr>
            </w:pPr>
            <w:r>
              <w:rPr>
                <w:sz w:val="13"/>
                <w:szCs w:val="13"/>
              </w:rPr>
              <w:t>4.69</w:t>
            </w:r>
          </w:p>
        </w:tc>
        <w:tc>
          <w:tcPr>
            <w:tcW w:w="803" w:type="dxa"/>
            <w:noWrap/>
            <w:vAlign w:val="center"/>
          </w:tcPr>
          <w:p w14:paraId="67523318">
            <w:pPr>
              <w:pStyle w:val="149"/>
              <w:rPr>
                <w:sz w:val="13"/>
                <w:szCs w:val="13"/>
              </w:rPr>
            </w:pPr>
            <w:r>
              <w:rPr>
                <w:sz w:val="13"/>
                <w:szCs w:val="13"/>
              </w:rPr>
              <w:t>2022-2023</w:t>
            </w:r>
          </w:p>
        </w:tc>
        <w:tc>
          <w:tcPr>
            <w:tcW w:w="614" w:type="dxa"/>
            <w:gridSpan w:val="2"/>
            <w:noWrap/>
            <w:vAlign w:val="center"/>
          </w:tcPr>
          <w:p w14:paraId="542A39CC">
            <w:pPr>
              <w:pStyle w:val="149"/>
              <w:rPr>
                <w:sz w:val="13"/>
                <w:szCs w:val="13"/>
              </w:rPr>
            </w:pPr>
            <w:r>
              <w:rPr>
                <w:sz w:val="13"/>
                <w:szCs w:val="13"/>
              </w:rPr>
              <w:t>建成</w:t>
            </w:r>
          </w:p>
        </w:tc>
        <w:tc>
          <w:tcPr>
            <w:tcW w:w="567" w:type="dxa"/>
            <w:gridSpan w:val="2"/>
            <w:noWrap/>
            <w:vAlign w:val="center"/>
          </w:tcPr>
          <w:p w14:paraId="3786D8D0">
            <w:pPr>
              <w:pStyle w:val="149"/>
              <w:rPr>
                <w:sz w:val="13"/>
                <w:szCs w:val="13"/>
              </w:rPr>
            </w:pPr>
            <w:r>
              <w:rPr>
                <w:sz w:val="13"/>
                <w:szCs w:val="13"/>
              </w:rPr>
              <w:t>未运营</w:t>
            </w:r>
          </w:p>
        </w:tc>
        <w:tc>
          <w:tcPr>
            <w:tcW w:w="992" w:type="dxa"/>
            <w:gridSpan w:val="2"/>
            <w:noWrap/>
            <w:vAlign w:val="center"/>
          </w:tcPr>
          <w:p w14:paraId="0B0E0129">
            <w:pPr>
              <w:pStyle w:val="149"/>
              <w:rPr>
                <w:sz w:val="13"/>
                <w:szCs w:val="13"/>
              </w:rPr>
            </w:pPr>
            <w:r>
              <w:rPr>
                <w:sz w:val="13"/>
                <w:szCs w:val="13"/>
              </w:rPr>
              <w:t>已编制方案</w:t>
            </w:r>
          </w:p>
        </w:tc>
        <w:tc>
          <w:tcPr>
            <w:tcW w:w="1701" w:type="dxa"/>
            <w:gridSpan w:val="2"/>
            <w:vAlign w:val="center"/>
          </w:tcPr>
          <w:p w14:paraId="2A718A41">
            <w:pPr>
              <w:pStyle w:val="149"/>
              <w:rPr>
                <w:sz w:val="13"/>
                <w:szCs w:val="13"/>
              </w:rPr>
            </w:pPr>
            <w:r>
              <w:rPr>
                <w:sz w:val="13"/>
                <w:szCs w:val="13"/>
              </w:rPr>
              <w:t>固水保许可〔2022〕4号</w:t>
            </w:r>
          </w:p>
        </w:tc>
        <w:tc>
          <w:tcPr>
            <w:tcW w:w="844" w:type="dxa"/>
            <w:vAlign w:val="center"/>
          </w:tcPr>
          <w:p w14:paraId="4626E947">
            <w:pPr>
              <w:pStyle w:val="149"/>
              <w:rPr>
                <w:sz w:val="13"/>
                <w:szCs w:val="13"/>
              </w:rPr>
            </w:pPr>
            <w:r>
              <w:rPr>
                <w:sz w:val="13"/>
                <w:szCs w:val="13"/>
              </w:rPr>
              <w:t>2.32</w:t>
            </w:r>
          </w:p>
        </w:tc>
        <w:tc>
          <w:tcPr>
            <w:tcW w:w="844" w:type="dxa"/>
            <w:gridSpan w:val="2"/>
            <w:vAlign w:val="center"/>
          </w:tcPr>
          <w:p w14:paraId="5A837DA0">
            <w:pPr>
              <w:pStyle w:val="149"/>
              <w:rPr>
                <w:sz w:val="13"/>
                <w:szCs w:val="13"/>
              </w:rPr>
            </w:pPr>
            <w:r>
              <w:rPr>
                <w:sz w:val="13"/>
                <w:szCs w:val="13"/>
              </w:rPr>
              <w:t>2.32</w:t>
            </w:r>
          </w:p>
        </w:tc>
        <w:tc>
          <w:tcPr>
            <w:tcW w:w="892" w:type="dxa"/>
            <w:gridSpan w:val="2"/>
            <w:vAlign w:val="center"/>
          </w:tcPr>
          <w:p w14:paraId="35604835">
            <w:pPr>
              <w:pStyle w:val="149"/>
              <w:rPr>
                <w:sz w:val="13"/>
                <w:szCs w:val="13"/>
              </w:rPr>
            </w:pPr>
            <w:r>
              <w:rPr>
                <w:sz w:val="13"/>
                <w:szCs w:val="13"/>
              </w:rPr>
              <w:t>0.25</w:t>
            </w:r>
          </w:p>
        </w:tc>
        <w:tc>
          <w:tcPr>
            <w:tcW w:w="1527" w:type="dxa"/>
            <w:noWrap/>
            <w:vAlign w:val="center"/>
          </w:tcPr>
          <w:p w14:paraId="1F2D74EB">
            <w:pPr>
              <w:pStyle w:val="149"/>
              <w:rPr>
                <w:sz w:val="13"/>
                <w:szCs w:val="13"/>
              </w:rPr>
            </w:pPr>
            <w:r>
              <w:rPr>
                <w:sz w:val="13"/>
                <w:szCs w:val="13"/>
              </w:rPr>
              <w:t>铺砌透水砖、排水暗管、土地整治、空地绿化、密目网苫盖</w:t>
            </w:r>
          </w:p>
        </w:tc>
        <w:tc>
          <w:tcPr>
            <w:tcW w:w="1051" w:type="dxa"/>
            <w:noWrap/>
            <w:vAlign w:val="center"/>
          </w:tcPr>
          <w:p w14:paraId="710159CF">
            <w:pPr>
              <w:pStyle w:val="149"/>
              <w:rPr>
                <w:sz w:val="13"/>
                <w:szCs w:val="13"/>
              </w:rPr>
            </w:pPr>
            <w:r>
              <w:rPr>
                <w:sz w:val="13"/>
                <w:szCs w:val="13"/>
              </w:rPr>
              <w:t>未完成</w:t>
            </w:r>
          </w:p>
        </w:tc>
      </w:tr>
      <w:tr w14:paraId="5BC1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1AD9D278">
            <w:pPr>
              <w:pStyle w:val="149"/>
              <w:rPr>
                <w:sz w:val="13"/>
                <w:szCs w:val="13"/>
              </w:rPr>
            </w:pPr>
            <w:r>
              <w:rPr>
                <w:sz w:val="13"/>
                <w:szCs w:val="13"/>
              </w:rPr>
              <w:t>21</w:t>
            </w:r>
          </w:p>
        </w:tc>
        <w:tc>
          <w:tcPr>
            <w:tcW w:w="1317" w:type="dxa"/>
            <w:vAlign w:val="center"/>
          </w:tcPr>
          <w:p w14:paraId="3424B5FD">
            <w:pPr>
              <w:pStyle w:val="149"/>
              <w:rPr>
                <w:sz w:val="13"/>
                <w:szCs w:val="13"/>
              </w:rPr>
            </w:pPr>
            <w:r>
              <w:rPr>
                <w:sz w:val="13"/>
                <w:szCs w:val="13"/>
              </w:rPr>
              <w:t>固阳县中晟环保科技有限公司</w:t>
            </w:r>
          </w:p>
        </w:tc>
        <w:tc>
          <w:tcPr>
            <w:tcW w:w="2226" w:type="dxa"/>
            <w:vAlign w:val="center"/>
          </w:tcPr>
          <w:p w14:paraId="73A66125">
            <w:pPr>
              <w:pStyle w:val="149"/>
              <w:rPr>
                <w:sz w:val="13"/>
                <w:szCs w:val="13"/>
              </w:rPr>
            </w:pPr>
            <w:r>
              <w:rPr>
                <w:sz w:val="13"/>
                <w:szCs w:val="13"/>
              </w:rPr>
              <w:t>固阳县中晟环保科技有限公司年无害化处理4万吨大修渣及年产5万吨精炼渣项目</w:t>
            </w:r>
          </w:p>
        </w:tc>
        <w:tc>
          <w:tcPr>
            <w:tcW w:w="1418" w:type="dxa"/>
            <w:noWrap/>
            <w:vAlign w:val="center"/>
          </w:tcPr>
          <w:p w14:paraId="45A4D363">
            <w:pPr>
              <w:pStyle w:val="149"/>
              <w:rPr>
                <w:sz w:val="13"/>
                <w:szCs w:val="13"/>
              </w:rPr>
            </w:pPr>
            <w:r>
              <w:rPr>
                <w:sz w:val="13"/>
                <w:szCs w:val="13"/>
              </w:rPr>
              <w:t>项目代码：2204-150222-04-01-206347</w:t>
            </w:r>
          </w:p>
        </w:tc>
        <w:tc>
          <w:tcPr>
            <w:tcW w:w="709" w:type="dxa"/>
            <w:noWrap/>
            <w:vAlign w:val="center"/>
          </w:tcPr>
          <w:p w14:paraId="673822E3">
            <w:pPr>
              <w:pStyle w:val="149"/>
              <w:rPr>
                <w:sz w:val="13"/>
                <w:szCs w:val="13"/>
              </w:rPr>
            </w:pPr>
            <w:r>
              <w:rPr>
                <w:sz w:val="13"/>
                <w:szCs w:val="13"/>
              </w:rPr>
              <w:t>3.41</w:t>
            </w:r>
          </w:p>
        </w:tc>
        <w:tc>
          <w:tcPr>
            <w:tcW w:w="803" w:type="dxa"/>
            <w:noWrap/>
            <w:vAlign w:val="center"/>
          </w:tcPr>
          <w:p w14:paraId="4087FFE3">
            <w:pPr>
              <w:pStyle w:val="149"/>
              <w:rPr>
                <w:sz w:val="13"/>
                <w:szCs w:val="13"/>
              </w:rPr>
            </w:pPr>
            <w:r>
              <w:rPr>
                <w:sz w:val="13"/>
                <w:szCs w:val="13"/>
              </w:rPr>
              <w:t>2022-2023</w:t>
            </w:r>
          </w:p>
        </w:tc>
        <w:tc>
          <w:tcPr>
            <w:tcW w:w="614" w:type="dxa"/>
            <w:gridSpan w:val="2"/>
            <w:noWrap/>
            <w:vAlign w:val="center"/>
          </w:tcPr>
          <w:p w14:paraId="3723F695">
            <w:pPr>
              <w:pStyle w:val="149"/>
              <w:rPr>
                <w:sz w:val="13"/>
                <w:szCs w:val="13"/>
              </w:rPr>
            </w:pPr>
            <w:r>
              <w:rPr>
                <w:sz w:val="13"/>
                <w:szCs w:val="13"/>
              </w:rPr>
              <w:t>建成</w:t>
            </w:r>
          </w:p>
        </w:tc>
        <w:tc>
          <w:tcPr>
            <w:tcW w:w="567" w:type="dxa"/>
            <w:gridSpan w:val="2"/>
            <w:noWrap/>
            <w:vAlign w:val="center"/>
          </w:tcPr>
          <w:p w14:paraId="5F641ACD">
            <w:pPr>
              <w:pStyle w:val="149"/>
              <w:rPr>
                <w:sz w:val="13"/>
                <w:szCs w:val="13"/>
              </w:rPr>
            </w:pPr>
            <w:r>
              <w:rPr>
                <w:sz w:val="13"/>
                <w:szCs w:val="13"/>
              </w:rPr>
              <w:t>未运营</w:t>
            </w:r>
          </w:p>
        </w:tc>
        <w:tc>
          <w:tcPr>
            <w:tcW w:w="992" w:type="dxa"/>
            <w:gridSpan w:val="2"/>
            <w:noWrap/>
            <w:vAlign w:val="center"/>
          </w:tcPr>
          <w:p w14:paraId="5DF76AE3">
            <w:pPr>
              <w:pStyle w:val="149"/>
              <w:rPr>
                <w:sz w:val="13"/>
                <w:szCs w:val="13"/>
              </w:rPr>
            </w:pPr>
            <w:r>
              <w:rPr>
                <w:sz w:val="13"/>
                <w:szCs w:val="13"/>
              </w:rPr>
              <w:t>已编制方案</w:t>
            </w:r>
          </w:p>
        </w:tc>
        <w:tc>
          <w:tcPr>
            <w:tcW w:w="1701" w:type="dxa"/>
            <w:gridSpan w:val="2"/>
            <w:vAlign w:val="center"/>
          </w:tcPr>
          <w:p w14:paraId="64DE5809">
            <w:pPr>
              <w:pStyle w:val="149"/>
              <w:rPr>
                <w:sz w:val="13"/>
                <w:szCs w:val="13"/>
              </w:rPr>
            </w:pPr>
            <w:r>
              <w:rPr>
                <w:sz w:val="13"/>
                <w:szCs w:val="13"/>
              </w:rPr>
              <w:t>固水保许可〔2023〕5号</w:t>
            </w:r>
          </w:p>
        </w:tc>
        <w:tc>
          <w:tcPr>
            <w:tcW w:w="844" w:type="dxa"/>
            <w:noWrap/>
            <w:vAlign w:val="center"/>
          </w:tcPr>
          <w:p w14:paraId="7C05B42F">
            <w:pPr>
              <w:pStyle w:val="149"/>
              <w:rPr>
                <w:sz w:val="13"/>
                <w:szCs w:val="13"/>
              </w:rPr>
            </w:pPr>
            <w:r>
              <w:rPr>
                <w:sz w:val="13"/>
                <w:szCs w:val="13"/>
              </w:rPr>
              <w:t>1.33</w:t>
            </w:r>
          </w:p>
        </w:tc>
        <w:tc>
          <w:tcPr>
            <w:tcW w:w="844" w:type="dxa"/>
            <w:gridSpan w:val="2"/>
            <w:noWrap/>
            <w:vAlign w:val="center"/>
          </w:tcPr>
          <w:p w14:paraId="04F570E8">
            <w:pPr>
              <w:pStyle w:val="149"/>
              <w:rPr>
                <w:sz w:val="13"/>
                <w:szCs w:val="13"/>
              </w:rPr>
            </w:pPr>
            <w:r>
              <w:rPr>
                <w:sz w:val="13"/>
                <w:szCs w:val="13"/>
              </w:rPr>
              <w:t>1.33</w:t>
            </w:r>
          </w:p>
        </w:tc>
        <w:tc>
          <w:tcPr>
            <w:tcW w:w="892" w:type="dxa"/>
            <w:gridSpan w:val="2"/>
            <w:vAlign w:val="center"/>
          </w:tcPr>
          <w:p w14:paraId="7C9D0FD8">
            <w:pPr>
              <w:pStyle w:val="149"/>
              <w:rPr>
                <w:sz w:val="13"/>
                <w:szCs w:val="13"/>
              </w:rPr>
            </w:pPr>
            <w:r>
              <w:rPr>
                <w:sz w:val="13"/>
                <w:szCs w:val="13"/>
              </w:rPr>
              <w:t>0.2</w:t>
            </w:r>
          </w:p>
        </w:tc>
        <w:tc>
          <w:tcPr>
            <w:tcW w:w="1527" w:type="dxa"/>
            <w:noWrap/>
            <w:vAlign w:val="center"/>
          </w:tcPr>
          <w:p w14:paraId="79A8029D">
            <w:pPr>
              <w:pStyle w:val="149"/>
              <w:rPr>
                <w:sz w:val="13"/>
                <w:szCs w:val="13"/>
              </w:rPr>
            </w:pPr>
            <w:r>
              <w:rPr>
                <w:sz w:val="13"/>
                <w:szCs w:val="13"/>
              </w:rPr>
              <w:t>排水暗管、土地整治、空地绿化、密目网苫盖</w:t>
            </w:r>
          </w:p>
        </w:tc>
        <w:tc>
          <w:tcPr>
            <w:tcW w:w="1051" w:type="dxa"/>
            <w:noWrap/>
            <w:vAlign w:val="center"/>
          </w:tcPr>
          <w:p w14:paraId="11A9C3D9">
            <w:pPr>
              <w:pStyle w:val="149"/>
              <w:rPr>
                <w:sz w:val="13"/>
                <w:szCs w:val="13"/>
              </w:rPr>
            </w:pPr>
            <w:r>
              <w:rPr>
                <w:sz w:val="13"/>
                <w:szCs w:val="13"/>
              </w:rPr>
              <w:t>未完成</w:t>
            </w:r>
          </w:p>
        </w:tc>
      </w:tr>
      <w:tr w14:paraId="28F7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07E4FFBD">
            <w:pPr>
              <w:pStyle w:val="149"/>
              <w:rPr>
                <w:sz w:val="13"/>
                <w:szCs w:val="13"/>
              </w:rPr>
            </w:pPr>
            <w:r>
              <w:rPr>
                <w:sz w:val="13"/>
                <w:szCs w:val="13"/>
              </w:rPr>
              <w:t>22</w:t>
            </w:r>
          </w:p>
        </w:tc>
        <w:tc>
          <w:tcPr>
            <w:tcW w:w="1317" w:type="dxa"/>
            <w:noWrap/>
            <w:vAlign w:val="center"/>
          </w:tcPr>
          <w:p w14:paraId="24CD49B0">
            <w:pPr>
              <w:pStyle w:val="149"/>
              <w:rPr>
                <w:sz w:val="13"/>
                <w:szCs w:val="13"/>
              </w:rPr>
            </w:pPr>
            <w:r>
              <w:rPr>
                <w:sz w:val="13"/>
                <w:szCs w:val="13"/>
              </w:rPr>
              <w:t>内蒙古大全新材料有限公司</w:t>
            </w:r>
          </w:p>
        </w:tc>
        <w:tc>
          <w:tcPr>
            <w:tcW w:w="2226" w:type="dxa"/>
            <w:vAlign w:val="center"/>
          </w:tcPr>
          <w:p w14:paraId="4DC95E99">
            <w:pPr>
              <w:pStyle w:val="149"/>
              <w:rPr>
                <w:sz w:val="13"/>
                <w:szCs w:val="13"/>
              </w:rPr>
            </w:pPr>
            <w:r>
              <w:rPr>
                <w:sz w:val="13"/>
                <w:szCs w:val="13"/>
              </w:rPr>
              <w:t>年产30万吨高纯工业硅加20万吨有机硅项目（一期）年产15万吨工业硅</w:t>
            </w:r>
          </w:p>
        </w:tc>
        <w:tc>
          <w:tcPr>
            <w:tcW w:w="1418" w:type="dxa"/>
            <w:noWrap/>
            <w:vAlign w:val="center"/>
          </w:tcPr>
          <w:p w14:paraId="719E0304">
            <w:pPr>
              <w:pStyle w:val="149"/>
              <w:rPr>
                <w:sz w:val="13"/>
                <w:szCs w:val="13"/>
              </w:rPr>
            </w:pPr>
            <w:r>
              <w:rPr>
                <w:sz w:val="13"/>
                <w:szCs w:val="13"/>
              </w:rPr>
              <w:t>项目代码：2206-150222-04-01-267447</w:t>
            </w:r>
          </w:p>
        </w:tc>
        <w:tc>
          <w:tcPr>
            <w:tcW w:w="709" w:type="dxa"/>
            <w:noWrap/>
            <w:vAlign w:val="center"/>
          </w:tcPr>
          <w:p w14:paraId="55464E3F">
            <w:pPr>
              <w:pStyle w:val="149"/>
              <w:rPr>
                <w:sz w:val="13"/>
                <w:szCs w:val="13"/>
              </w:rPr>
            </w:pPr>
            <w:r>
              <w:rPr>
                <w:sz w:val="13"/>
                <w:szCs w:val="13"/>
              </w:rPr>
              <w:t>38.48</w:t>
            </w:r>
          </w:p>
        </w:tc>
        <w:tc>
          <w:tcPr>
            <w:tcW w:w="803" w:type="dxa"/>
            <w:noWrap/>
            <w:vAlign w:val="center"/>
          </w:tcPr>
          <w:p w14:paraId="5DB884D9">
            <w:pPr>
              <w:pStyle w:val="149"/>
              <w:rPr>
                <w:sz w:val="13"/>
                <w:szCs w:val="13"/>
              </w:rPr>
            </w:pPr>
            <w:r>
              <w:rPr>
                <w:sz w:val="13"/>
                <w:szCs w:val="13"/>
              </w:rPr>
              <w:t>2022-2024</w:t>
            </w:r>
          </w:p>
        </w:tc>
        <w:tc>
          <w:tcPr>
            <w:tcW w:w="614" w:type="dxa"/>
            <w:gridSpan w:val="2"/>
            <w:noWrap/>
            <w:vAlign w:val="center"/>
          </w:tcPr>
          <w:p w14:paraId="33EC5E77">
            <w:pPr>
              <w:pStyle w:val="149"/>
              <w:rPr>
                <w:sz w:val="13"/>
                <w:szCs w:val="13"/>
              </w:rPr>
            </w:pPr>
            <w:r>
              <w:rPr>
                <w:sz w:val="13"/>
                <w:szCs w:val="13"/>
              </w:rPr>
              <w:t>建成</w:t>
            </w:r>
          </w:p>
        </w:tc>
        <w:tc>
          <w:tcPr>
            <w:tcW w:w="567" w:type="dxa"/>
            <w:gridSpan w:val="2"/>
            <w:noWrap/>
            <w:vAlign w:val="center"/>
          </w:tcPr>
          <w:p w14:paraId="5F796764">
            <w:pPr>
              <w:pStyle w:val="149"/>
              <w:rPr>
                <w:sz w:val="13"/>
                <w:szCs w:val="13"/>
              </w:rPr>
            </w:pPr>
            <w:r>
              <w:rPr>
                <w:sz w:val="13"/>
                <w:szCs w:val="13"/>
              </w:rPr>
              <w:t>未运营</w:t>
            </w:r>
          </w:p>
        </w:tc>
        <w:tc>
          <w:tcPr>
            <w:tcW w:w="992" w:type="dxa"/>
            <w:gridSpan w:val="2"/>
            <w:noWrap/>
            <w:vAlign w:val="center"/>
          </w:tcPr>
          <w:p w14:paraId="3D256F4E">
            <w:pPr>
              <w:pStyle w:val="149"/>
              <w:rPr>
                <w:sz w:val="13"/>
                <w:szCs w:val="13"/>
              </w:rPr>
            </w:pPr>
            <w:r>
              <w:rPr>
                <w:sz w:val="13"/>
                <w:szCs w:val="13"/>
              </w:rPr>
              <w:t>已编制方案</w:t>
            </w:r>
          </w:p>
        </w:tc>
        <w:tc>
          <w:tcPr>
            <w:tcW w:w="1701" w:type="dxa"/>
            <w:gridSpan w:val="2"/>
            <w:vAlign w:val="center"/>
          </w:tcPr>
          <w:p w14:paraId="1A072D48">
            <w:pPr>
              <w:pStyle w:val="149"/>
              <w:rPr>
                <w:sz w:val="13"/>
                <w:szCs w:val="13"/>
              </w:rPr>
            </w:pPr>
            <w:r>
              <w:rPr>
                <w:sz w:val="13"/>
                <w:szCs w:val="13"/>
              </w:rPr>
              <w:t>固水保许决〔2023〕5号</w:t>
            </w:r>
          </w:p>
        </w:tc>
        <w:tc>
          <w:tcPr>
            <w:tcW w:w="844" w:type="dxa"/>
            <w:noWrap/>
            <w:vAlign w:val="center"/>
          </w:tcPr>
          <w:p w14:paraId="42163E1C">
            <w:pPr>
              <w:pStyle w:val="149"/>
              <w:rPr>
                <w:sz w:val="13"/>
                <w:szCs w:val="13"/>
              </w:rPr>
            </w:pPr>
            <w:r>
              <w:rPr>
                <w:sz w:val="13"/>
                <w:szCs w:val="13"/>
              </w:rPr>
              <w:t>54.89</w:t>
            </w:r>
          </w:p>
        </w:tc>
        <w:tc>
          <w:tcPr>
            <w:tcW w:w="844" w:type="dxa"/>
            <w:gridSpan w:val="2"/>
            <w:noWrap/>
            <w:vAlign w:val="center"/>
          </w:tcPr>
          <w:p w14:paraId="00483B39">
            <w:pPr>
              <w:pStyle w:val="149"/>
              <w:rPr>
                <w:sz w:val="13"/>
                <w:szCs w:val="13"/>
              </w:rPr>
            </w:pPr>
            <w:r>
              <w:rPr>
                <w:sz w:val="13"/>
                <w:szCs w:val="13"/>
              </w:rPr>
              <w:t>54.89</w:t>
            </w:r>
          </w:p>
        </w:tc>
        <w:tc>
          <w:tcPr>
            <w:tcW w:w="892" w:type="dxa"/>
            <w:gridSpan w:val="2"/>
            <w:vAlign w:val="center"/>
          </w:tcPr>
          <w:p w14:paraId="6B1B0440">
            <w:pPr>
              <w:pStyle w:val="149"/>
              <w:rPr>
                <w:sz w:val="13"/>
                <w:szCs w:val="13"/>
              </w:rPr>
            </w:pPr>
            <w:r>
              <w:rPr>
                <w:sz w:val="13"/>
                <w:szCs w:val="13"/>
              </w:rPr>
              <w:t>7.62</w:t>
            </w:r>
          </w:p>
        </w:tc>
        <w:tc>
          <w:tcPr>
            <w:tcW w:w="1527" w:type="dxa"/>
            <w:noWrap/>
            <w:vAlign w:val="center"/>
          </w:tcPr>
          <w:p w14:paraId="3C018144">
            <w:pPr>
              <w:pStyle w:val="149"/>
              <w:rPr>
                <w:sz w:val="13"/>
                <w:szCs w:val="13"/>
              </w:rPr>
            </w:pPr>
            <w:r>
              <w:rPr>
                <w:sz w:val="13"/>
                <w:szCs w:val="13"/>
              </w:rPr>
              <w:t>表土剥离、铺砌透水砖、混凝土排水沟、土地整治、雨水收集池、碎石压盖、空地绿化、密目网苫盖</w:t>
            </w:r>
          </w:p>
        </w:tc>
        <w:tc>
          <w:tcPr>
            <w:tcW w:w="1051" w:type="dxa"/>
            <w:noWrap/>
            <w:vAlign w:val="center"/>
          </w:tcPr>
          <w:p w14:paraId="63A9C24B">
            <w:pPr>
              <w:pStyle w:val="149"/>
              <w:rPr>
                <w:sz w:val="13"/>
                <w:szCs w:val="13"/>
              </w:rPr>
            </w:pPr>
            <w:r>
              <w:rPr>
                <w:sz w:val="13"/>
                <w:szCs w:val="13"/>
              </w:rPr>
              <w:t>未完成</w:t>
            </w:r>
          </w:p>
        </w:tc>
      </w:tr>
      <w:tr w14:paraId="5697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7B4BA11D">
            <w:pPr>
              <w:pStyle w:val="149"/>
              <w:rPr>
                <w:sz w:val="13"/>
                <w:szCs w:val="13"/>
              </w:rPr>
            </w:pPr>
            <w:r>
              <w:rPr>
                <w:sz w:val="13"/>
                <w:szCs w:val="13"/>
              </w:rPr>
              <w:t>23</w:t>
            </w:r>
          </w:p>
        </w:tc>
        <w:tc>
          <w:tcPr>
            <w:tcW w:w="1317" w:type="dxa"/>
            <w:vAlign w:val="center"/>
          </w:tcPr>
          <w:p w14:paraId="341D763E">
            <w:pPr>
              <w:pStyle w:val="149"/>
              <w:rPr>
                <w:sz w:val="13"/>
                <w:szCs w:val="13"/>
              </w:rPr>
            </w:pPr>
            <w:r>
              <w:rPr>
                <w:sz w:val="13"/>
                <w:szCs w:val="13"/>
              </w:rPr>
              <w:t>东方日升（包头）硅业有限公司</w:t>
            </w:r>
          </w:p>
        </w:tc>
        <w:tc>
          <w:tcPr>
            <w:tcW w:w="2226" w:type="dxa"/>
            <w:vAlign w:val="center"/>
          </w:tcPr>
          <w:p w14:paraId="52BCDFC7">
            <w:pPr>
              <w:pStyle w:val="149"/>
              <w:rPr>
                <w:sz w:val="13"/>
                <w:szCs w:val="13"/>
              </w:rPr>
            </w:pPr>
            <w:r>
              <w:rPr>
                <w:sz w:val="13"/>
                <w:szCs w:val="13"/>
              </w:rPr>
              <w:t>东方日升源网荷储一体化10GW拉晶硅项目</w:t>
            </w:r>
          </w:p>
        </w:tc>
        <w:tc>
          <w:tcPr>
            <w:tcW w:w="1418" w:type="dxa"/>
            <w:noWrap/>
            <w:vAlign w:val="center"/>
          </w:tcPr>
          <w:p w14:paraId="57FEC912">
            <w:pPr>
              <w:pStyle w:val="149"/>
              <w:rPr>
                <w:sz w:val="13"/>
                <w:szCs w:val="13"/>
              </w:rPr>
            </w:pPr>
            <w:r>
              <w:rPr>
                <w:sz w:val="13"/>
                <w:szCs w:val="13"/>
              </w:rPr>
              <w:t>项目代码：2206-150222-04-01-400991</w:t>
            </w:r>
          </w:p>
        </w:tc>
        <w:tc>
          <w:tcPr>
            <w:tcW w:w="709" w:type="dxa"/>
            <w:noWrap/>
            <w:vAlign w:val="center"/>
          </w:tcPr>
          <w:p w14:paraId="0812B2B6">
            <w:pPr>
              <w:pStyle w:val="149"/>
              <w:rPr>
                <w:sz w:val="13"/>
                <w:szCs w:val="13"/>
              </w:rPr>
            </w:pPr>
            <w:r>
              <w:rPr>
                <w:sz w:val="13"/>
                <w:szCs w:val="13"/>
              </w:rPr>
              <w:t>13.21</w:t>
            </w:r>
          </w:p>
        </w:tc>
        <w:tc>
          <w:tcPr>
            <w:tcW w:w="803" w:type="dxa"/>
            <w:noWrap/>
            <w:vAlign w:val="center"/>
          </w:tcPr>
          <w:p w14:paraId="22975172">
            <w:pPr>
              <w:pStyle w:val="149"/>
              <w:rPr>
                <w:sz w:val="13"/>
                <w:szCs w:val="13"/>
              </w:rPr>
            </w:pPr>
            <w:r>
              <w:rPr>
                <w:sz w:val="13"/>
                <w:szCs w:val="13"/>
              </w:rPr>
              <w:t>2022-2023</w:t>
            </w:r>
          </w:p>
        </w:tc>
        <w:tc>
          <w:tcPr>
            <w:tcW w:w="614" w:type="dxa"/>
            <w:gridSpan w:val="2"/>
            <w:noWrap/>
            <w:vAlign w:val="center"/>
          </w:tcPr>
          <w:p w14:paraId="078DAE92">
            <w:pPr>
              <w:pStyle w:val="149"/>
              <w:rPr>
                <w:sz w:val="13"/>
                <w:szCs w:val="13"/>
              </w:rPr>
            </w:pPr>
            <w:r>
              <w:rPr>
                <w:sz w:val="13"/>
                <w:szCs w:val="13"/>
              </w:rPr>
              <w:t>建成</w:t>
            </w:r>
          </w:p>
        </w:tc>
        <w:tc>
          <w:tcPr>
            <w:tcW w:w="567" w:type="dxa"/>
            <w:gridSpan w:val="2"/>
            <w:noWrap/>
            <w:vAlign w:val="center"/>
          </w:tcPr>
          <w:p w14:paraId="6E10E0F9">
            <w:pPr>
              <w:pStyle w:val="149"/>
              <w:rPr>
                <w:sz w:val="13"/>
                <w:szCs w:val="13"/>
              </w:rPr>
            </w:pPr>
            <w:r>
              <w:rPr>
                <w:sz w:val="13"/>
                <w:szCs w:val="13"/>
              </w:rPr>
              <w:t>未运营</w:t>
            </w:r>
          </w:p>
        </w:tc>
        <w:tc>
          <w:tcPr>
            <w:tcW w:w="992" w:type="dxa"/>
            <w:gridSpan w:val="2"/>
            <w:noWrap/>
            <w:vAlign w:val="center"/>
          </w:tcPr>
          <w:p w14:paraId="0CEAF05D">
            <w:pPr>
              <w:pStyle w:val="149"/>
              <w:rPr>
                <w:sz w:val="13"/>
                <w:szCs w:val="13"/>
              </w:rPr>
            </w:pPr>
            <w:r>
              <w:rPr>
                <w:sz w:val="13"/>
                <w:szCs w:val="13"/>
              </w:rPr>
              <w:t>已编制方案</w:t>
            </w:r>
          </w:p>
        </w:tc>
        <w:tc>
          <w:tcPr>
            <w:tcW w:w="1701" w:type="dxa"/>
            <w:gridSpan w:val="2"/>
            <w:vAlign w:val="center"/>
          </w:tcPr>
          <w:p w14:paraId="00B857F8">
            <w:pPr>
              <w:pStyle w:val="149"/>
              <w:rPr>
                <w:sz w:val="13"/>
                <w:szCs w:val="13"/>
              </w:rPr>
            </w:pPr>
            <w:r>
              <w:rPr>
                <w:sz w:val="13"/>
                <w:szCs w:val="13"/>
              </w:rPr>
              <w:t>固水保许决〔2023〕6号</w:t>
            </w:r>
          </w:p>
        </w:tc>
        <w:tc>
          <w:tcPr>
            <w:tcW w:w="844" w:type="dxa"/>
            <w:noWrap/>
            <w:vAlign w:val="center"/>
          </w:tcPr>
          <w:p w14:paraId="5C4D8035">
            <w:pPr>
              <w:pStyle w:val="149"/>
              <w:rPr>
                <w:sz w:val="13"/>
                <w:szCs w:val="13"/>
              </w:rPr>
            </w:pPr>
            <w:r>
              <w:rPr>
                <w:sz w:val="13"/>
                <w:szCs w:val="13"/>
              </w:rPr>
              <w:t>10.45</w:t>
            </w:r>
          </w:p>
        </w:tc>
        <w:tc>
          <w:tcPr>
            <w:tcW w:w="844" w:type="dxa"/>
            <w:gridSpan w:val="2"/>
            <w:noWrap/>
            <w:vAlign w:val="center"/>
          </w:tcPr>
          <w:p w14:paraId="35C69A70">
            <w:pPr>
              <w:pStyle w:val="149"/>
              <w:rPr>
                <w:sz w:val="13"/>
                <w:szCs w:val="13"/>
              </w:rPr>
            </w:pPr>
            <w:r>
              <w:rPr>
                <w:sz w:val="13"/>
                <w:szCs w:val="13"/>
              </w:rPr>
              <w:t>10.45</w:t>
            </w:r>
          </w:p>
        </w:tc>
        <w:tc>
          <w:tcPr>
            <w:tcW w:w="892" w:type="dxa"/>
            <w:gridSpan w:val="2"/>
            <w:vAlign w:val="center"/>
          </w:tcPr>
          <w:p w14:paraId="33EB60CC">
            <w:pPr>
              <w:pStyle w:val="149"/>
              <w:rPr>
                <w:sz w:val="13"/>
                <w:szCs w:val="13"/>
              </w:rPr>
            </w:pPr>
            <w:r>
              <w:rPr>
                <w:sz w:val="13"/>
                <w:szCs w:val="13"/>
              </w:rPr>
              <w:t>2.09</w:t>
            </w:r>
          </w:p>
        </w:tc>
        <w:tc>
          <w:tcPr>
            <w:tcW w:w="1527" w:type="dxa"/>
            <w:noWrap/>
            <w:vAlign w:val="center"/>
          </w:tcPr>
          <w:p w14:paraId="1FA24AD4">
            <w:pPr>
              <w:pStyle w:val="149"/>
              <w:rPr>
                <w:sz w:val="13"/>
                <w:szCs w:val="13"/>
              </w:rPr>
            </w:pPr>
            <w:r>
              <w:rPr>
                <w:sz w:val="13"/>
                <w:szCs w:val="13"/>
              </w:rPr>
              <w:t>节水灌溉、排水暗管、土地整治、空地绿化、密目网苫盖</w:t>
            </w:r>
          </w:p>
        </w:tc>
        <w:tc>
          <w:tcPr>
            <w:tcW w:w="1051" w:type="dxa"/>
            <w:noWrap/>
            <w:vAlign w:val="center"/>
          </w:tcPr>
          <w:p w14:paraId="4BBDF3E7">
            <w:pPr>
              <w:pStyle w:val="149"/>
              <w:rPr>
                <w:sz w:val="13"/>
                <w:szCs w:val="13"/>
              </w:rPr>
            </w:pPr>
            <w:r>
              <w:rPr>
                <w:sz w:val="13"/>
                <w:szCs w:val="13"/>
              </w:rPr>
              <w:t>未完成</w:t>
            </w:r>
          </w:p>
        </w:tc>
      </w:tr>
      <w:tr w14:paraId="16D6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0ADB0712">
            <w:pPr>
              <w:pStyle w:val="149"/>
              <w:rPr>
                <w:sz w:val="13"/>
                <w:szCs w:val="13"/>
              </w:rPr>
            </w:pPr>
            <w:r>
              <w:rPr>
                <w:sz w:val="13"/>
                <w:szCs w:val="13"/>
              </w:rPr>
              <w:t>24</w:t>
            </w:r>
          </w:p>
        </w:tc>
        <w:tc>
          <w:tcPr>
            <w:tcW w:w="1317" w:type="dxa"/>
            <w:noWrap/>
            <w:vAlign w:val="center"/>
          </w:tcPr>
          <w:p w14:paraId="0C1E6990">
            <w:pPr>
              <w:pStyle w:val="149"/>
              <w:rPr>
                <w:sz w:val="13"/>
                <w:szCs w:val="13"/>
              </w:rPr>
            </w:pPr>
            <w:r>
              <w:rPr>
                <w:sz w:val="13"/>
                <w:szCs w:val="13"/>
              </w:rPr>
              <w:t>内蒙古江美环保科技有限公司</w:t>
            </w:r>
          </w:p>
        </w:tc>
        <w:tc>
          <w:tcPr>
            <w:tcW w:w="2226" w:type="dxa"/>
            <w:noWrap/>
            <w:vAlign w:val="center"/>
          </w:tcPr>
          <w:p w14:paraId="7EEC7C51">
            <w:pPr>
              <w:pStyle w:val="149"/>
              <w:rPr>
                <w:sz w:val="13"/>
                <w:szCs w:val="13"/>
              </w:rPr>
            </w:pPr>
            <w:r>
              <w:rPr>
                <w:sz w:val="13"/>
                <w:szCs w:val="13"/>
              </w:rPr>
              <w:t>包头市年处理3万t铜砷滤料综合回收利用项目（一期）（报告表）</w:t>
            </w:r>
          </w:p>
        </w:tc>
        <w:tc>
          <w:tcPr>
            <w:tcW w:w="1418" w:type="dxa"/>
            <w:noWrap/>
            <w:vAlign w:val="center"/>
          </w:tcPr>
          <w:p w14:paraId="7C455F28">
            <w:pPr>
              <w:pStyle w:val="149"/>
              <w:rPr>
                <w:sz w:val="13"/>
                <w:szCs w:val="13"/>
              </w:rPr>
            </w:pPr>
            <w:r>
              <w:rPr>
                <w:sz w:val="13"/>
                <w:szCs w:val="13"/>
              </w:rPr>
              <w:t>项目代码：2107-150222-04-01-810317</w:t>
            </w:r>
          </w:p>
        </w:tc>
        <w:tc>
          <w:tcPr>
            <w:tcW w:w="709" w:type="dxa"/>
            <w:noWrap/>
            <w:vAlign w:val="center"/>
          </w:tcPr>
          <w:p w14:paraId="3AAFEC88">
            <w:pPr>
              <w:pStyle w:val="149"/>
              <w:rPr>
                <w:sz w:val="13"/>
                <w:szCs w:val="13"/>
              </w:rPr>
            </w:pPr>
            <w:r>
              <w:rPr>
                <w:sz w:val="13"/>
                <w:szCs w:val="13"/>
              </w:rPr>
              <w:t>5.56</w:t>
            </w:r>
          </w:p>
        </w:tc>
        <w:tc>
          <w:tcPr>
            <w:tcW w:w="803" w:type="dxa"/>
            <w:noWrap/>
            <w:vAlign w:val="center"/>
          </w:tcPr>
          <w:p w14:paraId="209BDE16">
            <w:pPr>
              <w:pStyle w:val="149"/>
              <w:rPr>
                <w:sz w:val="13"/>
                <w:szCs w:val="13"/>
              </w:rPr>
            </w:pPr>
            <w:r>
              <w:rPr>
                <w:sz w:val="13"/>
                <w:szCs w:val="13"/>
              </w:rPr>
              <w:t>2022-2023</w:t>
            </w:r>
          </w:p>
        </w:tc>
        <w:tc>
          <w:tcPr>
            <w:tcW w:w="614" w:type="dxa"/>
            <w:gridSpan w:val="2"/>
            <w:noWrap/>
            <w:vAlign w:val="center"/>
          </w:tcPr>
          <w:p w14:paraId="5139C775">
            <w:pPr>
              <w:pStyle w:val="149"/>
              <w:rPr>
                <w:sz w:val="13"/>
                <w:szCs w:val="13"/>
              </w:rPr>
            </w:pPr>
            <w:r>
              <w:rPr>
                <w:sz w:val="13"/>
                <w:szCs w:val="13"/>
              </w:rPr>
              <w:t>建成</w:t>
            </w:r>
          </w:p>
        </w:tc>
        <w:tc>
          <w:tcPr>
            <w:tcW w:w="567" w:type="dxa"/>
            <w:gridSpan w:val="2"/>
            <w:noWrap/>
            <w:vAlign w:val="center"/>
          </w:tcPr>
          <w:p w14:paraId="7B1951B1">
            <w:pPr>
              <w:pStyle w:val="149"/>
              <w:rPr>
                <w:sz w:val="13"/>
                <w:szCs w:val="13"/>
              </w:rPr>
            </w:pPr>
            <w:r>
              <w:rPr>
                <w:sz w:val="13"/>
                <w:szCs w:val="13"/>
              </w:rPr>
              <w:t>未运营</w:t>
            </w:r>
          </w:p>
        </w:tc>
        <w:tc>
          <w:tcPr>
            <w:tcW w:w="992" w:type="dxa"/>
            <w:gridSpan w:val="2"/>
            <w:noWrap/>
            <w:vAlign w:val="center"/>
          </w:tcPr>
          <w:p w14:paraId="059CE96C">
            <w:pPr>
              <w:pStyle w:val="149"/>
              <w:rPr>
                <w:sz w:val="13"/>
                <w:szCs w:val="13"/>
              </w:rPr>
            </w:pPr>
            <w:r>
              <w:rPr>
                <w:sz w:val="13"/>
                <w:szCs w:val="13"/>
              </w:rPr>
              <w:t>已编制方案</w:t>
            </w:r>
          </w:p>
        </w:tc>
        <w:tc>
          <w:tcPr>
            <w:tcW w:w="1701" w:type="dxa"/>
            <w:gridSpan w:val="2"/>
            <w:noWrap/>
            <w:vAlign w:val="center"/>
          </w:tcPr>
          <w:p w14:paraId="01E33C9E">
            <w:pPr>
              <w:pStyle w:val="149"/>
              <w:rPr>
                <w:sz w:val="13"/>
                <w:szCs w:val="13"/>
              </w:rPr>
            </w:pPr>
            <w:r>
              <w:rPr>
                <w:sz w:val="13"/>
                <w:szCs w:val="13"/>
              </w:rPr>
              <w:t>水保报告2022-60</w:t>
            </w:r>
          </w:p>
        </w:tc>
        <w:tc>
          <w:tcPr>
            <w:tcW w:w="844" w:type="dxa"/>
            <w:noWrap/>
            <w:vAlign w:val="center"/>
          </w:tcPr>
          <w:p w14:paraId="7A55D4F1">
            <w:pPr>
              <w:pStyle w:val="149"/>
              <w:rPr>
                <w:sz w:val="13"/>
                <w:szCs w:val="13"/>
              </w:rPr>
            </w:pPr>
            <w:r>
              <w:rPr>
                <w:sz w:val="13"/>
                <w:szCs w:val="13"/>
              </w:rPr>
              <w:t>3.89</w:t>
            </w:r>
          </w:p>
        </w:tc>
        <w:tc>
          <w:tcPr>
            <w:tcW w:w="844" w:type="dxa"/>
            <w:gridSpan w:val="2"/>
            <w:noWrap/>
            <w:vAlign w:val="center"/>
          </w:tcPr>
          <w:p w14:paraId="43494FE5">
            <w:pPr>
              <w:pStyle w:val="149"/>
              <w:rPr>
                <w:sz w:val="13"/>
                <w:szCs w:val="13"/>
              </w:rPr>
            </w:pPr>
            <w:r>
              <w:rPr>
                <w:sz w:val="13"/>
                <w:szCs w:val="13"/>
              </w:rPr>
              <w:t>3.89</w:t>
            </w:r>
          </w:p>
        </w:tc>
        <w:tc>
          <w:tcPr>
            <w:tcW w:w="892" w:type="dxa"/>
            <w:gridSpan w:val="2"/>
            <w:vAlign w:val="center"/>
          </w:tcPr>
          <w:p w14:paraId="355C01C6">
            <w:pPr>
              <w:pStyle w:val="149"/>
              <w:rPr>
                <w:sz w:val="13"/>
                <w:szCs w:val="13"/>
              </w:rPr>
            </w:pPr>
            <w:r>
              <w:rPr>
                <w:sz w:val="13"/>
                <w:szCs w:val="13"/>
              </w:rPr>
              <w:t>0.89</w:t>
            </w:r>
          </w:p>
        </w:tc>
        <w:tc>
          <w:tcPr>
            <w:tcW w:w="1527" w:type="dxa"/>
            <w:noWrap/>
            <w:vAlign w:val="center"/>
          </w:tcPr>
          <w:p w14:paraId="3B4909F5">
            <w:pPr>
              <w:pStyle w:val="149"/>
              <w:rPr>
                <w:sz w:val="13"/>
                <w:szCs w:val="13"/>
              </w:rPr>
            </w:pPr>
            <w:r>
              <w:rPr>
                <w:sz w:val="13"/>
                <w:szCs w:val="13"/>
              </w:rPr>
              <w:t>节水灌溉、排水暗管、土地整治、空地绿化、密目网苫盖</w:t>
            </w:r>
          </w:p>
        </w:tc>
        <w:tc>
          <w:tcPr>
            <w:tcW w:w="1051" w:type="dxa"/>
            <w:noWrap/>
            <w:vAlign w:val="center"/>
          </w:tcPr>
          <w:p w14:paraId="6AC1D247">
            <w:pPr>
              <w:pStyle w:val="149"/>
              <w:rPr>
                <w:sz w:val="13"/>
                <w:szCs w:val="13"/>
              </w:rPr>
            </w:pPr>
            <w:r>
              <w:rPr>
                <w:sz w:val="13"/>
                <w:szCs w:val="13"/>
              </w:rPr>
              <w:t>未完成</w:t>
            </w:r>
          </w:p>
        </w:tc>
      </w:tr>
      <w:tr w14:paraId="2C5D6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625DE39B">
            <w:pPr>
              <w:pStyle w:val="149"/>
              <w:rPr>
                <w:sz w:val="13"/>
                <w:szCs w:val="13"/>
              </w:rPr>
            </w:pPr>
            <w:r>
              <w:rPr>
                <w:sz w:val="13"/>
                <w:szCs w:val="13"/>
              </w:rPr>
              <w:t>25</w:t>
            </w:r>
          </w:p>
        </w:tc>
        <w:tc>
          <w:tcPr>
            <w:tcW w:w="1317" w:type="dxa"/>
            <w:noWrap/>
            <w:vAlign w:val="center"/>
          </w:tcPr>
          <w:p w14:paraId="54E079C0">
            <w:pPr>
              <w:pStyle w:val="149"/>
              <w:rPr>
                <w:sz w:val="13"/>
                <w:szCs w:val="13"/>
              </w:rPr>
            </w:pPr>
            <w:r>
              <w:rPr>
                <w:sz w:val="13"/>
                <w:szCs w:val="13"/>
              </w:rPr>
              <w:t>东方日升（包头）新能源有限公司</w:t>
            </w:r>
          </w:p>
        </w:tc>
        <w:tc>
          <w:tcPr>
            <w:tcW w:w="2226" w:type="dxa"/>
            <w:noWrap/>
            <w:vAlign w:val="center"/>
          </w:tcPr>
          <w:p w14:paraId="509E131A">
            <w:pPr>
              <w:pStyle w:val="149"/>
              <w:rPr>
                <w:sz w:val="13"/>
                <w:szCs w:val="13"/>
              </w:rPr>
            </w:pPr>
            <w:r>
              <w:rPr>
                <w:sz w:val="13"/>
                <w:szCs w:val="13"/>
              </w:rPr>
              <w:t>东方日升源网荷储一体化3GW组件项目</w:t>
            </w:r>
          </w:p>
        </w:tc>
        <w:tc>
          <w:tcPr>
            <w:tcW w:w="1418" w:type="dxa"/>
            <w:noWrap/>
            <w:vAlign w:val="center"/>
          </w:tcPr>
          <w:p w14:paraId="7437AE19">
            <w:pPr>
              <w:pStyle w:val="149"/>
              <w:rPr>
                <w:sz w:val="13"/>
                <w:szCs w:val="13"/>
              </w:rPr>
            </w:pPr>
            <w:r>
              <w:rPr>
                <w:sz w:val="13"/>
                <w:szCs w:val="13"/>
              </w:rPr>
              <w:t>项目代码：2206-150222-04-01-780686</w:t>
            </w:r>
          </w:p>
        </w:tc>
        <w:tc>
          <w:tcPr>
            <w:tcW w:w="709" w:type="dxa"/>
            <w:noWrap/>
            <w:vAlign w:val="center"/>
          </w:tcPr>
          <w:p w14:paraId="3ED45FEF">
            <w:pPr>
              <w:pStyle w:val="149"/>
              <w:rPr>
                <w:sz w:val="13"/>
                <w:szCs w:val="13"/>
              </w:rPr>
            </w:pPr>
            <w:r>
              <w:rPr>
                <w:sz w:val="13"/>
                <w:szCs w:val="13"/>
              </w:rPr>
              <w:t>18.81</w:t>
            </w:r>
          </w:p>
        </w:tc>
        <w:tc>
          <w:tcPr>
            <w:tcW w:w="803" w:type="dxa"/>
            <w:noWrap/>
            <w:vAlign w:val="center"/>
          </w:tcPr>
          <w:p w14:paraId="6EB7110B">
            <w:pPr>
              <w:pStyle w:val="149"/>
              <w:rPr>
                <w:sz w:val="13"/>
                <w:szCs w:val="13"/>
              </w:rPr>
            </w:pPr>
            <w:r>
              <w:rPr>
                <w:sz w:val="13"/>
                <w:szCs w:val="13"/>
              </w:rPr>
              <w:t>2022-2023</w:t>
            </w:r>
          </w:p>
        </w:tc>
        <w:tc>
          <w:tcPr>
            <w:tcW w:w="614" w:type="dxa"/>
            <w:gridSpan w:val="2"/>
            <w:noWrap/>
            <w:vAlign w:val="center"/>
          </w:tcPr>
          <w:p w14:paraId="19826198">
            <w:pPr>
              <w:pStyle w:val="149"/>
              <w:rPr>
                <w:sz w:val="13"/>
                <w:szCs w:val="13"/>
              </w:rPr>
            </w:pPr>
            <w:r>
              <w:rPr>
                <w:sz w:val="13"/>
                <w:szCs w:val="13"/>
              </w:rPr>
              <w:t>建成</w:t>
            </w:r>
          </w:p>
        </w:tc>
        <w:tc>
          <w:tcPr>
            <w:tcW w:w="567" w:type="dxa"/>
            <w:gridSpan w:val="2"/>
            <w:noWrap/>
            <w:vAlign w:val="center"/>
          </w:tcPr>
          <w:p w14:paraId="673C4E24">
            <w:pPr>
              <w:pStyle w:val="149"/>
              <w:rPr>
                <w:sz w:val="13"/>
                <w:szCs w:val="13"/>
              </w:rPr>
            </w:pPr>
            <w:r>
              <w:rPr>
                <w:sz w:val="13"/>
                <w:szCs w:val="13"/>
              </w:rPr>
              <w:t>未运营</w:t>
            </w:r>
          </w:p>
        </w:tc>
        <w:tc>
          <w:tcPr>
            <w:tcW w:w="992" w:type="dxa"/>
            <w:gridSpan w:val="2"/>
            <w:noWrap/>
            <w:vAlign w:val="center"/>
          </w:tcPr>
          <w:p w14:paraId="77C0E83C">
            <w:pPr>
              <w:pStyle w:val="149"/>
              <w:rPr>
                <w:sz w:val="13"/>
                <w:szCs w:val="13"/>
              </w:rPr>
            </w:pPr>
            <w:r>
              <w:rPr>
                <w:sz w:val="13"/>
                <w:szCs w:val="13"/>
              </w:rPr>
              <w:t>已编制方案</w:t>
            </w:r>
          </w:p>
        </w:tc>
        <w:tc>
          <w:tcPr>
            <w:tcW w:w="1701" w:type="dxa"/>
            <w:gridSpan w:val="2"/>
            <w:noWrap/>
            <w:vAlign w:val="center"/>
          </w:tcPr>
          <w:p w14:paraId="4964A7BD">
            <w:pPr>
              <w:pStyle w:val="149"/>
              <w:rPr>
                <w:sz w:val="13"/>
                <w:szCs w:val="13"/>
              </w:rPr>
            </w:pPr>
            <w:r>
              <w:rPr>
                <w:sz w:val="13"/>
                <w:szCs w:val="13"/>
              </w:rPr>
              <w:t>固水保许可〔2022〕11号</w:t>
            </w:r>
          </w:p>
        </w:tc>
        <w:tc>
          <w:tcPr>
            <w:tcW w:w="844" w:type="dxa"/>
            <w:noWrap/>
            <w:vAlign w:val="center"/>
          </w:tcPr>
          <w:p w14:paraId="7E699A75">
            <w:pPr>
              <w:pStyle w:val="149"/>
              <w:rPr>
                <w:sz w:val="13"/>
                <w:szCs w:val="13"/>
              </w:rPr>
            </w:pPr>
            <w:r>
              <w:rPr>
                <w:sz w:val="13"/>
                <w:szCs w:val="13"/>
              </w:rPr>
              <w:t>14.58</w:t>
            </w:r>
          </w:p>
        </w:tc>
        <w:tc>
          <w:tcPr>
            <w:tcW w:w="844" w:type="dxa"/>
            <w:gridSpan w:val="2"/>
            <w:noWrap/>
            <w:vAlign w:val="center"/>
          </w:tcPr>
          <w:p w14:paraId="0E809B09">
            <w:pPr>
              <w:pStyle w:val="149"/>
              <w:rPr>
                <w:sz w:val="13"/>
                <w:szCs w:val="13"/>
              </w:rPr>
            </w:pPr>
            <w:r>
              <w:rPr>
                <w:sz w:val="13"/>
                <w:szCs w:val="13"/>
              </w:rPr>
              <w:t>14.58</w:t>
            </w:r>
          </w:p>
        </w:tc>
        <w:tc>
          <w:tcPr>
            <w:tcW w:w="892" w:type="dxa"/>
            <w:gridSpan w:val="2"/>
            <w:vAlign w:val="center"/>
          </w:tcPr>
          <w:p w14:paraId="75E7BFDC">
            <w:pPr>
              <w:pStyle w:val="149"/>
              <w:rPr>
                <w:sz w:val="13"/>
                <w:szCs w:val="13"/>
              </w:rPr>
            </w:pPr>
            <w:r>
              <w:rPr>
                <w:sz w:val="13"/>
                <w:szCs w:val="13"/>
              </w:rPr>
              <w:t>4.72</w:t>
            </w:r>
          </w:p>
        </w:tc>
        <w:tc>
          <w:tcPr>
            <w:tcW w:w="1527" w:type="dxa"/>
            <w:noWrap/>
            <w:vAlign w:val="center"/>
          </w:tcPr>
          <w:p w14:paraId="72D444DA">
            <w:pPr>
              <w:pStyle w:val="149"/>
              <w:rPr>
                <w:sz w:val="13"/>
                <w:szCs w:val="13"/>
              </w:rPr>
            </w:pPr>
            <w:r>
              <w:rPr>
                <w:sz w:val="13"/>
                <w:szCs w:val="13"/>
              </w:rPr>
              <w:t>节水灌溉、土地整治、空地绿化、密目网苫盖</w:t>
            </w:r>
          </w:p>
        </w:tc>
        <w:tc>
          <w:tcPr>
            <w:tcW w:w="1051" w:type="dxa"/>
            <w:noWrap/>
            <w:vAlign w:val="center"/>
          </w:tcPr>
          <w:p w14:paraId="1A034521">
            <w:pPr>
              <w:pStyle w:val="149"/>
              <w:rPr>
                <w:sz w:val="13"/>
                <w:szCs w:val="13"/>
              </w:rPr>
            </w:pPr>
            <w:r>
              <w:rPr>
                <w:sz w:val="13"/>
                <w:szCs w:val="13"/>
              </w:rPr>
              <w:t>未完成</w:t>
            </w:r>
          </w:p>
        </w:tc>
      </w:tr>
      <w:tr w14:paraId="27DCA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400148AF">
            <w:pPr>
              <w:pStyle w:val="149"/>
              <w:rPr>
                <w:sz w:val="13"/>
                <w:szCs w:val="13"/>
              </w:rPr>
            </w:pPr>
            <w:r>
              <w:rPr>
                <w:sz w:val="13"/>
                <w:szCs w:val="13"/>
              </w:rPr>
              <w:t>26</w:t>
            </w:r>
          </w:p>
        </w:tc>
        <w:tc>
          <w:tcPr>
            <w:tcW w:w="1317" w:type="dxa"/>
            <w:noWrap/>
            <w:vAlign w:val="center"/>
          </w:tcPr>
          <w:p w14:paraId="43C0F63E">
            <w:pPr>
              <w:pStyle w:val="149"/>
              <w:rPr>
                <w:sz w:val="13"/>
                <w:szCs w:val="13"/>
              </w:rPr>
            </w:pPr>
            <w:r>
              <w:rPr>
                <w:sz w:val="13"/>
                <w:szCs w:val="13"/>
              </w:rPr>
              <w:t>内蒙古立阳环保科技有限公司</w:t>
            </w:r>
          </w:p>
        </w:tc>
        <w:tc>
          <w:tcPr>
            <w:tcW w:w="2226" w:type="dxa"/>
            <w:vAlign w:val="center"/>
          </w:tcPr>
          <w:p w14:paraId="7791D4E3">
            <w:pPr>
              <w:pStyle w:val="149"/>
              <w:rPr>
                <w:sz w:val="13"/>
                <w:szCs w:val="13"/>
              </w:rPr>
            </w:pPr>
            <w:r>
              <w:rPr>
                <w:sz w:val="13"/>
                <w:szCs w:val="13"/>
              </w:rPr>
              <w:t>内蒙古立阳环保科技有限公司年处理5万吨铝灰、铝渣综合利用项目</w:t>
            </w:r>
          </w:p>
        </w:tc>
        <w:tc>
          <w:tcPr>
            <w:tcW w:w="1418" w:type="dxa"/>
            <w:noWrap/>
            <w:vAlign w:val="center"/>
          </w:tcPr>
          <w:p w14:paraId="1F028519">
            <w:pPr>
              <w:pStyle w:val="149"/>
              <w:rPr>
                <w:sz w:val="13"/>
                <w:szCs w:val="13"/>
              </w:rPr>
            </w:pPr>
            <w:r>
              <w:rPr>
                <w:sz w:val="13"/>
                <w:szCs w:val="13"/>
              </w:rPr>
              <w:t>项目代码：2108-150222-04-01-545175</w:t>
            </w:r>
          </w:p>
        </w:tc>
        <w:tc>
          <w:tcPr>
            <w:tcW w:w="709" w:type="dxa"/>
            <w:noWrap/>
            <w:vAlign w:val="center"/>
          </w:tcPr>
          <w:p w14:paraId="36526C3F">
            <w:pPr>
              <w:pStyle w:val="149"/>
              <w:rPr>
                <w:sz w:val="13"/>
                <w:szCs w:val="13"/>
              </w:rPr>
            </w:pPr>
            <w:r>
              <w:rPr>
                <w:sz w:val="13"/>
                <w:szCs w:val="13"/>
              </w:rPr>
              <w:t>2.66</w:t>
            </w:r>
          </w:p>
        </w:tc>
        <w:tc>
          <w:tcPr>
            <w:tcW w:w="803" w:type="dxa"/>
            <w:noWrap/>
            <w:vAlign w:val="center"/>
          </w:tcPr>
          <w:p w14:paraId="606939C0">
            <w:pPr>
              <w:pStyle w:val="149"/>
              <w:rPr>
                <w:sz w:val="13"/>
                <w:szCs w:val="13"/>
              </w:rPr>
            </w:pPr>
            <w:r>
              <w:rPr>
                <w:sz w:val="13"/>
                <w:szCs w:val="13"/>
              </w:rPr>
              <w:t>2022-2023</w:t>
            </w:r>
          </w:p>
        </w:tc>
        <w:tc>
          <w:tcPr>
            <w:tcW w:w="614" w:type="dxa"/>
            <w:gridSpan w:val="2"/>
            <w:noWrap/>
            <w:vAlign w:val="center"/>
          </w:tcPr>
          <w:p w14:paraId="721678A4">
            <w:pPr>
              <w:pStyle w:val="149"/>
              <w:rPr>
                <w:sz w:val="13"/>
                <w:szCs w:val="13"/>
              </w:rPr>
            </w:pPr>
            <w:r>
              <w:rPr>
                <w:sz w:val="13"/>
                <w:szCs w:val="13"/>
              </w:rPr>
              <w:t>建成</w:t>
            </w:r>
          </w:p>
        </w:tc>
        <w:tc>
          <w:tcPr>
            <w:tcW w:w="567" w:type="dxa"/>
            <w:gridSpan w:val="2"/>
            <w:noWrap/>
            <w:vAlign w:val="center"/>
          </w:tcPr>
          <w:p w14:paraId="3BF9BE8E">
            <w:pPr>
              <w:pStyle w:val="149"/>
              <w:rPr>
                <w:sz w:val="13"/>
                <w:szCs w:val="13"/>
              </w:rPr>
            </w:pPr>
            <w:r>
              <w:rPr>
                <w:sz w:val="13"/>
                <w:szCs w:val="13"/>
              </w:rPr>
              <w:t>未运营</w:t>
            </w:r>
          </w:p>
        </w:tc>
        <w:tc>
          <w:tcPr>
            <w:tcW w:w="992" w:type="dxa"/>
            <w:gridSpan w:val="2"/>
            <w:noWrap/>
            <w:vAlign w:val="center"/>
          </w:tcPr>
          <w:p w14:paraId="473C8B3F">
            <w:pPr>
              <w:pStyle w:val="149"/>
              <w:rPr>
                <w:sz w:val="13"/>
                <w:szCs w:val="13"/>
              </w:rPr>
            </w:pPr>
            <w:r>
              <w:rPr>
                <w:sz w:val="13"/>
                <w:szCs w:val="13"/>
              </w:rPr>
              <w:t>已编制方案</w:t>
            </w:r>
          </w:p>
        </w:tc>
        <w:tc>
          <w:tcPr>
            <w:tcW w:w="1701" w:type="dxa"/>
            <w:gridSpan w:val="2"/>
            <w:noWrap/>
            <w:vAlign w:val="center"/>
          </w:tcPr>
          <w:p w14:paraId="11D23017">
            <w:pPr>
              <w:pStyle w:val="149"/>
              <w:rPr>
                <w:sz w:val="13"/>
                <w:szCs w:val="13"/>
              </w:rPr>
            </w:pPr>
            <w:r>
              <w:rPr>
                <w:sz w:val="13"/>
                <w:szCs w:val="13"/>
              </w:rPr>
              <w:t>固水保许可〔2022〕13号</w:t>
            </w:r>
          </w:p>
        </w:tc>
        <w:tc>
          <w:tcPr>
            <w:tcW w:w="844" w:type="dxa"/>
            <w:noWrap/>
            <w:vAlign w:val="center"/>
          </w:tcPr>
          <w:p w14:paraId="57A1FE26">
            <w:pPr>
              <w:pStyle w:val="149"/>
              <w:rPr>
                <w:sz w:val="13"/>
                <w:szCs w:val="13"/>
              </w:rPr>
            </w:pPr>
            <w:r>
              <w:rPr>
                <w:sz w:val="13"/>
                <w:szCs w:val="13"/>
              </w:rPr>
              <w:t>0.33</w:t>
            </w:r>
          </w:p>
        </w:tc>
        <w:tc>
          <w:tcPr>
            <w:tcW w:w="844" w:type="dxa"/>
            <w:gridSpan w:val="2"/>
            <w:noWrap/>
            <w:vAlign w:val="center"/>
          </w:tcPr>
          <w:p w14:paraId="2DD09FA1">
            <w:pPr>
              <w:pStyle w:val="149"/>
              <w:rPr>
                <w:sz w:val="13"/>
                <w:szCs w:val="13"/>
              </w:rPr>
            </w:pPr>
            <w:r>
              <w:rPr>
                <w:sz w:val="13"/>
                <w:szCs w:val="13"/>
              </w:rPr>
              <w:t>0.33</w:t>
            </w:r>
          </w:p>
        </w:tc>
        <w:tc>
          <w:tcPr>
            <w:tcW w:w="892" w:type="dxa"/>
            <w:gridSpan w:val="2"/>
            <w:vAlign w:val="center"/>
          </w:tcPr>
          <w:p w14:paraId="12820F5C">
            <w:pPr>
              <w:pStyle w:val="149"/>
              <w:rPr>
                <w:sz w:val="13"/>
                <w:szCs w:val="13"/>
              </w:rPr>
            </w:pPr>
            <w:r>
              <w:rPr>
                <w:sz w:val="13"/>
                <w:szCs w:val="13"/>
              </w:rPr>
              <w:t>0.2</w:t>
            </w:r>
          </w:p>
        </w:tc>
        <w:tc>
          <w:tcPr>
            <w:tcW w:w="1527" w:type="dxa"/>
            <w:noWrap/>
            <w:vAlign w:val="center"/>
          </w:tcPr>
          <w:p w14:paraId="70770DF3">
            <w:pPr>
              <w:pStyle w:val="149"/>
              <w:rPr>
                <w:sz w:val="13"/>
                <w:szCs w:val="13"/>
              </w:rPr>
            </w:pPr>
            <w:r>
              <w:rPr>
                <w:sz w:val="13"/>
                <w:szCs w:val="13"/>
              </w:rPr>
              <w:t>土地整治、空地绿化、密目网苫盖</w:t>
            </w:r>
          </w:p>
        </w:tc>
        <w:tc>
          <w:tcPr>
            <w:tcW w:w="1051" w:type="dxa"/>
            <w:noWrap/>
            <w:vAlign w:val="center"/>
          </w:tcPr>
          <w:p w14:paraId="2184C617">
            <w:pPr>
              <w:pStyle w:val="149"/>
              <w:rPr>
                <w:sz w:val="13"/>
                <w:szCs w:val="13"/>
              </w:rPr>
            </w:pPr>
            <w:r>
              <w:rPr>
                <w:sz w:val="13"/>
                <w:szCs w:val="13"/>
              </w:rPr>
              <w:t>未完成</w:t>
            </w:r>
          </w:p>
        </w:tc>
      </w:tr>
      <w:tr w14:paraId="3EFC2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118DB637">
            <w:pPr>
              <w:pStyle w:val="149"/>
              <w:rPr>
                <w:sz w:val="13"/>
                <w:szCs w:val="13"/>
              </w:rPr>
            </w:pPr>
            <w:r>
              <w:rPr>
                <w:sz w:val="13"/>
                <w:szCs w:val="13"/>
              </w:rPr>
              <w:t>27</w:t>
            </w:r>
          </w:p>
        </w:tc>
        <w:tc>
          <w:tcPr>
            <w:tcW w:w="1317" w:type="dxa"/>
            <w:noWrap/>
            <w:vAlign w:val="center"/>
          </w:tcPr>
          <w:p w14:paraId="7E646E81">
            <w:pPr>
              <w:pStyle w:val="149"/>
              <w:rPr>
                <w:sz w:val="13"/>
                <w:szCs w:val="13"/>
              </w:rPr>
            </w:pPr>
            <w:r>
              <w:rPr>
                <w:sz w:val="13"/>
                <w:szCs w:val="13"/>
              </w:rPr>
              <w:t>弘元能源科技（包头）有限公司</w:t>
            </w:r>
          </w:p>
        </w:tc>
        <w:tc>
          <w:tcPr>
            <w:tcW w:w="2226" w:type="dxa"/>
            <w:vAlign w:val="center"/>
          </w:tcPr>
          <w:p w14:paraId="665E5461">
            <w:pPr>
              <w:pStyle w:val="149"/>
              <w:rPr>
                <w:sz w:val="13"/>
                <w:szCs w:val="13"/>
              </w:rPr>
            </w:pPr>
            <w:r>
              <w:rPr>
                <w:sz w:val="13"/>
                <w:szCs w:val="13"/>
              </w:rPr>
              <w:t>弘元能源科技（包头）有限公司10万吨高纯晶硅项目</w:t>
            </w:r>
          </w:p>
        </w:tc>
        <w:tc>
          <w:tcPr>
            <w:tcW w:w="1418" w:type="dxa"/>
            <w:noWrap/>
            <w:vAlign w:val="center"/>
          </w:tcPr>
          <w:p w14:paraId="42936FD7">
            <w:pPr>
              <w:pStyle w:val="149"/>
              <w:rPr>
                <w:sz w:val="13"/>
                <w:szCs w:val="13"/>
              </w:rPr>
            </w:pPr>
            <w:r>
              <w:rPr>
                <w:sz w:val="13"/>
                <w:szCs w:val="13"/>
              </w:rPr>
              <w:t>项目代码：2207-150222-04-01-265710</w:t>
            </w:r>
          </w:p>
        </w:tc>
        <w:tc>
          <w:tcPr>
            <w:tcW w:w="709" w:type="dxa"/>
            <w:noWrap/>
            <w:vAlign w:val="center"/>
          </w:tcPr>
          <w:p w14:paraId="564FB6E5">
            <w:pPr>
              <w:pStyle w:val="149"/>
              <w:rPr>
                <w:sz w:val="13"/>
                <w:szCs w:val="13"/>
              </w:rPr>
            </w:pPr>
            <w:r>
              <w:rPr>
                <w:sz w:val="13"/>
                <w:szCs w:val="13"/>
              </w:rPr>
              <w:t>84.83</w:t>
            </w:r>
          </w:p>
        </w:tc>
        <w:tc>
          <w:tcPr>
            <w:tcW w:w="803" w:type="dxa"/>
            <w:noWrap/>
            <w:vAlign w:val="center"/>
          </w:tcPr>
          <w:p w14:paraId="084F63D8">
            <w:pPr>
              <w:pStyle w:val="149"/>
              <w:rPr>
                <w:sz w:val="13"/>
                <w:szCs w:val="13"/>
              </w:rPr>
            </w:pPr>
            <w:r>
              <w:rPr>
                <w:sz w:val="13"/>
                <w:szCs w:val="13"/>
              </w:rPr>
              <w:t>2022-2023</w:t>
            </w:r>
          </w:p>
        </w:tc>
        <w:tc>
          <w:tcPr>
            <w:tcW w:w="614" w:type="dxa"/>
            <w:gridSpan w:val="2"/>
            <w:noWrap/>
            <w:vAlign w:val="center"/>
          </w:tcPr>
          <w:p w14:paraId="74B36237">
            <w:pPr>
              <w:pStyle w:val="149"/>
              <w:rPr>
                <w:sz w:val="13"/>
                <w:szCs w:val="13"/>
              </w:rPr>
            </w:pPr>
            <w:r>
              <w:rPr>
                <w:sz w:val="13"/>
                <w:szCs w:val="13"/>
              </w:rPr>
              <w:t>建成</w:t>
            </w:r>
          </w:p>
        </w:tc>
        <w:tc>
          <w:tcPr>
            <w:tcW w:w="567" w:type="dxa"/>
            <w:gridSpan w:val="2"/>
            <w:noWrap/>
            <w:vAlign w:val="center"/>
          </w:tcPr>
          <w:p w14:paraId="1BE917CB">
            <w:pPr>
              <w:pStyle w:val="149"/>
              <w:rPr>
                <w:sz w:val="13"/>
                <w:szCs w:val="13"/>
              </w:rPr>
            </w:pPr>
            <w:r>
              <w:rPr>
                <w:sz w:val="13"/>
                <w:szCs w:val="13"/>
              </w:rPr>
              <w:t>未运营</w:t>
            </w:r>
          </w:p>
        </w:tc>
        <w:tc>
          <w:tcPr>
            <w:tcW w:w="992" w:type="dxa"/>
            <w:gridSpan w:val="2"/>
            <w:noWrap/>
            <w:vAlign w:val="center"/>
          </w:tcPr>
          <w:p w14:paraId="5E9C73CD">
            <w:pPr>
              <w:pStyle w:val="149"/>
              <w:rPr>
                <w:sz w:val="13"/>
                <w:szCs w:val="13"/>
              </w:rPr>
            </w:pPr>
            <w:r>
              <w:rPr>
                <w:sz w:val="13"/>
                <w:szCs w:val="13"/>
              </w:rPr>
              <w:t>已编制方案</w:t>
            </w:r>
          </w:p>
        </w:tc>
        <w:tc>
          <w:tcPr>
            <w:tcW w:w="1701" w:type="dxa"/>
            <w:gridSpan w:val="2"/>
            <w:vAlign w:val="center"/>
          </w:tcPr>
          <w:p w14:paraId="782E7B35">
            <w:pPr>
              <w:pStyle w:val="149"/>
              <w:rPr>
                <w:sz w:val="13"/>
                <w:szCs w:val="13"/>
              </w:rPr>
            </w:pPr>
            <w:r>
              <w:rPr>
                <w:sz w:val="13"/>
                <w:szCs w:val="13"/>
              </w:rPr>
              <w:t>固水发〔2022〕231号</w:t>
            </w:r>
          </w:p>
        </w:tc>
        <w:tc>
          <w:tcPr>
            <w:tcW w:w="844" w:type="dxa"/>
            <w:noWrap/>
            <w:vAlign w:val="center"/>
          </w:tcPr>
          <w:p w14:paraId="34696767">
            <w:pPr>
              <w:pStyle w:val="149"/>
              <w:rPr>
                <w:sz w:val="13"/>
                <w:szCs w:val="13"/>
              </w:rPr>
            </w:pPr>
            <w:r>
              <w:rPr>
                <w:sz w:val="13"/>
                <w:szCs w:val="13"/>
              </w:rPr>
              <w:t>74.34</w:t>
            </w:r>
          </w:p>
        </w:tc>
        <w:tc>
          <w:tcPr>
            <w:tcW w:w="844" w:type="dxa"/>
            <w:gridSpan w:val="2"/>
            <w:noWrap/>
            <w:vAlign w:val="center"/>
          </w:tcPr>
          <w:p w14:paraId="1468C012">
            <w:pPr>
              <w:pStyle w:val="149"/>
              <w:rPr>
                <w:sz w:val="13"/>
                <w:szCs w:val="13"/>
              </w:rPr>
            </w:pPr>
            <w:r>
              <w:rPr>
                <w:sz w:val="13"/>
                <w:szCs w:val="13"/>
              </w:rPr>
              <w:t>74.34</w:t>
            </w:r>
          </w:p>
        </w:tc>
        <w:tc>
          <w:tcPr>
            <w:tcW w:w="892" w:type="dxa"/>
            <w:gridSpan w:val="2"/>
            <w:vAlign w:val="center"/>
          </w:tcPr>
          <w:p w14:paraId="3DA87870">
            <w:pPr>
              <w:pStyle w:val="149"/>
              <w:rPr>
                <w:sz w:val="13"/>
                <w:szCs w:val="13"/>
              </w:rPr>
            </w:pPr>
            <w:r>
              <w:rPr>
                <w:sz w:val="13"/>
                <w:szCs w:val="13"/>
              </w:rPr>
              <w:t>22.04</w:t>
            </w:r>
          </w:p>
        </w:tc>
        <w:tc>
          <w:tcPr>
            <w:tcW w:w="1527" w:type="dxa"/>
            <w:noWrap/>
            <w:vAlign w:val="center"/>
          </w:tcPr>
          <w:p w14:paraId="4783489D">
            <w:pPr>
              <w:pStyle w:val="149"/>
              <w:rPr>
                <w:sz w:val="13"/>
                <w:szCs w:val="13"/>
              </w:rPr>
            </w:pPr>
            <w:r>
              <w:rPr>
                <w:sz w:val="13"/>
                <w:szCs w:val="13"/>
              </w:rPr>
              <w:t>表土剥离、排水暗管、土地整治、碎石压盖、空地绿化、密目网苫盖</w:t>
            </w:r>
          </w:p>
        </w:tc>
        <w:tc>
          <w:tcPr>
            <w:tcW w:w="1051" w:type="dxa"/>
            <w:noWrap/>
            <w:vAlign w:val="center"/>
          </w:tcPr>
          <w:p w14:paraId="31FB99A3">
            <w:pPr>
              <w:pStyle w:val="149"/>
              <w:rPr>
                <w:sz w:val="13"/>
                <w:szCs w:val="13"/>
              </w:rPr>
            </w:pPr>
            <w:r>
              <w:rPr>
                <w:sz w:val="13"/>
                <w:szCs w:val="13"/>
              </w:rPr>
              <w:t>未完成</w:t>
            </w:r>
          </w:p>
        </w:tc>
      </w:tr>
      <w:tr w14:paraId="7485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523BB9C2">
            <w:pPr>
              <w:pStyle w:val="149"/>
              <w:rPr>
                <w:sz w:val="13"/>
                <w:szCs w:val="13"/>
              </w:rPr>
            </w:pPr>
            <w:r>
              <w:rPr>
                <w:sz w:val="13"/>
                <w:szCs w:val="13"/>
              </w:rPr>
              <w:t>28</w:t>
            </w:r>
          </w:p>
        </w:tc>
        <w:tc>
          <w:tcPr>
            <w:tcW w:w="1317" w:type="dxa"/>
            <w:noWrap/>
            <w:vAlign w:val="center"/>
          </w:tcPr>
          <w:p w14:paraId="253151DC">
            <w:pPr>
              <w:pStyle w:val="149"/>
              <w:rPr>
                <w:sz w:val="13"/>
                <w:szCs w:val="13"/>
              </w:rPr>
            </w:pPr>
            <w:r>
              <w:rPr>
                <w:sz w:val="13"/>
                <w:szCs w:val="13"/>
              </w:rPr>
              <w:t>弘元能源科技（包头）有限公司</w:t>
            </w:r>
          </w:p>
        </w:tc>
        <w:tc>
          <w:tcPr>
            <w:tcW w:w="2226" w:type="dxa"/>
            <w:noWrap/>
            <w:vAlign w:val="center"/>
          </w:tcPr>
          <w:p w14:paraId="0EDB55CF">
            <w:pPr>
              <w:pStyle w:val="149"/>
              <w:rPr>
                <w:sz w:val="13"/>
                <w:szCs w:val="13"/>
              </w:rPr>
            </w:pPr>
            <w:r>
              <w:rPr>
                <w:sz w:val="13"/>
                <w:szCs w:val="13"/>
              </w:rPr>
              <w:t>弘元能源科技（包头）有限公司15万吨高纯工业硅余热发电项目</w:t>
            </w:r>
          </w:p>
        </w:tc>
        <w:tc>
          <w:tcPr>
            <w:tcW w:w="1418" w:type="dxa"/>
            <w:noWrap/>
            <w:vAlign w:val="center"/>
          </w:tcPr>
          <w:p w14:paraId="5AE83E79">
            <w:pPr>
              <w:pStyle w:val="149"/>
              <w:rPr>
                <w:sz w:val="13"/>
                <w:szCs w:val="13"/>
              </w:rPr>
            </w:pPr>
            <w:r>
              <w:rPr>
                <w:sz w:val="13"/>
                <w:szCs w:val="13"/>
              </w:rPr>
              <w:t>项目代码：2304-150222-04-01-765919</w:t>
            </w:r>
          </w:p>
        </w:tc>
        <w:tc>
          <w:tcPr>
            <w:tcW w:w="709" w:type="dxa"/>
            <w:vMerge w:val="restart"/>
            <w:noWrap/>
            <w:vAlign w:val="center"/>
          </w:tcPr>
          <w:p w14:paraId="1267D84A">
            <w:pPr>
              <w:pStyle w:val="149"/>
              <w:rPr>
                <w:sz w:val="13"/>
                <w:szCs w:val="13"/>
              </w:rPr>
            </w:pPr>
            <w:r>
              <w:rPr>
                <w:sz w:val="13"/>
                <w:szCs w:val="13"/>
              </w:rPr>
              <w:t>37.67</w:t>
            </w:r>
          </w:p>
        </w:tc>
        <w:tc>
          <w:tcPr>
            <w:tcW w:w="803" w:type="dxa"/>
            <w:noWrap/>
            <w:vAlign w:val="center"/>
          </w:tcPr>
          <w:p w14:paraId="2202C388">
            <w:pPr>
              <w:pStyle w:val="149"/>
              <w:rPr>
                <w:sz w:val="13"/>
                <w:szCs w:val="13"/>
              </w:rPr>
            </w:pPr>
            <w:r>
              <w:rPr>
                <w:sz w:val="13"/>
                <w:szCs w:val="13"/>
              </w:rPr>
              <w:t>2023-2024</w:t>
            </w:r>
          </w:p>
        </w:tc>
        <w:tc>
          <w:tcPr>
            <w:tcW w:w="614" w:type="dxa"/>
            <w:gridSpan w:val="2"/>
            <w:noWrap/>
            <w:vAlign w:val="center"/>
          </w:tcPr>
          <w:p w14:paraId="64AE17F8">
            <w:pPr>
              <w:pStyle w:val="149"/>
              <w:rPr>
                <w:sz w:val="13"/>
                <w:szCs w:val="13"/>
              </w:rPr>
            </w:pPr>
            <w:r>
              <w:rPr>
                <w:sz w:val="13"/>
                <w:szCs w:val="13"/>
              </w:rPr>
              <w:t>建成</w:t>
            </w:r>
          </w:p>
        </w:tc>
        <w:tc>
          <w:tcPr>
            <w:tcW w:w="567" w:type="dxa"/>
            <w:gridSpan w:val="2"/>
            <w:noWrap/>
            <w:vAlign w:val="center"/>
          </w:tcPr>
          <w:p w14:paraId="4C13714D">
            <w:pPr>
              <w:pStyle w:val="149"/>
              <w:rPr>
                <w:sz w:val="13"/>
                <w:szCs w:val="13"/>
              </w:rPr>
            </w:pPr>
            <w:r>
              <w:rPr>
                <w:sz w:val="13"/>
                <w:szCs w:val="13"/>
              </w:rPr>
              <w:t>未运营</w:t>
            </w:r>
          </w:p>
        </w:tc>
        <w:tc>
          <w:tcPr>
            <w:tcW w:w="992" w:type="dxa"/>
            <w:gridSpan w:val="2"/>
            <w:noWrap/>
            <w:vAlign w:val="center"/>
          </w:tcPr>
          <w:p w14:paraId="57F0EF47">
            <w:pPr>
              <w:pStyle w:val="149"/>
              <w:rPr>
                <w:sz w:val="13"/>
                <w:szCs w:val="13"/>
              </w:rPr>
            </w:pPr>
            <w:r>
              <w:rPr>
                <w:sz w:val="13"/>
                <w:szCs w:val="13"/>
              </w:rPr>
              <w:t>已编制方案</w:t>
            </w:r>
          </w:p>
        </w:tc>
        <w:tc>
          <w:tcPr>
            <w:tcW w:w="1701" w:type="dxa"/>
            <w:gridSpan w:val="2"/>
            <w:vMerge w:val="restart"/>
            <w:vAlign w:val="center"/>
          </w:tcPr>
          <w:p w14:paraId="69822D64">
            <w:pPr>
              <w:pStyle w:val="149"/>
              <w:rPr>
                <w:sz w:val="13"/>
                <w:szCs w:val="13"/>
              </w:rPr>
            </w:pPr>
            <w:r>
              <w:rPr>
                <w:sz w:val="13"/>
                <w:szCs w:val="13"/>
              </w:rPr>
              <w:t>固水发〔2022〕232号</w:t>
            </w:r>
          </w:p>
        </w:tc>
        <w:tc>
          <w:tcPr>
            <w:tcW w:w="844" w:type="dxa"/>
            <w:vMerge w:val="restart"/>
            <w:noWrap/>
            <w:vAlign w:val="center"/>
          </w:tcPr>
          <w:p w14:paraId="6A3107DD">
            <w:pPr>
              <w:pStyle w:val="149"/>
              <w:rPr>
                <w:sz w:val="13"/>
                <w:szCs w:val="13"/>
              </w:rPr>
            </w:pPr>
            <w:r>
              <w:rPr>
                <w:sz w:val="13"/>
                <w:szCs w:val="13"/>
              </w:rPr>
              <w:t>24.78</w:t>
            </w:r>
          </w:p>
        </w:tc>
        <w:tc>
          <w:tcPr>
            <w:tcW w:w="844" w:type="dxa"/>
            <w:gridSpan w:val="2"/>
            <w:vMerge w:val="restart"/>
            <w:noWrap/>
            <w:vAlign w:val="center"/>
          </w:tcPr>
          <w:p w14:paraId="5C687170">
            <w:pPr>
              <w:pStyle w:val="149"/>
              <w:rPr>
                <w:sz w:val="13"/>
                <w:szCs w:val="13"/>
              </w:rPr>
            </w:pPr>
            <w:r>
              <w:rPr>
                <w:sz w:val="13"/>
                <w:szCs w:val="13"/>
              </w:rPr>
              <w:t>24.78</w:t>
            </w:r>
          </w:p>
        </w:tc>
        <w:tc>
          <w:tcPr>
            <w:tcW w:w="892" w:type="dxa"/>
            <w:gridSpan w:val="2"/>
            <w:vMerge w:val="restart"/>
            <w:vAlign w:val="center"/>
          </w:tcPr>
          <w:p w14:paraId="523804EB">
            <w:pPr>
              <w:pStyle w:val="149"/>
              <w:rPr>
                <w:sz w:val="13"/>
                <w:szCs w:val="13"/>
              </w:rPr>
            </w:pPr>
            <w:r>
              <w:rPr>
                <w:sz w:val="13"/>
                <w:szCs w:val="13"/>
              </w:rPr>
              <w:t>7.49</w:t>
            </w:r>
          </w:p>
        </w:tc>
        <w:tc>
          <w:tcPr>
            <w:tcW w:w="1527" w:type="dxa"/>
            <w:vMerge w:val="restart"/>
            <w:noWrap/>
            <w:vAlign w:val="center"/>
          </w:tcPr>
          <w:p w14:paraId="09B7CD7A">
            <w:pPr>
              <w:pStyle w:val="149"/>
              <w:rPr>
                <w:sz w:val="13"/>
                <w:szCs w:val="13"/>
              </w:rPr>
            </w:pPr>
            <w:r>
              <w:rPr>
                <w:sz w:val="13"/>
                <w:szCs w:val="13"/>
              </w:rPr>
              <w:t>节水灌溉、表土剥离、排水暗管、土地整治、空地绿化、密目网苫盖</w:t>
            </w:r>
          </w:p>
        </w:tc>
        <w:tc>
          <w:tcPr>
            <w:tcW w:w="1051" w:type="dxa"/>
            <w:vMerge w:val="restart"/>
            <w:noWrap/>
            <w:vAlign w:val="center"/>
          </w:tcPr>
          <w:p w14:paraId="3DFB29DB">
            <w:pPr>
              <w:pStyle w:val="149"/>
              <w:rPr>
                <w:sz w:val="13"/>
                <w:szCs w:val="13"/>
              </w:rPr>
            </w:pPr>
            <w:r>
              <w:rPr>
                <w:sz w:val="13"/>
                <w:szCs w:val="13"/>
              </w:rPr>
              <w:t>未完成</w:t>
            </w:r>
          </w:p>
        </w:tc>
      </w:tr>
      <w:tr w14:paraId="0255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39CCE0A7">
            <w:pPr>
              <w:pStyle w:val="149"/>
              <w:rPr>
                <w:sz w:val="13"/>
                <w:szCs w:val="13"/>
              </w:rPr>
            </w:pPr>
            <w:r>
              <w:rPr>
                <w:sz w:val="13"/>
                <w:szCs w:val="13"/>
              </w:rPr>
              <w:t>29</w:t>
            </w:r>
          </w:p>
        </w:tc>
        <w:tc>
          <w:tcPr>
            <w:tcW w:w="1317" w:type="dxa"/>
            <w:noWrap/>
            <w:vAlign w:val="center"/>
          </w:tcPr>
          <w:p w14:paraId="4276739A">
            <w:pPr>
              <w:pStyle w:val="149"/>
              <w:rPr>
                <w:sz w:val="13"/>
                <w:szCs w:val="13"/>
              </w:rPr>
            </w:pPr>
            <w:r>
              <w:rPr>
                <w:sz w:val="13"/>
                <w:szCs w:val="13"/>
              </w:rPr>
              <w:t>弘元能源科技（包头）有限公司</w:t>
            </w:r>
          </w:p>
        </w:tc>
        <w:tc>
          <w:tcPr>
            <w:tcW w:w="2226" w:type="dxa"/>
            <w:vAlign w:val="center"/>
          </w:tcPr>
          <w:p w14:paraId="763FA283">
            <w:pPr>
              <w:pStyle w:val="149"/>
              <w:rPr>
                <w:sz w:val="13"/>
                <w:szCs w:val="13"/>
              </w:rPr>
            </w:pPr>
            <w:r>
              <w:rPr>
                <w:sz w:val="13"/>
                <w:szCs w:val="13"/>
              </w:rPr>
              <w:t>弘元能源科技（包头）有限公司15万吨高纯工业硅项目</w:t>
            </w:r>
          </w:p>
        </w:tc>
        <w:tc>
          <w:tcPr>
            <w:tcW w:w="1418" w:type="dxa"/>
            <w:noWrap/>
            <w:vAlign w:val="center"/>
          </w:tcPr>
          <w:p w14:paraId="3C0882D8">
            <w:pPr>
              <w:pStyle w:val="149"/>
              <w:rPr>
                <w:sz w:val="13"/>
                <w:szCs w:val="13"/>
              </w:rPr>
            </w:pPr>
            <w:r>
              <w:rPr>
                <w:sz w:val="13"/>
                <w:szCs w:val="13"/>
              </w:rPr>
              <w:t>项目代码：2207-150222-04-01-833718</w:t>
            </w:r>
          </w:p>
        </w:tc>
        <w:tc>
          <w:tcPr>
            <w:tcW w:w="709" w:type="dxa"/>
            <w:vMerge w:val="continue"/>
            <w:vAlign w:val="center"/>
          </w:tcPr>
          <w:p w14:paraId="0F40FBB6">
            <w:pPr>
              <w:pStyle w:val="149"/>
              <w:rPr>
                <w:sz w:val="13"/>
                <w:szCs w:val="13"/>
              </w:rPr>
            </w:pPr>
          </w:p>
        </w:tc>
        <w:tc>
          <w:tcPr>
            <w:tcW w:w="803" w:type="dxa"/>
            <w:noWrap/>
            <w:vAlign w:val="center"/>
          </w:tcPr>
          <w:p w14:paraId="1ABE1F18">
            <w:pPr>
              <w:pStyle w:val="149"/>
              <w:rPr>
                <w:sz w:val="13"/>
                <w:szCs w:val="13"/>
              </w:rPr>
            </w:pPr>
            <w:r>
              <w:rPr>
                <w:sz w:val="13"/>
                <w:szCs w:val="13"/>
              </w:rPr>
              <w:t>2022-2023</w:t>
            </w:r>
          </w:p>
        </w:tc>
        <w:tc>
          <w:tcPr>
            <w:tcW w:w="614" w:type="dxa"/>
            <w:gridSpan w:val="2"/>
            <w:noWrap/>
            <w:vAlign w:val="center"/>
          </w:tcPr>
          <w:p w14:paraId="2218F052">
            <w:pPr>
              <w:pStyle w:val="149"/>
              <w:rPr>
                <w:sz w:val="13"/>
                <w:szCs w:val="13"/>
              </w:rPr>
            </w:pPr>
            <w:r>
              <w:rPr>
                <w:sz w:val="13"/>
                <w:szCs w:val="13"/>
              </w:rPr>
              <w:t>建成</w:t>
            </w:r>
          </w:p>
        </w:tc>
        <w:tc>
          <w:tcPr>
            <w:tcW w:w="567" w:type="dxa"/>
            <w:gridSpan w:val="2"/>
            <w:noWrap/>
            <w:vAlign w:val="center"/>
          </w:tcPr>
          <w:p w14:paraId="0711456D">
            <w:pPr>
              <w:pStyle w:val="149"/>
              <w:rPr>
                <w:sz w:val="13"/>
                <w:szCs w:val="13"/>
              </w:rPr>
            </w:pPr>
            <w:r>
              <w:rPr>
                <w:sz w:val="13"/>
                <w:szCs w:val="13"/>
              </w:rPr>
              <w:t>未运营</w:t>
            </w:r>
          </w:p>
        </w:tc>
        <w:tc>
          <w:tcPr>
            <w:tcW w:w="992" w:type="dxa"/>
            <w:gridSpan w:val="2"/>
            <w:noWrap/>
            <w:vAlign w:val="center"/>
          </w:tcPr>
          <w:p w14:paraId="36333C62">
            <w:pPr>
              <w:pStyle w:val="149"/>
              <w:rPr>
                <w:sz w:val="13"/>
                <w:szCs w:val="13"/>
              </w:rPr>
            </w:pPr>
            <w:r>
              <w:rPr>
                <w:sz w:val="13"/>
                <w:szCs w:val="13"/>
              </w:rPr>
              <w:t>已编制方案</w:t>
            </w:r>
          </w:p>
        </w:tc>
        <w:tc>
          <w:tcPr>
            <w:tcW w:w="1701" w:type="dxa"/>
            <w:gridSpan w:val="2"/>
            <w:vMerge w:val="continue"/>
            <w:vAlign w:val="center"/>
          </w:tcPr>
          <w:p w14:paraId="78B7B3EC">
            <w:pPr>
              <w:pStyle w:val="149"/>
              <w:rPr>
                <w:sz w:val="13"/>
                <w:szCs w:val="13"/>
              </w:rPr>
            </w:pPr>
          </w:p>
        </w:tc>
        <w:tc>
          <w:tcPr>
            <w:tcW w:w="844" w:type="dxa"/>
            <w:vMerge w:val="continue"/>
            <w:vAlign w:val="center"/>
          </w:tcPr>
          <w:p w14:paraId="27922305">
            <w:pPr>
              <w:pStyle w:val="149"/>
              <w:rPr>
                <w:sz w:val="13"/>
                <w:szCs w:val="13"/>
              </w:rPr>
            </w:pPr>
          </w:p>
        </w:tc>
        <w:tc>
          <w:tcPr>
            <w:tcW w:w="844" w:type="dxa"/>
            <w:gridSpan w:val="2"/>
            <w:vMerge w:val="continue"/>
            <w:vAlign w:val="center"/>
          </w:tcPr>
          <w:p w14:paraId="4EA17D20">
            <w:pPr>
              <w:pStyle w:val="149"/>
              <w:rPr>
                <w:sz w:val="13"/>
                <w:szCs w:val="13"/>
              </w:rPr>
            </w:pPr>
          </w:p>
        </w:tc>
        <w:tc>
          <w:tcPr>
            <w:tcW w:w="892" w:type="dxa"/>
            <w:gridSpan w:val="2"/>
            <w:vMerge w:val="continue"/>
            <w:vAlign w:val="center"/>
          </w:tcPr>
          <w:p w14:paraId="23591CE8">
            <w:pPr>
              <w:pStyle w:val="149"/>
              <w:rPr>
                <w:sz w:val="13"/>
                <w:szCs w:val="13"/>
              </w:rPr>
            </w:pPr>
          </w:p>
        </w:tc>
        <w:tc>
          <w:tcPr>
            <w:tcW w:w="1527" w:type="dxa"/>
            <w:vMerge w:val="continue"/>
            <w:noWrap/>
            <w:vAlign w:val="center"/>
          </w:tcPr>
          <w:p w14:paraId="012CCFD0">
            <w:pPr>
              <w:pStyle w:val="149"/>
              <w:rPr>
                <w:sz w:val="13"/>
                <w:szCs w:val="13"/>
              </w:rPr>
            </w:pPr>
          </w:p>
        </w:tc>
        <w:tc>
          <w:tcPr>
            <w:tcW w:w="1051" w:type="dxa"/>
            <w:vMerge w:val="continue"/>
            <w:noWrap/>
            <w:vAlign w:val="center"/>
          </w:tcPr>
          <w:p w14:paraId="2D23A006">
            <w:pPr>
              <w:pStyle w:val="149"/>
              <w:rPr>
                <w:sz w:val="13"/>
                <w:szCs w:val="13"/>
              </w:rPr>
            </w:pPr>
          </w:p>
        </w:tc>
      </w:tr>
      <w:tr w14:paraId="7A07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7C88F26D">
            <w:pPr>
              <w:pStyle w:val="149"/>
              <w:rPr>
                <w:sz w:val="13"/>
                <w:szCs w:val="13"/>
              </w:rPr>
            </w:pPr>
            <w:r>
              <w:rPr>
                <w:sz w:val="13"/>
                <w:szCs w:val="13"/>
              </w:rPr>
              <w:t>30</w:t>
            </w:r>
          </w:p>
        </w:tc>
        <w:tc>
          <w:tcPr>
            <w:tcW w:w="1317" w:type="dxa"/>
            <w:vAlign w:val="center"/>
          </w:tcPr>
          <w:p w14:paraId="357727DF">
            <w:pPr>
              <w:pStyle w:val="149"/>
              <w:rPr>
                <w:sz w:val="13"/>
                <w:szCs w:val="13"/>
              </w:rPr>
            </w:pPr>
            <w:r>
              <w:rPr>
                <w:sz w:val="13"/>
                <w:szCs w:val="13"/>
              </w:rPr>
              <w:t>东方日升（包头）硅业有限公司</w:t>
            </w:r>
          </w:p>
        </w:tc>
        <w:tc>
          <w:tcPr>
            <w:tcW w:w="2226" w:type="dxa"/>
            <w:noWrap/>
            <w:vAlign w:val="center"/>
          </w:tcPr>
          <w:p w14:paraId="2A0A3177">
            <w:pPr>
              <w:pStyle w:val="149"/>
              <w:rPr>
                <w:sz w:val="13"/>
                <w:szCs w:val="13"/>
              </w:rPr>
            </w:pPr>
            <w:r>
              <w:rPr>
                <w:sz w:val="13"/>
                <w:szCs w:val="13"/>
              </w:rPr>
              <w:t>东方日升源网荷储一体化20万吨（一期10万吨）金属硅项目</w:t>
            </w:r>
          </w:p>
        </w:tc>
        <w:tc>
          <w:tcPr>
            <w:tcW w:w="1418" w:type="dxa"/>
            <w:noWrap/>
            <w:vAlign w:val="center"/>
          </w:tcPr>
          <w:p w14:paraId="56280F4D">
            <w:pPr>
              <w:pStyle w:val="149"/>
              <w:rPr>
                <w:sz w:val="13"/>
                <w:szCs w:val="13"/>
              </w:rPr>
            </w:pPr>
            <w:r>
              <w:rPr>
                <w:sz w:val="13"/>
                <w:szCs w:val="13"/>
              </w:rPr>
              <w:t>项目代码：2302-150222-04-01-108089</w:t>
            </w:r>
          </w:p>
        </w:tc>
        <w:tc>
          <w:tcPr>
            <w:tcW w:w="709" w:type="dxa"/>
            <w:vMerge w:val="restart"/>
            <w:noWrap/>
            <w:vAlign w:val="center"/>
          </w:tcPr>
          <w:p w14:paraId="7295C29F">
            <w:pPr>
              <w:pStyle w:val="149"/>
              <w:rPr>
                <w:sz w:val="13"/>
                <w:szCs w:val="13"/>
              </w:rPr>
            </w:pPr>
            <w:r>
              <w:rPr>
                <w:sz w:val="13"/>
                <w:szCs w:val="13"/>
              </w:rPr>
              <w:t>55.24</w:t>
            </w:r>
          </w:p>
        </w:tc>
        <w:tc>
          <w:tcPr>
            <w:tcW w:w="803" w:type="dxa"/>
            <w:noWrap/>
            <w:vAlign w:val="center"/>
          </w:tcPr>
          <w:p w14:paraId="2364E5E8">
            <w:pPr>
              <w:pStyle w:val="149"/>
              <w:rPr>
                <w:sz w:val="13"/>
                <w:szCs w:val="13"/>
              </w:rPr>
            </w:pPr>
            <w:r>
              <w:rPr>
                <w:sz w:val="13"/>
                <w:szCs w:val="13"/>
              </w:rPr>
              <w:t>2022-2023</w:t>
            </w:r>
          </w:p>
        </w:tc>
        <w:tc>
          <w:tcPr>
            <w:tcW w:w="614" w:type="dxa"/>
            <w:gridSpan w:val="2"/>
            <w:noWrap/>
            <w:vAlign w:val="center"/>
          </w:tcPr>
          <w:p w14:paraId="26890212">
            <w:pPr>
              <w:pStyle w:val="149"/>
              <w:rPr>
                <w:sz w:val="13"/>
                <w:szCs w:val="13"/>
              </w:rPr>
            </w:pPr>
            <w:r>
              <w:rPr>
                <w:sz w:val="13"/>
                <w:szCs w:val="13"/>
              </w:rPr>
              <w:t>建成</w:t>
            </w:r>
          </w:p>
        </w:tc>
        <w:tc>
          <w:tcPr>
            <w:tcW w:w="567" w:type="dxa"/>
            <w:gridSpan w:val="2"/>
            <w:noWrap/>
            <w:vAlign w:val="center"/>
          </w:tcPr>
          <w:p w14:paraId="1329756C">
            <w:pPr>
              <w:pStyle w:val="149"/>
              <w:rPr>
                <w:sz w:val="13"/>
                <w:szCs w:val="13"/>
              </w:rPr>
            </w:pPr>
            <w:r>
              <w:rPr>
                <w:sz w:val="13"/>
                <w:szCs w:val="13"/>
              </w:rPr>
              <w:t>未运营</w:t>
            </w:r>
          </w:p>
        </w:tc>
        <w:tc>
          <w:tcPr>
            <w:tcW w:w="992" w:type="dxa"/>
            <w:gridSpan w:val="2"/>
            <w:noWrap/>
            <w:vAlign w:val="center"/>
          </w:tcPr>
          <w:p w14:paraId="5E691563">
            <w:pPr>
              <w:pStyle w:val="149"/>
              <w:rPr>
                <w:sz w:val="13"/>
                <w:szCs w:val="13"/>
              </w:rPr>
            </w:pPr>
            <w:r>
              <w:rPr>
                <w:sz w:val="13"/>
                <w:szCs w:val="13"/>
              </w:rPr>
              <w:t>已编制方案</w:t>
            </w:r>
          </w:p>
        </w:tc>
        <w:tc>
          <w:tcPr>
            <w:tcW w:w="1701" w:type="dxa"/>
            <w:gridSpan w:val="2"/>
            <w:vMerge w:val="restart"/>
            <w:noWrap/>
            <w:vAlign w:val="center"/>
          </w:tcPr>
          <w:p w14:paraId="77F0D38F">
            <w:pPr>
              <w:pStyle w:val="149"/>
              <w:rPr>
                <w:sz w:val="13"/>
                <w:szCs w:val="13"/>
              </w:rPr>
            </w:pPr>
            <w:r>
              <w:rPr>
                <w:sz w:val="13"/>
                <w:szCs w:val="13"/>
              </w:rPr>
              <w:t>固水保许决〔2023〕2号</w:t>
            </w:r>
          </w:p>
        </w:tc>
        <w:tc>
          <w:tcPr>
            <w:tcW w:w="844" w:type="dxa"/>
            <w:vMerge w:val="restart"/>
            <w:vAlign w:val="center"/>
          </w:tcPr>
          <w:p w14:paraId="24D4A5A0">
            <w:pPr>
              <w:pStyle w:val="149"/>
              <w:rPr>
                <w:sz w:val="13"/>
                <w:szCs w:val="13"/>
              </w:rPr>
            </w:pPr>
            <w:r>
              <w:rPr>
                <w:sz w:val="13"/>
                <w:szCs w:val="13"/>
              </w:rPr>
              <w:t>20.1</w:t>
            </w:r>
          </w:p>
        </w:tc>
        <w:tc>
          <w:tcPr>
            <w:tcW w:w="844" w:type="dxa"/>
            <w:gridSpan w:val="2"/>
            <w:vMerge w:val="restart"/>
            <w:vAlign w:val="center"/>
          </w:tcPr>
          <w:p w14:paraId="78050851">
            <w:pPr>
              <w:pStyle w:val="149"/>
              <w:rPr>
                <w:sz w:val="13"/>
                <w:szCs w:val="13"/>
              </w:rPr>
            </w:pPr>
            <w:r>
              <w:rPr>
                <w:sz w:val="13"/>
                <w:szCs w:val="13"/>
              </w:rPr>
              <w:t>20.1</w:t>
            </w:r>
          </w:p>
        </w:tc>
        <w:tc>
          <w:tcPr>
            <w:tcW w:w="892" w:type="dxa"/>
            <w:gridSpan w:val="2"/>
            <w:vMerge w:val="restart"/>
            <w:vAlign w:val="center"/>
          </w:tcPr>
          <w:p w14:paraId="2985C499">
            <w:pPr>
              <w:pStyle w:val="149"/>
              <w:rPr>
                <w:sz w:val="13"/>
                <w:szCs w:val="13"/>
              </w:rPr>
            </w:pPr>
            <w:r>
              <w:rPr>
                <w:sz w:val="13"/>
                <w:szCs w:val="13"/>
              </w:rPr>
              <w:t>7.27</w:t>
            </w:r>
          </w:p>
        </w:tc>
        <w:tc>
          <w:tcPr>
            <w:tcW w:w="1527" w:type="dxa"/>
            <w:vMerge w:val="restart"/>
            <w:noWrap/>
            <w:vAlign w:val="center"/>
          </w:tcPr>
          <w:p w14:paraId="347BB6E9">
            <w:pPr>
              <w:pStyle w:val="149"/>
              <w:rPr>
                <w:sz w:val="13"/>
                <w:szCs w:val="13"/>
              </w:rPr>
            </w:pPr>
            <w:r>
              <w:rPr>
                <w:sz w:val="13"/>
                <w:szCs w:val="13"/>
              </w:rPr>
              <w:t>表土剥离、排水暗管、土地整治、空地绿化、密目网苫盖</w:t>
            </w:r>
          </w:p>
        </w:tc>
        <w:tc>
          <w:tcPr>
            <w:tcW w:w="1051" w:type="dxa"/>
            <w:vMerge w:val="restart"/>
            <w:noWrap/>
            <w:vAlign w:val="center"/>
          </w:tcPr>
          <w:p w14:paraId="45E31686">
            <w:pPr>
              <w:pStyle w:val="149"/>
              <w:rPr>
                <w:sz w:val="13"/>
                <w:szCs w:val="13"/>
              </w:rPr>
            </w:pPr>
            <w:r>
              <w:rPr>
                <w:sz w:val="13"/>
                <w:szCs w:val="13"/>
              </w:rPr>
              <w:t>未完成</w:t>
            </w:r>
          </w:p>
        </w:tc>
      </w:tr>
      <w:tr w14:paraId="79F02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1AB2C7E2">
            <w:pPr>
              <w:pStyle w:val="149"/>
              <w:rPr>
                <w:sz w:val="13"/>
                <w:szCs w:val="13"/>
              </w:rPr>
            </w:pPr>
            <w:r>
              <w:rPr>
                <w:sz w:val="13"/>
                <w:szCs w:val="13"/>
              </w:rPr>
              <w:t>31</w:t>
            </w:r>
          </w:p>
        </w:tc>
        <w:tc>
          <w:tcPr>
            <w:tcW w:w="1317" w:type="dxa"/>
            <w:vAlign w:val="center"/>
          </w:tcPr>
          <w:p w14:paraId="7A347763">
            <w:pPr>
              <w:pStyle w:val="149"/>
              <w:rPr>
                <w:sz w:val="13"/>
                <w:szCs w:val="13"/>
              </w:rPr>
            </w:pPr>
            <w:r>
              <w:rPr>
                <w:sz w:val="13"/>
                <w:szCs w:val="13"/>
              </w:rPr>
              <w:t>东方日升（包头）硅业有限公司</w:t>
            </w:r>
          </w:p>
        </w:tc>
        <w:tc>
          <w:tcPr>
            <w:tcW w:w="2226" w:type="dxa"/>
            <w:noWrap/>
            <w:vAlign w:val="center"/>
          </w:tcPr>
          <w:p w14:paraId="3D87D421">
            <w:pPr>
              <w:pStyle w:val="149"/>
              <w:rPr>
                <w:sz w:val="13"/>
                <w:szCs w:val="13"/>
              </w:rPr>
            </w:pPr>
            <w:r>
              <w:rPr>
                <w:sz w:val="13"/>
                <w:szCs w:val="13"/>
              </w:rPr>
              <w:t>东方日升源网荷储一体化20万吨（二期10万吨）金属硅项目</w:t>
            </w:r>
          </w:p>
        </w:tc>
        <w:tc>
          <w:tcPr>
            <w:tcW w:w="1418" w:type="dxa"/>
            <w:noWrap/>
            <w:vAlign w:val="center"/>
          </w:tcPr>
          <w:p w14:paraId="0EF3E80A">
            <w:pPr>
              <w:pStyle w:val="149"/>
              <w:rPr>
                <w:sz w:val="13"/>
                <w:szCs w:val="13"/>
              </w:rPr>
            </w:pPr>
            <w:r>
              <w:rPr>
                <w:sz w:val="13"/>
                <w:szCs w:val="13"/>
              </w:rPr>
              <w:t>项目代码：2302-150222-04-01-797762</w:t>
            </w:r>
          </w:p>
        </w:tc>
        <w:tc>
          <w:tcPr>
            <w:tcW w:w="709" w:type="dxa"/>
            <w:vMerge w:val="continue"/>
            <w:vAlign w:val="center"/>
          </w:tcPr>
          <w:p w14:paraId="63E0598E">
            <w:pPr>
              <w:pStyle w:val="149"/>
              <w:rPr>
                <w:sz w:val="13"/>
                <w:szCs w:val="13"/>
              </w:rPr>
            </w:pPr>
          </w:p>
        </w:tc>
        <w:tc>
          <w:tcPr>
            <w:tcW w:w="803" w:type="dxa"/>
            <w:noWrap/>
            <w:vAlign w:val="center"/>
          </w:tcPr>
          <w:p w14:paraId="386079C9">
            <w:pPr>
              <w:pStyle w:val="149"/>
              <w:rPr>
                <w:sz w:val="13"/>
                <w:szCs w:val="13"/>
              </w:rPr>
            </w:pPr>
            <w:r>
              <w:rPr>
                <w:sz w:val="13"/>
                <w:szCs w:val="13"/>
              </w:rPr>
              <w:t>2022-2023</w:t>
            </w:r>
          </w:p>
        </w:tc>
        <w:tc>
          <w:tcPr>
            <w:tcW w:w="614" w:type="dxa"/>
            <w:gridSpan w:val="2"/>
            <w:noWrap/>
            <w:vAlign w:val="center"/>
          </w:tcPr>
          <w:p w14:paraId="64DA388E">
            <w:pPr>
              <w:pStyle w:val="149"/>
              <w:rPr>
                <w:sz w:val="13"/>
                <w:szCs w:val="13"/>
              </w:rPr>
            </w:pPr>
            <w:r>
              <w:rPr>
                <w:sz w:val="13"/>
                <w:szCs w:val="13"/>
              </w:rPr>
              <w:t>建成</w:t>
            </w:r>
          </w:p>
        </w:tc>
        <w:tc>
          <w:tcPr>
            <w:tcW w:w="567" w:type="dxa"/>
            <w:gridSpan w:val="2"/>
            <w:noWrap/>
            <w:vAlign w:val="center"/>
          </w:tcPr>
          <w:p w14:paraId="08E9763B">
            <w:pPr>
              <w:pStyle w:val="149"/>
              <w:rPr>
                <w:sz w:val="13"/>
                <w:szCs w:val="13"/>
              </w:rPr>
            </w:pPr>
            <w:r>
              <w:rPr>
                <w:sz w:val="13"/>
                <w:szCs w:val="13"/>
              </w:rPr>
              <w:t>未运营</w:t>
            </w:r>
          </w:p>
        </w:tc>
        <w:tc>
          <w:tcPr>
            <w:tcW w:w="992" w:type="dxa"/>
            <w:gridSpan w:val="2"/>
            <w:noWrap/>
            <w:vAlign w:val="center"/>
          </w:tcPr>
          <w:p w14:paraId="16806342">
            <w:pPr>
              <w:pStyle w:val="149"/>
              <w:rPr>
                <w:sz w:val="13"/>
                <w:szCs w:val="13"/>
              </w:rPr>
            </w:pPr>
            <w:r>
              <w:rPr>
                <w:sz w:val="13"/>
                <w:szCs w:val="13"/>
              </w:rPr>
              <w:t>已编制方案</w:t>
            </w:r>
          </w:p>
        </w:tc>
        <w:tc>
          <w:tcPr>
            <w:tcW w:w="1701" w:type="dxa"/>
            <w:gridSpan w:val="2"/>
            <w:vMerge w:val="continue"/>
            <w:vAlign w:val="center"/>
          </w:tcPr>
          <w:p w14:paraId="28F13507">
            <w:pPr>
              <w:pStyle w:val="149"/>
              <w:rPr>
                <w:sz w:val="13"/>
                <w:szCs w:val="13"/>
              </w:rPr>
            </w:pPr>
          </w:p>
        </w:tc>
        <w:tc>
          <w:tcPr>
            <w:tcW w:w="844" w:type="dxa"/>
            <w:vMerge w:val="continue"/>
            <w:vAlign w:val="center"/>
          </w:tcPr>
          <w:p w14:paraId="3E61F356">
            <w:pPr>
              <w:pStyle w:val="149"/>
              <w:rPr>
                <w:sz w:val="13"/>
                <w:szCs w:val="13"/>
              </w:rPr>
            </w:pPr>
          </w:p>
        </w:tc>
        <w:tc>
          <w:tcPr>
            <w:tcW w:w="844" w:type="dxa"/>
            <w:gridSpan w:val="2"/>
            <w:vMerge w:val="continue"/>
            <w:vAlign w:val="center"/>
          </w:tcPr>
          <w:p w14:paraId="1A01C494">
            <w:pPr>
              <w:pStyle w:val="149"/>
              <w:rPr>
                <w:sz w:val="13"/>
                <w:szCs w:val="13"/>
              </w:rPr>
            </w:pPr>
          </w:p>
        </w:tc>
        <w:tc>
          <w:tcPr>
            <w:tcW w:w="892" w:type="dxa"/>
            <w:gridSpan w:val="2"/>
            <w:vMerge w:val="continue"/>
            <w:vAlign w:val="center"/>
          </w:tcPr>
          <w:p w14:paraId="41A4000F">
            <w:pPr>
              <w:pStyle w:val="149"/>
              <w:rPr>
                <w:sz w:val="13"/>
                <w:szCs w:val="13"/>
              </w:rPr>
            </w:pPr>
          </w:p>
        </w:tc>
        <w:tc>
          <w:tcPr>
            <w:tcW w:w="1527" w:type="dxa"/>
            <w:vMerge w:val="continue"/>
            <w:noWrap/>
            <w:vAlign w:val="center"/>
          </w:tcPr>
          <w:p w14:paraId="5BE64EC0">
            <w:pPr>
              <w:pStyle w:val="149"/>
              <w:rPr>
                <w:sz w:val="13"/>
                <w:szCs w:val="13"/>
              </w:rPr>
            </w:pPr>
          </w:p>
        </w:tc>
        <w:tc>
          <w:tcPr>
            <w:tcW w:w="1051" w:type="dxa"/>
            <w:vMerge w:val="continue"/>
            <w:noWrap/>
            <w:vAlign w:val="center"/>
          </w:tcPr>
          <w:p w14:paraId="652C1826">
            <w:pPr>
              <w:pStyle w:val="149"/>
              <w:rPr>
                <w:sz w:val="13"/>
                <w:szCs w:val="13"/>
              </w:rPr>
            </w:pPr>
          </w:p>
        </w:tc>
      </w:tr>
      <w:tr w14:paraId="3F4C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57B9A205">
            <w:pPr>
              <w:pStyle w:val="149"/>
              <w:rPr>
                <w:sz w:val="13"/>
                <w:szCs w:val="13"/>
              </w:rPr>
            </w:pPr>
            <w:r>
              <w:rPr>
                <w:sz w:val="13"/>
                <w:szCs w:val="13"/>
              </w:rPr>
              <w:t>32</w:t>
            </w:r>
          </w:p>
        </w:tc>
        <w:tc>
          <w:tcPr>
            <w:tcW w:w="1317" w:type="dxa"/>
            <w:noWrap/>
            <w:vAlign w:val="center"/>
          </w:tcPr>
          <w:p w14:paraId="452245B2">
            <w:pPr>
              <w:pStyle w:val="149"/>
              <w:rPr>
                <w:sz w:val="13"/>
                <w:szCs w:val="13"/>
              </w:rPr>
            </w:pPr>
            <w:r>
              <w:rPr>
                <w:sz w:val="13"/>
                <w:szCs w:val="13"/>
              </w:rPr>
              <w:t>固阳县煜铖铸造有限责任公司</w:t>
            </w:r>
          </w:p>
        </w:tc>
        <w:tc>
          <w:tcPr>
            <w:tcW w:w="2226" w:type="dxa"/>
            <w:noWrap/>
            <w:vAlign w:val="center"/>
          </w:tcPr>
          <w:p w14:paraId="19EC41ED">
            <w:pPr>
              <w:pStyle w:val="149"/>
              <w:rPr>
                <w:sz w:val="13"/>
                <w:szCs w:val="13"/>
              </w:rPr>
            </w:pPr>
            <w:r>
              <w:rPr>
                <w:sz w:val="13"/>
                <w:szCs w:val="13"/>
              </w:rPr>
              <w:t>固阳县煜铖铸造有限责任公司年产2万吨铸件项目</w:t>
            </w:r>
          </w:p>
        </w:tc>
        <w:tc>
          <w:tcPr>
            <w:tcW w:w="1418" w:type="dxa"/>
            <w:noWrap/>
            <w:vAlign w:val="center"/>
          </w:tcPr>
          <w:p w14:paraId="2EA684EE">
            <w:pPr>
              <w:pStyle w:val="149"/>
              <w:rPr>
                <w:sz w:val="13"/>
                <w:szCs w:val="13"/>
              </w:rPr>
            </w:pPr>
            <w:r>
              <w:rPr>
                <w:sz w:val="13"/>
                <w:szCs w:val="13"/>
              </w:rPr>
              <w:t>项目编号：2019-150222-43-03-014880</w:t>
            </w:r>
          </w:p>
        </w:tc>
        <w:tc>
          <w:tcPr>
            <w:tcW w:w="709" w:type="dxa"/>
            <w:noWrap/>
            <w:vAlign w:val="center"/>
          </w:tcPr>
          <w:p w14:paraId="04EC5CD0">
            <w:pPr>
              <w:pStyle w:val="149"/>
              <w:rPr>
                <w:sz w:val="13"/>
                <w:szCs w:val="13"/>
              </w:rPr>
            </w:pPr>
            <w:r>
              <w:rPr>
                <w:sz w:val="13"/>
                <w:szCs w:val="13"/>
              </w:rPr>
              <w:t>3.03</w:t>
            </w:r>
          </w:p>
        </w:tc>
        <w:tc>
          <w:tcPr>
            <w:tcW w:w="803" w:type="dxa"/>
            <w:noWrap/>
            <w:vAlign w:val="center"/>
          </w:tcPr>
          <w:p w14:paraId="1CE89460">
            <w:pPr>
              <w:pStyle w:val="149"/>
              <w:rPr>
                <w:sz w:val="13"/>
                <w:szCs w:val="13"/>
              </w:rPr>
            </w:pPr>
            <w:r>
              <w:rPr>
                <w:sz w:val="13"/>
                <w:szCs w:val="13"/>
              </w:rPr>
              <w:t>2019-2020</w:t>
            </w:r>
          </w:p>
        </w:tc>
        <w:tc>
          <w:tcPr>
            <w:tcW w:w="614" w:type="dxa"/>
            <w:gridSpan w:val="2"/>
            <w:noWrap/>
            <w:vAlign w:val="center"/>
          </w:tcPr>
          <w:p w14:paraId="149FF272">
            <w:pPr>
              <w:pStyle w:val="149"/>
              <w:rPr>
                <w:sz w:val="13"/>
                <w:szCs w:val="13"/>
              </w:rPr>
            </w:pPr>
            <w:r>
              <w:rPr>
                <w:sz w:val="13"/>
                <w:szCs w:val="13"/>
              </w:rPr>
              <w:t>建成</w:t>
            </w:r>
          </w:p>
        </w:tc>
        <w:tc>
          <w:tcPr>
            <w:tcW w:w="567" w:type="dxa"/>
            <w:gridSpan w:val="2"/>
            <w:noWrap/>
            <w:vAlign w:val="center"/>
          </w:tcPr>
          <w:p w14:paraId="686DA038">
            <w:pPr>
              <w:pStyle w:val="149"/>
              <w:rPr>
                <w:sz w:val="13"/>
                <w:szCs w:val="13"/>
              </w:rPr>
            </w:pPr>
            <w:r>
              <w:rPr>
                <w:sz w:val="13"/>
                <w:szCs w:val="13"/>
              </w:rPr>
              <w:t>停产</w:t>
            </w:r>
          </w:p>
        </w:tc>
        <w:tc>
          <w:tcPr>
            <w:tcW w:w="992" w:type="dxa"/>
            <w:gridSpan w:val="2"/>
            <w:noWrap/>
            <w:vAlign w:val="center"/>
          </w:tcPr>
          <w:p w14:paraId="162479B1">
            <w:pPr>
              <w:pStyle w:val="149"/>
              <w:rPr>
                <w:sz w:val="13"/>
                <w:szCs w:val="13"/>
              </w:rPr>
            </w:pPr>
            <w:r>
              <w:rPr>
                <w:sz w:val="13"/>
                <w:szCs w:val="13"/>
              </w:rPr>
              <w:t>未编制</w:t>
            </w:r>
          </w:p>
        </w:tc>
        <w:tc>
          <w:tcPr>
            <w:tcW w:w="1701" w:type="dxa"/>
            <w:gridSpan w:val="2"/>
            <w:noWrap/>
            <w:vAlign w:val="center"/>
          </w:tcPr>
          <w:p w14:paraId="4F355853">
            <w:pPr>
              <w:pStyle w:val="149"/>
              <w:rPr>
                <w:sz w:val="13"/>
                <w:szCs w:val="13"/>
              </w:rPr>
            </w:pPr>
          </w:p>
        </w:tc>
        <w:tc>
          <w:tcPr>
            <w:tcW w:w="844" w:type="dxa"/>
            <w:noWrap/>
            <w:vAlign w:val="center"/>
          </w:tcPr>
          <w:p w14:paraId="6E8A1A5A">
            <w:pPr>
              <w:pStyle w:val="149"/>
              <w:rPr>
                <w:sz w:val="13"/>
                <w:szCs w:val="13"/>
              </w:rPr>
            </w:pPr>
            <w:r>
              <w:rPr>
                <w:sz w:val="13"/>
                <w:szCs w:val="13"/>
              </w:rPr>
              <w:t xml:space="preserve">1.43 </w:t>
            </w:r>
          </w:p>
        </w:tc>
        <w:tc>
          <w:tcPr>
            <w:tcW w:w="844" w:type="dxa"/>
            <w:gridSpan w:val="2"/>
            <w:noWrap/>
            <w:vAlign w:val="center"/>
          </w:tcPr>
          <w:p w14:paraId="7B249F52">
            <w:pPr>
              <w:pStyle w:val="149"/>
              <w:rPr>
                <w:sz w:val="13"/>
                <w:szCs w:val="13"/>
              </w:rPr>
            </w:pPr>
            <w:r>
              <w:rPr>
                <w:sz w:val="13"/>
                <w:szCs w:val="13"/>
              </w:rPr>
              <w:t xml:space="preserve">1.43 </w:t>
            </w:r>
          </w:p>
        </w:tc>
        <w:tc>
          <w:tcPr>
            <w:tcW w:w="892" w:type="dxa"/>
            <w:gridSpan w:val="2"/>
            <w:vAlign w:val="center"/>
          </w:tcPr>
          <w:p w14:paraId="5D149FA3">
            <w:pPr>
              <w:pStyle w:val="149"/>
              <w:rPr>
                <w:sz w:val="13"/>
                <w:szCs w:val="13"/>
              </w:rPr>
            </w:pPr>
            <w:r>
              <w:rPr>
                <w:sz w:val="13"/>
                <w:szCs w:val="13"/>
              </w:rPr>
              <w:t xml:space="preserve">0.59 </w:t>
            </w:r>
          </w:p>
        </w:tc>
        <w:tc>
          <w:tcPr>
            <w:tcW w:w="1527" w:type="dxa"/>
            <w:noWrap/>
            <w:vAlign w:val="center"/>
          </w:tcPr>
          <w:p w14:paraId="0C7ABDAC">
            <w:pPr>
              <w:pStyle w:val="149"/>
              <w:rPr>
                <w:sz w:val="13"/>
                <w:szCs w:val="13"/>
              </w:rPr>
            </w:pPr>
          </w:p>
        </w:tc>
        <w:tc>
          <w:tcPr>
            <w:tcW w:w="1051" w:type="dxa"/>
            <w:noWrap/>
            <w:vAlign w:val="center"/>
          </w:tcPr>
          <w:p w14:paraId="5460B96B">
            <w:pPr>
              <w:pStyle w:val="149"/>
              <w:rPr>
                <w:sz w:val="13"/>
                <w:szCs w:val="13"/>
              </w:rPr>
            </w:pPr>
            <w:r>
              <w:rPr>
                <w:sz w:val="13"/>
                <w:szCs w:val="13"/>
              </w:rPr>
              <w:t>未完成</w:t>
            </w:r>
          </w:p>
        </w:tc>
      </w:tr>
      <w:tr w14:paraId="01CF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0130AF6A">
            <w:pPr>
              <w:pStyle w:val="149"/>
              <w:rPr>
                <w:sz w:val="13"/>
                <w:szCs w:val="13"/>
              </w:rPr>
            </w:pPr>
            <w:r>
              <w:rPr>
                <w:sz w:val="13"/>
                <w:szCs w:val="13"/>
              </w:rPr>
              <w:t>33</w:t>
            </w:r>
          </w:p>
        </w:tc>
        <w:tc>
          <w:tcPr>
            <w:tcW w:w="1317" w:type="dxa"/>
            <w:noWrap/>
            <w:vAlign w:val="center"/>
          </w:tcPr>
          <w:p w14:paraId="65D6C5D3">
            <w:pPr>
              <w:pStyle w:val="149"/>
              <w:rPr>
                <w:sz w:val="13"/>
                <w:szCs w:val="13"/>
              </w:rPr>
            </w:pPr>
            <w:r>
              <w:rPr>
                <w:sz w:val="13"/>
                <w:szCs w:val="13"/>
              </w:rPr>
              <w:t>包头市清源易捷光伏科技有限公司</w:t>
            </w:r>
          </w:p>
        </w:tc>
        <w:tc>
          <w:tcPr>
            <w:tcW w:w="2226" w:type="dxa"/>
            <w:noWrap/>
            <w:vAlign w:val="center"/>
          </w:tcPr>
          <w:p w14:paraId="2BEBD908">
            <w:pPr>
              <w:pStyle w:val="149"/>
              <w:rPr>
                <w:sz w:val="13"/>
                <w:szCs w:val="13"/>
              </w:rPr>
            </w:pPr>
            <w:r>
              <w:rPr>
                <w:sz w:val="13"/>
                <w:szCs w:val="13"/>
              </w:rPr>
              <w:t>内蒙古包头市固阳县2GW新型太阳能光伏支架系统项目</w:t>
            </w:r>
          </w:p>
        </w:tc>
        <w:tc>
          <w:tcPr>
            <w:tcW w:w="1418" w:type="dxa"/>
            <w:noWrap/>
            <w:vAlign w:val="center"/>
          </w:tcPr>
          <w:p w14:paraId="1FB28152">
            <w:pPr>
              <w:pStyle w:val="149"/>
              <w:rPr>
                <w:sz w:val="13"/>
                <w:szCs w:val="13"/>
              </w:rPr>
            </w:pPr>
            <w:r>
              <w:rPr>
                <w:sz w:val="13"/>
                <w:szCs w:val="13"/>
              </w:rPr>
              <w:t>固经信审批发[2015]2号</w:t>
            </w:r>
          </w:p>
        </w:tc>
        <w:tc>
          <w:tcPr>
            <w:tcW w:w="709" w:type="dxa"/>
            <w:noWrap/>
            <w:vAlign w:val="center"/>
          </w:tcPr>
          <w:p w14:paraId="6AEFFAFC">
            <w:pPr>
              <w:pStyle w:val="149"/>
              <w:rPr>
                <w:sz w:val="13"/>
                <w:szCs w:val="13"/>
              </w:rPr>
            </w:pPr>
            <w:r>
              <w:rPr>
                <w:sz w:val="13"/>
                <w:szCs w:val="13"/>
              </w:rPr>
              <w:t>3.08</w:t>
            </w:r>
          </w:p>
        </w:tc>
        <w:tc>
          <w:tcPr>
            <w:tcW w:w="803" w:type="dxa"/>
            <w:noWrap/>
            <w:vAlign w:val="center"/>
          </w:tcPr>
          <w:p w14:paraId="0F105D6B">
            <w:pPr>
              <w:pStyle w:val="149"/>
              <w:rPr>
                <w:sz w:val="13"/>
                <w:szCs w:val="13"/>
              </w:rPr>
            </w:pPr>
            <w:r>
              <w:rPr>
                <w:sz w:val="13"/>
                <w:szCs w:val="13"/>
              </w:rPr>
              <w:t>2015-2017</w:t>
            </w:r>
          </w:p>
        </w:tc>
        <w:tc>
          <w:tcPr>
            <w:tcW w:w="614" w:type="dxa"/>
            <w:gridSpan w:val="2"/>
            <w:noWrap/>
            <w:vAlign w:val="center"/>
          </w:tcPr>
          <w:p w14:paraId="198AFBAF">
            <w:pPr>
              <w:pStyle w:val="149"/>
              <w:rPr>
                <w:sz w:val="13"/>
                <w:szCs w:val="13"/>
              </w:rPr>
            </w:pPr>
            <w:r>
              <w:rPr>
                <w:sz w:val="13"/>
                <w:szCs w:val="13"/>
              </w:rPr>
              <w:t>停建</w:t>
            </w:r>
          </w:p>
        </w:tc>
        <w:tc>
          <w:tcPr>
            <w:tcW w:w="567" w:type="dxa"/>
            <w:gridSpan w:val="2"/>
            <w:noWrap/>
            <w:vAlign w:val="center"/>
          </w:tcPr>
          <w:p w14:paraId="59F43371">
            <w:pPr>
              <w:pStyle w:val="149"/>
              <w:rPr>
                <w:sz w:val="13"/>
                <w:szCs w:val="13"/>
              </w:rPr>
            </w:pPr>
            <w:r>
              <w:rPr>
                <w:sz w:val="13"/>
                <w:szCs w:val="13"/>
              </w:rPr>
              <w:t>停产</w:t>
            </w:r>
          </w:p>
        </w:tc>
        <w:tc>
          <w:tcPr>
            <w:tcW w:w="992" w:type="dxa"/>
            <w:gridSpan w:val="2"/>
            <w:noWrap/>
            <w:vAlign w:val="center"/>
          </w:tcPr>
          <w:p w14:paraId="47CEB180">
            <w:pPr>
              <w:pStyle w:val="149"/>
              <w:rPr>
                <w:sz w:val="13"/>
                <w:szCs w:val="13"/>
              </w:rPr>
            </w:pPr>
            <w:r>
              <w:rPr>
                <w:sz w:val="13"/>
                <w:szCs w:val="13"/>
              </w:rPr>
              <w:t>未编制</w:t>
            </w:r>
          </w:p>
        </w:tc>
        <w:tc>
          <w:tcPr>
            <w:tcW w:w="1701" w:type="dxa"/>
            <w:gridSpan w:val="2"/>
            <w:noWrap/>
            <w:vAlign w:val="center"/>
          </w:tcPr>
          <w:p w14:paraId="2677B68C">
            <w:pPr>
              <w:pStyle w:val="149"/>
              <w:rPr>
                <w:sz w:val="13"/>
                <w:szCs w:val="13"/>
              </w:rPr>
            </w:pPr>
          </w:p>
        </w:tc>
        <w:tc>
          <w:tcPr>
            <w:tcW w:w="844" w:type="dxa"/>
            <w:noWrap/>
            <w:vAlign w:val="center"/>
          </w:tcPr>
          <w:p w14:paraId="28EB3F42">
            <w:pPr>
              <w:pStyle w:val="149"/>
              <w:rPr>
                <w:sz w:val="13"/>
                <w:szCs w:val="13"/>
              </w:rPr>
            </w:pPr>
            <w:r>
              <w:rPr>
                <w:sz w:val="13"/>
                <w:szCs w:val="13"/>
              </w:rPr>
              <w:t xml:space="preserve">1.46 </w:t>
            </w:r>
          </w:p>
        </w:tc>
        <w:tc>
          <w:tcPr>
            <w:tcW w:w="844" w:type="dxa"/>
            <w:gridSpan w:val="2"/>
            <w:noWrap/>
            <w:vAlign w:val="center"/>
          </w:tcPr>
          <w:p w14:paraId="07CB77A1">
            <w:pPr>
              <w:pStyle w:val="149"/>
              <w:rPr>
                <w:sz w:val="13"/>
                <w:szCs w:val="13"/>
              </w:rPr>
            </w:pPr>
            <w:r>
              <w:rPr>
                <w:sz w:val="13"/>
                <w:szCs w:val="13"/>
              </w:rPr>
              <w:t xml:space="preserve">1.46 </w:t>
            </w:r>
          </w:p>
        </w:tc>
        <w:tc>
          <w:tcPr>
            <w:tcW w:w="892" w:type="dxa"/>
            <w:gridSpan w:val="2"/>
            <w:vAlign w:val="center"/>
          </w:tcPr>
          <w:p w14:paraId="69D8A686">
            <w:pPr>
              <w:pStyle w:val="149"/>
              <w:rPr>
                <w:sz w:val="13"/>
                <w:szCs w:val="13"/>
              </w:rPr>
            </w:pPr>
            <w:r>
              <w:rPr>
                <w:sz w:val="13"/>
                <w:szCs w:val="13"/>
              </w:rPr>
              <w:t xml:space="preserve">0.60 </w:t>
            </w:r>
          </w:p>
        </w:tc>
        <w:tc>
          <w:tcPr>
            <w:tcW w:w="1527" w:type="dxa"/>
            <w:noWrap/>
            <w:vAlign w:val="center"/>
          </w:tcPr>
          <w:p w14:paraId="02D4B412">
            <w:pPr>
              <w:pStyle w:val="149"/>
              <w:rPr>
                <w:sz w:val="13"/>
                <w:szCs w:val="13"/>
              </w:rPr>
            </w:pPr>
          </w:p>
        </w:tc>
        <w:tc>
          <w:tcPr>
            <w:tcW w:w="1051" w:type="dxa"/>
            <w:noWrap/>
            <w:vAlign w:val="center"/>
          </w:tcPr>
          <w:p w14:paraId="1854A098">
            <w:pPr>
              <w:pStyle w:val="149"/>
              <w:rPr>
                <w:sz w:val="13"/>
                <w:szCs w:val="13"/>
              </w:rPr>
            </w:pPr>
            <w:r>
              <w:rPr>
                <w:sz w:val="13"/>
                <w:szCs w:val="13"/>
              </w:rPr>
              <w:t>未完成</w:t>
            </w:r>
          </w:p>
        </w:tc>
      </w:tr>
      <w:tr w14:paraId="6098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61C918B9">
            <w:pPr>
              <w:pStyle w:val="149"/>
              <w:rPr>
                <w:sz w:val="13"/>
                <w:szCs w:val="13"/>
              </w:rPr>
            </w:pPr>
            <w:r>
              <w:rPr>
                <w:sz w:val="13"/>
                <w:szCs w:val="13"/>
              </w:rPr>
              <w:t>34</w:t>
            </w:r>
          </w:p>
        </w:tc>
        <w:tc>
          <w:tcPr>
            <w:tcW w:w="1317" w:type="dxa"/>
            <w:noWrap/>
            <w:vAlign w:val="center"/>
          </w:tcPr>
          <w:p w14:paraId="48C081B2">
            <w:pPr>
              <w:pStyle w:val="149"/>
              <w:rPr>
                <w:sz w:val="13"/>
                <w:szCs w:val="13"/>
              </w:rPr>
            </w:pPr>
            <w:r>
              <w:rPr>
                <w:sz w:val="13"/>
                <w:szCs w:val="13"/>
              </w:rPr>
              <w:t>包头市亘盛耐磨材料有限责任公司</w:t>
            </w:r>
          </w:p>
        </w:tc>
        <w:tc>
          <w:tcPr>
            <w:tcW w:w="2226" w:type="dxa"/>
            <w:noWrap/>
            <w:vAlign w:val="center"/>
          </w:tcPr>
          <w:p w14:paraId="319FC416">
            <w:pPr>
              <w:pStyle w:val="149"/>
              <w:rPr>
                <w:sz w:val="13"/>
                <w:szCs w:val="13"/>
              </w:rPr>
            </w:pPr>
            <w:r>
              <w:rPr>
                <w:sz w:val="13"/>
                <w:szCs w:val="13"/>
              </w:rPr>
              <w:t>包头市亘盛耐磨材料有限责任公司年产1万吨铸件项目</w:t>
            </w:r>
          </w:p>
        </w:tc>
        <w:tc>
          <w:tcPr>
            <w:tcW w:w="1418" w:type="dxa"/>
            <w:noWrap/>
            <w:vAlign w:val="center"/>
          </w:tcPr>
          <w:p w14:paraId="1EE86A22">
            <w:pPr>
              <w:pStyle w:val="149"/>
              <w:rPr>
                <w:sz w:val="13"/>
                <w:szCs w:val="13"/>
              </w:rPr>
            </w:pPr>
            <w:r>
              <w:rPr>
                <w:sz w:val="13"/>
                <w:szCs w:val="13"/>
              </w:rPr>
              <w:t>固发改字【2008】50号</w:t>
            </w:r>
          </w:p>
        </w:tc>
        <w:tc>
          <w:tcPr>
            <w:tcW w:w="709" w:type="dxa"/>
            <w:noWrap/>
            <w:vAlign w:val="center"/>
          </w:tcPr>
          <w:p w14:paraId="7C9BFAE8">
            <w:pPr>
              <w:pStyle w:val="149"/>
              <w:rPr>
                <w:sz w:val="13"/>
                <w:szCs w:val="13"/>
              </w:rPr>
            </w:pPr>
            <w:r>
              <w:rPr>
                <w:sz w:val="13"/>
                <w:szCs w:val="13"/>
              </w:rPr>
              <w:t>1.04</w:t>
            </w:r>
          </w:p>
        </w:tc>
        <w:tc>
          <w:tcPr>
            <w:tcW w:w="803" w:type="dxa"/>
            <w:noWrap/>
            <w:vAlign w:val="center"/>
          </w:tcPr>
          <w:p w14:paraId="514DDC25">
            <w:pPr>
              <w:pStyle w:val="149"/>
              <w:rPr>
                <w:sz w:val="13"/>
                <w:szCs w:val="13"/>
              </w:rPr>
            </w:pPr>
            <w:r>
              <w:rPr>
                <w:sz w:val="13"/>
                <w:szCs w:val="13"/>
              </w:rPr>
              <w:t>2008-2010</w:t>
            </w:r>
          </w:p>
        </w:tc>
        <w:tc>
          <w:tcPr>
            <w:tcW w:w="614" w:type="dxa"/>
            <w:gridSpan w:val="2"/>
            <w:noWrap/>
            <w:vAlign w:val="center"/>
          </w:tcPr>
          <w:p w14:paraId="41E0897F">
            <w:pPr>
              <w:pStyle w:val="149"/>
              <w:rPr>
                <w:sz w:val="13"/>
                <w:szCs w:val="13"/>
              </w:rPr>
            </w:pPr>
            <w:r>
              <w:rPr>
                <w:sz w:val="13"/>
                <w:szCs w:val="13"/>
              </w:rPr>
              <w:t>建成</w:t>
            </w:r>
          </w:p>
        </w:tc>
        <w:tc>
          <w:tcPr>
            <w:tcW w:w="567" w:type="dxa"/>
            <w:gridSpan w:val="2"/>
            <w:noWrap/>
            <w:vAlign w:val="center"/>
          </w:tcPr>
          <w:p w14:paraId="69FF3E38">
            <w:pPr>
              <w:pStyle w:val="149"/>
              <w:rPr>
                <w:sz w:val="13"/>
                <w:szCs w:val="13"/>
              </w:rPr>
            </w:pPr>
            <w:r>
              <w:rPr>
                <w:sz w:val="13"/>
                <w:szCs w:val="13"/>
              </w:rPr>
              <w:t>停产</w:t>
            </w:r>
          </w:p>
        </w:tc>
        <w:tc>
          <w:tcPr>
            <w:tcW w:w="992" w:type="dxa"/>
            <w:gridSpan w:val="2"/>
            <w:noWrap/>
            <w:vAlign w:val="center"/>
          </w:tcPr>
          <w:p w14:paraId="354D2045">
            <w:pPr>
              <w:pStyle w:val="149"/>
              <w:rPr>
                <w:sz w:val="13"/>
                <w:szCs w:val="13"/>
              </w:rPr>
            </w:pPr>
            <w:r>
              <w:rPr>
                <w:sz w:val="13"/>
                <w:szCs w:val="13"/>
              </w:rPr>
              <w:t>未编制</w:t>
            </w:r>
          </w:p>
        </w:tc>
        <w:tc>
          <w:tcPr>
            <w:tcW w:w="1701" w:type="dxa"/>
            <w:gridSpan w:val="2"/>
            <w:noWrap/>
            <w:vAlign w:val="center"/>
          </w:tcPr>
          <w:p w14:paraId="5FCDA712">
            <w:pPr>
              <w:pStyle w:val="149"/>
              <w:rPr>
                <w:sz w:val="13"/>
                <w:szCs w:val="13"/>
              </w:rPr>
            </w:pPr>
          </w:p>
        </w:tc>
        <w:tc>
          <w:tcPr>
            <w:tcW w:w="844" w:type="dxa"/>
            <w:noWrap/>
            <w:vAlign w:val="center"/>
          </w:tcPr>
          <w:p w14:paraId="125EF778">
            <w:pPr>
              <w:pStyle w:val="149"/>
              <w:rPr>
                <w:sz w:val="13"/>
                <w:szCs w:val="13"/>
              </w:rPr>
            </w:pPr>
            <w:r>
              <w:rPr>
                <w:sz w:val="13"/>
                <w:szCs w:val="13"/>
              </w:rPr>
              <w:t xml:space="preserve">0.49 </w:t>
            </w:r>
          </w:p>
        </w:tc>
        <w:tc>
          <w:tcPr>
            <w:tcW w:w="844" w:type="dxa"/>
            <w:gridSpan w:val="2"/>
            <w:noWrap/>
            <w:vAlign w:val="center"/>
          </w:tcPr>
          <w:p w14:paraId="44FF66FE">
            <w:pPr>
              <w:pStyle w:val="149"/>
              <w:rPr>
                <w:sz w:val="13"/>
                <w:szCs w:val="13"/>
              </w:rPr>
            </w:pPr>
            <w:r>
              <w:rPr>
                <w:sz w:val="13"/>
                <w:szCs w:val="13"/>
              </w:rPr>
              <w:t xml:space="preserve">0.49 </w:t>
            </w:r>
          </w:p>
        </w:tc>
        <w:tc>
          <w:tcPr>
            <w:tcW w:w="892" w:type="dxa"/>
            <w:gridSpan w:val="2"/>
            <w:vAlign w:val="center"/>
          </w:tcPr>
          <w:p w14:paraId="48784489">
            <w:pPr>
              <w:pStyle w:val="149"/>
              <w:rPr>
                <w:sz w:val="13"/>
                <w:szCs w:val="13"/>
              </w:rPr>
            </w:pPr>
            <w:r>
              <w:rPr>
                <w:sz w:val="13"/>
                <w:szCs w:val="13"/>
              </w:rPr>
              <w:t xml:space="preserve">0.20 </w:t>
            </w:r>
          </w:p>
        </w:tc>
        <w:tc>
          <w:tcPr>
            <w:tcW w:w="1527" w:type="dxa"/>
            <w:noWrap/>
            <w:vAlign w:val="center"/>
          </w:tcPr>
          <w:p w14:paraId="576F32EF">
            <w:pPr>
              <w:pStyle w:val="149"/>
              <w:rPr>
                <w:sz w:val="13"/>
                <w:szCs w:val="13"/>
              </w:rPr>
            </w:pPr>
          </w:p>
        </w:tc>
        <w:tc>
          <w:tcPr>
            <w:tcW w:w="1051" w:type="dxa"/>
            <w:noWrap/>
            <w:vAlign w:val="center"/>
          </w:tcPr>
          <w:p w14:paraId="21916EA5">
            <w:pPr>
              <w:pStyle w:val="149"/>
              <w:rPr>
                <w:sz w:val="13"/>
                <w:szCs w:val="13"/>
              </w:rPr>
            </w:pPr>
            <w:r>
              <w:rPr>
                <w:sz w:val="13"/>
                <w:szCs w:val="13"/>
              </w:rPr>
              <w:t>未完成</w:t>
            </w:r>
          </w:p>
        </w:tc>
      </w:tr>
      <w:tr w14:paraId="70C43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05AE1858">
            <w:pPr>
              <w:pStyle w:val="149"/>
              <w:rPr>
                <w:sz w:val="13"/>
                <w:szCs w:val="13"/>
              </w:rPr>
            </w:pPr>
            <w:r>
              <w:rPr>
                <w:sz w:val="13"/>
                <w:szCs w:val="13"/>
              </w:rPr>
              <w:t>35</w:t>
            </w:r>
          </w:p>
        </w:tc>
        <w:tc>
          <w:tcPr>
            <w:tcW w:w="1317" w:type="dxa"/>
            <w:noWrap/>
            <w:vAlign w:val="center"/>
          </w:tcPr>
          <w:p w14:paraId="69A5E64D">
            <w:pPr>
              <w:pStyle w:val="149"/>
              <w:rPr>
                <w:sz w:val="13"/>
                <w:szCs w:val="13"/>
              </w:rPr>
            </w:pPr>
            <w:r>
              <w:rPr>
                <w:sz w:val="13"/>
                <w:szCs w:val="13"/>
              </w:rPr>
              <w:t>包头市金山电业有限责任公司</w:t>
            </w:r>
          </w:p>
        </w:tc>
        <w:tc>
          <w:tcPr>
            <w:tcW w:w="2226" w:type="dxa"/>
            <w:noWrap/>
            <w:vAlign w:val="center"/>
          </w:tcPr>
          <w:p w14:paraId="1A93ACA7">
            <w:pPr>
              <w:pStyle w:val="149"/>
              <w:rPr>
                <w:sz w:val="13"/>
                <w:szCs w:val="13"/>
              </w:rPr>
            </w:pPr>
            <w:r>
              <w:rPr>
                <w:sz w:val="13"/>
                <w:szCs w:val="13"/>
              </w:rPr>
              <w:t>包头市金山电业有限责任公司电力设施及水泥制品项目</w:t>
            </w:r>
          </w:p>
        </w:tc>
        <w:tc>
          <w:tcPr>
            <w:tcW w:w="1418" w:type="dxa"/>
            <w:noWrap/>
            <w:vAlign w:val="center"/>
          </w:tcPr>
          <w:p w14:paraId="46B61838">
            <w:pPr>
              <w:pStyle w:val="149"/>
              <w:rPr>
                <w:sz w:val="13"/>
                <w:szCs w:val="13"/>
              </w:rPr>
            </w:pPr>
            <w:r>
              <w:rPr>
                <w:sz w:val="13"/>
                <w:szCs w:val="13"/>
              </w:rPr>
              <w:t>固经信发【2021】159号</w:t>
            </w:r>
          </w:p>
        </w:tc>
        <w:tc>
          <w:tcPr>
            <w:tcW w:w="709" w:type="dxa"/>
            <w:noWrap/>
            <w:vAlign w:val="center"/>
          </w:tcPr>
          <w:p w14:paraId="58C2A083">
            <w:pPr>
              <w:pStyle w:val="149"/>
              <w:rPr>
                <w:sz w:val="13"/>
                <w:szCs w:val="13"/>
              </w:rPr>
            </w:pPr>
            <w:r>
              <w:rPr>
                <w:sz w:val="13"/>
                <w:szCs w:val="13"/>
              </w:rPr>
              <w:t>1.12</w:t>
            </w:r>
          </w:p>
        </w:tc>
        <w:tc>
          <w:tcPr>
            <w:tcW w:w="803" w:type="dxa"/>
            <w:noWrap/>
            <w:vAlign w:val="center"/>
          </w:tcPr>
          <w:p w14:paraId="4C7CF50C">
            <w:pPr>
              <w:pStyle w:val="149"/>
              <w:rPr>
                <w:sz w:val="13"/>
                <w:szCs w:val="13"/>
              </w:rPr>
            </w:pPr>
            <w:r>
              <w:rPr>
                <w:sz w:val="13"/>
                <w:szCs w:val="13"/>
              </w:rPr>
              <w:t>2009-2010</w:t>
            </w:r>
          </w:p>
        </w:tc>
        <w:tc>
          <w:tcPr>
            <w:tcW w:w="614" w:type="dxa"/>
            <w:gridSpan w:val="2"/>
            <w:noWrap/>
            <w:vAlign w:val="center"/>
          </w:tcPr>
          <w:p w14:paraId="4A70DB9D">
            <w:pPr>
              <w:pStyle w:val="149"/>
              <w:rPr>
                <w:sz w:val="13"/>
                <w:szCs w:val="13"/>
              </w:rPr>
            </w:pPr>
            <w:r>
              <w:rPr>
                <w:sz w:val="13"/>
                <w:szCs w:val="13"/>
              </w:rPr>
              <w:t>停建</w:t>
            </w:r>
          </w:p>
        </w:tc>
        <w:tc>
          <w:tcPr>
            <w:tcW w:w="567" w:type="dxa"/>
            <w:gridSpan w:val="2"/>
            <w:noWrap/>
            <w:vAlign w:val="center"/>
          </w:tcPr>
          <w:p w14:paraId="158B0C0D">
            <w:pPr>
              <w:pStyle w:val="149"/>
              <w:rPr>
                <w:sz w:val="13"/>
                <w:szCs w:val="13"/>
              </w:rPr>
            </w:pPr>
            <w:r>
              <w:rPr>
                <w:sz w:val="13"/>
                <w:szCs w:val="13"/>
              </w:rPr>
              <w:t>停产</w:t>
            </w:r>
          </w:p>
        </w:tc>
        <w:tc>
          <w:tcPr>
            <w:tcW w:w="992" w:type="dxa"/>
            <w:gridSpan w:val="2"/>
            <w:noWrap/>
            <w:vAlign w:val="center"/>
          </w:tcPr>
          <w:p w14:paraId="2C2BDE07">
            <w:pPr>
              <w:pStyle w:val="149"/>
              <w:rPr>
                <w:sz w:val="13"/>
                <w:szCs w:val="13"/>
              </w:rPr>
            </w:pPr>
            <w:r>
              <w:rPr>
                <w:sz w:val="13"/>
                <w:szCs w:val="13"/>
              </w:rPr>
              <w:t>未编制</w:t>
            </w:r>
          </w:p>
        </w:tc>
        <w:tc>
          <w:tcPr>
            <w:tcW w:w="1701" w:type="dxa"/>
            <w:gridSpan w:val="2"/>
            <w:noWrap/>
            <w:vAlign w:val="center"/>
          </w:tcPr>
          <w:p w14:paraId="29579D74">
            <w:pPr>
              <w:pStyle w:val="149"/>
              <w:rPr>
                <w:sz w:val="13"/>
                <w:szCs w:val="13"/>
              </w:rPr>
            </w:pPr>
          </w:p>
        </w:tc>
        <w:tc>
          <w:tcPr>
            <w:tcW w:w="844" w:type="dxa"/>
            <w:noWrap/>
            <w:vAlign w:val="center"/>
          </w:tcPr>
          <w:p w14:paraId="54822813">
            <w:pPr>
              <w:pStyle w:val="149"/>
              <w:rPr>
                <w:sz w:val="13"/>
                <w:szCs w:val="13"/>
              </w:rPr>
            </w:pPr>
            <w:r>
              <w:rPr>
                <w:sz w:val="13"/>
                <w:szCs w:val="13"/>
              </w:rPr>
              <w:t xml:space="preserve">0.53 </w:t>
            </w:r>
          </w:p>
        </w:tc>
        <w:tc>
          <w:tcPr>
            <w:tcW w:w="844" w:type="dxa"/>
            <w:gridSpan w:val="2"/>
            <w:noWrap/>
            <w:vAlign w:val="center"/>
          </w:tcPr>
          <w:p w14:paraId="4D3A3029">
            <w:pPr>
              <w:pStyle w:val="149"/>
              <w:rPr>
                <w:sz w:val="13"/>
                <w:szCs w:val="13"/>
              </w:rPr>
            </w:pPr>
            <w:r>
              <w:rPr>
                <w:sz w:val="13"/>
                <w:szCs w:val="13"/>
              </w:rPr>
              <w:t xml:space="preserve">0.53 </w:t>
            </w:r>
          </w:p>
        </w:tc>
        <w:tc>
          <w:tcPr>
            <w:tcW w:w="892" w:type="dxa"/>
            <w:gridSpan w:val="2"/>
            <w:vAlign w:val="center"/>
          </w:tcPr>
          <w:p w14:paraId="2B03C3C3">
            <w:pPr>
              <w:pStyle w:val="149"/>
              <w:rPr>
                <w:sz w:val="13"/>
                <w:szCs w:val="13"/>
              </w:rPr>
            </w:pPr>
            <w:r>
              <w:rPr>
                <w:sz w:val="13"/>
                <w:szCs w:val="13"/>
              </w:rPr>
              <w:t xml:space="preserve">0.22 </w:t>
            </w:r>
          </w:p>
        </w:tc>
        <w:tc>
          <w:tcPr>
            <w:tcW w:w="1527" w:type="dxa"/>
            <w:noWrap/>
            <w:vAlign w:val="center"/>
          </w:tcPr>
          <w:p w14:paraId="3B0FD739">
            <w:pPr>
              <w:pStyle w:val="149"/>
              <w:rPr>
                <w:sz w:val="13"/>
                <w:szCs w:val="13"/>
              </w:rPr>
            </w:pPr>
          </w:p>
        </w:tc>
        <w:tc>
          <w:tcPr>
            <w:tcW w:w="1051" w:type="dxa"/>
            <w:noWrap/>
            <w:vAlign w:val="center"/>
          </w:tcPr>
          <w:p w14:paraId="58AB31BE">
            <w:pPr>
              <w:pStyle w:val="149"/>
              <w:rPr>
                <w:sz w:val="13"/>
                <w:szCs w:val="13"/>
              </w:rPr>
            </w:pPr>
            <w:r>
              <w:rPr>
                <w:sz w:val="13"/>
                <w:szCs w:val="13"/>
              </w:rPr>
              <w:t>未完成</w:t>
            </w:r>
          </w:p>
        </w:tc>
      </w:tr>
      <w:tr w14:paraId="0FC0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661DB89A">
            <w:pPr>
              <w:pStyle w:val="149"/>
              <w:rPr>
                <w:sz w:val="13"/>
                <w:szCs w:val="13"/>
              </w:rPr>
            </w:pPr>
            <w:r>
              <w:rPr>
                <w:sz w:val="13"/>
                <w:szCs w:val="13"/>
              </w:rPr>
              <w:t>36</w:t>
            </w:r>
          </w:p>
        </w:tc>
        <w:tc>
          <w:tcPr>
            <w:tcW w:w="1317" w:type="dxa"/>
            <w:noWrap/>
            <w:vAlign w:val="center"/>
          </w:tcPr>
          <w:p w14:paraId="6FE58687">
            <w:pPr>
              <w:pStyle w:val="149"/>
              <w:rPr>
                <w:sz w:val="13"/>
                <w:szCs w:val="13"/>
              </w:rPr>
            </w:pPr>
            <w:r>
              <w:rPr>
                <w:sz w:val="13"/>
                <w:szCs w:val="13"/>
              </w:rPr>
              <w:t>包头市凯顺稀土镁业有限责任公司</w:t>
            </w:r>
          </w:p>
        </w:tc>
        <w:tc>
          <w:tcPr>
            <w:tcW w:w="2226" w:type="dxa"/>
            <w:noWrap/>
            <w:vAlign w:val="center"/>
          </w:tcPr>
          <w:p w14:paraId="21DB3BC7">
            <w:pPr>
              <w:pStyle w:val="149"/>
              <w:rPr>
                <w:sz w:val="13"/>
                <w:szCs w:val="13"/>
              </w:rPr>
            </w:pPr>
            <w:r>
              <w:rPr>
                <w:sz w:val="13"/>
                <w:szCs w:val="13"/>
              </w:rPr>
              <w:t>包头市凯顺稀土镁业有限责任公司年产2万吨镁合金项目</w:t>
            </w:r>
          </w:p>
        </w:tc>
        <w:tc>
          <w:tcPr>
            <w:tcW w:w="1418" w:type="dxa"/>
            <w:noWrap/>
            <w:vAlign w:val="center"/>
          </w:tcPr>
          <w:p w14:paraId="643FDBB8">
            <w:pPr>
              <w:pStyle w:val="149"/>
              <w:rPr>
                <w:sz w:val="13"/>
                <w:szCs w:val="13"/>
              </w:rPr>
            </w:pPr>
            <w:r>
              <w:rPr>
                <w:sz w:val="13"/>
                <w:szCs w:val="13"/>
              </w:rPr>
              <w:t>内经信投规字【2011】512号</w:t>
            </w:r>
          </w:p>
        </w:tc>
        <w:tc>
          <w:tcPr>
            <w:tcW w:w="709" w:type="dxa"/>
            <w:noWrap/>
            <w:vAlign w:val="center"/>
          </w:tcPr>
          <w:p w14:paraId="3CC861FB">
            <w:pPr>
              <w:pStyle w:val="149"/>
              <w:rPr>
                <w:sz w:val="13"/>
                <w:szCs w:val="13"/>
              </w:rPr>
            </w:pPr>
            <w:r>
              <w:rPr>
                <w:sz w:val="13"/>
                <w:szCs w:val="13"/>
              </w:rPr>
              <w:t>22.73</w:t>
            </w:r>
          </w:p>
        </w:tc>
        <w:tc>
          <w:tcPr>
            <w:tcW w:w="803" w:type="dxa"/>
            <w:noWrap/>
            <w:vAlign w:val="center"/>
          </w:tcPr>
          <w:p w14:paraId="3C5296F9">
            <w:pPr>
              <w:pStyle w:val="149"/>
              <w:rPr>
                <w:sz w:val="13"/>
                <w:szCs w:val="13"/>
              </w:rPr>
            </w:pPr>
            <w:r>
              <w:rPr>
                <w:sz w:val="13"/>
                <w:szCs w:val="13"/>
              </w:rPr>
              <w:t>2009-2011</w:t>
            </w:r>
          </w:p>
        </w:tc>
        <w:tc>
          <w:tcPr>
            <w:tcW w:w="614" w:type="dxa"/>
            <w:gridSpan w:val="2"/>
            <w:noWrap/>
            <w:vAlign w:val="center"/>
          </w:tcPr>
          <w:p w14:paraId="30AE5823">
            <w:pPr>
              <w:pStyle w:val="149"/>
              <w:rPr>
                <w:sz w:val="13"/>
                <w:szCs w:val="13"/>
              </w:rPr>
            </w:pPr>
            <w:r>
              <w:rPr>
                <w:sz w:val="13"/>
                <w:szCs w:val="13"/>
              </w:rPr>
              <w:t>建成</w:t>
            </w:r>
          </w:p>
        </w:tc>
        <w:tc>
          <w:tcPr>
            <w:tcW w:w="567" w:type="dxa"/>
            <w:gridSpan w:val="2"/>
            <w:noWrap/>
            <w:vAlign w:val="center"/>
          </w:tcPr>
          <w:p w14:paraId="69845F3F">
            <w:pPr>
              <w:pStyle w:val="149"/>
              <w:rPr>
                <w:sz w:val="13"/>
                <w:szCs w:val="13"/>
              </w:rPr>
            </w:pPr>
            <w:r>
              <w:rPr>
                <w:sz w:val="13"/>
                <w:szCs w:val="13"/>
              </w:rPr>
              <w:t>停产</w:t>
            </w:r>
          </w:p>
        </w:tc>
        <w:tc>
          <w:tcPr>
            <w:tcW w:w="992" w:type="dxa"/>
            <w:gridSpan w:val="2"/>
            <w:noWrap/>
            <w:vAlign w:val="center"/>
          </w:tcPr>
          <w:p w14:paraId="5D80B7D9">
            <w:pPr>
              <w:pStyle w:val="149"/>
              <w:rPr>
                <w:sz w:val="13"/>
                <w:szCs w:val="13"/>
              </w:rPr>
            </w:pPr>
            <w:r>
              <w:rPr>
                <w:sz w:val="13"/>
                <w:szCs w:val="13"/>
              </w:rPr>
              <w:t>未编制</w:t>
            </w:r>
          </w:p>
        </w:tc>
        <w:tc>
          <w:tcPr>
            <w:tcW w:w="1701" w:type="dxa"/>
            <w:gridSpan w:val="2"/>
            <w:noWrap/>
            <w:vAlign w:val="center"/>
          </w:tcPr>
          <w:p w14:paraId="3B48D1B1">
            <w:pPr>
              <w:pStyle w:val="149"/>
              <w:rPr>
                <w:sz w:val="13"/>
                <w:szCs w:val="13"/>
              </w:rPr>
            </w:pPr>
          </w:p>
        </w:tc>
        <w:tc>
          <w:tcPr>
            <w:tcW w:w="844" w:type="dxa"/>
            <w:noWrap/>
            <w:vAlign w:val="center"/>
          </w:tcPr>
          <w:p w14:paraId="34193E3A">
            <w:pPr>
              <w:pStyle w:val="149"/>
              <w:rPr>
                <w:sz w:val="13"/>
                <w:szCs w:val="13"/>
              </w:rPr>
            </w:pPr>
            <w:r>
              <w:rPr>
                <w:sz w:val="13"/>
                <w:szCs w:val="13"/>
              </w:rPr>
              <w:t xml:space="preserve">10.74 </w:t>
            </w:r>
          </w:p>
        </w:tc>
        <w:tc>
          <w:tcPr>
            <w:tcW w:w="844" w:type="dxa"/>
            <w:gridSpan w:val="2"/>
            <w:noWrap/>
            <w:vAlign w:val="center"/>
          </w:tcPr>
          <w:p w14:paraId="5181677B">
            <w:pPr>
              <w:pStyle w:val="149"/>
              <w:rPr>
                <w:sz w:val="13"/>
                <w:szCs w:val="13"/>
              </w:rPr>
            </w:pPr>
            <w:r>
              <w:rPr>
                <w:sz w:val="13"/>
                <w:szCs w:val="13"/>
              </w:rPr>
              <w:t xml:space="preserve">10.74 </w:t>
            </w:r>
          </w:p>
        </w:tc>
        <w:tc>
          <w:tcPr>
            <w:tcW w:w="892" w:type="dxa"/>
            <w:gridSpan w:val="2"/>
            <w:vAlign w:val="center"/>
          </w:tcPr>
          <w:p w14:paraId="67A83232">
            <w:pPr>
              <w:pStyle w:val="149"/>
              <w:rPr>
                <w:sz w:val="13"/>
                <w:szCs w:val="13"/>
              </w:rPr>
            </w:pPr>
            <w:r>
              <w:rPr>
                <w:sz w:val="13"/>
                <w:szCs w:val="13"/>
              </w:rPr>
              <w:t xml:space="preserve">4.45 </w:t>
            </w:r>
          </w:p>
        </w:tc>
        <w:tc>
          <w:tcPr>
            <w:tcW w:w="1527" w:type="dxa"/>
            <w:noWrap/>
            <w:vAlign w:val="center"/>
          </w:tcPr>
          <w:p w14:paraId="016BB9EB">
            <w:pPr>
              <w:pStyle w:val="149"/>
              <w:rPr>
                <w:sz w:val="13"/>
                <w:szCs w:val="13"/>
              </w:rPr>
            </w:pPr>
          </w:p>
        </w:tc>
        <w:tc>
          <w:tcPr>
            <w:tcW w:w="1051" w:type="dxa"/>
            <w:noWrap/>
            <w:vAlign w:val="center"/>
          </w:tcPr>
          <w:p w14:paraId="415694E3">
            <w:pPr>
              <w:pStyle w:val="149"/>
              <w:rPr>
                <w:sz w:val="13"/>
                <w:szCs w:val="13"/>
              </w:rPr>
            </w:pPr>
            <w:r>
              <w:rPr>
                <w:sz w:val="13"/>
                <w:szCs w:val="13"/>
              </w:rPr>
              <w:t>未完成</w:t>
            </w:r>
          </w:p>
        </w:tc>
      </w:tr>
      <w:tr w14:paraId="33A3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74954BA9">
            <w:pPr>
              <w:pStyle w:val="149"/>
              <w:rPr>
                <w:sz w:val="13"/>
                <w:szCs w:val="13"/>
              </w:rPr>
            </w:pPr>
            <w:r>
              <w:rPr>
                <w:sz w:val="13"/>
                <w:szCs w:val="13"/>
              </w:rPr>
              <w:t>37</w:t>
            </w:r>
          </w:p>
        </w:tc>
        <w:tc>
          <w:tcPr>
            <w:tcW w:w="1317" w:type="dxa"/>
            <w:noWrap/>
            <w:vAlign w:val="center"/>
          </w:tcPr>
          <w:p w14:paraId="7A04E939">
            <w:pPr>
              <w:pStyle w:val="149"/>
              <w:rPr>
                <w:sz w:val="13"/>
                <w:szCs w:val="13"/>
              </w:rPr>
            </w:pPr>
            <w:r>
              <w:rPr>
                <w:sz w:val="13"/>
                <w:szCs w:val="13"/>
              </w:rPr>
              <w:t>包头西蒙皮业服饰有限公司固阳分公司</w:t>
            </w:r>
          </w:p>
        </w:tc>
        <w:tc>
          <w:tcPr>
            <w:tcW w:w="2226" w:type="dxa"/>
            <w:noWrap/>
            <w:vAlign w:val="center"/>
          </w:tcPr>
          <w:p w14:paraId="5BB4BC66">
            <w:pPr>
              <w:pStyle w:val="149"/>
              <w:rPr>
                <w:sz w:val="13"/>
                <w:szCs w:val="13"/>
              </w:rPr>
            </w:pPr>
            <w:r>
              <w:rPr>
                <w:sz w:val="13"/>
                <w:szCs w:val="13"/>
              </w:rPr>
              <w:t>包头西蒙皮业服饰有限公司固阳分公司年产60万双军警皮鞋项目</w:t>
            </w:r>
          </w:p>
        </w:tc>
        <w:tc>
          <w:tcPr>
            <w:tcW w:w="1418" w:type="dxa"/>
            <w:noWrap/>
            <w:vAlign w:val="center"/>
          </w:tcPr>
          <w:p w14:paraId="7E924EAF">
            <w:pPr>
              <w:pStyle w:val="149"/>
              <w:rPr>
                <w:sz w:val="13"/>
                <w:szCs w:val="13"/>
              </w:rPr>
            </w:pPr>
            <w:r>
              <w:rPr>
                <w:sz w:val="13"/>
                <w:szCs w:val="13"/>
              </w:rPr>
              <w:t>固经信审批发[2015]1号</w:t>
            </w:r>
          </w:p>
        </w:tc>
        <w:tc>
          <w:tcPr>
            <w:tcW w:w="709" w:type="dxa"/>
            <w:noWrap/>
            <w:vAlign w:val="center"/>
          </w:tcPr>
          <w:p w14:paraId="5155E631">
            <w:pPr>
              <w:pStyle w:val="149"/>
              <w:rPr>
                <w:sz w:val="13"/>
                <w:szCs w:val="13"/>
              </w:rPr>
            </w:pPr>
            <w:r>
              <w:rPr>
                <w:sz w:val="13"/>
                <w:szCs w:val="13"/>
              </w:rPr>
              <w:t>1.66</w:t>
            </w:r>
          </w:p>
        </w:tc>
        <w:tc>
          <w:tcPr>
            <w:tcW w:w="803" w:type="dxa"/>
            <w:noWrap/>
            <w:vAlign w:val="center"/>
          </w:tcPr>
          <w:p w14:paraId="28C058E3">
            <w:pPr>
              <w:pStyle w:val="149"/>
              <w:rPr>
                <w:sz w:val="13"/>
                <w:szCs w:val="13"/>
              </w:rPr>
            </w:pPr>
            <w:r>
              <w:rPr>
                <w:sz w:val="13"/>
                <w:szCs w:val="13"/>
              </w:rPr>
              <w:t>2016-2017</w:t>
            </w:r>
          </w:p>
        </w:tc>
        <w:tc>
          <w:tcPr>
            <w:tcW w:w="614" w:type="dxa"/>
            <w:gridSpan w:val="2"/>
            <w:noWrap/>
            <w:vAlign w:val="center"/>
          </w:tcPr>
          <w:p w14:paraId="0BFF32E2">
            <w:pPr>
              <w:pStyle w:val="149"/>
              <w:rPr>
                <w:sz w:val="13"/>
                <w:szCs w:val="13"/>
              </w:rPr>
            </w:pPr>
            <w:r>
              <w:rPr>
                <w:sz w:val="13"/>
                <w:szCs w:val="13"/>
              </w:rPr>
              <w:t>建成</w:t>
            </w:r>
          </w:p>
        </w:tc>
        <w:tc>
          <w:tcPr>
            <w:tcW w:w="567" w:type="dxa"/>
            <w:gridSpan w:val="2"/>
            <w:noWrap/>
            <w:vAlign w:val="center"/>
          </w:tcPr>
          <w:p w14:paraId="2A509F8E">
            <w:pPr>
              <w:pStyle w:val="149"/>
              <w:rPr>
                <w:sz w:val="13"/>
                <w:szCs w:val="13"/>
              </w:rPr>
            </w:pPr>
            <w:r>
              <w:rPr>
                <w:sz w:val="13"/>
                <w:szCs w:val="13"/>
              </w:rPr>
              <w:t>运营</w:t>
            </w:r>
          </w:p>
        </w:tc>
        <w:tc>
          <w:tcPr>
            <w:tcW w:w="992" w:type="dxa"/>
            <w:gridSpan w:val="2"/>
            <w:noWrap/>
            <w:vAlign w:val="center"/>
          </w:tcPr>
          <w:p w14:paraId="5170F3C4">
            <w:pPr>
              <w:pStyle w:val="149"/>
              <w:rPr>
                <w:sz w:val="13"/>
                <w:szCs w:val="13"/>
              </w:rPr>
            </w:pPr>
            <w:r>
              <w:rPr>
                <w:sz w:val="13"/>
                <w:szCs w:val="13"/>
              </w:rPr>
              <w:t>未编制</w:t>
            </w:r>
          </w:p>
        </w:tc>
        <w:tc>
          <w:tcPr>
            <w:tcW w:w="1701" w:type="dxa"/>
            <w:gridSpan w:val="2"/>
            <w:noWrap/>
            <w:vAlign w:val="center"/>
          </w:tcPr>
          <w:p w14:paraId="66CB42D1">
            <w:pPr>
              <w:pStyle w:val="149"/>
              <w:rPr>
                <w:sz w:val="13"/>
                <w:szCs w:val="13"/>
              </w:rPr>
            </w:pPr>
          </w:p>
        </w:tc>
        <w:tc>
          <w:tcPr>
            <w:tcW w:w="844" w:type="dxa"/>
            <w:noWrap/>
            <w:vAlign w:val="center"/>
          </w:tcPr>
          <w:p w14:paraId="303C04F0">
            <w:pPr>
              <w:pStyle w:val="149"/>
              <w:rPr>
                <w:sz w:val="13"/>
                <w:szCs w:val="13"/>
              </w:rPr>
            </w:pPr>
            <w:r>
              <w:rPr>
                <w:sz w:val="13"/>
                <w:szCs w:val="13"/>
              </w:rPr>
              <w:t xml:space="preserve">0.78 </w:t>
            </w:r>
          </w:p>
        </w:tc>
        <w:tc>
          <w:tcPr>
            <w:tcW w:w="844" w:type="dxa"/>
            <w:gridSpan w:val="2"/>
            <w:noWrap/>
            <w:vAlign w:val="center"/>
          </w:tcPr>
          <w:p w14:paraId="33DFFB4C">
            <w:pPr>
              <w:pStyle w:val="149"/>
              <w:rPr>
                <w:sz w:val="13"/>
                <w:szCs w:val="13"/>
              </w:rPr>
            </w:pPr>
            <w:r>
              <w:rPr>
                <w:sz w:val="13"/>
                <w:szCs w:val="13"/>
              </w:rPr>
              <w:t xml:space="preserve">0.78 </w:t>
            </w:r>
          </w:p>
        </w:tc>
        <w:tc>
          <w:tcPr>
            <w:tcW w:w="892" w:type="dxa"/>
            <w:gridSpan w:val="2"/>
            <w:vAlign w:val="center"/>
          </w:tcPr>
          <w:p w14:paraId="0A80F79E">
            <w:pPr>
              <w:pStyle w:val="149"/>
              <w:rPr>
                <w:sz w:val="13"/>
                <w:szCs w:val="13"/>
              </w:rPr>
            </w:pPr>
            <w:r>
              <w:rPr>
                <w:sz w:val="13"/>
                <w:szCs w:val="13"/>
              </w:rPr>
              <w:t xml:space="preserve">0.33 </w:t>
            </w:r>
          </w:p>
        </w:tc>
        <w:tc>
          <w:tcPr>
            <w:tcW w:w="1527" w:type="dxa"/>
            <w:noWrap/>
            <w:vAlign w:val="center"/>
          </w:tcPr>
          <w:p w14:paraId="0AE67134">
            <w:pPr>
              <w:pStyle w:val="149"/>
              <w:rPr>
                <w:sz w:val="13"/>
                <w:szCs w:val="13"/>
              </w:rPr>
            </w:pPr>
          </w:p>
        </w:tc>
        <w:tc>
          <w:tcPr>
            <w:tcW w:w="1051" w:type="dxa"/>
            <w:noWrap/>
            <w:vAlign w:val="center"/>
          </w:tcPr>
          <w:p w14:paraId="2D09B1B5">
            <w:pPr>
              <w:pStyle w:val="149"/>
              <w:rPr>
                <w:sz w:val="13"/>
                <w:szCs w:val="13"/>
              </w:rPr>
            </w:pPr>
            <w:r>
              <w:rPr>
                <w:sz w:val="13"/>
                <w:szCs w:val="13"/>
              </w:rPr>
              <w:t>未完成</w:t>
            </w:r>
          </w:p>
        </w:tc>
      </w:tr>
      <w:tr w14:paraId="71B6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4762009B">
            <w:pPr>
              <w:pStyle w:val="149"/>
              <w:rPr>
                <w:sz w:val="13"/>
                <w:szCs w:val="13"/>
              </w:rPr>
            </w:pPr>
            <w:r>
              <w:rPr>
                <w:sz w:val="13"/>
                <w:szCs w:val="13"/>
              </w:rPr>
              <w:t>38</w:t>
            </w:r>
          </w:p>
        </w:tc>
        <w:tc>
          <w:tcPr>
            <w:tcW w:w="1317" w:type="dxa"/>
            <w:noWrap/>
            <w:vAlign w:val="center"/>
          </w:tcPr>
          <w:p w14:paraId="350362F1">
            <w:pPr>
              <w:pStyle w:val="149"/>
              <w:rPr>
                <w:sz w:val="13"/>
                <w:szCs w:val="13"/>
              </w:rPr>
            </w:pPr>
            <w:r>
              <w:rPr>
                <w:sz w:val="13"/>
                <w:szCs w:val="13"/>
              </w:rPr>
              <w:t>固阳县新天宝冶金辅料有限公司</w:t>
            </w:r>
          </w:p>
        </w:tc>
        <w:tc>
          <w:tcPr>
            <w:tcW w:w="2226" w:type="dxa"/>
            <w:noWrap/>
            <w:vAlign w:val="center"/>
          </w:tcPr>
          <w:p w14:paraId="3409242C">
            <w:pPr>
              <w:pStyle w:val="149"/>
              <w:rPr>
                <w:sz w:val="13"/>
                <w:szCs w:val="13"/>
              </w:rPr>
            </w:pPr>
            <w:r>
              <w:rPr>
                <w:sz w:val="13"/>
                <w:szCs w:val="13"/>
              </w:rPr>
              <w:t>固阳县新天宝冶金辅料有限公司年产18万吨膨润土及粘结剂加工</w:t>
            </w:r>
          </w:p>
        </w:tc>
        <w:tc>
          <w:tcPr>
            <w:tcW w:w="1418" w:type="dxa"/>
            <w:noWrap/>
            <w:vAlign w:val="center"/>
          </w:tcPr>
          <w:p w14:paraId="095FF3BD">
            <w:pPr>
              <w:pStyle w:val="149"/>
              <w:rPr>
                <w:sz w:val="13"/>
                <w:szCs w:val="13"/>
              </w:rPr>
            </w:pPr>
            <w:r>
              <w:rPr>
                <w:sz w:val="13"/>
                <w:szCs w:val="13"/>
              </w:rPr>
              <w:t>固发改字【2012】30号</w:t>
            </w:r>
          </w:p>
        </w:tc>
        <w:tc>
          <w:tcPr>
            <w:tcW w:w="709" w:type="dxa"/>
            <w:noWrap/>
            <w:vAlign w:val="center"/>
          </w:tcPr>
          <w:p w14:paraId="5985202E">
            <w:pPr>
              <w:pStyle w:val="149"/>
              <w:rPr>
                <w:sz w:val="13"/>
                <w:szCs w:val="13"/>
              </w:rPr>
            </w:pPr>
            <w:r>
              <w:rPr>
                <w:sz w:val="13"/>
                <w:szCs w:val="13"/>
              </w:rPr>
              <w:t>5.83</w:t>
            </w:r>
          </w:p>
        </w:tc>
        <w:tc>
          <w:tcPr>
            <w:tcW w:w="803" w:type="dxa"/>
            <w:noWrap/>
            <w:vAlign w:val="center"/>
          </w:tcPr>
          <w:p w14:paraId="5C0F58AC">
            <w:pPr>
              <w:pStyle w:val="149"/>
              <w:rPr>
                <w:sz w:val="13"/>
                <w:szCs w:val="13"/>
              </w:rPr>
            </w:pPr>
            <w:r>
              <w:rPr>
                <w:sz w:val="13"/>
                <w:szCs w:val="13"/>
              </w:rPr>
              <w:t>2012-2014</w:t>
            </w:r>
          </w:p>
        </w:tc>
        <w:tc>
          <w:tcPr>
            <w:tcW w:w="614" w:type="dxa"/>
            <w:gridSpan w:val="2"/>
            <w:noWrap/>
            <w:vAlign w:val="center"/>
          </w:tcPr>
          <w:p w14:paraId="1CF4966D">
            <w:pPr>
              <w:pStyle w:val="149"/>
              <w:rPr>
                <w:sz w:val="13"/>
                <w:szCs w:val="13"/>
              </w:rPr>
            </w:pPr>
            <w:r>
              <w:rPr>
                <w:sz w:val="13"/>
                <w:szCs w:val="13"/>
              </w:rPr>
              <w:t>建成</w:t>
            </w:r>
          </w:p>
        </w:tc>
        <w:tc>
          <w:tcPr>
            <w:tcW w:w="567" w:type="dxa"/>
            <w:gridSpan w:val="2"/>
            <w:noWrap/>
            <w:vAlign w:val="center"/>
          </w:tcPr>
          <w:p w14:paraId="0E8521C2">
            <w:pPr>
              <w:pStyle w:val="149"/>
              <w:rPr>
                <w:sz w:val="13"/>
                <w:szCs w:val="13"/>
              </w:rPr>
            </w:pPr>
            <w:r>
              <w:rPr>
                <w:sz w:val="13"/>
                <w:szCs w:val="13"/>
              </w:rPr>
              <w:t>停产</w:t>
            </w:r>
          </w:p>
        </w:tc>
        <w:tc>
          <w:tcPr>
            <w:tcW w:w="992" w:type="dxa"/>
            <w:gridSpan w:val="2"/>
            <w:noWrap/>
            <w:vAlign w:val="center"/>
          </w:tcPr>
          <w:p w14:paraId="1F9DC88A">
            <w:pPr>
              <w:pStyle w:val="149"/>
              <w:rPr>
                <w:sz w:val="13"/>
                <w:szCs w:val="13"/>
              </w:rPr>
            </w:pPr>
            <w:r>
              <w:rPr>
                <w:sz w:val="13"/>
                <w:szCs w:val="13"/>
              </w:rPr>
              <w:t>未编制</w:t>
            </w:r>
          </w:p>
        </w:tc>
        <w:tc>
          <w:tcPr>
            <w:tcW w:w="1701" w:type="dxa"/>
            <w:gridSpan w:val="2"/>
            <w:noWrap/>
            <w:vAlign w:val="center"/>
          </w:tcPr>
          <w:p w14:paraId="41698C68">
            <w:pPr>
              <w:pStyle w:val="149"/>
              <w:rPr>
                <w:sz w:val="13"/>
                <w:szCs w:val="13"/>
              </w:rPr>
            </w:pPr>
          </w:p>
        </w:tc>
        <w:tc>
          <w:tcPr>
            <w:tcW w:w="844" w:type="dxa"/>
            <w:noWrap/>
            <w:vAlign w:val="center"/>
          </w:tcPr>
          <w:p w14:paraId="6E7340DF">
            <w:pPr>
              <w:pStyle w:val="149"/>
              <w:rPr>
                <w:sz w:val="13"/>
                <w:szCs w:val="13"/>
              </w:rPr>
            </w:pPr>
            <w:r>
              <w:rPr>
                <w:sz w:val="13"/>
                <w:szCs w:val="13"/>
              </w:rPr>
              <w:t xml:space="preserve">2.76 </w:t>
            </w:r>
          </w:p>
        </w:tc>
        <w:tc>
          <w:tcPr>
            <w:tcW w:w="844" w:type="dxa"/>
            <w:gridSpan w:val="2"/>
            <w:noWrap/>
            <w:vAlign w:val="center"/>
          </w:tcPr>
          <w:p w14:paraId="540AE289">
            <w:pPr>
              <w:pStyle w:val="149"/>
              <w:rPr>
                <w:sz w:val="13"/>
                <w:szCs w:val="13"/>
              </w:rPr>
            </w:pPr>
            <w:r>
              <w:rPr>
                <w:sz w:val="13"/>
                <w:szCs w:val="13"/>
              </w:rPr>
              <w:t xml:space="preserve">2.76 </w:t>
            </w:r>
          </w:p>
        </w:tc>
        <w:tc>
          <w:tcPr>
            <w:tcW w:w="892" w:type="dxa"/>
            <w:gridSpan w:val="2"/>
            <w:vAlign w:val="center"/>
          </w:tcPr>
          <w:p w14:paraId="2DDC65A5">
            <w:pPr>
              <w:pStyle w:val="149"/>
              <w:rPr>
                <w:sz w:val="13"/>
                <w:szCs w:val="13"/>
              </w:rPr>
            </w:pPr>
            <w:r>
              <w:rPr>
                <w:sz w:val="13"/>
                <w:szCs w:val="13"/>
              </w:rPr>
              <w:t xml:space="preserve">1.14 </w:t>
            </w:r>
          </w:p>
        </w:tc>
        <w:tc>
          <w:tcPr>
            <w:tcW w:w="1527" w:type="dxa"/>
            <w:noWrap/>
            <w:vAlign w:val="center"/>
          </w:tcPr>
          <w:p w14:paraId="06F191EF">
            <w:pPr>
              <w:pStyle w:val="149"/>
              <w:rPr>
                <w:sz w:val="13"/>
                <w:szCs w:val="13"/>
              </w:rPr>
            </w:pPr>
          </w:p>
        </w:tc>
        <w:tc>
          <w:tcPr>
            <w:tcW w:w="1051" w:type="dxa"/>
            <w:noWrap/>
            <w:vAlign w:val="center"/>
          </w:tcPr>
          <w:p w14:paraId="1A3EB6F7">
            <w:pPr>
              <w:pStyle w:val="149"/>
              <w:rPr>
                <w:sz w:val="13"/>
                <w:szCs w:val="13"/>
              </w:rPr>
            </w:pPr>
            <w:r>
              <w:rPr>
                <w:sz w:val="13"/>
                <w:szCs w:val="13"/>
              </w:rPr>
              <w:t>未完成</w:t>
            </w:r>
          </w:p>
        </w:tc>
      </w:tr>
      <w:tr w14:paraId="5881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55B412BD">
            <w:pPr>
              <w:pStyle w:val="149"/>
              <w:rPr>
                <w:sz w:val="13"/>
                <w:szCs w:val="13"/>
              </w:rPr>
            </w:pPr>
            <w:r>
              <w:rPr>
                <w:sz w:val="13"/>
                <w:szCs w:val="13"/>
              </w:rPr>
              <w:t>39</w:t>
            </w:r>
          </w:p>
        </w:tc>
        <w:tc>
          <w:tcPr>
            <w:tcW w:w="1317" w:type="dxa"/>
            <w:noWrap/>
            <w:vAlign w:val="center"/>
          </w:tcPr>
          <w:p w14:paraId="500039DA">
            <w:pPr>
              <w:pStyle w:val="149"/>
              <w:rPr>
                <w:sz w:val="13"/>
                <w:szCs w:val="13"/>
              </w:rPr>
            </w:pPr>
            <w:r>
              <w:rPr>
                <w:sz w:val="13"/>
                <w:szCs w:val="13"/>
              </w:rPr>
              <w:t>固阳县正大矿山机械有限公司</w:t>
            </w:r>
          </w:p>
        </w:tc>
        <w:tc>
          <w:tcPr>
            <w:tcW w:w="2226" w:type="dxa"/>
            <w:noWrap/>
            <w:vAlign w:val="center"/>
          </w:tcPr>
          <w:p w14:paraId="23F6E182">
            <w:pPr>
              <w:pStyle w:val="149"/>
              <w:rPr>
                <w:sz w:val="13"/>
                <w:szCs w:val="13"/>
              </w:rPr>
            </w:pPr>
            <w:r>
              <w:rPr>
                <w:sz w:val="13"/>
                <w:szCs w:val="13"/>
              </w:rPr>
              <w:t>固阳县正大矿山机械有限责任公司年产0.8万铸件项目</w:t>
            </w:r>
          </w:p>
        </w:tc>
        <w:tc>
          <w:tcPr>
            <w:tcW w:w="1418" w:type="dxa"/>
            <w:noWrap/>
            <w:vAlign w:val="center"/>
          </w:tcPr>
          <w:p w14:paraId="77B9636C">
            <w:pPr>
              <w:pStyle w:val="149"/>
              <w:rPr>
                <w:sz w:val="13"/>
                <w:szCs w:val="13"/>
              </w:rPr>
            </w:pPr>
            <w:r>
              <w:rPr>
                <w:sz w:val="13"/>
                <w:szCs w:val="13"/>
              </w:rPr>
              <w:t>固发改字【2008】25号</w:t>
            </w:r>
          </w:p>
        </w:tc>
        <w:tc>
          <w:tcPr>
            <w:tcW w:w="709" w:type="dxa"/>
            <w:noWrap/>
            <w:vAlign w:val="center"/>
          </w:tcPr>
          <w:p w14:paraId="478B4230">
            <w:pPr>
              <w:pStyle w:val="149"/>
              <w:rPr>
                <w:sz w:val="13"/>
                <w:szCs w:val="13"/>
              </w:rPr>
            </w:pPr>
            <w:r>
              <w:rPr>
                <w:sz w:val="13"/>
                <w:szCs w:val="13"/>
              </w:rPr>
              <w:t>0.74</w:t>
            </w:r>
          </w:p>
        </w:tc>
        <w:tc>
          <w:tcPr>
            <w:tcW w:w="803" w:type="dxa"/>
            <w:noWrap/>
            <w:vAlign w:val="center"/>
          </w:tcPr>
          <w:p w14:paraId="745AB2A8">
            <w:pPr>
              <w:pStyle w:val="149"/>
              <w:rPr>
                <w:sz w:val="13"/>
                <w:szCs w:val="13"/>
              </w:rPr>
            </w:pPr>
            <w:r>
              <w:rPr>
                <w:sz w:val="13"/>
                <w:szCs w:val="13"/>
              </w:rPr>
              <w:t>2009-2010</w:t>
            </w:r>
          </w:p>
        </w:tc>
        <w:tc>
          <w:tcPr>
            <w:tcW w:w="614" w:type="dxa"/>
            <w:gridSpan w:val="2"/>
            <w:noWrap/>
            <w:vAlign w:val="center"/>
          </w:tcPr>
          <w:p w14:paraId="21B1FCDB">
            <w:pPr>
              <w:pStyle w:val="149"/>
              <w:rPr>
                <w:sz w:val="13"/>
                <w:szCs w:val="13"/>
              </w:rPr>
            </w:pPr>
            <w:r>
              <w:rPr>
                <w:sz w:val="13"/>
                <w:szCs w:val="13"/>
              </w:rPr>
              <w:t>建成</w:t>
            </w:r>
          </w:p>
        </w:tc>
        <w:tc>
          <w:tcPr>
            <w:tcW w:w="567" w:type="dxa"/>
            <w:gridSpan w:val="2"/>
            <w:noWrap/>
            <w:vAlign w:val="center"/>
          </w:tcPr>
          <w:p w14:paraId="2F07C51C">
            <w:pPr>
              <w:pStyle w:val="149"/>
              <w:rPr>
                <w:sz w:val="13"/>
                <w:szCs w:val="13"/>
              </w:rPr>
            </w:pPr>
            <w:r>
              <w:rPr>
                <w:sz w:val="13"/>
                <w:szCs w:val="13"/>
              </w:rPr>
              <w:t>生产</w:t>
            </w:r>
          </w:p>
        </w:tc>
        <w:tc>
          <w:tcPr>
            <w:tcW w:w="992" w:type="dxa"/>
            <w:gridSpan w:val="2"/>
            <w:noWrap/>
            <w:vAlign w:val="center"/>
          </w:tcPr>
          <w:p w14:paraId="2F2418ED">
            <w:pPr>
              <w:pStyle w:val="149"/>
              <w:rPr>
                <w:sz w:val="13"/>
                <w:szCs w:val="13"/>
              </w:rPr>
            </w:pPr>
            <w:r>
              <w:rPr>
                <w:sz w:val="13"/>
                <w:szCs w:val="13"/>
              </w:rPr>
              <w:t>未编制</w:t>
            </w:r>
          </w:p>
        </w:tc>
        <w:tc>
          <w:tcPr>
            <w:tcW w:w="1701" w:type="dxa"/>
            <w:gridSpan w:val="2"/>
            <w:noWrap/>
            <w:vAlign w:val="center"/>
          </w:tcPr>
          <w:p w14:paraId="7B1E8617">
            <w:pPr>
              <w:pStyle w:val="149"/>
              <w:rPr>
                <w:sz w:val="13"/>
                <w:szCs w:val="13"/>
              </w:rPr>
            </w:pPr>
          </w:p>
        </w:tc>
        <w:tc>
          <w:tcPr>
            <w:tcW w:w="844" w:type="dxa"/>
            <w:noWrap/>
            <w:vAlign w:val="center"/>
          </w:tcPr>
          <w:p w14:paraId="14668370">
            <w:pPr>
              <w:pStyle w:val="149"/>
              <w:rPr>
                <w:sz w:val="13"/>
                <w:szCs w:val="13"/>
              </w:rPr>
            </w:pPr>
            <w:r>
              <w:rPr>
                <w:sz w:val="13"/>
                <w:szCs w:val="13"/>
              </w:rPr>
              <w:t xml:space="preserve">0.35 </w:t>
            </w:r>
          </w:p>
        </w:tc>
        <w:tc>
          <w:tcPr>
            <w:tcW w:w="844" w:type="dxa"/>
            <w:gridSpan w:val="2"/>
            <w:noWrap/>
            <w:vAlign w:val="center"/>
          </w:tcPr>
          <w:p w14:paraId="57CF1067">
            <w:pPr>
              <w:pStyle w:val="149"/>
              <w:rPr>
                <w:sz w:val="13"/>
                <w:szCs w:val="13"/>
              </w:rPr>
            </w:pPr>
            <w:r>
              <w:rPr>
                <w:sz w:val="13"/>
                <w:szCs w:val="13"/>
              </w:rPr>
              <w:t xml:space="preserve">0.35 </w:t>
            </w:r>
          </w:p>
        </w:tc>
        <w:tc>
          <w:tcPr>
            <w:tcW w:w="892" w:type="dxa"/>
            <w:gridSpan w:val="2"/>
            <w:vAlign w:val="center"/>
          </w:tcPr>
          <w:p w14:paraId="7742FB08">
            <w:pPr>
              <w:pStyle w:val="149"/>
              <w:rPr>
                <w:sz w:val="13"/>
                <w:szCs w:val="13"/>
              </w:rPr>
            </w:pPr>
            <w:r>
              <w:rPr>
                <w:sz w:val="13"/>
                <w:szCs w:val="13"/>
              </w:rPr>
              <w:t xml:space="preserve">0.15 </w:t>
            </w:r>
          </w:p>
        </w:tc>
        <w:tc>
          <w:tcPr>
            <w:tcW w:w="1527" w:type="dxa"/>
            <w:noWrap/>
            <w:vAlign w:val="center"/>
          </w:tcPr>
          <w:p w14:paraId="0794E269">
            <w:pPr>
              <w:pStyle w:val="149"/>
              <w:rPr>
                <w:sz w:val="13"/>
                <w:szCs w:val="13"/>
              </w:rPr>
            </w:pPr>
          </w:p>
        </w:tc>
        <w:tc>
          <w:tcPr>
            <w:tcW w:w="1051" w:type="dxa"/>
            <w:noWrap/>
            <w:vAlign w:val="center"/>
          </w:tcPr>
          <w:p w14:paraId="6DF0B328">
            <w:pPr>
              <w:pStyle w:val="149"/>
              <w:rPr>
                <w:sz w:val="13"/>
                <w:szCs w:val="13"/>
              </w:rPr>
            </w:pPr>
            <w:r>
              <w:rPr>
                <w:sz w:val="13"/>
                <w:szCs w:val="13"/>
              </w:rPr>
              <w:t>未完成</w:t>
            </w:r>
          </w:p>
        </w:tc>
      </w:tr>
      <w:tr w14:paraId="0CF8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308498C9">
            <w:pPr>
              <w:pStyle w:val="149"/>
              <w:rPr>
                <w:sz w:val="13"/>
                <w:szCs w:val="13"/>
              </w:rPr>
            </w:pPr>
            <w:r>
              <w:rPr>
                <w:sz w:val="13"/>
                <w:szCs w:val="13"/>
              </w:rPr>
              <w:t>40</w:t>
            </w:r>
          </w:p>
        </w:tc>
        <w:tc>
          <w:tcPr>
            <w:tcW w:w="1317" w:type="dxa"/>
            <w:noWrap/>
            <w:vAlign w:val="center"/>
          </w:tcPr>
          <w:p w14:paraId="678DFCB0">
            <w:pPr>
              <w:pStyle w:val="149"/>
              <w:rPr>
                <w:sz w:val="13"/>
                <w:szCs w:val="13"/>
              </w:rPr>
            </w:pPr>
            <w:r>
              <w:rPr>
                <w:sz w:val="13"/>
                <w:szCs w:val="13"/>
              </w:rPr>
              <w:t>内蒙古诚辉环保科技有限责任公司</w:t>
            </w:r>
          </w:p>
        </w:tc>
        <w:tc>
          <w:tcPr>
            <w:tcW w:w="2226" w:type="dxa"/>
            <w:noWrap/>
            <w:vAlign w:val="center"/>
          </w:tcPr>
          <w:p w14:paraId="1E9EF15F">
            <w:pPr>
              <w:pStyle w:val="149"/>
              <w:rPr>
                <w:sz w:val="13"/>
                <w:szCs w:val="13"/>
              </w:rPr>
            </w:pPr>
            <w:r>
              <w:rPr>
                <w:sz w:val="13"/>
                <w:szCs w:val="13"/>
              </w:rPr>
              <w:t>内蒙古诚辉环保科技有限公司年处理60万只危废包装物及2万吨废包装袋项目</w:t>
            </w:r>
          </w:p>
        </w:tc>
        <w:tc>
          <w:tcPr>
            <w:tcW w:w="1418" w:type="dxa"/>
            <w:noWrap/>
            <w:vAlign w:val="center"/>
          </w:tcPr>
          <w:p w14:paraId="23BE3E23">
            <w:pPr>
              <w:pStyle w:val="149"/>
              <w:rPr>
                <w:sz w:val="13"/>
                <w:szCs w:val="13"/>
              </w:rPr>
            </w:pPr>
            <w:r>
              <w:rPr>
                <w:sz w:val="13"/>
                <w:szCs w:val="13"/>
              </w:rPr>
              <w:t>包发改审批字【2019】15号</w:t>
            </w:r>
          </w:p>
        </w:tc>
        <w:tc>
          <w:tcPr>
            <w:tcW w:w="709" w:type="dxa"/>
            <w:noWrap/>
            <w:vAlign w:val="center"/>
          </w:tcPr>
          <w:p w14:paraId="2A9149C0">
            <w:pPr>
              <w:pStyle w:val="149"/>
              <w:rPr>
                <w:sz w:val="13"/>
                <w:szCs w:val="13"/>
              </w:rPr>
            </w:pPr>
            <w:r>
              <w:rPr>
                <w:sz w:val="13"/>
                <w:szCs w:val="13"/>
              </w:rPr>
              <w:t>1.62</w:t>
            </w:r>
          </w:p>
        </w:tc>
        <w:tc>
          <w:tcPr>
            <w:tcW w:w="803" w:type="dxa"/>
            <w:noWrap/>
            <w:vAlign w:val="center"/>
          </w:tcPr>
          <w:p w14:paraId="7E822EC3">
            <w:pPr>
              <w:pStyle w:val="149"/>
              <w:rPr>
                <w:sz w:val="13"/>
                <w:szCs w:val="13"/>
              </w:rPr>
            </w:pPr>
            <w:r>
              <w:rPr>
                <w:sz w:val="13"/>
                <w:szCs w:val="13"/>
              </w:rPr>
              <w:t>2019-2020</w:t>
            </w:r>
          </w:p>
        </w:tc>
        <w:tc>
          <w:tcPr>
            <w:tcW w:w="614" w:type="dxa"/>
            <w:gridSpan w:val="2"/>
            <w:noWrap/>
            <w:vAlign w:val="center"/>
          </w:tcPr>
          <w:p w14:paraId="7BE55C0A">
            <w:pPr>
              <w:pStyle w:val="149"/>
              <w:rPr>
                <w:sz w:val="13"/>
                <w:szCs w:val="13"/>
              </w:rPr>
            </w:pPr>
            <w:r>
              <w:rPr>
                <w:sz w:val="13"/>
                <w:szCs w:val="13"/>
              </w:rPr>
              <w:t>建成</w:t>
            </w:r>
          </w:p>
        </w:tc>
        <w:tc>
          <w:tcPr>
            <w:tcW w:w="567" w:type="dxa"/>
            <w:gridSpan w:val="2"/>
            <w:noWrap/>
            <w:vAlign w:val="center"/>
          </w:tcPr>
          <w:p w14:paraId="071B5829">
            <w:pPr>
              <w:pStyle w:val="149"/>
              <w:rPr>
                <w:sz w:val="13"/>
                <w:szCs w:val="13"/>
              </w:rPr>
            </w:pPr>
            <w:r>
              <w:rPr>
                <w:sz w:val="13"/>
                <w:szCs w:val="13"/>
              </w:rPr>
              <w:t>生产</w:t>
            </w:r>
          </w:p>
        </w:tc>
        <w:tc>
          <w:tcPr>
            <w:tcW w:w="992" w:type="dxa"/>
            <w:gridSpan w:val="2"/>
            <w:noWrap/>
            <w:vAlign w:val="center"/>
          </w:tcPr>
          <w:p w14:paraId="0D54008A">
            <w:pPr>
              <w:pStyle w:val="149"/>
              <w:rPr>
                <w:sz w:val="13"/>
                <w:szCs w:val="13"/>
              </w:rPr>
            </w:pPr>
            <w:r>
              <w:rPr>
                <w:sz w:val="13"/>
                <w:szCs w:val="13"/>
              </w:rPr>
              <w:t>未编制</w:t>
            </w:r>
          </w:p>
        </w:tc>
        <w:tc>
          <w:tcPr>
            <w:tcW w:w="1701" w:type="dxa"/>
            <w:gridSpan w:val="2"/>
            <w:noWrap/>
            <w:vAlign w:val="center"/>
          </w:tcPr>
          <w:p w14:paraId="7531C9DB">
            <w:pPr>
              <w:pStyle w:val="149"/>
              <w:rPr>
                <w:sz w:val="13"/>
                <w:szCs w:val="13"/>
              </w:rPr>
            </w:pPr>
          </w:p>
        </w:tc>
        <w:tc>
          <w:tcPr>
            <w:tcW w:w="844" w:type="dxa"/>
            <w:noWrap/>
            <w:vAlign w:val="center"/>
          </w:tcPr>
          <w:p w14:paraId="79FCD13F">
            <w:pPr>
              <w:pStyle w:val="149"/>
              <w:rPr>
                <w:sz w:val="13"/>
                <w:szCs w:val="13"/>
              </w:rPr>
            </w:pPr>
            <w:r>
              <w:rPr>
                <w:sz w:val="13"/>
                <w:szCs w:val="13"/>
              </w:rPr>
              <w:t xml:space="preserve">0.77 </w:t>
            </w:r>
          </w:p>
        </w:tc>
        <w:tc>
          <w:tcPr>
            <w:tcW w:w="844" w:type="dxa"/>
            <w:gridSpan w:val="2"/>
            <w:noWrap/>
            <w:vAlign w:val="center"/>
          </w:tcPr>
          <w:p w14:paraId="02CA0395">
            <w:pPr>
              <w:pStyle w:val="149"/>
              <w:rPr>
                <w:sz w:val="13"/>
                <w:szCs w:val="13"/>
              </w:rPr>
            </w:pPr>
            <w:r>
              <w:rPr>
                <w:sz w:val="13"/>
                <w:szCs w:val="13"/>
              </w:rPr>
              <w:t xml:space="preserve">0.77 </w:t>
            </w:r>
          </w:p>
        </w:tc>
        <w:tc>
          <w:tcPr>
            <w:tcW w:w="892" w:type="dxa"/>
            <w:gridSpan w:val="2"/>
            <w:vAlign w:val="center"/>
          </w:tcPr>
          <w:p w14:paraId="25BBE09C">
            <w:pPr>
              <w:pStyle w:val="149"/>
              <w:rPr>
                <w:sz w:val="13"/>
                <w:szCs w:val="13"/>
              </w:rPr>
            </w:pPr>
            <w:r>
              <w:rPr>
                <w:sz w:val="13"/>
                <w:szCs w:val="13"/>
              </w:rPr>
              <w:t xml:space="preserve">0.32 </w:t>
            </w:r>
          </w:p>
        </w:tc>
        <w:tc>
          <w:tcPr>
            <w:tcW w:w="1527" w:type="dxa"/>
            <w:noWrap/>
            <w:vAlign w:val="center"/>
          </w:tcPr>
          <w:p w14:paraId="19D291B7">
            <w:pPr>
              <w:pStyle w:val="149"/>
              <w:rPr>
                <w:sz w:val="13"/>
                <w:szCs w:val="13"/>
              </w:rPr>
            </w:pPr>
          </w:p>
        </w:tc>
        <w:tc>
          <w:tcPr>
            <w:tcW w:w="1051" w:type="dxa"/>
            <w:noWrap/>
            <w:vAlign w:val="center"/>
          </w:tcPr>
          <w:p w14:paraId="07D21C37">
            <w:pPr>
              <w:pStyle w:val="149"/>
              <w:rPr>
                <w:sz w:val="13"/>
                <w:szCs w:val="13"/>
              </w:rPr>
            </w:pPr>
            <w:r>
              <w:rPr>
                <w:sz w:val="13"/>
                <w:szCs w:val="13"/>
              </w:rPr>
              <w:t>未完成</w:t>
            </w:r>
          </w:p>
        </w:tc>
      </w:tr>
      <w:tr w14:paraId="2CA9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4A3EE998">
            <w:pPr>
              <w:pStyle w:val="149"/>
              <w:rPr>
                <w:sz w:val="13"/>
                <w:szCs w:val="13"/>
              </w:rPr>
            </w:pPr>
            <w:r>
              <w:rPr>
                <w:sz w:val="13"/>
                <w:szCs w:val="13"/>
              </w:rPr>
              <w:t>41</w:t>
            </w:r>
          </w:p>
        </w:tc>
        <w:tc>
          <w:tcPr>
            <w:tcW w:w="1317" w:type="dxa"/>
            <w:noWrap/>
            <w:vAlign w:val="center"/>
          </w:tcPr>
          <w:p w14:paraId="3E4E6591">
            <w:pPr>
              <w:pStyle w:val="149"/>
              <w:rPr>
                <w:sz w:val="13"/>
                <w:szCs w:val="13"/>
              </w:rPr>
            </w:pPr>
            <w:r>
              <w:rPr>
                <w:sz w:val="13"/>
                <w:szCs w:val="13"/>
              </w:rPr>
              <w:t>内蒙古汇豪镁业有限公司</w:t>
            </w:r>
          </w:p>
        </w:tc>
        <w:tc>
          <w:tcPr>
            <w:tcW w:w="2226" w:type="dxa"/>
            <w:noWrap/>
            <w:vAlign w:val="center"/>
          </w:tcPr>
          <w:p w14:paraId="1F2A3A9C">
            <w:pPr>
              <w:pStyle w:val="149"/>
              <w:rPr>
                <w:sz w:val="13"/>
                <w:szCs w:val="13"/>
              </w:rPr>
            </w:pPr>
            <w:r>
              <w:rPr>
                <w:sz w:val="13"/>
                <w:szCs w:val="13"/>
              </w:rPr>
              <w:t>内蒙古汇豪镁业有限公司金属镁冶炼项目</w:t>
            </w:r>
          </w:p>
        </w:tc>
        <w:tc>
          <w:tcPr>
            <w:tcW w:w="1418" w:type="dxa"/>
            <w:noWrap/>
            <w:vAlign w:val="center"/>
          </w:tcPr>
          <w:p w14:paraId="07ABC15F">
            <w:pPr>
              <w:pStyle w:val="149"/>
              <w:rPr>
                <w:sz w:val="13"/>
                <w:szCs w:val="13"/>
              </w:rPr>
            </w:pPr>
            <w:r>
              <w:rPr>
                <w:sz w:val="13"/>
                <w:szCs w:val="13"/>
              </w:rPr>
              <w:t>包发改工备【2010】2号</w:t>
            </w:r>
          </w:p>
        </w:tc>
        <w:tc>
          <w:tcPr>
            <w:tcW w:w="709" w:type="dxa"/>
            <w:noWrap/>
            <w:vAlign w:val="center"/>
          </w:tcPr>
          <w:p w14:paraId="4209C327">
            <w:pPr>
              <w:pStyle w:val="149"/>
              <w:rPr>
                <w:sz w:val="13"/>
                <w:szCs w:val="13"/>
              </w:rPr>
            </w:pPr>
            <w:r>
              <w:rPr>
                <w:sz w:val="13"/>
                <w:szCs w:val="13"/>
              </w:rPr>
              <w:t>20.48</w:t>
            </w:r>
          </w:p>
        </w:tc>
        <w:tc>
          <w:tcPr>
            <w:tcW w:w="803" w:type="dxa"/>
            <w:noWrap/>
            <w:vAlign w:val="center"/>
          </w:tcPr>
          <w:p w14:paraId="1F6A2215">
            <w:pPr>
              <w:pStyle w:val="149"/>
              <w:rPr>
                <w:sz w:val="13"/>
                <w:szCs w:val="13"/>
              </w:rPr>
            </w:pPr>
            <w:r>
              <w:rPr>
                <w:sz w:val="13"/>
                <w:szCs w:val="13"/>
              </w:rPr>
              <w:t>2011-2013</w:t>
            </w:r>
          </w:p>
        </w:tc>
        <w:tc>
          <w:tcPr>
            <w:tcW w:w="614" w:type="dxa"/>
            <w:gridSpan w:val="2"/>
            <w:noWrap/>
            <w:vAlign w:val="center"/>
          </w:tcPr>
          <w:p w14:paraId="19B78BB5">
            <w:pPr>
              <w:pStyle w:val="149"/>
              <w:rPr>
                <w:sz w:val="13"/>
                <w:szCs w:val="13"/>
              </w:rPr>
            </w:pPr>
            <w:r>
              <w:rPr>
                <w:sz w:val="13"/>
                <w:szCs w:val="13"/>
              </w:rPr>
              <w:t>建成</w:t>
            </w:r>
          </w:p>
        </w:tc>
        <w:tc>
          <w:tcPr>
            <w:tcW w:w="567" w:type="dxa"/>
            <w:gridSpan w:val="2"/>
            <w:noWrap/>
            <w:vAlign w:val="center"/>
          </w:tcPr>
          <w:p w14:paraId="0837A26C">
            <w:pPr>
              <w:pStyle w:val="149"/>
              <w:rPr>
                <w:sz w:val="13"/>
                <w:szCs w:val="13"/>
              </w:rPr>
            </w:pPr>
            <w:r>
              <w:rPr>
                <w:sz w:val="13"/>
                <w:szCs w:val="13"/>
              </w:rPr>
              <w:t>生产</w:t>
            </w:r>
          </w:p>
        </w:tc>
        <w:tc>
          <w:tcPr>
            <w:tcW w:w="992" w:type="dxa"/>
            <w:gridSpan w:val="2"/>
            <w:noWrap/>
            <w:vAlign w:val="center"/>
          </w:tcPr>
          <w:p w14:paraId="6649E957">
            <w:pPr>
              <w:pStyle w:val="149"/>
              <w:rPr>
                <w:sz w:val="13"/>
                <w:szCs w:val="13"/>
              </w:rPr>
            </w:pPr>
            <w:r>
              <w:rPr>
                <w:sz w:val="13"/>
                <w:szCs w:val="13"/>
              </w:rPr>
              <w:t>未编制</w:t>
            </w:r>
          </w:p>
        </w:tc>
        <w:tc>
          <w:tcPr>
            <w:tcW w:w="1701" w:type="dxa"/>
            <w:gridSpan w:val="2"/>
            <w:noWrap/>
            <w:vAlign w:val="center"/>
          </w:tcPr>
          <w:p w14:paraId="705DA008">
            <w:pPr>
              <w:pStyle w:val="149"/>
              <w:rPr>
                <w:sz w:val="13"/>
                <w:szCs w:val="13"/>
              </w:rPr>
            </w:pPr>
          </w:p>
        </w:tc>
        <w:tc>
          <w:tcPr>
            <w:tcW w:w="844" w:type="dxa"/>
            <w:noWrap/>
            <w:vAlign w:val="center"/>
          </w:tcPr>
          <w:p w14:paraId="446057D3">
            <w:pPr>
              <w:pStyle w:val="149"/>
              <w:rPr>
                <w:sz w:val="13"/>
                <w:szCs w:val="13"/>
              </w:rPr>
            </w:pPr>
            <w:r>
              <w:rPr>
                <w:sz w:val="13"/>
                <w:szCs w:val="13"/>
              </w:rPr>
              <w:t xml:space="preserve">9.68 </w:t>
            </w:r>
          </w:p>
        </w:tc>
        <w:tc>
          <w:tcPr>
            <w:tcW w:w="844" w:type="dxa"/>
            <w:gridSpan w:val="2"/>
            <w:noWrap/>
            <w:vAlign w:val="center"/>
          </w:tcPr>
          <w:p w14:paraId="3D354047">
            <w:pPr>
              <w:pStyle w:val="149"/>
              <w:rPr>
                <w:sz w:val="13"/>
                <w:szCs w:val="13"/>
              </w:rPr>
            </w:pPr>
            <w:r>
              <w:rPr>
                <w:sz w:val="13"/>
                <w:szCs w:val="13"/>
              </w:rPr>
              <w:t xml:space="preserve">9.68 </w:t>
            </w:r>
          </w:p>
        </w:tc>
        <w:tc>
          <w:tcPr>
            <w:tcW w:w="892" w:type="dxa"/>
            <w:gridSpan w:val="2"/>
            <w:vAlign w:val="center"/>
          </w:tcPr>
          <w:p w14:paraId="514275FA">
            <w:pPr>
              <w:pStyle w:val="149"/>
              <w:rPr>
                <w:sz w:val="13"/>
                <w:szCs w:val="13"/>
              </w:rPr>
            </w:pPr>
            <w:r>
              <w:rPr>
                <w:sz w:val="13"/>
                <w:szCs w:val="13"/>
              </w:rPr>
              <w:t xml:space="preserve">4.01 </w:t>
            </w:r>
          </w:p>
        </w:tc>
        <w:tc>
          <w:tcPr>
            <w:tcW w:w="1527" w:type="dxa"/>
            <w:noWrap/>
            <w:vAlign w:val="center"/>
          </w:tcPr>
          <w:p w14:paraId="46FC0931">
            <w:pPr>
              <w:pStyle w:val="149"/>
              <w:rPr>
                <w:sz w:val="13"/>
                <w:szCs w:val="13"/>
              </w:rPr>
            </w:pPr>
          </w:p>
        </w:tc>
        <w:tc>
          <w:tcPr>
            <w:tcW w:w="1051" w:type="dxa"/>
            <w:noWrap/>
            <w:vAlign w:val="center"/>
          </w:tcPr>
          <w:p w14:paraId="2FCF4E18">
            <w:pPr>
              <w:pStyle w:val="149"/>
              <w:rPr>
                <w:sz w:val="13"/>
                <w:szCs w:val="13"/>
              </w:rPr>
            </w:pPr>
            <w:r>
              <w:rPr>
                <w:sz w:val="13"/>
                <w:szCs w:val="13"/>
              </w:rPr>
              <w:t>未完成</w:t>
            </w:r>
          </w:p>
        </w:tc>
      </w:tr>
      <w:tr w14:paraId="0549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14270BE1">
            <w:pPr>
              <w:pStyle w:val="149"/>
              <w:rPr>
                <w:sz w:val="13"/>
                <w:szCs w:val="13"/>
              </w:rPr>
            </w:pPr>
            <w:r>
              <w:rPr>
                <w:sz w:val="13"/>
                <w:szCs w:val="13"/>
              </w:rPr>
              <w:t>42</w:t>
            </w:r>
          </w:p>
        </w:tc>
        <w:tc>
          <w:tcPr>
            <w:tcW w:w="1317" w:type="dxa"/>
            <w:noWrap/>
            <w:vAlign w:val="center"/>
          </w:tcPr>
          <w:p w14:paraId="129A78E0">
            <w:pPr>
              <w:pStyle w:val="149"/>
              <w:rPr>
                <w:sz w:val="13"/>
                <w:szCs w:val="13"/>
              </w:rPr>
            </w:pPr>
            <w:r>
              <w:rPr>
                <w:sz w:val="13"/>
                <w:szCs w:val="13"/>
              </w:rPr>
              <w:t>内蒙古康德利环保科技有限公司</w:t>
            </w:r>
          </w:p>
        </w:tc>
        <w:tc>
          <w:tcPr>
            <w:tcW w:w="2226" w:type="dxa"/>
            <w:noWrap/>
            <w:vAlign w:val="center"/>
          </w:tcPr>
          <w:p w14:paraId="214073BD">
            <w:pPr>
              <w:pStyle w:val="149"/>
              <w:rPr>
                <w:sz w:val="13"/>
                <w:szCs w:val="13"/>
              </w:rPr>
            </w:pPr>
            <w:r>
              <w:rPr>
                <w:sz w:val="13"/>
                <w:szCs w:val="13"/>
              </w:rPr>
              <w:t>内蒙古康德利环保科技有限公司10万吨再生铅项目</w:t>
            </w:r>
          </w:p>
        </w:tc>
        <w:tc>
          <w:tcPr>
            <w:tcW w:w="1418" w:type="dxa"/>
            <w:noWrap/>
            <w:vAlign w:val="center"/>
          </w:tcPr>
          <w:p w14:paraId="76439D45">
            <w:pPr>
              <w:pStyle w:val="149"/>
              <w:rPr>
                <w:sz w:val="13"/>
                <w:szCs w:val="13"/>
              </w:rPr>
            </w:pPr>
            <w:r>
              <w:rPr>
                <w:sz w:val="13"/>
                <w:szCs w:val="13"/>
              </w:rPr>
              <w:t>2016-150222-32-03-319184</w:t>
            </w:r>
          </w:p>
        </w:tc>
        <w:tc>
          <w:tcPr>
            <w:tcW w:w="709" w:type="dxa"/>
            <w:noWrap/>
            <w:vAlign w:val="center"/>
          </w:tcPr>
          <w:p w14:paraId="396DC351">
            <w:pPr>
              <w:pStyle w:val="149"/>
              <w:rPr>
                <w:sz w:val="13"/>
                <w:szCs w:val="13"/>
              </w:rPr>
            </w:pPr>
            <w:r>
              <w:rPr>
                <w:sz w:val="13"/>
                <w:szCs w:val="13"/>
              </w:rPr>
              <w:t>5.5</w:t>
            </w:r>
          </w:p>
        </w:tc>
        <w:tc>
          <w:tcPr>
            <w:tcW w:w="803" w:type="dxa"/>
            <w:noWrap/>
            <w:vAlign w:val="center"/>
          </w:tcPr>
          <w:p w14:paraId="7F96FF02">
            <w:pPr>
              <w:pStyle w:val="149"/>
              <w:rPr>
                <w:sz w:val="13"/>
                <w:szCs w:val="13"/>
              </w:rPr>
            </w:pPr>
            <w:r>
              <w:rPr>
                <w:sz w:val="13"/>
                <w:szCs w:val="13"/>
              </w:rPr>
              <w:t>2017-2019</w:t>
            </w:r>
          </w:p>
        </w:tc>
        <w:tc>
          <w:tcPr>
            <w:tcW w:w="614" w:type="dxa"/>
            <w:gridSpan w:val="2"/>
            <w:noWrap/>
            <w:vAlign w:val="center"/>
          </w:tcPr>
          <w:p w14:paraId="377FE992">
            <w:pPr>
              <w:pStyle w:val="149"/>
              <w:rPr>
                <w:sz w:val="13"/>
                <w:szCs w:val="13"/>
              </w:rPr>
            </w:pPr>
            <w:r>
              <w:rPr>
                <w:sz w:val="13"/>
                <w:szCs w:val="13"/>
              </w:rPr>
              <w:t>建成</w:t>
            </w:r>
          </w:p>
        </w:tc>
        <w:tc>
          <w:tcPr>
            <w:tcW w:w="567" w:type="dxa"/>
            <w:gridSpan w:val="2"/>
            <w:noWrap/>
            <w:vAlign w:val="center"/>
          </w:tcPr>
          <w:p w14:paraId="075E933E">
            <w:pPr>
              <w:pStyle w:val="149"/>
              <w:rPr>
                <w:sz w:val="13"/>
                <w:szCs w:val="13"/>
              </w:rPr>
            </w:pPr>
            <w:r>
              <w:rPr>
                <w:sz w:val="13"/>
                <w:szCs w:val="13"/>
              </w:rPr>
              <w:t>生产</w:t>
            </w:r>
          </w:p>
        </w:tc>
        <w:tc>
          <w:tcPr>
            <w:tcW w:w="992" w:type="dxa"/>
            <w:gridSpan w:val="2"/>
            <w:noWrap/>
            <w:vAlign w:val="center"/>
          </w:tcPr>
          <w:p w14:paraId="1A5ED372">
            <w:pPr>
              <w:pStyle w:val="149"/>
              <w:rPr>
                <w:sz w:val="13"/>
                <w:szCs w:val="13"/>
              </w:rPr>
            </w:pPr>
            <w:r>
              <w:rPr>
                <w:sz w:val="13"/>
                <w:szCs w:val="13"/>
              </w:rPr>
              <w:t>未编制</w:t>
            </w:r>
          </w:p>
        </w:tc>
        <w:tc>
          <w:tcPr>
            <w:tcW w:w="1701" w:type="dxa"/>
            <w:gridSpan w:val="2"/>
            <w:noWrap/>
            <w:vAlign w:val="center"/>
          </w:tcPr>
          <w:p w14:paraId="036A3E2F">
            <w:pPr>
              <w:pStyle w:val="149"/>
              <w:rPr>
                <w:sz w:val="13"/>
                <w:szCs w:val="13"/>
              </w:rPr>
            </w:pPr>
          </w:p>
        </w:tc>
        <w:tc>
          <w:tcPr>
            <w:tcW w:w="844" w:type="dxa"/>
            <w:noWrap/>
            <w:vAlign w:val="center"/>
          </w:tcPr>
          <w:p w14:paraId="03D6A314">
            <w:pPr>
              <w:pStyle w:val="149"/>
              <w:rPr>
                <w:sz w:val="13"/>
                <w:szCs w:val="13"/>
              </w:rPr>
            </w:pPr>
            <w:r>
              <w:rPr>
                <w:sz w:val="13"/>
                <w:szCs w:val="13"/>
              </w:rPr>
              <w:t xml:space="preserve">2.60 </w:t>
            </w:r>
          </w:p>
        </w:tc>
        <w:tc>
          <w:tcPr>
            <w:tcW w:w="844" w:type="dxa"/>
            <w:gridSpan w:val="2"/>
            <w:noWrap/>
            <w:vAlign w:val="center"/>
          </w:tcPr>
          <w:p w14:paraId="4BA60C01">
            <w:pPr>
              <w:pStyle w:val="149"/>
              <w:rPr>
                <w:sz w:val="13"/>
                <w:szCs w:val="13"/>
              </w:rPr>
            </w:pPr>
            <w:r>
              <w:rPr>
                <w:sz w:val="13"/>
                <w:szCs w:val="13"/>
              </w:rPr>
              <w:t xml:space="preserve">2.60 </w:t>
            </w:r>
          </w:p>
        </w:tc>
        <w:tc>
          <w:tcPr>
            <w:tcW w:w="892" w:type="dxa"/>
            <w:gridSpan w:val="2"/>
            <w:vAlign w:val="center"/>
          </w:tcPr>
          <w:p w14:paraId="656B239E">
            <w:pPr>
              <w:pStyle w:val="149"/>
              <w:rPr>
                <w:sz w:val="13"/>
                <w:szCs w:val="13"/>
              </w:rPr>
            </w:pPr>
            <w:r>
              <w:rPr>
                <w:sz w:val="13"/>
                <w:szCs w:val="13"/>
              </w:rPr>
              <w:t xml:space="preserve">1.08 </w:t>
            </w:r>
          </w:p>
        </w:tc>
        <w:tc>
          <w:tcPr>
            <w:tcW w:w="1527" w:type="dxa"/>
            <w:noWrap/>
            <w:vAlign w:val="center"/>
          </w:tcPr>
          <w:p w14:paraId="5B6B0D2B">
            <w:pPr>
              <w:pStyle w:val="149"/>
              <w:rPr>
                <w:sz w:val="13"/>
                <w:szCs w:val="13"/>
              </w:rPr>
            </w:pPr>
          </w:p>
        </w:tc>
        <w:tc>
          <w:tcPr>
            <w:tcW w:w="1051" w:type="dxa"/>
            <w:noWrap/>
            <w:vAlign w:val="center"/>
          </w:tcPr>
          <w:p w14:paraId="28B0A91A">
            <w:pPr>
              <w:pStyle w:val="149"/>
              <w:rPr>
                <w:sz w:val="13"/>
                <w:szCs w:val="13"/>
              </w:rPr>
            </w:pPr>
            <w:r>
              <w:rPr>
                <w:sz w:val="13"/>
                <w:szCs w:val="13"/>
              </w:rPr>
              <w:t>未完成</w:t>
            </w:r>
          </w:p>
        </w:tc>
      </w:tr>
      <w:tr w14:paraId="3A00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3B2E6D55">
            <w:pPr>
              <w:pStyle w:val="149"/>
              <w:rPr>
                <w:sz w:val="13"/>
                <w:szCs w:val="13"/>
              </w:rPr>
            </w:pPr>
            <w:r>
              <w:rPr>
                <w:sz w:val="13"/>
                <w:szCs w:val="13"/>
              </w:rPr>
              <w:t>43</w:t>
            </w:r>
          </w:p>
        </w:tc>
        <w:tc>
          <w:tcPr>
            <w:tcW w:w="1317" w:type="dxa"/>
            <w:noWrap/>
            <w:vAlign w:val="center"/>
          </w:tcPr>
          <w:p w14:paraId="4544C174">
            <w:pPr>
              <w:pStyle w:val="149"/>
              <w:rPr>
                <w:sz w:val="13"/>
                <w:szCs w:val="13"/>
              </w:rPr>
            </w:pPr>
            <w:r>
              <w:rPr>
                <w:sz w:val="13"/>
                <w:szCs w:val="13"/>
              </w:rPr>
              <w:t>内蒙古科韵环保材料股份公司</w:t>
            </w:r>
          </w:p>
        </w:tc>
        <w:tc>
          <w:tcPr>
            <w:tcW w:w="2226" w:type="dxa"/>
            <w:noWrap/>
            <w:vAlign w:val="center"/>
          </w:tcPr>
          <w:p w14:paraId="57A42B39">
            <w:pPr>
              <w:pStyle w:val="149"/>
              <w:rPr>
                <w:sz w:val="13"/>
                <w:szCs w:val="13"/>
              </w:rPr>
            </w:pPr>
            <w:r>
              <w:rPr>
                <w:sz w:val="13"/>
                <w:szCs w:val="13"/>
              </w:rPr>
              <w:t>内蒙古科韵环保材料股份公司尾矿资源综合利用项目</w:t>
            </w:r>
          </w:p>
        </w:tc>
        <w:tc>
          <w:tcPr>
            <w:tcW w:w="1418" w:type="dxa"/>
            <w:noWrap/>
            <w:vAlign w:val="center"/>
          </w:tcPr>
          <w:p w14:paraId="0DBED2B3">
            <w:pPr>
              <w:pStyle w:val="149"/>
              <w:rPr>
                <w:sz w:val="13"/>
                <w:szCs w:val="13"/>
              </w:rPr>
            </w:pPr>
            <w:r>
              <w:rPr>
                <w:sz w:val="13"/>
                <w:szCs w:val="13"/>
              </w:rPr>
              <w:t>包发改产业字【2012】485号</w:t>
            </w:r>
          </w:p>
        </w:tc>
        <w:tc>
          <w:tcPr>
            <w:tcW w:w="709" w:type="dxa"/>
            <w:noWrap/>
            <w:vAlign w:val="center"/>
          </w:tcPr>
          <w:p w14:paraId="6F038AE8">
            <w:pPr>
              <w:pStyle w:val="149"/>
              <w:rPr>
                <w:sz w:val="13"/>
                <w:szCs w:val="13"/>
              </w:rPr>
            </w:pPr>
            <w:r>
              <w:rPr>
                <w:sz w:val="13"/>
                <w:szCs w:val="13"/>
              </w:rPr>
              <w:t>15.9</w:t>
            </w:r>
          </w:p>
        </w:tc>
        <w:tc>
          <w:tcPr>
            <w:tcW w:w="803" w:type="dxa"/>
            <w:noWrap/>
            <w:vAlign w:val="center"/>
          </w:tcPr>
          <w:p w14:paraId="1EA11984">
            <w:pPr>
              <w:pStyle w:val="149"/>
              <w:rPr>
                <w:sz w:val="13"/>
                <w:szCs w:val="13"/>
              </w:rPr>
            </w:pPr>
            <w:r>
              <w:rPr>
                <w:sz w:val="13"/>
                <w:szCs w:val="13"/>
              </w:rPr>
              <w:t>2015-2016</w:t>
            </w:r>
          </w:p>
        </w:tc>
        <w:tc>
          <w:tcPr>
            <w:tcW w:w="614" w:type="dxa"/>
            <w:gridSpan w:val="2"/>
            <w:noWrap/>
            <w:vAlign w:val="center"/>
          </w:tcPr>
          <w:p w14:paraId="076271B1">
            <w:pPr>
              <w:pStyle w:val="149"/>
              <w:rPr>
                <w:sz w:val="13"/>
                <w:szCs w:val="13"/>
              </w:rPr>
            </w:pPr>
            <w:r>
              <w:rPr>
                <w:sz w:val="13"/>
                <w:szCs w:val="13"/>
              </w:rPr>
              <w:t>建成</w:t>
            </w:r>
          </w:p>
        </w:tc>
        <w:tc>
          <w:tcPr>
            <w:tcW w:w="567" w:type="dxa"/>
            <w:gridSpan w:val="2"/>
            <w:noWrap/>
            <w:vAlign w:val="center"/>
          </w:tcPr>
          <w:p w14:paraId="7A224268">
            <w:pPr>
              <w:pStyle w:val="149"/>
              <w:rPr>
                <w:sz w:val="13"/>
                <w:szCs w:val="13"/>
              </w:rPr>
            </w:pPr>
            <w:r>
              <w:rPr>
                <w:sz w:val="13"/>
                <w:szCs w:val="13"/>
              </w:rPr>
              <w:t>停产</w:t>
            </w:r>
          </w:p>
        </w:tc>
        <w:tc>
          <w:tcPr>
            <w:tcW w:w="992" w:type="dxa"/>
            <w:gridSpan w:val="2"/>
            <w:noWrap/>
            <w:vAlign w:val="center"/>
          </w:tcPr>
          <w:p w14:paraId="45FCA921">
            <w:pPr>
              <w:pStyle w:val="149"/>
              <w:rPr>
                <w:sz w:val="13"/>
                <w:szCs w:val="13"/>
              </w:rPr>
            </w:pPr>
            <w:r>
              <w:rPr>
                <w:sz w:val="13"/>
                <w:szCs w:val="13"/>
              </w:rPr>
              <w:t>未编制</w:t>
            </w:r>
          </w:p>
        </w:tc>
        <w:tc>
          <w:tcPr>
            <w:tcW w:w="1701" w:type="dxa"/>
            <w:gridSpan w:val="2"/>
            <w:noWrap/>
            <w:vAlign w:val="center"/>
          </w:tcPr>
          <w:p w14:paraId="5FD8BF7E">
            <w:pPr>
              <w:pStyle w:val="149"/>
              <w:rPr>
                <w:sz w:val="13"/>
                <w:szCs w:val="13"/>
              </w:rPr>
            </w:pPr>
          </w:p>
        </w:tc>
        <w:tc>
          <w:tcPr>
            <w:tcW w:w="844" w:type="dxa"/>
            <w:noWrap/>
            <w:vAlign w:val="center"/>
          </w:tcPr>
          <w:p w14:paraId="342B8F80">
            <w:pPr>
              <w:pStyle w:val="149"/>
              <w:rPr>
                <w:sz w:val="13"/>
                <w:szCs w:val="13"/>
              </w:rPr>
            </w:pPr>
            <w:r>
              <w:rPr>
                <w:sz w:val="13"/>
                <w:szCs w:val="13"/>
              </w:rPr>
              <w:t xml:space="preserve">7.51 </w:t>
            </w:r>
          </w:p>
        </w:tc>
        <w:tc>
          <w:tcPr>
            <w:tcW w:w="844" w:type="dxa"/>
            <w:gridSpan w:val="2"/>
            <w:noWrap/>
            <w:vAlign w:val="center"/>
          </w:tcPr>
          <w:p w14:paraId="65F08389">
            <w:pPr>
              <w:pStyle w:val="149"/>
              <w:rPr>
                <w:sz w:val="13"/>
                <w:szCs w:val="13"/>
              </w:rPr>
            </w:pPr>
            <w:r>
              <w:rPr>
                <w:sz w:val="13"/>
                <w:szCs w:val="13"/>
              </w:rPr>
              <w:t xml:space="preserve">7.51 </w:t>
            </w:r>
          </w:p>
        </w:tc>
        <w:tc>
          <w:tcPr>
            <w:tcW w:w="892" w:type="dxa"/>
            <w:gridSpan w:val="2"/>
            <w:vAlign w:val="center"/>
          </w:tcPr>
          <w:p w14:paraId="7990EB69">
            <w:pPr>
              <w:pStyle w:val="149"/>
              <w:rPr>
                <w:sz w:val="13"/>
                <w:szCs w:val="13"/>
              </w:rPr>
            </w:pPr>
            <w:r>
              <w:rPr>
                <w:sz w:val="13"/>
                <w:szCs w:val="13"/>
              </w:rPr>
              <w:t xml:space="preserve">3.12 </w:t>
            </w:r>
          </w:p>
        </w:tc>
        <w:tc>
          <w:tcPr>
            <w:tcW w:w="1527" w:type="dxa"/>
            <w:noWrap/>
            <w:vAlign w:val="center"/>
          </w:tcPr>
          <w:p w14:paraId="16D6B26A">
            <w:pPr>
              <w:pStyle w:val="149"/>
              <w:rPr>
                <w:sz w:val="13"/>
                <w:szCs w:val="13"/>
              </w:rPr>
            </w:pPr>
          </w:p>
        </w:tc>
        <w:tc>
          <w:tcPr>
            <w:tcW w:w="1051" w:type="dxa"/>
            <w:noWrap/>
            <w:vAlign w:val="center"/>
          </w:tcPr>
          <w:p w14:paraId="1DFC04D0">
            <w:pPr>
              <w:pStyle w:val="149"/>
              <w:rPr>
                <w:sz w:val="13"/>
                <w:szCs w:val="13"/>
              </w:rPr>
            </w:pPr>
            <w:r>
              <w:rPr>
                <w:sz w:val="13"/>
                <w:szCs w:val="13"/>
              </w:rPr>
              <w:t>未完成</w:t>
            </w:r>
          </w:p>
        </w:tc>
      </w:tr>
      <w:tr w14:paraId="1857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39E89A46">
            <w:pPr>
              <w:pStyle w:val="149"/>
              <w:rPr>
                <w:sz w:val="13"/>
                <w:szCs w:val="13"/>
              </w:rPr>
            </w:pPr>
            <w:r>
              <w:rPr>
                <w:sz w:val="13"/>
                <w:szCs w:val="13"/>
              </w:rPr>
              <w:t>44</w:t>
            </w:r>
          </w:p>
        </w:tc>
        <w:tc>
          <w:tcPr>
            <w:tcW w:w="1317" w:type="dxa"/>
            <w:noWrap/>
            <w:vAlign w:val="center"/>
          </w:tcPr>
          <w:p w14:paraId="34189AE9">
            <w:pPr>
              <w:pStyle w:val="149"/>
              <w:rPr>
                <w:sz w:val="13"/>
                <w:szCs w:val="13"/>
              </w:rPr>
            </w:pPr>
            <w:r>
              <w:rPr>
                <w:sz w:val="13"/>
                <w:szCs w:val="13"/>
              </w:rPr>
              <w:t>内蒙古鑫恒阳环保科技有限公司</w:t>
            </w:r>
          </w:p>
        </w:tc>
        <w:tc>
          <w:tcPr>
            <w:tcW w:w="2226" w:type="dxa"/>
            <w:noWrap/>
            <w:vAlign w:val="center"/>
          </w:tcPr>
          <w:p w14:paraId="469A6E0F">
            <w:pPr>
              <w:pStyle w:val="149"/>
              <w:rPr>
                <w:sz w:val="13"/>
                <w:szCs w:val="13"/>
              </w:rPr>
            </w:pPr>
            <w:r>
              <w:rPr>
                <w:sz w:val="13"/>
                <w:szCs w:val="13"/>
              </w:rPr>
              <w:t>内蒙古鑫恒阳环保科技有限公司年产12万吨岩棉生产线项目</w:t>
            </w:r>
          </w:p>
        </w:tc>
        <w:tc>
          <w:tcPr>
            <w:tcW w:w="1418" w:type="dxa"/>
            <w:noWrap/>
            <w:vAlign w:val="center"/>
          </w:tcPr>
          <w:p w14:paraId="19DD5FAB">
            <w:pPr>
              <w:pStyle w:val="149"/>
              <w:rPr>
                <w:sz w:val="13"/>
                <w:szCs w:val="13"/>
              </w:rPr>
            </w:pPr>
            <w:r>
              <w:rPr>
                <w:sz w:val="13"/>
                <w:szCs w:val="13"/>
              </w:rPr>
              <w:t>固经信审批发【2017】26号</w:t>
            </w:r>
          </w:p>
        </w:tc>
        <w:tc>
          <w:tcPr>
            <w:tcW w:w="709" w:type="dxa"/>
            <w:noWrap/>
            <w:vAlign w:val="center"/>
          </w:tcPr>
          <w:p w14:paraId="6F42A1B7">
            <w:pPr>
              <w:pStyle w:val="149"/>
              <w:rPr>
                <w:sz w:val="13"/>
                <w:szCs w:val="13"/>
              </w:rPr>
            </w:pPr>
            <w:r>
              <w:rPr>
                <w:sz w:val="13"/>
                <w:szCs w:val="13"/>
              </w:rPr>
              <w:t>8.38</w:t>
            </w:r>
          </w:p>
        </w:tc>
        <w:tc>
          <w:tcPr>
            <w:tcW w:w="803" w:type="dxa"/>
            <w:noWrap/>
            <w:vAlign w:val="center"/>
          </w:tcPr>
          <w:p w14:paraId="7E30A1A1">
            <w:pPr>
              <w:pStyle w:val="149"/>
              <w:rPr>
                <w:sz w:val="13"/>
                <w:szCs w:val="13"/>
              </w:rPr>
            </w:pPr>
            <w:r>
              <w:rPr>
                <w:sz w:val="13"/>
                <w:szCs w:val="13"/>
              </w:rPr>
              <w:t>2017-2019</w:t>
            </w:r>
          </w:p>
        </w:tc>
        <w:tc>
          <w:tcPr>
            <w:tcW w:w="614" w:type="dxa"/>
            <w:gridSpan w:val="2"/>
            <w:noWrap/>
            <w:vAlign w:val="center"/>
          </w:tcPr>
          <w:p w14:paraId="31299E69">
            <w:pPr>
              <w:pStyle w:val="149"/>
              <w:rPr>
                <w:sz w:val="13"/>
                <w:szCs w:val="13"/>
              </w:rPr>
            </w:pPr>
            <w:r>
              <w:rPr>
                <w:sz w:val="13"/>
                <w:szCs w:val="13"/>
              </w:rPr>
              <w:t>建成</w:t>
            </w:r>
          </w:p>
        </w:tc>
        <w:tc>
          <w:tcPr>
            <w:tcW w:w="567" w:type="dxa"/>
            <w:gridSpan w:val="2"/>
            <w:noWrap/>
            <w:vAlign w:val="center"/>
          </w:tcPr>
          <w:p w14:paraId="079708B6">
            <w:pPr>
              <w:pStyle w:val="149"/>
              <w:rPr>
                <w:sz w:val="13"/>
                <w:szCs w:val="13"/>
              </w:rPr>
            </w:pPr>
            <w:r>
              <w:rPr>
                <w:sz w:val="13"/>
                <w:szCs w:val="13"/>
              </w:rPr>
              <w:t>生产</w:t>
            </w:r>
          </w:p>
        </w:tc>
        <w:tc>
          <w:tcPr>
            <w:tcW w:w="992" w:type="dxa"/>
            <w:gridSpan w:val="2"/>
            <w:noWrap/>
            <w:vAlign w:val="center"/>
          </w:tcPr>
          <w:p w14:paraId="3DE04FBB">
            <w:pPr>
              <w:pStyle w:val="149"/>
              <w:rPr>
                <w:sz w:val="13"/>
                <w:szCs w:val="13"/>
              </w:rPr>
            </w:pPr>
            <w:r>
              <w:rPr>
                <w:sz w:val="13"/>
                <w:szCs w:val="13"/>
              </w:rPr>
              <w:t>未编制</w:t>
            </w:r>
          </w:p>
        </w:tc>
        <w:tc>
          <w:tcPr>
            <w:tcW w:w="1701" w:type="dxa"/>
            <w:gridSpan w:val="2"/>
            <w:noWrap/>
            <w:vAlign w:val="center"/>
          </w:tcPr>
          <w:p w14:paraId="0AB573C9">
            <w:pPr>
              <w:pStyle w:val="149"/>
              <w:rPr>
                <w:sz w:val="13"/>
                <w:szCs w:val="13"/>
              </w:rPr>
            </w:pPr>
          </w:p>
        </w:tc>
        <w:tc>
          <w:tcPr>
            <w:tcW w:w="844" w:type="dxa"/>
            <w:noWrap/>
            <w:vAlign w:val="center"/>
          </w:tcPr>
          <w:p w14:paraId="51415A00">
            <w:pPr>
              <w:pStyle w:val="149"/>
              <w:rPr>
                <w:sz w:val="13"/>
                <w:szCs w:val="13"/>
              </w:rPr>
            </w:pPr>
            <w:r>
              <w:rPr>
                <w:sz w:val="13"/>
                <w:szCs w:val="13"/>
              </w:rPr>
              <w:t xml:space="preserve">3.96 </w:t>
            </w:r>
          </w:p>
        </w:tc>
        <w:tc>
          <w:tcPr>
            <w:tcW w:w="844" w:type="dxa"/>
            <w:gridSpan w:val="2"/>
            <w:noWrap/>
            <w:vAlign w:val="center"/>
          </w:tcPr>
          <w:p w14:paraId="5D39FE92">
            <w:pPr>
              <w:pStyle w:val="149"/>
              <w:rPr>
                <w:sz w:val="13"/>
                <w:szCs w:val="13"/>
              </w:rPr>
            </w:pPr>
            <w:r>
              <w:rPr>
                <w:sz w:val="13"/>
                <w:szCs w:val="13"/>
              </w:rPr>
              <w:t xml:space="preserve">3.96 </w:t>
            </w:r>
          </w:p>
        </w:tc>
        <w:tc>
          <w:tcPr>
            <w:tcW w:w="892" w:type="dxa"/>
            <w:gridSpan w:val="2"/>
            <w:vAlign w:val="center"/>
          </w:tcPr>
          <w:p w14:paraId="07E321F7">
            <w:pPr>
              <w:pStyle w:val="149"/>
              <w:rPr>
                <w:sz w:val="13"/>
                <w:szCs w:val="13"/>
              </w:rPr>
            </w:pPr>
            <w:r>
              <w:rPr>
                <w:sz w:val="13"/>
                <w:szCs w:val="13"/>
              </w:rPr>
              <w:t xml:space="preserve">1.64 </w:t>
            </w:r>
          </w:p>
        </w:tc>
        <w:tc>
          <w:tcPr>
            <w:tcW w:w="1527" w:type="dxa"/>
            <w:noWrap/>
            <w:vAlign w:val="center"/>
          </w:tcPr>
          <w:p w14:paraId="096EB32C">
            <w:pPr>
              <w:pStyle w:val="149"/>
              <w:rPr>
                <w:sz w:val="13"/>
                <w:szCs w:val="13"/>
              </w:rPr>
            </w:pPr>
          </w:p>
        </w:tc>
        <w:tc>
          <w:tcPr>
            <w:tcW w:w="1051" w:type="dxa"/>
            <w:noWrap/>
            <w:vAlign w:val="center"/>
          </w:tcPr>
          <w:p w14:paraId="1660A60C">
            <w:pPr>
              <w:pStyle w:val="149"/>
              <w:rPr>
                <w:sz w:val="13"/>
                <w:szCs w:val="13"/>
              </w:rPr>
            </w:pPr>
            <w:r>
              <w:rPr>
                <w:sz w:val="13"/>
                <w:szCs w:val="13"/>
              </w:rPr>
              <w:t>未完成</w:t>
            </w:r>
          </w:p>
        </w:tc>
      </w:tr>
      <w:tr w14:paraId="0938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253AFF5C">
            <w:pPr>
              <w:pStyle w:val="149"/>
              <w:rPr>
                <w:sz w:val="13"/>
                <w:szCs w:val="13"/>
              </w:rPr>
            </w:pPr>
            <w:r>
              <w:rPr>
                <w:sz w:val="13"/>
                <w:szCs w:val="13"/>
              </w:rPr>
              <w:t>45</w:t>
            </w:r>
          </w:p>
        </w:tc>
        <w:tc>
          <w:tcPr>
            <w:tcW w:w="1317" w:type="dxa"/>
            <w:noWrap/>
            <w:vAlign w:val="center"/>
          </w:tcPr>
          <w:p w14:paraId="2AF7C676">
            <w:pPr>
              <w:pStyle w:val="149"/>
              <w:rPr>
                <w:sz w:val="13"/>
                <w:szCs w:val="13"/>
              </w:rPr>
            </w:pPr>
            <w:r>
              <w:rPr>
                <w:sz w:val="13"/>
                <w:szCs w:val="13"/>
              </w:rPr>
              <w:t>新疆特变电工包头新能源有限公司</w:t>
            </w:r>
          </w:p>
        </w:tc>
        <w:tc>
          <w:tcPr>
            <w:tcW w:w="2226" w:type="dxa"/>
            <w:noWrap/>
            <w:vAlign w:val="center"/>
          </w:tcPr>
          <w:p w14:paraId="68DCC8D3">
            <w:pPr>
              <w:pStyle w:val="149"/>
              <w:rPr>
                <w:sz w:val="13"/>
                <w:szCs w:val="13"/>
              </w:rPr>
            </w:pPr>
            <w:r>
              <w:rPr>
                <w:sz w:val="13"/>
                <w:szCs w:val="13"/>
              </w:rPr>
              <w:t>新疆特变电工包头新能源有限公司固阳新能源产业基地建设项目</w:t>
            </w:r>
          </w:p>
        </w:tc>
        <w:tc>
          <w:tcPr>
            <w:tcW w:w="1418" w:type="dxa"/>
            <w:noWrap/>
            <w:vAlign w:val="center"/>
          </w:tcPr>
          <w:p w14:paraId="0BCC1125">
            <w:pPr>
              <w:pStyle w:val="149"/>
              <w:rPr>
                <w:sz w:val="13"/>
                <w:szCs w:val="13"/>
              </w:rPr>
            </w:pPr>
            <w:r>
              <w:rPr>
                <w:sz w:val="13"/>
                <w:szCs w:val="13"/>
              </w:rPr>
              <w:t>固经信审批发【2015】1号</w:t>
            </w:r>
          </w:p>
        </w:tc>
        <w:tc>
          <w:tcPr>
            <w:tcW w:w="709" w:type="dxa"/>
            <w:noWrap/>
            <w:vAlign w:val="center"/>
          </w:tcPr>
          <w:p w14:paraId="306BACF1">
            <w:pPr>
              <w:pStyle w:val="149"/>
              <w:rPr>
                <w:sz w:val="13"/>
                <w:szCs w:val="13"/>
              </w:rPr>
            </w:pPr>
            <w:r>
              <w:rPr>
                <w:sz w:val="13"/>
                <w:szCs w:val="13"/>
              </w:rPr>
              <w:t>10.66</w:t>
            </w:r>
          </w:p>
        </w:tc>
        <w:tc>
          <w:tcPr>
            <w:tcW w:w="803" w:type="dxa"/>
            <w:noWrap/>
            <w:vAlign w:val="center"/>
          </w:tcPr>
          <w:p w14:paraId="7BB7A4FF">
            <w:pPr>
              <w:pStyle w:val="149"/>
              <w:rPr>
                <w:sz w:val="13"/>
                <w:szCs w:val="13"/>
              </w:rPr>
            </w:pPr>
            <w:r>
              <w:rPr>
                <w:sz w:val="13"/>
                <w:szCs w:val="13"/>
              </w:rPr>
              <w:t>2016-2017</w:t>
            </w:r>
          </w:p>
        </w:tc>
        <w:tc>
          <w:tcPr>
            <w:tcW w:w="614" w:type="dxa"/>
            <w:gridSpan w:val="2"/>
            <w:noWrap/>
            <w:vAlign w:val="center"/>
          </w:tcPr>
          <w:p w14:paraId="34DE90E6">
            <w:pPr>
              <w:pStyle w:val="149"/>
              <w:rPr>
                <w:sz w:val="13"/>
                <w:szCs w:val="13"/>
              </w:rPr>
            </w:pPr>
            <w:r>
              <w:rPr>
                <w:sz w:val="13"/>
                <w:szCs w:val="13"/>
              </w:rPr>
              <w:t>建成</w:t>
            </w:r>
          </w:p>
        </w:tc>
        <w:tc>
          <w:tcPr>
            <w:tcW w:w="567" w:type="dxa"/>
            <w:gridSpan w:val="2"/>
            <w:noWrap/>
            <w:vAlign w:val="center"/>
          </w:tcPr>
          <w:p w14:paraId="21E32155">
            <w:pPr>
              <w:pStyle w:val="149"/>
              <w:rPr>
                <w:sz w:val="13"/>
                <w:szCs w:val="13"/>
              </w:rPr>
            </w:pPr>
            <w:r>
              <w:rPr>
                <w:sz w:val="13"/>
                <w:szCs w:val="13"/>
              </w:rPr>
              <w:t>停产</w:t>
            </w:r>
          </w:p>
        </w:tc>
        <w:tc>
          <w:tcPr>
            <w:tcW w:w="992" w:type="dxa"/>
            <w:gridSpan w:val="2"/>
            <w:noWrap/>
            <w:vAlign w:val="center"/>
          </w:tcPr>
          <w:p w14:paraId="77F2DD4F">
            <w:pPr>
              <w:pStyle w:val="149"/>
              <w:rPr>
                <w:sz w:val="13"/>
                <w:szCs w:val="13"/>
              </w:rPr>
            </w:pPr>
            <w:r>
              <w:rPr>
                <w:sz w:val="13"/>
                <w:szCs w:val="13"/>
              </w:rPr>
              <w:t>未编制</w:t>
            </w:r>
          </w:p>
        </w:tc>
        <w:tc>
          <w:tcPr>
            <w:tcW w:w="1701" w:type="dxa"/>
            <w:gridSpan w:val="2"/>
            <w:noWrap/>
            <w:vAlign w:val="center"/>
          </w:tcPr>
          <w:p w14:paraId="18D15016">
            <w:pPr>
              <w:pStyle w:val="149"/>
              <w:rPr>
                <w:sz w:val="13"/>
                <w:szCs w:val="13"/>
              </w:rPr>
            </w:pPr>
          </w:p>
        </w:tc>
        <w:tc>
          <w:tcPr>
            <w:tcW w:w="844" w:type="dxa"/>
            <w:noWrap/>
            <w:vAlign w:val="center"/>
          </w:tcPr>
          <w:p w14:paraId="6C9B30AB">
            <w:pPr>
              <w:pStyle w:val="149"/>
              <w:rPr>
                <w:sz w:val="13"/>
                <w:szCs w:val="13"/>
              </w:rPr>
            </w:pPr>
            <w:r>
              <w:rPr>
                <w:sz w:val="13"/>
                <w:szCs w:val="13"/>
              </w:rPr>
              <w:t xml:space="preserve">5.04 </w:t>
            </w:r>
          </w:p>
        </w:tc>
        <w:tc>
          <w:tcPr>
            <w:tcW w:w="844" w:type="dxa"/>
            <w:gridSpan w:val="2"/>
            <w:noWrap/>
            <w:vAlign w:val="center"/>
          </w:tcPr>
          <w:p w14:paraId="66074234">
            <w:pPr>
              <w:pStyle w:val="149"/>
              <w:rPr>
                <w:sz w:val="13"/>
                <w:szCs w:val="13"/>
              </w:rPr>
            </w:pPr>
            <w:r>
              <w:rPr>
                <w:sz w:val="13"/>
                <w:szCs w:val="13"/>
              </w:rPr>
              <w:t xml:space="preserve">5.04 </w:t>
            </w:r>
          </w:p>
        </w:tc>
        <w:tc>
          <w:tcPr>
            <w:tcW w:w="892" w:type="dxa"/>
            <w:gridSpan w:val="2"/>
            <w:vAlign w:val="center"/>
          </w:tcPr>
          <w:p w14:paraId="06DA3E84">
            <w:pPr>
              <w:pStyle w:val="149"/>
              <w:rPr>
                <w:sz w:val="13"/>
                <w:szCs w:val="13"/>
              </w:rPr>
            </w:pPr>
            <w:r>
              <w:rPr>
                <w:sz w:val="13"/>
                <w:szCs w:val="13"/>
              </w:rPr>
              <w:t xml:space="preserve">2.09 </w:t>
            </w:r>
          </w:p>
        </w:tc>
        <w:tc>
          <w:tcPr>
            <w:tcW w:w="1527" w:type="dxa"/>
            <w:noWrap/>
            <w:vAlign w:val="center"/>
          </w:tcPr>
          <w:p w14:paraId="52D41390">
            <w:pPr>
              <w:pStyle w:val="149"/>
              <w:rPr>
                <w:sz w:val="13"/>
                <w:szCs w:val="13"/>
              </w:rPr>
            </w:pPr>
          </w:p>
        </w:tc>
        <w:tc>
          <w:tcPr>
            <w:tcW w:w="1051" w:type="dxa"/>
            <w:noWrap/>
            <w:vAlign w:val="center"/>
          </w:tcPr>
          <w:p w14:paraId="12F09D3A">
            <w:pPr>
              <w:pStyle w:val="149"/>
              <w:rPr>
                <w:sz w:val="13"/>
                <w:szCs w:val="13"/>
              </w:rPr>
            </w:pPr>
            <w:r>
              <w:rPr>
                <w:sz w:val="13"/>
                <w:szCs w:val="13"/>
              </w:rPr>
              <w:t>未完成</w:t>
            </w:r>
          </w:p>
        </w:tc>
      </w:tr>
      <w:tr w14:paraId="7F61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77B6AAAF">
            <w:pPr>
              <w:pStyle w:val="149"/>
              <w:rPr>
                <w:sz w:val="13"/>
                <w:szCs w:val="13"/>
              </w:rPr>
            </w:pPr>
            <w:r>
              <w:rPr>
                <w:sz w:val="13"/>
                <w:szCs w:val="13"/>
              </w:rPr>
              <w:t>46</w:t>
            </w:r>
          </w:p>
        </w:tc>
        <w:tc>
          <w:tcPr>
            <w:tcW w:w="1317" w:type="dxa"/>
            <w:noWrap/>
            <w:vAlign w:val="center"/>
          </w:tcPr>
          <w:p w14:paraId="17965E82">
            <w:pPr>
              <w:pStyle w:val="149"/>
              <w:rPr>
                <w:sz w:val="13"/>
                <w:szCs w:val="13"/>
              </w:rPr>
            </w:pPr>
            <w:r>
              <w:rPr>
                <w:sz w:val="13"/>
                <w:szCs w:val="13"/>
              </w:rPr>
              <w:t>包头市贺宝金属材料有限公司</w:t>
            </w:r>
          </w:p>
        </w:tc>
        <w:tc>
          <w:tcPr>
            <w:tcW w:w="2226" w:type="dxa"/>
            <w:noWrap/>
            <w:vAlign w:val="center"/>
          </w:tcPr>
          <w:p w14:paraId="7FF357EF">
            <w:pPr>
              <w:pStyle w:val="149"/>
              <w:rPr>
                <w:sz w:val="13"/>
                <w:szCs w:val="13"/>
              </w:rPr>
            </w:pPr>
            <w:r>
              <w:rPr>
                <w:sz w:val="13"/>
                <w:szCs w:val="13"/>
              </w:rPr>
              <w:t>包头市贺宝金属材料有限公司年产15万吨工业用铝合金圆棒项目</w:t>
            </w:r>
          </w:p>
        </w:tc>
        <w:tc>
          <w:tcPr>
            <w:tcW w:w="1418" w:type="dxa"/>
            <w:noWrap/>
            <w:vAlign w:val="center"/>
          </w:tcPr>
          <w:p w14:paraId="012FCAD7">
            <w:pPr>
              <w:pStyle w:val="149"/>
              <w:rPr>
                <w:sz w:val="13"/>
                <w:szCs w:val="13"/>
              </w:rPr>
            </w:pPr>
            <w:r>
              <w:rPr>
                <w:sz w:val="13"/>
                <w:szCs w:val="13"/>
              </w:rPr>
              <w:t>项目代码：2107-150222-04-01-253854</w:t>
            </w:r>
          </w:p>
        </w:tc>
        <w:tc>
          <w:tcPr>
            <w:tcW w:w="709" w:type="dxa"/>
            <w:noWrap/>
            <w:vAlign w:val="center"/>
          </w:tcPr>
          <w:p w14:paraId="3A4A4D77">
            <w:pPr>
              <w:pStyle w:val="149"/>
              <w:rPr>
                <w:sz w:val="13"/>
                <w:szCs w:val="13"/>
              </w:rPr>
            </w:pPr>
            <w:r>
              <w:rPr>
                <w:sz w:val="13"/>
                <w:szCs w:val="13"/>
              </w:rPr>
              <w:t>5.8</w:t>
            </w:r>
          </w:p>
        </w:tc>
        <w:tc>
          <w:tcPr>
            <w:tcW w:w="803" w:type="dxa"/>
            <w:noWrap/>
            <w:vAlign w:val="center"/>
          </w:tcPr>
          <w:p w14:paraId="535728D3">
            <w:pPr>
              <w:pStyle w:val="149"/>
              <w:rPr>
                <w:sz w:val="13"/>
                <w:szCs w:val="13"/>
              </w:rPr>
            </w:pPr>
            <w:r>
              <w:rPr>
                <w:sz w:val="13"/>
                <w:szCs w:val="13"/>
              </w:rPr>
              <w:t>2021-2022</w:t>
            </w:r>
          </w:p>
        </w:tc>
        <w:tc>
          <w:tcPr>
            <w:tcW w:w="614" w:type="dxa"/>
            <w:gridSpan w:val="2"/>
            <w:noWrap/>
            <w:vAlign w:val="center"/>
          </w:tcPr>
          <w:p w14:paraId="5BE89BB9">
            <w:pPr>
              <w:pStyle w:val="149"/>
              <w:rPr>
                <w:sz w:val="13"/>
                <w:szCs w:val="13"/>
              </w:rPr>
            </w:pPr>
            <w:r>
              <w:rPr>
                <w:sz w:val="13"/>
                <w:szCs w:val="13"/>
              </w:rPr>
              <w:t>建成</w:t>
            </w:r>
          </w:p>
        </w:tc>
        <w:tc>
          <w:tcPr>
            <w:tcW w:w="567" w:type="dxa"/>
            <w:gridSpan w:val="2"/>
            <w:noWrap/>
            <w:vAlign w:val="center"/>
          </w:tcPr>
          <w:p w14:paraId="0C203082">
            <w:pPr>
              <w:pStyle w:val="149"/>
              <w:rPr>
                <w:sz w:val="13"/>
                <w:szCs w:val="13"/>
              </w:rPr>
            </w:pPr>
            <w:r>
              <w:rPr>
                <w:sz w:val="13"/>
                <w:szCs w:val="13"/>
              </w:rPr>
              <w:t>生产</w:t>
            </w:r>
          </w:p>
        </w:tc>
        <w:tc>
          <w:tcPr>
            <w:tcW w:w="992" w:type="dxa"/>
            <w:gridSpan w:val="2"/>
            <w:noWrap/>
            <w:vAlign w:val="center"/>
          </w:tcPr>
          <w:p w14:paraId="53537905">
            <w:pPr>
              <w:pStyle w:val="149"/>
              <w:rPr>
                <w:sz w:val="13"/>
                <w:szCs w:val="13"/>
              </w:rPr>
            </w:pPr>
            <w:r>
              <w:rPr>
                <w:sz w:val="13"/>
                <w:szCs w:val="13"/>
              </w:rPr>
              <w:t>未编制</w:t>
            </w:r>
          </w:p>
        </w:tc>
        <w:tc>
          <w:tcPr>
            <w:tcW w:w="1701" w:type="dxa"/>
            <w:gridSpan w:val="2"/>
            <w:noWrap/>
            <w:vAlign w:val="center"/>
          </w:tcPr>
          <w:p w14:paraId="70DCC0C4">
            <w:pPr>
              <w:pStyle w:val="149"/>
              <w:rPr>
                <w:sz w:val="13"/>
                <w:szCs w:val="13"/>
              </w:rPr>
            </w:pPr>
          </w:p>
        </w:tc>
        <w:tc>
          <w:tcPr>
            <w:tcW w:w="844" w:type="dxa"/>
            <w:noWrap/>
            <w:vAlign w:val="center"/>
          </w:tcPr>
          <w:p w14:paraId="0E690876">
            <w:pPr>
              <w:pStyle w:val="149"/>
              <w:rPr>
                <w:sz w:val="13"/>
                <w:szCs w:val="13"/>
              </w:rPr>
            </w:pPr>
            <w:r>
              <w:rPr>
                <w:sz w:val="13"/>
                <w:szCs w:val="13"/>
              </w:rPr>
              <w:t xml:space="preserve">2.74 </w:t>
            </w:r>
          </w:p>
        </w:tc>
        <w:tc>
          <w:tcPr>
            <w:tcW w:w="844" w:type="dxa"/>
            <w:gridSpan w:val="2"/>
            <w:noWrap/>
            <w:vAlign w:val="center"/>
          </w:tcPr>
          <w:p w14:paraId="3E5357B8">
            <w:pPr>
              <w:pStyle w:val="149"/>
              <w:rPr>
                <w:sz w:val="13"/>
                <w:szCs w:val="13"/>
              </w:rPr>
            </w:pPr>
            <w:r>
              <w:rPr>
                <w:sz w:val="13"/>
                <w:szCs w:val="13"/>
              </w:rPr>
              <w:t xml:space="preserve">2.74 </w:t>
            </w:r>
          </w:p>
        </w:tc>
        <w:tc>
          <w:tcPr>
            <w:tcW w:w="892" w:type="dxa"/>
            <w:gridSpan w:val="2"/>
            <w:vAlign w:val="center"/>
          </w:tcPr>
          <w:p w14:paraId="2AAD5331">
            <w:pPr>
              <w:pStyle w:val="149"/>
              <w:rPr>
                <w:sz w:val="13"/>
                <w:szCs w:val="13"/>
              </w:rPr>
            </w:pPr>
            <w:r>
              <w:rPr>
                <w:sz w:val="13"/>
                <w:szCs w:val="13"/>
              </w:rPr>
              <w:t xml:space="preserve">1.14 </w:t>
            </w:r>
          </w:p>
        </w:tc>
        <w:tc>
          <w:tcPr>
            <w:tcW w:w="1527" w:type="dxa"/>
            <w:noWrap/>
            <w:vAlign w:val="center"/>
          </w:tcPr>
          <w:p w14:paraId="34E70429">
            <w:pPr>
              <w:pStyle w:val="149"/>
              <w:rPr>
                <w:sz w:val="13"/>
                <w:szCs w:val="13"/>
              </w:rPr>
            </w:pPr>
          </w:p>
        </w:tc>
        <w:tc>
          <w:tcPr>
            <w:tcW w:w="1051" w:type="dxa"/>
            <w:noWrap/>
            <w:vAlign w:val="center"/>
          </w:tcPr>
          <w:p w14:paraId="313BDE1A">
            <w:pPr>
              <w:pStyle w:val="149"/>
              <w:rPr>
                <w:sz w:val="13"/>
                <w:szCs w:val="13"/>
              </w:rPr>
            </w:pPr>
            <w:r>
              <w:rPr>
                <w:sz w:val="13"/>
                <w:szCs w:val="13"/>
              </w:rPr>
              <w:t>未完成</w:t>
            </w:r>
          </w:p>
        </w:tc>
      </w:tr>
      <w:tr w14:paraId="73377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0644AD3D">
            <w:pPr>
              <w:pStyle w:val="149"/>
              <w:rPr>
                <w:sz w:val="13"/>
                <w:szCs w:val="13"/>
              </w:rPr>
            </w:pPr>
            <w:r>
              <w:rPr>
                <w:sz w:val="13"/>
                <w:szCs w:val="13"/>
              </w:rPr>
              <w:t>47</w:t>
            </w:r>
          </w:p>
        </w:tc>
        <w:tc>
          <w:tcPr>
            <w:tcW w:w="1317" w:type="dxa"/>
            <w:noWrap/>
            <w:vAlign w:val="center"/>
          </w:tcPr>
          <w:p w14:paraId="55DC35D4">
            <w:pPr>
              <w:pStyle w:val="149"/>
              <w:rPr>
                <w:sz w:val="13"/>
                <w:szCs w:val="13"/>
              </w:rPr>
            </w:pPr>
            <w:r>
              <w:rPr>
                <w:sz w:val="13"/>
                <w:szCs w:val="13"/>
              </w:rPr>
              <w:t>固阳县平鹿物资再生有限公司</w:t>
            </w:r>
          </w:p>
        </w:tc>
        <w:tc>
          <w:tcPr>
            <w:tcW w:w="2226" w:type="dxa"/>
            <w:noWrap/>
            <w:vAlign w:val="center"/>
          </w:tcPr>
          <w:p w14:paraId="66F940CB">
            <w:pPr>
              <w:pStyle w:val="149"/>
              <w:rPr>
                <w:sz w:val="13"/>
                <w:szCs w:val="13"/>
              </w:rPr>
            </w:pPr>
            <w:r>
              <w:rPr>
                <w:sz w:val="13"/>
                <w:szCs w:val="13"/>
              </w:rPr>
              <w:t>固阳县平鹿物资再生有限公司报废汽车回收拆解项目</w:t>
            </w:r>
          </w:p>
        </w:tc>
        <w:tc>
          <w:tcPr>
            <w:tcW w:w="1418" w:type="dxa"/>
            <w:noWrap/>
            <w:vAlign w:val="center"/>
          </w:tcPr>
          <w:p w14:paraId="44A64F37">
            <w:pPr>
              <w:pStyle w:val="149"/>
              <w:rPr>
                <w:sz w:val="13"/>
                <w:szCs w:val="13"/>
              </w:rPr>
            </w:pPr>
            <w:r>
              <w:rPr>
                <w:sz w:val="13"/>
                <w:szCs w:val="13"/>
              </w:rPr>
              <w:t>项目代码：2020-150222-58-03-039140</w:t>
            </w:r>
          </w:p>
        </w:tc>
        <w:tc>
          <w:tcPr>
            <w:tcW w:w="709" w:type="dxa"/>
            <w:noWrap/>
            <w:vAlign w:val="center"/>
          </w:tcPr>
          <w:p w14:paraId="67C3EA94">
            <w:pPr>
              <w:pStyle w:val="149"/>
              <w:rPr>
                <w:sz w:val="13"/>
                <w:szCs w:val="13"/>
              </w:rPr>
            </w:pPr>
            <w:r>
              <w:rPr>
                <w:sz w:val="13"/>
                <w:szCs w:val="13"/>
              </w:rPr>
              <w:t>1.12</w:t>
            </w:r>
          </w:p>
        </w:tc>
        <w:tc>
          <w:tcPr>
            <w:tcW w:w="803" w:type="dxa"/>
            <w:noWrap/>
            <w:vAlign w:val="center"/>
          </w:tcPr>
          <w:p w14:paraId="3F446FAC">
            <w:pPr>
              <w:pStyle w:val="149"/>
              <w:rPr>
                <w:sz w:val="13"/>
                <w:szCs w:val="13"/>
              </w:rPr>
            </w:pPr>
            <w:r>
              <w:rPr>
                <w:sz w:val="13"/>
                <w:szCs w:val="13"/>
              </w:rPr>
              <w:t>2020-2023</w:t>
            </w:r>
          </w:p>
        </w:tc>
        <w:tc>
          <w:tcPr>
            <w:tcW w:w="614" w:type="dxa"/>
            <w:gridSpan w:val="2"/>
            <w:noWrap/>
            <w:vAlign w:val="center"/>
          </w:tcPr>
          <w:p w14:paraId="1EE45B54">
            <w:pPr>
              <w:pStyle w:val="149"/>
              <w:rPr>
                <w:sz w:val="13"/>
                <w:szCs w:val="13"/>
              </w:rPr>
            </w:pPr>
            <w:r>
              <w:rPr>
                <w:sz w:val="13"/>
                <w:szCs w:val="13"/>
              </w:rPr>
              <w:t>建成</w:t>
            </w:r>
          </w:p>
        </w:tc>
        <w:tc>
          <w:tcPr>
            <w:tcW w:w="567" w:type="dxa"/>
            <w:gridSpan w:val="2"/>
            <w:noWrap/>
            <w:vAlign w:val="center"/>
          </w:tcPr>
          <w:p w14:paraId="202CED78">
            <w:pPr>
              <w:pStyle w:val="149"/>
              <w:rPr>
                <w:sz w:val="13"/>
                <w:szCs w:val="13"/>
              </w:rPr>
            </w:pPr>
            <w:r>
              <w:rPr>
                <w:sz w:val="13"/>
                <w:szCs w:val="13"/>
              </w:rPr>
              <w:t>生产</w:t>
            </w:r>
          </w:p>
        </w:tc>
        <w:tc>
          <w:tcPr>
            <w:tcW w:w="992" w:type="dxa"/>
            <w:gridSpan w:val="2"/>
            <w:noWrap/>
            <w:vAlign w:val="center"/>
          </w:tcPr>
          <w:p w14:paraId="69176A36">
            <w:pPr>
              <w:pStyle w:val="149"/>
              <w:rPr>
                <w:sz w:val="13"/>
                <w:szCs w:val="13"/>
              </w:rPr>
            </w:pPr>
            <w:r>
              <w:rPr>
                <w:sz w:val="13"/>
                <w:szCs w:val="13"/>
              </w:rPr>
              <w:t>未编制</w:t>
            </w:r>
          </w:p>
        </w:tc>
        <w:tc>
          <w:tcPr>
            <w:tcW w:w="1701" w:type="dxa"/>
            <w:gridSpan w:val="2"/>
            <w:noWrap/>
            <w:vAlign w:val="center"/>
          </w:tcPr>
          <w:p w14:paraId="79C3E727">
            <w:pPr>
              <w:pStyle w:val="149"/>
              <w:rPr>
                <w:sz w:val="13"/>
                <w:szCs w:val="13"/>
              </w:rPr>
            </w:pPr>
          </w:p>
        </w:tc>
        <w:tc>
          <w:tcPr>
            <w:tcW w:w="844" w:type="dxa"/>
            <w:noWrap/>
            <w:vAlign w:val="center"/>
          </w:tcPr>
          <w:p w14:paraId="696928A0">
            <w:pPr>
              <w:pStyle w:val="149"/>
              <w:rPr>
                <w:sz w:val="13"/>
                <w:szCs w:val="13"/>
              </w:rPr>
            </w:pPr>
            <w:r>
              <w:rPr>
                <w:sz w:val="13"/>
                <w:szCs w:val="13"/>
              </w:rPr>
              <w:t xml:space="preserve">0.53 </w:t>
            </w:r>
          </w:p>
        </w:tc>
        <w:tc>
          <w:tcPr>
            <w:tcW w:w="844" w:type="dxa"/>
            <w:gridSpan w:val="2"/>
            <w:noWrap/>
            <w:vAlign w:val="center"/>
          </w:tcPr>
          <w:p w14:paraId="1772B776">
            <w:pPr>
              <w:pStyle w:val="149"/>
              <w:rPr>
                <w:sz w:val="13"/>
                <w:szCs w:val="13"/>
              </w:rPr>
            </w:pPr>
            <w:r>
              <w:rPr>
                <w:sz w:val="13"/>
                <w:szCs w:val="13"/>
              </w:rPr>
              <w:t xml:space="preserve">0.53 </w:t>
            </w:r>
          </w:p>
        </w:tc>
        <w:tc>
          <w:tcPr>
            <w:tcW w:w="892" w:type="dxa"/>
            <w:gridSpan w:val="2"/>
            <w:vAlign w:val="center"/>
          </w:tcPr>
          <w:p w14:paraId="4EE3F168">
            <w:pPr>
              <w:pStyle w:val="149"/>
              <w:rPr>
                <w:sz w:val="13"/>
                <w:szCs w:val="13"/>
              </w:rPr>
            </w:pPr>
            <w:r>
              <w:rPr>
                <w:sz w:val="13"/>
                <w:szCs w:val="13"/>
              </w:rPr>
              <w:t xml:space="preserve">0.22 </w:t>
            </w:r>
          </w:p>
        </w:tc>
        <w:tc>
          <w:tcPr>
            <w:tcW w:w="1527" w:type="dxa"/>
            <w:noWrap/>
            <w:vAlign w:val="center"/>
          </w:tcPr>
          <w:p w14:paraId="256209E5">
            <w:pPr>
              <w:pStyle w:val="149"/>
              <w:rPr>
                <w:sz w:val="13"/>
                <w:szCs w:val="13"/>
              </w:rPr>
            </w:pPr>
          </w:p>
        </w:tc>
        <w:tc>
          <w:tcPr>
            <w:tcW w:w="1051" w:type="dxa"/>
            <w:noWrap/>
            <w:vAlign w:val="center"/>
          </w:tcPr>
          <w:p w14:paraId="01D21543">
            <w:pPr>
              <w:pStyle w:val="149"/>
              <w:rPr>
                <w:sz w:val="13"/>
                <w:szCs w:val="13"/>
              </w:rPr>
            </w:pPr>
            <w:r>
              <w:rPr>
                <w:sz w:val="13"/>
                <w:szCs w:val="13"/>
              </w:rPr>
              <w:t>未完成</w:t>
            </w:r>
          </w:p>
        </w:tc>
      </w:tr>
      <w:tr w14:paraId="4D57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3A3F1D05">
            <w:pPr>
              <w:pStyle w:val="149"/>
              <w:rPr>
                <w:sz w:val="13"/>
                <w:szCs w:val="13"/>
              </w:rPr>
            </w:pPr>
            <w:r>
              <w:rPr>
                <w:sz w:val="13"/>
                <w:szCs w:val="13"/>
              </w:rPr>
              <w:t>48</w:t>
            </w:r>
          </w:p>
        </w:tc>
        <w:tc>
          <w:tcPr>
            <w:tcW w:w="1317" w:type="dxa"/>
            <w:noWrap/>
            <w:vAlign w:val="center"/>
          </w:tcPr>
          <w:p w14:paraId="329EAD7B">
            <w:pPr>
              <w:pStyle w:val="149"/>
              <w:rPr>
                <w:sz w:val="13"/>
                <w:szCs w:val="13"/>
              </w:rPr>
            </w:pPr>
            <w:r>
              <w:rPr>
                <w:sz w:val="13"/>
                <w:szCs w:val="13"/>
              </w:rPr>
              <w:t>万泰新材料（包头）有限公司</w:t>
            </w:r>
          </w:p>
        </w:tc>
        <w:tc>
          <w:tcPr>
            <w:tcW w:w="2226" w:type="dxa"/>
            <w:noWrap/>
            <w:vAlign w:val="center"/>
          </w:tcPr>
          <w:p w14:paraId="35BFA9C7">
            <w:pPr>
              <w:pStyle w:val="149"/>
              <w:rPr>
                <w:sz w:val="13"/>
                <w:szCs w:val="13"/>
              </w:rPr>
            </w:pPr>
            <w:r>
              <w:rPr>
                <w:sz w:val="13"/>
                <w:szCs w:val="13"/>
              </w:rPr>
              <w:t>万泰新材料（包头）有限公司新建年产4万吨高端铝合金材料项目</w:t>
            </w:r>
          </w:p>
        </w:tc>
        <w:tc>
          <w:tcPr>
            <w:tcW w:w="1418" w:type="dxa"/>
            <w:noWrap/>
            <w:vAlign w:val="center"/>
          </w:tcPr>
          <w:p w14:paraId="26880C4B">
            <w:pPr>
              <w:pStyle w:val="149"/>
              <w:rPr>
                <w:sz w:val="13"/>
                <w:szCs w:val="13"/>
              </w:rPr>
            </w:pPr>
            <w:r>
              <w:rPr>
                <w:sz w:val="13"/>
                <w:szCs w:val="13"/>
              </w:rPr>
              <w:t>项目代码：2104-150222-07-01-701036</w:t>
            </w:r>
          </w:p>
        </w:tc>
        <w:tc>
          <w:tcPr>
            <w:tcW w:w="709" w:type="dxa"/>
            <w:noWrap/>
            <w:vAlign w:val="center"/>
          </w:tcPr>
          <w:p w14:paraId="17518AF3">
            <w:pPr>
              <w:pStyle w:val="149"/>
              <w:rPr>
                <w:sz w:val="13"/>
                <w:szCs w:val="13"/>
              </w:rPr>
            </w:pPr>
            <w:r>
              <w:rPr>
                <w:sz w:val="13"/>
                <w:szCs w:val="13"/>
              </w:rPr>
              <w:t>3.9</w:t>
            </w:r>
          </w:p>
        </w:tc>
        <w:tc>
          <w:tcPr>
            <w:tcW w:w="803" w:type="dxa"/>
            <w:noWrap/>
            <w:vAlign w:val="center"/>
          </w:tcPr>
          <w:p w14:paraId="3609A564">
            <w:pPr>
              <w:pStyle w:val="149"/>
              <w:rPr>
                <w:sz w:val="13"/>
                <w:szCs w:val="13"/>
              </w:rPr>
            </w:pPr>
            <w:r>
              <w:rPr>
                <w:sz w:val="13"/>
                <w:szCs w:val="13"/>
              </w:rPr>
              <w:t>2021-2022</w:t>
            </w:r>
          </w:p>
        </w:tc>
        <w:tc>
          <w:tcPr>
            <w:tcW w:w="614" w:type="dxa"/>
            <w:gridSpan w:val="2"/>
            <w:noWrap/>
            <w:vAlign w:val="center"/>
          </w:tcPr>
          <w:p w14:paraId="5790E5E5">
            <w:pPr>
              <w:pStyle w:val="149"/>
              <w:rPr>
                <w:sz w:val="13"/>
                <w:szCs w:val="13"/>
              </w:rPr>
            </w:pPr>
            <w:r>
              <w:rPr>
                <w:sz w:val="13"/>
                <w:szCs w:val="13"/>
              </w:rPr>
              <w:t>建成</w:t>
            </w:r>
          </w:p>
        </w:tc>
        <w:tc>
          <w:tcPr>
            <w:tcW w:w="567" w:type="dxa"/>
            <w:gridSpan w:val="2"/>
            <w:noWrap/>
            <w:vAlign w:val="center"/>
          </w:tcPr>
          <w:p w14:paraId="05EAD122">
            <w:pPr>
              <w:pStyle w:val="149"/>
              <w:rPr>
                <w:sz w:val="13"/>
                <w:szCs w:val="13"/>
              </w:rPr>
            </w:pPr>
            <w:r>
              <w:rPr>
                <w:sz w:val="13"/>
                <w:szCs w:val="13"/>
              </w:rPr>
              <w:t>生产</w:t>
            </w:r>
          </w:p>
        </w:tc>
        <w:tc>
          <w:tcPr>
            <w:tcW w:w="992" w:type="dxa"/>
            <w:gridSpan w:val="2"/>
            <w:noWrap/>
            <w:vAlign w:val="center"/>
          </w:tcPr>
          <w:p w14:paraId="7A0F7DBD">
            <w:pPr>
              <w:pStyle w:val="149"/>
              <w:rPr>
                <w:sz w:val="13"/>
                <w:szCs w:val="13"/>
              </w:rPr>
            </w:pPr>
            <w:r>
              <w:rPr>
                <w:sz w:val="13"/>
                <w:szCs w:val="13"/>
              </w:rPr>
              <w:t>未编制</w:t>
            </w:r>
          </w:p>
        </w:tc>
        <w:tc>
          <w:tcPr>
            <w:tcW w:w="1701" w:type="dxa"/>
            <w:gridSpan w:val="2"/>
            <w:noWrap/>
            <w:vAlign w:val="center"/>
          </w:tcPr>
          <w:p w14:paraId="3891C30E">
            <w:pPr>
              <w:pStyle w:val="149"/>
              <w:rPr>
                <w:sz w:val="13"/>
                <w:szCs w:val="13"/>
              </w:rPr>
            </w:pPr>
          </w:p>
        </w:tc>
        <w:tc>
          <w:tcPr>
            <w:tcW w:w="844" w:type="dxa"/>
            <w:noWrap/>
            <w:vAlign w:val="center"/>
          </w:tcPr>
          <w:p w14:paraId="01D9EAFA">
            <w:pPr>
              <w:pStyle w:val="149"/>
              <w:rPr>
                <w:sz w:val="13"/>
                <w:szCs w:val="13"/>
              </w:rPr>
            </w:pPr>
            <w:r>
              <w:rPr>
                <w:sz w:val="13"/>
                <w:szCs w:val="13"/>
              </w:rPr>
              <w:t xml:space="preserve">1.84 </w:t>
            </w:r>
          </w:p>
        </w:tc>
        <w:tc>
          <w:tcPr>
            <w:tcW w:w="844" w:type="dxa"/>
            <w:gridSpan w:val="2"/>
            <w:noWrap/>
            <w:vAlign w:val="center"/>
          </w:tcPr>
          <w:p w14:paraId="2B35209E">
            <w:pPr>
              <w:pStyle w:val="149"/>
              <w:rPr>
                <w:sz w:val="13"/>
                <w:szCs w:val="13"/>
              </w:rPr>
            </w:pPr>
            <w:r>
              <w:rPr>
                <w:sz w:val="13"/>
                <w:szCs w:val="13"/>
              </w:rPr>
              <w:t xml:space="preserve">1.84 </w:t>
            </w:r>
          </w:p>
        </w:tc>
        <w:tc>
          <w:tcPr>
            <w:tcW w:w="892" w:type="dxa"/>
            <w:gridSpan w:val="2"/>
            <w:vAlign w:val="center"/>
          </w:tcPr>
          <w:p w14:paraId="2B86B064">
            <w:pPr>
              <w:pStyle w:val="149"/>
              <w:rPr>
                <w:sz w:val="13"/>
                <w:szCs w:val="13"/>
              </w:rPr>
            </w:pPr>
            <w:r>
              <w:rPr>
                <w:sz w:val="13"/>
                <w:szCs w:val="13"/>
              </w:rPr>
              <w:t xml:space="preserve">0.76 </w:t>
            </w:r>
          </w:p>
        </w:tc>
        <w:tc>
          <w:tcPr>
            <w:tcW w:w="1527" w:type="dxa"/>
            <w:noWrap/>
            <w:vAlign w:val="center"/>
          </w:tcPr>
          <w:p w14:paraId="55ADF47B">
            <w:pPr>
              <w:pStyle w:val="149"/>
              <w:rPr>
                <w:sz w:val="13"/>
                <w:szCs w:val="13"/>
              </w:rPr>
            </w:pPr>
          </w:p>
        </w:tc>
        <w:tc>
          <w:tcPr>
            <w:tcW w:w="1051" w:type="dxa"/>
            <w:noWrap/>
            <w:vAlign w:val="center"/>
          </w:tcPr>
          <w:p w14:paraId="41165DE3">
            <w:pPr>
              <w:pStyle w:val="149"/>
              <w:rPr>
                <w:sz w:val="13"/>
                <w:szCs w:val="13"/>
              </w:rPr>
            </w:pPr>
            <w:r>
              <w:rPr>
                <w:sz w:val="13"/>
                <w:szCs w:val="13"/>
              </w:rPr>
              <w:t>未完成</w:t>
            </w:r>
          </w:p>
        </w:tc>
      </w:tr>
      <w:tr w14:paraId="5F6C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621D1B86">
            <w:pPr>
              <w:pStyle w:val="149"/>
              <w:rPr>
                <w:sz w:val="13"/>
                <w:szCs w:val="13"/>
              </w:rPr>
            </w:pPr>
            <w:r>
              <w:rPr>
                <w:sz w:val="13"/>
                <w:szCs w:val="13"/>
              </w:rPr>
              <w:t>49</w:t>
            </w:r>
          </w:p>
        </w:tc>
        <w:tc>
          <w:tcPr>
            <w:tcW w:w="1317" w:type="dxa"/>
            <w:noWrap/>
            <w:vAlign w:val="center"/>
          </w:tcPr>
          <w:p w14:paraId="44F963F3">
            <w:pPr>
              <w:pStyle w:val="149"/>
              <w:rPr>
                <w:sz w:val="13"/>
                <w:szCs w:val="13"/>
              </w:rPr>
            </w:pPr>
            <w:r>
              <w:rPr>
                <w:sz w:val="13"/>
                <w:szCs w:val="13"/>
              </w:rPr>
              <w:t>包头市固鑫建筑材料有限公司</w:t>
            </w:r>
          </w:p>
        </w:tc>
        <w:tc>
          <w:tcPr>
            <w:tcW w:w="2226" w:type="dxa"/>
            <w:noWrap/>
            <w:vAlign w:val="center"/>
          </w:tcPr>
          <w:p w14:paraId="359EFBA7">
            <w:pPr>
              <w:pStyle w:val="149"/>
              <w:rPr>
                <w:sz w:val="13"/>
                <w:szCs w:val="13"/>
              </w:rPr>
            </w:pPr>
            <w:r>
              <w:rPr>
                <w:sz w:val="13"/>
                <w:szCs w:val="13"/>
              </w:rPr>
              <w:t>包头市固鑫建筑材料有限公司年产20万吨商品砼项目</w:t>
            </w:r>
          </w:p>
        </w:tc>
        <w:tc>
          <w:tcPr>
            <w:tcW w:w="1418" w:type="dxa"/>
            <w:noWrap/>
            <w:vAlign w:val="center"/>
          </w:tcPr>
          <w:p w14:paraId="4CCF8810">
            <w:pPr>
              <w:pStyle w:val="149"/>
              <w:rPr>
                <w:sz w:val="13"/>
                <w:szCs w:val="13"/>
              </w:rPr>
            </w:pPr>
            <w:r>
              <w:rPr>
                <w:sz w:val="13"/>
                <w:szCs w:val="13"/>
              </w:rPr>
              <w:t>/</w:t>
            </w:r>
          </w:p>
        </w:tc>
        <w:tc>
          <w:tcPr>
            <w:tcW w:w="709" w:type="dxa"/>
            <w:noWrap/>
            <w:vAlign w:val="center"/>
          </w:tcPr>
          <w:p w14:paraId="4DE50804">
            <w:pPr>
              <w:pStyle w:val="149"/>
              <w:rPr>
                <w:sz w:val="13"/>
                <w:szCs w:val="13"/>
              </w:rPr>
            </w:pPr>
            <w:r>
              <w:rPr>
                <w:sz w:val="13"/>
                <w:szCs w:val="13"/>
              </w:rPr>
              <w:t>1.07</w:t>
            </w:r>
          </w:p>
        </w:tc>
        <w:tc>
          <w:tcPr>
            <w:tcW w:w="803" w:type="dxa"/>
            <w:noWrap/>
            <w:vAlign w:val="center"/>
          </w:tcPr>
          <w:p w14:paraId="54D216EC">
            <w:pPr>
              <w:pStyle w:val="149"/>
              <w:rPr>
                <w:sz w:val="13"/>
                <w:szCs w:val="13"/>
              </w:rPr>
            </w:pPr>
            <w:r>
              <w:rPr>
                <w:sz w:val="13"/>
                <w:szCs w:val="13"/>
              </w:rPr>
              <w:t>2019-2020</w:t>
            </w:r>
          </w:p>
        </w:tc>
        <w:tc>
          <w:tcPr>
            <w:tcW w:w="614" w:type="dxa"/>
            <w:gridSpan w:val="2"/>
            <w:noWrap/>
            <w:vAlign w:val="center"/>
          </w:tcPr>
          <w:p w14:paraId="1D59859D">
            <w:pPr>
              <w:pStyle w:val="149"/>
              <w:rPr>
                <w:sz w:val="13"/>
                <w:szCs w:val="13"/>
              </w:rPr>
            </w:pPr>
            <w:r>
              <w:rPr>
                <w:sz w:val="13"/>
                <w:szCs w:val="13"/>
              </w:rPr>
              <w:t>建成</w:t>
            </w:r>
          </w:p>
        </w:tc>
        <w:tc>
          <w:tcPr>
            <w:tcW w:w="567" w:type="dxa"/>
            <w:gridSpan w:val="2"/>
            <w:noWrap/>
            <w:vAlign w:val="center"/>
          </w:tcPr>
          <w:p w14:paraId="601BE696">
            <w:pPr>
              <w:pStyle w:val="149"/>
              <w:rPr>
                <w:sz w:val="13"/>
                <w:szCs w:val="13"/>
              </w:rPr>
            </w:pPr>
            <w:r>
              <w:rPr>
                <w:sz w:val="13"/>
                <w:szCs w:val="13"/>
              </w:rPr>
              <w:t>生产</w:t>
            </w:r>
          </w:p>
        </w:tc>
        <w:tc>
          <w:tcPr>
            <w:tcW w:w="992" w:type="dxa"/>
            <w:gridSpan w:val="2"/>
            <w:noWrap/>
            <w:vAlign w:val="center"/>
          </w:tcPr>
          <w:p w14:paraId="3DDD610C">
            <w:pPr>
              <w:pStyle w:val="149"/>
              <w:rPr>
                <w:sz w:val="13"/>
                <w:szCs w:val="13"/>
              </w:rPr>
            </w:pPr>
            <w:r>
              <w:rPr>
                <w:sz w:val="13"/>
                <w:szCs w:val="13"/>
              </w:rPr>
              <w:t>未编制</w:t>
            </w:r>
          </w:p>
        </w:tc>
        <w:tc>
          <w:tcPr>
            <w:tcW w:w="1701" w:type="dxa"/>
            <w:gridSpan w:val="2"/>
            <w:noWrap/>
            <w:vAlign w:val="center"/>
          </w:tcPr>
          <w:p w14:paraId="0A779085">
            <w:pPr>
              <w:pStyle w:val="149"/>
              <w:rPr>
                <w:sz w:val="13"/>
                <w:szCs w:val="13"/>
              </w:rPr>
            </w:pPr>
          </w:p>
        </w:tc>
        <w:tc>
          <w:tcPr>
            <w:tcW w:w="844" w:type="dxa"/>
            <w:noWrap/>
            <w:vAlign w:val="center"/>
          </w:tcPr>
          <w:p w14:paraId="12CB4549">
            <w:pPr>
              <w:pStyle w:val="149"/>
              <w:rPr>
                <w:sz w:val="13"/>
                <w:szCs w:val="13"/>
              </w:rPr>
            </w:pPr>
            <w:r>
              <w:rPr>
                <w:sz w:val="13"/>
                <w:szCs w:val="13"/>
              </w:rPr>
              <w:t xml:space="preserve">0.51 </w:t>
            </w:r>
          </w:p>
        </w:tc>
        <w:tc>
          <w:tcPr>
            <w:tcW w:w="844" w:type="dxa"/>
            <w:gridSpan w:val="2"/>
            <w:noWrap/>
            <w:vAlign w:val="center"/>
          </w:tcPr>
          <w:p w14:paraId="4A0FA63F">
            <w:pPr>
              <w:pStyle w:val="149"/>
              <w:rPr>
                <w:sz w:val="13"/>
                <w:szCs w:val="13"/>
              </w:rPr>
            </w:pPr>
            <w:r>
              <w:rPr>
                <w:sz w:val="13"/>
                <w:szCs w:val="13"/>
              </w:rPr>
              <w:t xml:space="preserve">0.51 </w:t>
            </w:r>
          </w:p>
        </w:tc>
        <w:tc>
          <w:tcPr>
            <w:tcW w:w="892" w:type="dxa"/>
            <w:gridSpan w:val="2"/>
            <w:vAlign w:val="center"/>
          </w:tcPr>
          <w:p w14:paraId="656CF8AD">
            <w:pPr>
              <w:pStyle w:val="149"/>
              <w:rPr>
                <w:sz w:val="13"/>
                <w:szCs w:val="13"/>
              </w:rPr>
            </w:pPr>
            <w:r>
              <w:rPr>
                <w:sz w:val="13"/>
                <w:szCs w:val="13"/>
              </w:rPr>
              <w:t xml:space="preserve">0.21 </w:t>
            </w:r>
          </w:p>
        </w:tc>
        <w:tc>
          <w:tcPr>
            <w:tcW w:w="1527" w:type="dxa"/>
            <w:noWrap/>
            <w:vAlign w:val="center"/>
          </w:tcPr>
          <w:p w14:paraId="30A6E676">
            <w:pPr>
              <w:pStyle w:val="149"/>
              <w:rPr>
                <w:sz w:val="13"/>
                <w:szCs w:val="13"/>
              </w:rPr>
            </w:pPr>
          </w:p>
        </w:tc>
        <w:tc>
          <w:tcPr>
            <w:tcW w:w="1051" w:type="dxa"/>
            <w:noWrap/>
            <w:vAlign w:val="center"/>
          </w:tcPr>
          <w:p w14:paraId="246A7A15">
            <w:pPr>
              <w:pStyle w:val="149"/>
              <w:rPr>
                <w:sz w:val="13"/>
                <w:szCs w:val="13"/>
              </w:rPr>
            </w:pPr>
            <w:r>
              <w:rPr>
                <w:sz w:val="13"/>
                <w:szCs w:val="13"/>
              </w:rPr>
              <w:t>未完成</w:t>
            </w:r>
          </w:p>
        </w:tc>
      </w:tr>
      <w:tr w14:paraId="500E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738A438B">
            <w:pPr>
              <w:pStyle w:val="149"/>
              <w:rPr>
                <w:sz w:val="13"/>
                <w:szCs w:val="13"/>
              </w:rPr>
            </w:pPr>
            <w:r>
              <w:rPr>
                <w:sz w:val="13"/>
                <w:szCs w:val="13"/>
              </w:rPr>
              <w:t>50</w:t>
            </w:r>
          </w:p>
        </w:tc>
        <w:tc>
          <w:tcPr>
            <w:tcW w:w="1317" w:type="dxa"/>
            <w:noWrap/>
            <w:vAlign w:val="center"/>
          </w:tcPr>
          <w:p w14:paraId="27D04877">
            <w:pPr>
              <w:pStyle w:val="149"/>
              <w:rPr>
                <w:sz w:val="13"/>
                <w:szCs w:val="13"/>
              </w:rPr>
            </w:pPr>
            <w:r>
              <w:rPr>
                <w:sz w:val="13"/>
                <w:szCs w:val="13"/>
              </w:rPr>
              <w:t>包头市兴盛信达土石方工程有限公司</w:t>
            </w:r>
          </w:p>
        </w:tc>
        <w:tc>
          <w:tcPr>
            <w:tcW w:w="2226" w:type="dxa"/>
            <w:noWrap/>
            <w:vAlign w:val="center"/>
          </w:tcPr>
          <w:p w14:paraId="15E04592">
            <w:pPr>
              <w:pStyle w:val="149"/>
              <w:rPr>
                <w:sz w:val="13"/>
                <w:szCs w:val="13"/>
              </w:rPr>
            </w:pPr>
            <w:r>
              <w:rPr>
                <w:sz w:val="13"/>
                <w:szCs w:val="13"/>
              </w:rPr>
              <w:t>包头市兴盛信达土石方工程有限公司年产20万吨商品砼项目</w:t>
            </w:r>
          </w:p>
        </w:tc>
        <w:tc>
          <w:tcPr>
            <w:tcW w:w="1418" w:type="dxa"/>
            <w:noWrap/>
            <w:vAlign w:val="center"/>
          </w:tcPr>
          <w:p w14:paraId="533A185D">
            <w:pPr>
              <w:pStyle w:val="149"/>
              <w:rPr>
                <w:sz w:val="13"/>
                <w:szCs w:val="13"/>
              </w:rPr>
            </w:pPr>
            <w:r>
              <w:rPr>
                <w:sz w:val="13"/>
                <w:szCs w:val="13"/>
              </w:rPr>
              <w:t>/</w:t>
            </w:r>
          </w:p>
        </w:tc>
        <w:tc>
          <w:tcPr>
            <w:tcW w:w="709" w:type="dxa"/>
            <w:noWrap/>
            <w:vAlign w:val="center"/>
          </w:tcPr>
          <w:p w14:paraId="12606A38">
            <w:pPr>
              <w:pStyle w:val="149"/>
              <w:rPr>
                <w:sz w:val="13"/>
                <w:szCs w:val="13"/>
              </w:rPr>
            </w:pPr>
            <w:r>
              <w:rPr>
                <w:sz w:val="13"/>
                <w:szCs w:val="13"/>
              </w:rPr>
              <w:t>1.07</w:t>
            </w:r>
          </w:p>
        </w:tc>
        <w:tc>
          <w:tcPr>
            <w:tcW w:w="803" w:type="dxa"/>
            <w:noWrap/>
            <w:vAlign w:val="center"/>
          </w:tcPr>
          <w:p w14:paraId="3654F4AA">
            <w:pPr>
              <w:pStyle w:val="149"/>
              <w:rPr>
                <w:sz w:val="13"/>
                <w:szCs w:val="13"/>
              </w:rPr>
            </w:pPr>
            <w:r>
              <w:rPr>
                <w:sz w:val="13"/>
                <w:szCs w:val="13"/>
              </w:rPr>
              <w:t>2019-2020</w:t>
            </w:r>
          </w:p>
        </w:tc>
        <w:tc>
          <w:tcPr>
            <w:tcW w:w="614" w:type="dxa"/>
            <w:gridSpan w:val="2"/>
            <w:noWrap/>
            <w:vAlign w:val="center"/>
          </w:tcPr>
          <w:p w14:paraId="669250A6">
            <w:pPr>
              <w:pStyle w:val="149"/>
              <w:rPr>
                <w:sz w:val="13"/>
                <w:szCs w:val="13"/>
              </w:rPr>
            </w:pPr>
            <w:r>
              <w:rPr>
                <w:sz w:val="13"/>
                <w:szCs w:val="13"/>
              </w:rPr>
              <w:t>建成</w:t>
            </w:r>
          </w:p>
        </w:tc>
        <w:tc>
          <w:tcPr>
            <w:tcW w:w="567" w:type="dxa"/>
            <w:gridSpan w:val="2"/>
            <w:noWrap/>
            <w:vAlign w:val="center"/>
          </w:tcPr>
          <w:p w14:paraId="3651E321">
            <w:pPr>
              <w:pStyle w:val="149"/>
              <w:rPr>
                <w:sz w:val="13"/>
                <w:szCs w:val="13"/>
              </w:rPr>
            </w:pPr>
            <w:r>
              <w:rPr>
                <w:sz w:val="13"/>
                <w:szCs w:val="13"/>
              </w:rPr>
              <w:t>生产</w:t>
            </w:r>
          </w:p>
        </w:tc>
        <w:tc>
          <w:tcPr>
            <w:tcW w:w="992" w:type="dxa"/>
            <w:gridSpan w:val="2"/>
            <w:noWrap/>
            <w:vAlign w:val="center"/>
          </w:tcPr>
          <w:p w14:paraId="73381279">
            <w:pPr>
              <w:pStyle w:val="149"/>
              <w:rPr>
                <w:sz w:val="13"/>
                <w:szCs w:val="13"/>
              </w:rPr>
            </w:pPr>
            <w:r>
              <w:rPr>
                <w:sz w:val="13"/>
                <w:szCs w:val="13"/>
              </w:rPr>
              <w:t>未编制</w:t>
            </w:r>
          </w:p>
        </w:tc>
        <w:tc>
          <w:tcPr>
            <w:tcW w:w="1701" w:type="dxa"/>
            <w:gridSpan w:val="2"/>
            <w:noWrap/>
            <w:vAlign w:val="center"/>
          </w:tcPr>
          <w:p w14:paraId="0E1EC68D">
            <w:pPr>
              <w:pStyle w:val="149"/>
              <w:rPr>
                <w:sz w:val="13"/>
                <w:szCs w:val="13"/>
              </w:rPr>
            </w:pPr>
          </w:p>
        </w:tc>
        <w:tc>
          <w:tcPr>
            <w:tcW w:w="844" w:type="dxa"/>
            <w:noWrap/>
            <w:vAlign w:val="center"/>
          </w:tcPr>
          <w:p w14:paraId="6526CA41">
            <w:pPr>
              <w:pStyle w:val="149"/>
              <w:rPr>
                <w:sz w:val="13"/>
                <w:szCs w:val="13"/>
              </w:rPr>
            </w:pPr>
            <w:r>
              <w:rPr>
                <w:sz w:val="13"/>
                <w:szCs w:val="13"/>
              </w:rPr>
              <w:t xml:space="preserve">0.51 </w:t>
            </w:r>
          </w:p>
        </w:tc>
        <w:tc>
          <w:tcPr>
            <w:tcW w:w="844" w:type="dxa"/>
            <w:gridSpan w:val="2"/>
            <w:noWrap/>
            <w:vAlign w:val="center"/>
          </w:tcPr>
          <w:p w14:paraId="44C16985">
            <w:pPr>
              <w:pStyle w:val="149"/>
              <w:rPr>
                <w:sz w:val="13"/>
                <w:szCs w:val="13"/>
              </w:rPr>
            </w:pPr>
            <w:r>
              <w:rPr>
                <w:sz w:val="13"/>
                <w:szCs w:val="13"/>
              </w:rPr>
              <w:t xml:space="preserve">0.51 </w:t>
            </w:r>
          </w:p>
        </w:tc>
        <w:tc>
          <w:tcPr>
            <w:tcW w:w="892" w:type="dxa"/>
            <w:gridSpan w:val="2"/>
            <w:vAlign w:val="center"/>
          </w:tcPr>
          <w:p w14:paraId="0984943A">
            <w:pPr>
              <w:pStyle w:val="149"/>
              <w:rPr>
                <w:sz w:val="13"/>
                <w:szCs w:val="13"/>
              </w:rPr>
            </w:pPr>
            <w:r>
              <w:rPr>
                <w:sz w:val="13"/>
                <w:szCs w:val="13"/>
              </w:rPr>
              <w:t xml:space="preserve">0.21 </w:t>
            </w:r>
          </w:p>
        </w:tc>
        <w:tc>
          <w:tcPr>
            <w:tcW w:w="1527" w:type="dxa"/>
            <w:noWrap/>
            <w:vAlign w:val="center"/>
          </w:tcPr>
          <w:p w14:paraId="528FD1D9">
            <w:pPr>
              <w:pStyle w:val="149"/>
              <w:rPr>
                <w:sz w:val="13"/>
                <w:szCs w:val="13"/>
              </w:rPr>
            </w:pPr>
          </w:p>
        </w:tc>
        <w:tc>
          <w:tcPr>
            <w:tcW w:w="1051" w:type="dxa"/>
            <w:noWrap/>
            <w:vAlign w:val="center"/>
          </w:tcPr>
          <w:p w14:paraId="7F67A80E">
            <w:pPr>
              <w:pStyle w:val="149"/>
              <w:rPr>
                <w:sz w:val="13"/>
                <w:szCs w:val="13"/>
              </w:rPr>
            </w:pPr>
            <w:r>
              <w:rPr>
                <w:sz w:val="13"/>
                <w:szCs w:val="13"/>
              </w:rPr>
              <w:t>未完成</w:t>
            </w:r>
          </w:p>
        </w:tc>
      </w:tr>
      <w:tr w14:paraId="14D0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2A99A91D">
            <w:pPr>
              <w:pStyle w:val="149"/>
              <w:rPr>
                <w:sz w:val="13"/>
                <w:szCs w:val="13"/>
              </w:rPr>
            </w:pPr>
            <w:r>
              <w:rPr>
                <w:sz w:val="13"/>
                <w:szCs w:val="13"/>
              </w:rPr>
              <w:t>51</w:t>
            </w:r>
          </w:p>
        </w:tc>
        <w:tc>
          <w:tcPr>
            <w:tcW w:w="1317" w:type="dxa"/>
            <w:noWrap/>
            <w:vAlign w:val="center"/>
          </w:tcPr>
          <w:p w14:paraId="6D050AD3">
            <w:pPr>
              <w:pStyle w:val="149"/>
              <w:rPr>
                <w:sz w:val="13"/>
                <w:szCs w:val="13"/>
              </w:rPr>
            </w:pPr>
            <w:r>
              <w:rPr>
                <w:sz w:val="13"/>
                <w:szCs w:val="13"/>
              </w:rPr>
              <w:t>包头市永煊公路工程有限公司</w:t>
            </w:r>
          </w:p>
        </w:tc>
        <w:tc>
          <w:tcPr>
            <w:tcW w:w="2226" w:type="dxa"/>
            <w:noWrap/>
            <w:vAlign w:val="center"/>
          </w:tcPr>
          <w:p w14:paraId="6DA0FB78">
            <w:pPr>
              <w:pStyle w:val="149"/>
              <w:rPr>
                <w:sz w:val="13"/>
                <w:szCs w:val="13"/>
              </w:rPr>
            </w:pPr>
            <w:r>
              <w:rPr>
                <w:sz w:val="13"/>
                <w:szCs w:val="13"/>
              </w:rPr>
              <w:t>包头市永煊公路工程有限公司混凝土、沥青项目</w:t>
            </w:r>
          </w:p>
        </w:tc>
        <w:tc>
          <w:tcPr>
            <w:tcW w:w="1418" w:type="dxa"/>
            <w:noWrap/>
            <w:vAlign w:val="center"/>
          </w:tcPr>
          <w:p w14:paraId="093FDB91">
            <w:pPr>
              <w:pStyle w:val="149"/>
              <w:rPr>
                <w:sz w:val="13"/>
                <w:szCs w:val="13"/>
              </w:rPr>
            </w:pPr>
            <w:r>
              <w:rPr>
                <w:sz w:val="13"/>
                <w:szCs w:val="13"/>
              </w:rPr>
              <w:t>/</w:t>
            </w:r>
          </w:p>
        </w:tc>
        <w:tc>
          <w:tcPr>
            <w:tcW w:w="709" w:type="dxa"/>
            <w:noWrap/>
            <w:vAlign w:val="center"/>
          </w:tcPr>
          <w:p w14:paraId="591E7C44">
            <w:pPr>
              <w:pStyle w:val="149"/>
              <w:rPr>
                <w:sz w:val="13"/>
                <w:szCs w:val="13"/>
              </w:rPr>
            </w:pPr>
            <w:r>
              <w:rPr>
                <w:sz w:val="13"/>
                <w:szCs w:val="13"/>
              </w:rPr>
              <w:t>2.75</w:t>
            </w:r>
          </w:p>
        </w:tc>
        <w:tc>
          <w:tcPr>
            <w:tcW w:w="803" w:type="dxa"/>
            <w:noWrap/>
            <w:vAlign w:val="center"/>
          </w:tcPr>
          <w:p w14:paraId="50552B3B">
            <w:pPr>
              <w:pStyle w:val="149"/>
              <w:rPr>
                <w:sz w:val="13"/>
                <w:szCs w:val="13"/>
              </w:rPr>
            </w:pPr>
            <w:r>
              <w:rPr>
                <w:sz w:val="13"/>
                <w:szCs w:val="13"/>
              </w:rPr>
              <w:t>2019-2020</w:t>
            </w:r>
          </w:p>
        </w:tc>
        <w:tc>
          <w:tcPr>
            <w:tcW w:w="614" w:type="dxa"/>
            <w:gridSpan w:val="2"/>
            <w:noWrap/>
            <w:vAlign w:val="center"/>
          </w:tcPr>
          <w:p w14:paraId="523C8B13">
            <w:pPr>
              <w:pStyle w:val="149"/>
              <w:rPr>
                <w:sz w:val="13"/>
                <w:szCs w:val="13"/>
              </w:rPr>
            </w:pPr>
            <w:r>
              <w:rPr>
                <w:sz w:val="13"/>
                <w:szCs w:val="13"/>
              </w:rPr>
              <w:t>建成</w:t>
            </w:r>
          </w:p>
        </w:tc>
        <w:tc>
          <w:tcPr>
            <w:tcW w:w="567" w:type="dxa"/>
            <w:gridSpan w:val="2"/>
            <w:noWrap/>
            <w:vAlign w:val="center"/>
          </w:tcPr>
          <w:p w14:paraId="7DF5FEDC">
            <w:pPr>
              <w:pStyle w:val="149"/>
              <w:rPr>
                <w:sz w:val="13"/>
                <w:szCs w:val="13"/>
              </w:rPr>
            </w:pPr>
            <w:r>
              <w:rPr>
                <w:sz w:val="13"/>
                <w:szCs w:val="13"/>
              </w:rPr>
              <w:t>生产</w:t>
            </w:r>
          </w:p>
        </w:tc>
        <w:tc>
          <w:tcPr>
            <w:tcW w:w="992" w:type="dxa"/>
            <w:gridSpan w:val="2"/>
            <w:noWrap/>
            <w:vAlign w:val="center"/>
          </w:tcPr>
          <w:p w14:paraId="27390F8D">
            <w:pPr>
              <w:pStyle w:val="149"/>
              <w:rPr>
                <w:sz w:val="13"/>
                <w:szCs w:val="13"/>
              </w:rPr>
            </w:pPr>
            <w:r>
              <w:rPr>
                <w:sz w:val="13"/>
                <w:szCs w:val="13"/>
              </w:rPr>
              <w:t>未编制</w:t>
            </w:r>
          </w:p>
        </w:tc>
        <w:tc>
          <w:tcPr>
            <w:tcW w:w="1701" w:type="dxa"/>
            <w:gridSpan w:val="2"/>
            <w:noWrap/>
            <w:vAlign w:val="center"/>
          </w:tcPr>
          <w:p w14:paraId="34848A9A">
            <w:pPr>
              <w:pStyle w:val="149"/>
              <w:rPr>
                <w:sz w:val="13"/>
                <w:szCs w:val="13"/>
              </w:rPr>
            </w:pPr>
          </w:p>
        </w:tc>
        <w:tc>
          <w:tcPr>
            <w:tcW w:w="844" w:type="dxa"/>
            <w:noWrap/>
            <w:vAlign w:val="center"/>
          </w:tcPr>
          <w:p w14:paraId="4E88A18B">
            <w:pPr>
              <w:pStyle w:val="149"/>
              <w:rPr>
                <w:sz w:val="13"/>
                <w:szCs w:val="13"/>
              </w:rPr>
            </w:pPr>
            <w:r>
              <w:rPr>
                <w:sz w:val="13"/>
                <w:szCs w:val="13"/>
              </w:rPr>
              <w:t xml:space="preserve">1.30 </w:t>
            </w:r>
          </w:p>
        </w:tc>
        <w:tc>
          <w:tcPr>
            <w:tcW w:w="844" w:type="dxa"/>
            <w:gridSpan w:val="2"/>
            <w:noWrap/>
            <w:vAlign w:val="center"/>
          </w:tcPr>
          <w:p w14:paraId="183969A2">
            <w:pPr>
              <w:pStyle w:val="149"/>
              <w:rPr>
                <w:sz w:val="13"/>
                <w:szCs w:val="13"/>
              </w:rPr>
            </w:pPr>
            <w:r>
              <w:rPr>
                <w:sz w:val="13"/>
                <w:szCs w:val="13"/>
              </w:rPr>
              <w:t xml:space="preserve">1.30 </w:t>
            </w:r>
          </w:p>
        </w:tc>
        <w:tc>
          <w:tcPr>
            <w:tcW w:w="892" w:type="dxa"/>
            <w:gridSpan w:val="2"/>
            <w:vAlign w:val="center"/>
          </w:tcPr>
          <w:p w14:paraId="2B31DFD2">
            <w:pPr>
              <w:pStyle w:val="149"/>
              <w:rPr>
                <w:sz w:val="13"/>
                <w:szCs w:val="13"/>
              </w:rPr>
            </w:pPr>
            <w:r>
              <w:rPr>
                <w:sz w:val="13"/>
                <w:szCs w:val="13"/>
              </w:rPr>
              <w:t xml:space="preserve">0.54 </w:t>
            </w:r>
          </w:p>
        </w:tc>
        <w:tc>
          <w:tcPr>
            <w:tcW w:w="1527" w:type="dxa"/>
            <w:noWrap/>
            <w:vAlign w:val="center"/>
          </w:tcPr>
          <w:p w14:paraId="23AE34D6">
            <w:pPr>
              <w:pStyle w:val="149"/>
              <w:rPr>
                <w:sz w:val="13"/>
                <w:szCs w:val="13"/>
              </w:rPr>
            </w:pPr>
          </w:p>
        </w:tc>
        <w:tc>
          <w:tcPr>
            <w:tcW w:w="1051" w:type="dxa"/>
            <w:noWrap/>
            <w:vAlign w:val="center"/>
          </w:tcPr>
          <w:p w14:paraId="107E18F4">
            <w:pPr>
              <w:pStyle w:val="149"/>
              <w:rPr>
                <w:sz w:val="13"/>
                <w:szCs w:val="13"/>
              </w:rPr>
            </w:pPr>
            <w:r>
              <w:rPr>
                <w:sz w:val="13"/>
                <w:szCs w:val="13"/>
              </w:rPr>
              <w:t>未完成</w:t>
            </w:r>
          </w:p>
        </w:tc>
      </w:tr>
      <w:tr w14:paraId="075F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3A762183">
            <w:pPr>
              <w:pStyle w:val="149"/>
              <w:rPr>
                <w:sz w:val="13"/>
                <w:szCs w:val="13"/>
              </w:rPr>
            </w:pPr>
            <w:r>
              <w:rPr>
                <w:sz w:val="13"/>
                <w:szCs w:val="13"/>
              </w:rPr>
              <w:t>52</w:t>
            </w:r>
          </w:p>
        </w:tc>
        <w:tc>
          <w:tcPr>
            <w:tcW w:w="1317" w:type="dxa"/>
            <w:noWrap/>
            <w:vAlign w:val="center"/>
          </w:tcPr>
          <w:p w14:paraId="538E82CC">
            <w:pPr>
              <w:pStyle w:val="149"/>
              <w:rPr>
                <w:sz w:val="13"/>
                <w:szCs w:val="13"/>
              </w:rPr>
            </w:pPr>
            <w:r>
              <w:rPr>
                <w:sz w:val="13"/>
                <w:szCs w:val="13"/>
              </w:rPr>
              <w:t>内蒙古达力建建筑材料有限公司</w:t>
            </w:r>
          </w:p>
        </w:tc>
        <w:tc>
          <w:tcPr>
            <w:tcW w:w="2226" w:type="dxa"/>
            <w:noWrap/>
            <w:vAlign w:val="center"/>
          </w:tcPr>
          <w:p w14:paraId="5362DDCA">
            <w:pPr>
              <w:pStyle w:val="149"/>
              <w:rPr>
                <w:sz w:val="13"/>
                <w:szCs w:val="13"/>
              </w:rPr>
            </w:pPr>
            <w:r>
              <w:rPr>
                <w:sz w:val="13"/>
                <w:szCs w:val="13"/>
              </w:rPr>
              <w:t>内蒙古达力建建筑材料有限公司年产20万吨商品砼项目</w:t>
            </w:r>
          </w:p>
        </w:tc>
        <w:tc>
          <w:tcPr>
            <w:tcW w:w="1418" w:type="dxa"/>
            <w:noWrap/>
            <w:vAlign w:val="center"/>
          </w:tcPr>
          <w:p w14:paraId="0E254328">
            <w:pPr>
              <w:pStyle w:val="149"/>
              <w:rPr>
                <w:sz w:val="13"/>
                <w:szCs w:val="13"/>
              </w:rPr>
            </w:pPr>
            <w:r>
              <w:rPr>
                <w:sz w:val="13"/>
                <w:szCs w:val="13"/>
              </w:rPr>
              <w:t>/</w:t>
            </w:r>
          </w:p>
        </w:tc>
        <w:tc>
          <w:tcPr>
            <w:tcW w:w="709" w:type="dxa"/>
            <w:noWrap/>
            <w:vAlign w:val="center"/>
          </w:tcPr>
          <w:p w14:paraId="5C8754FA">
            <w:pPr>
              <w:pStyle w:val="149"/>
              <w:rPr>
                <w:sz w:val="13"/>
                <w:szCs w:val="13"/>
              </w:rPr>
            </w:pPr>
            <w:r>
              <w:rPr>
                <w:sz w:val="13"/>
                <w:szCs w:val="13"/>
              </w:rPr>
              <w:t>1.07</w:t>
            </w:r>
          </w:p>
        </w:tc>
        <w:tc>
          <w:tcPr>
            <w:tcW w:w="803" w:type="dxa"/>
            <w:noWrap/>
            <w:vAlign w:val="center"/>
          </w:tcPr>
          <w:p w14:paraId="3DD479CD">
            <w:pPr>
              <w:pStyle w:val="149"/>
              <w:rPr>
                <w:sz w:val="13"/>
                <w:szCs w:val="13"/>
              </w:rPr>
            </w:pPr>
            <w:r>
              <w:rPr>
                <w:sz w:val="13"/>
                <w:szCs w:val="13"/>
              </w:rPr>
              <w:t>2019-2020</w:t>
            </w:r>
          </w:p>
        </w:tc>
        <w:tc>
          <w:tcPr>
            <w:tcW w:w="614" w:type="dxa"/>
            <w:gridSpan w:val="2"/>
            <w:noWrap/>
            <w:vAlign w:val="center"/>
          </w:tcPr>
          <w:p w14:paraId="3A3F856B">
            <w:pPr>
              <w:pStyle w:val="149"/>
              <w:rPr>
                <w:sz w:val="13"/>
                <w:szCs w:val="13"/>
              </w:rPr>
            </w:pPr>
            <w:r>
              <w:rPr>
                <w:sz w:val="13"/>
                <w:szCs w:val="13"/>
              </w:rPr>
              <w:t>建成</w:t>
            </w:r>
          </w:p>
        </w:tc>
        <w:tc>
          <w:tcPr>
            <w:tcW w:w="567" w:type="dxa"/>
            <w:gridSpan w:val="2"/>
            <w:noWrap/>
            <w:vAlign w:val="center"/>
          </w:tcPr>
          <w:p w14:paraId="3121AAF1">
            <w:pPr>
              <w:pStyle w:val="149"/>
              <w:rPr>
                <w:sz w:val="13"/>
                <w:szCs w:val="13"/>
              </w:rPr>
            </w:pPr>
            <w:r>
              <w:rPr>
                <w:sz w:val="13"/>
                <w:szCs w:val="13"/>
              </w:rPr>
              <w:t>生产</w:t>
            </w:r>
          </w:p>
        </w:tc>
        <w:tc>
          <w:tcPr>
            <w:tcW w:w="992" w:type="dxa"/>
            <w:gridSpan w:val="2"/>
            <w:noWrap/>
            <w:vAlign w:val="center"/>
          </w:tcPr>
          <w:p w14:paraId="4E54CB20">
            <w:pPr>
              <w:pStyle w:val="149"/>
              <w:rPr>
                <w:sz w:val="13"/>
                <w:szCs w:val="13"/>
              </w:rPr>
            </w:pPr>
            <w:r>
              <w:rPr>
                <w:sz w:val="13"/>
                <w:szCs w:val="13"/>
              </w:rPr>
              <w:t>未编制</w:t>
            </w:r>
          </w:p>
        </w:tc>
        <w:tc>
          <w:tcPr>
            <w:tcW w:w="1701" w:type="dxa"/>
            <w:gridSpan w:val="2"/>
            <w:noWrap/>
            <w:vAlign w:val="center"/>
          </w:tcPr>
          <w:p w14:paraId="5D3045C5">
            <w:pPr>
              <w:pStyle w:val="149"/>
              <w:rPr>
                <w:sz w:val="13"/>
                <w:szCs w:val="13"/>
              </w:rPr>
            </w:pPr>
          </w:p>
        </w:tc>
        <w:tc>
          <w:tcPr>
            <w:tcW w:w="844" w:type="dxa"/>
            <w:noWrap/>
            <w:vAlign w:val="center"/>
          </w:tcPr>
          <w:p w14:paraId="29113F7F">
            <w:pPr>
              <w:pStyle w:val="149"/>
              <w:rPr>
                <w:sz w:val="13"/>
                <w:szCs w:val="13"/>
              </w:rPr>
            </w:pPr>
            <w:r>
              <w:rPr>
                <w:sz w:val="13"/>
                <w:szCs w:val="13"/>
              </w:rPr>
              <w:t xml:space="preserve">0.51 </w:t>
            </w:r>
          </w:p>
        </w:tc>
        <w:tc>
          <w:tcPr>
            <w:tcW w:w="844" w:type="dxa"/>
            <w:gridSpan w:val="2"/>
            <w:noWrap/>
            <w:vAlign w:val="center"/>
          </w:tcPr>
          <w:p w14:paraId="2A3DAECD">
            <w:pPr>
              <w:pStyle w:val="149"/>
              <w:rPr>
                <w:sz w:val="13"/>
                <w:szCs w:val="13"/>
              </w:rPr>
            </w:pPr>
            <w:r>
              <w:rPr>
                <w:sz w:val="13"/>
                <w:szCs w:val="13"/>
              </w:rPr>
              <w:t xml:space="preserve">0.51 </w:t>
            </w:r>
          </w:p>
        </w:tc>
        <w:tc>
          <w:tcPr>
            <w:tcW w:w="892" w:type="dxa"/>
            <w:gridSpan w:val="2"/>
            <w:vAlign w:val="center"/>
          </w:tcPr>
          <w:p w14:paraId="18A809E1">
            <w:pPr>
              <w:pStyle w:val="149"/>
              <w:rPr>
                <w:sz w:val="13"/>
                <w:szCs w:val="13"/>
              </w:rPr>
            </w:pPr>
            <w:r>
              <w:rPr>
                <w:sz w:val="13"/>
                <w:szCs w:val="13"/>
              </w:rPr>
              <w:t xml:space="preserve">0.21 </w:t>
            </w:r>
          </w:p>
        </w:tc>
        <w:tc>
          <w:tcPr>
            <w:tcW w:w="1527" w:type="dxa"/>
            <w:noWrap/>
            <w:vAlign w:val="center"/>
          </w:tcPr>
          <w:p w14:paraId="48E60AE5">
            <w:pPr>
              <w:pStyle w:val="149"/>
              <w:rPr>
                <w:sz w:val="13"/>
                <w:szCs w:val="13"/>
              </w:rPr>
            </w:pPr>
          </w:p>
        </w:tc>
        <w:tc>
          <w:tcPr>
            <w:tcW w:w="1051" w:type="dxa"/>
            <w:noWrap/>
            <w:vAlign w:val="center"/>
          </w:tcPr>
          <w:p w14:paraId="24DD4162">
            <w:pPr>
              <w:pStyle w:val="149"/>
              <w:rPr>
                <w:sz w:val="13"/>
                <w:szCs w:val="13"/>
              </w:rPr>
            </w:pPr>
            <w:r>
              <w:rPr>
                <w:sz w:val="13"/>
                <w:szCs w:val="13"/>
              </w:rPr>
              <w:t>未完成</w:t>
            </w:r>
          </w:p>
        </w:tc>
      </w:tr>
      <w:tr w14:paraId="05B04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2B4BD0E6">
            <w:pPr>
              <w:pStyle w:val="149"/>
              <w:rPr>
                <w:sz w:val="13"/>
                <w:szCs w:val="13"/>
              </w:rPr>
            </w:pPr>
            <w:r>
              <w:rPr>
                <w:sz w:val="13"/>
                <w:szCs w:val="13"/>
              </w:rPr>
              <w:t>53</w:t>
            </w:r>
          </w:p>
        </w:tc>
        <w:tc>
          <w:tcPr>
            <w:tcW w:w="1317" w:type="dxa"/>
            <w:noWrap/>
            <w:vAlign w:val="center"/>
          </w:tcPr>
          <w:p w14:paraId="374C1A7B">
            <w:pPr>
              <w:pStyle w:val="149"/>
              <w:rPr>
                <w:sz w:val="13"/>
                <w:szCs w:val="13"/>
              </w:rPr>
            </w:pPr>
            <w:r>
              <w:rPr>
                <w:sz w:val="13"/>
                <w:szCs w:val="13"/>
              </w:rPr>
              <w:t>包头时固泰混凝土有限公司</w:t>
            </w:r>
          </w:p>
        </w:tc>
        <w:tc>
          <w:tcPr>
            <w:tcW w:w="2226" w:type="dxa"/>
            <w:noWrap/>
            <w:vAlign w:val="center"/>
          </w:tcPr>
          <w:p w14:paraId="79B37FDE">
            <w:pPr>
              <w:pStyle w:val="149"/>
              <w:rPr>
                <w:sz w:val="13"/>
                <w:szCs w:val="13"/>
              </w:rPr>
            </w:pPr>
            <w:r>
              <w:rPr>
                <w:sz w:val="13"/>
                <w:szCs w:val="13"/>
              </w:rPr>
              <w:t>包头市固泰混凝土有限公司年产40万立方商品混凝土建设项目</w:t>
            </w:r>
          </w:p>
        </w:tc>
        <w:tc>
          <w:tcPr>
            <w:tcW w:w="1418" w:type="dxa"/>
            <w:noWrap/>
            <w:vAlign w:val="center"/>
          </w:tcPr>
          <w:p w14:paraId="4874D9F6">
            <w:pPr>
              <w:pStyle w:val="149"/>
              <w:rPr>
                <w:sz w:val="13"/>
                <w:szCs w:val="13"/>
              </w:rPr>
            </w:pPr>
            <w:r>
              <w:rPr>
                <w:sz w:val="13"/>
                <w:szCs w:val="13"/>
              </w:rPr>
              <w:t>/</w:t>
            </w:r>
          </w:p>
        </w:tc>
        <w:tc>
          <w:tcPr>
            <w:tcW w:w="709" w:type="dxa"/>
            <w:noWrap/>
            <w:vAlign w:val="center"/>
          </w:tcPr>
          <w:p w14:paraId="6CD927F1">
            <w:pPr>
              <w:pStyle w:val="149"/>
              <w:rPr>
                <w:sz w:val="13"/>
                <w:szCs w:val="13"/>
              </w:rPr>
            </w:pPr>
            <w:r>
              <w:rPr>
                <w:sz w:val="13"/>
                <w:szCs w:val="13"/>
              </w:rPr>
              <w:t>1.61</w:t>
            </w:r>
          </w:p>
        </w:tc>
        <w:tc>
          <w:tcPr>
            <w:tcW w:w="803" w:type="dxa"/>
            <w:noWrap/>
            <w:vAlign w:val="center"/>
          </w:tcPr>
          <w:p w14:paraId="0032877D">
            <w:pPr>
              <w:pStyle w:val="149"/>
              <w:rPr>
                <w:sz w:val="13"/>
                <w:szCs w:val="13"/>
              </w:rPr>
            </w:pPr>
            <w:r>
              <w:rPr>
                <w:sz w:val="13"/>
                <w:szCs w:val="13"/>
              </w:rPr>
              <w:t>2020-2021</w:t>
            </w:r>
          </w:p>
        </w:tc>
        <w:tc>
          <w:tcPr>
            <w:tcW w:w="614" w:type="dxa"/>
            <w:gridSpan w:val="2"/>
            <w:noWrap/>
            <w:vAlign w:val="center"/>
          </w:tcPr>
          <w:p w14:paraId="6A4F8AB5">
            <w:pPr>
              <w:pStyle w:val="149"/>
              <w:rPr>
                <w:sz w:val="13"/>
                <w:szCs w:val="13"/>
              </w:rPr>
            </w:pPr>
            <w:r>
              <w:rPr>
                <w:sz w:val="13"/>
                <w:szCs w:val="13"/>
              </w:rPr>
              <w:t>建成</w:t>
            </w:r>
          </w:p>
        </w:tc>
        <w:tc>
          <w:tcPr>
            <w:tcW w:w="567" w:type="dxa"/>
            <w:gridSpan w:val="2"/>
            <w:noWrap/>
            <w:vAlign w:val="center"/>
          </w:tcPr>
          <w:p w14:paraId="022E60B6">
            <w:pPr>
              <w:pStyle w:val="149"/>
              <w:rPr>
                <w:sz w:val="13"/>
                <w:szCs w:val="13"/>
              </w:rPr>
            </w:pPr>
            <w:r>
              <w:rPr>
                <w:sz w:val="13"/>
                <w:szCs w:val="13"/>
              </w:rPr>
              <w:t>生产</w:t>
            </w:r>
          </w:p>
        </w:tc>
        <w:tc>
          <w:tcPr>
            <w:tcW w:w="992" w:type="dxa"/>
            <w:gridSpan w:val="2"/>
            <w:noWrap/>
            <w:vAlign w:val="center"/>
          </w:tcPr>
          <w:p w14:paraId="3E81A856">
            <w:pPr>
              <w:pStyle w:val="149"/>
              <w:rPr>
                <w:sz w:val="13"/>
                <w:szCs w:val="13"/>
              </w:rPr>
            </w:pPr>
            <w:r>
              <w:rPr>
                <w:sz w:val="13"/>
                <w:szCs w:val="13"/>
              </w:rPr>
              <w:t>未编制</w:t>
            </w:r>
          </w:p>
        </w:tc>
        <w:tc>
          <w:tcPr>
            <w:tcW w:w="1701" w:type="dxa"/>
            <w:gridSpan w:val="2"/>
            <w:noWrap/>
            <w:vAlign w:val="center"/>
          </w:tcPr>
          <w:p w14:paraId="5A0DAA20">
            <w:pPr>
              <w:pStyle w:val="149"/>
              <w:rPr>
                <w:sz w:val="13"/>
                <w:szCs w:val="13"/>
              </w:rPr>
            </w:pPr>
          </w:p>
        </w:tc>
        <w:tc>
          <w:tcPr>
            <w:tcW w:w="844" w:type="dxa"/>
            <w:noWrap/>
            <w:vAlign w:val="center"/>
          </w:tcPr>
          <w:p w14:paraId="10F18D2A">
            <w:pPr>
              <w:pStyle w:val="149"/>
              <w:rPr>
                <w:sz w:val="13"/>
                <w:szCs w:val="13"/>
              </w:rPr>
            </w:pPr>
            <w:r>
              <w:rPr>
                <w:sz w:val="13"/>
                <w:szCs w:val="13"/>
              </w:rPr>
              <w:t xml:space="preserve">0.76 </w:t>
            </w:r>
          </w:p>
        </w:tc>
        <w:tc>
          <w:tcPr>
            <w:tcW w:w="844" w:type="dxa"/>
            <w:gridSpan w:val="2"/>
            <w:noWrap/>
            <w:vAlign w:val="center"/>
          </w:tcPr>
          <w:p w14:paraId="181BEA3A">
            <w:pPr>
              <w:pStyle w:val="149"/>
              <w:rPr>
                <w:sz w:val="13"/>
                <w:szCs w:val="13"/>
              </w:rPr>
            </w:pPr>
            <w:r>
              <w:rPr>
                <w:sz w:val="13"/>
                <w:szCs w:val="13"/>
              </w:rPr>
              <w:t xml:space="preserve">0.76 </w:t>
            </w:r>
          </w:p>
        </w:tc>
        <w:tc>
          <w:tcPr>
            <w:tcW w:w="892" w:type="dxa"/>
            <w:gridSpan w:val="2"/>
            <w:vAlign w:val="center"/>
          </w:tcPr>
          <w:p w14:paraId="788B5723">
            <w:pPr>
              <w:pStyle w:val="149"/>
              <w:rPr>
                <w:sz w:val="13"/>
                <w:szCs w:val="13"/>
              </w:rPr>
            </w:pPr>
            <w:r>
              <w:rPr>
                <w:sz w:val="13"/>
                <w:szCs w:val="13"/>
              </w:rPr>
              <w:t xml:space="preserve">0.32 </w:t>
            </w:r>
          </w:p>
        </w:tc>
        <w:tc>
          <w:tcPr>
            <w:tcW w:w="1527" w:type="dxa"/>
            <w:noWrap/>
            <w:vAlign w:val="center"/>
          </w:tcPr>
          <w:p w14:paraId="3E9669BB">
            <w:pPr>
              <w:pStyle w:val="149"/>
              <w:rPr>
                <w:sz w:val="13"/>
                <w:szCs w:val="13"/>
              </w:rPr>
            </w:pPr>
          </w:p>
        </w:tc>
        <w:tc>
          <w:tcPr>
            <w:tcW w:w="1051" w:type="dxa"/>
            <w:noWrap/>
            <w:vAlign w:val="center"/>
          </w:tcPr>
          <w:p w14:paraId="572A7909">
            <w:pPr>
              <w:pStyle w:val="149"/>
              <w:rPr>
                <w:sz w:val="13"/>
                <w:szCs w:val="13"/>
              </w:rPr>
            </w:pPr>
            <w:r>
              <w:rPr>
                <w:sz w:val="13"/>
                <w:szCs w:val="13"/>
              </w:rPr>
              <w:t>未完成</w:t>
            </w:r>
          </w:p>
        </w:tc>
      </w:tr>
      <w:tr w14:paraId="38FB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14F9039C">
            <w:pPr>
              <w:pStyle w:val="149"/>
              <w:rPr>
                <w:sz w:val="13"/>
                <w:szCs w:val="13"/>
              </w:rPr>
            </w:pPr>
            <w:r>
              <w:rPr>
                <w:sz w:val="13"/>
                <w:szCs w:val="13"/>
              </w:rPr>
              <w:t>54</w:t>
            </w:r>
          </w:p>
        </w:tc>
        <w:tc>
          <w:tcPr>
            <w:tcW w:w="1317" w:type="dxa"/>
            <w:noWrap/>
            <w:vAlign w:val="center"/>
          </w:tcPr>
          <w:p w14:paraId="7E028CC6">
            <w:pPr>
              <w:pStyle w:val="149"/>
              <w:rPr>
                <w:sz w:val="13"/>
                <w:szCs w:val="13"/>
              </w:rPr>
            </w:pPr>
            <w:r>
              <w:rPr>
                <w:sz w:val="13"/>
                <w:szCs w:val="13"/>
              </w:rPr>
              <w:t>内蒙古大全新材料有限公司</w:t>
            </w:r>
          </w:p>
        </w:tc>
        <w:tc>
          <w:tcPr>
            <w:tcW w:w="2226" w:type="dxa"/>
            <w:noWrap/>
            <w:vAlign w:val="center"/>
          </w:tcPr>
          <w:p w14:paraId="51D3502C">
            <w:pPr>
              <w:pStyle w:val="149"/>
              <w:rPr>
                <w:sz w:val="13"/>
                <w:szCs w:val="13"/>
              </w:rPr>
            </w:pPr>
            <w:r>
              <w:rPr>
                <w:sz w:val="13"/>
                <w:szCs w:val="13"/>
              </w:rPr>
              <w:t>年产35万吨高纯工业硅深加工</w:t>
            </w:r>
          </w:p>
        </w:tc>
        <w:tc>
          <w:tcPr>
            <w:tcW w:w="1418" w:type="dxa"/>
            <w:noWrap/>
            <w:vAlign w:val="center"/>
          </w:tcPr>
          <w:p w14:paraId="3DF0C511">
            <w:pPr>
              <w:pStyle w:val="149"/>
              <w:rPr>
                <w:sz w:val="13"/>
                <w:szCs w:val="13"/>
              </w:rPr>
            </w:pPr>
            <w:r>
              <w:rPr>
                <w:sz w:val="13"/>
                <w:szCs w:val="13"/>
              </w:rPr>
              <w:t>项目代码：2302-150222-04-01-502640</w:t>
            </w:r>
          </w:p>
        </w:tc>
        <w:tc>
          <w:tcPr>
            <w:tcW w:w="709" w:type="dxa"/>
            <w:vMerge w:val="restart"/>
            <w:noWrap/>
            <w:vAlign w:val="center"/>
          </w:tcPr>
          <w:p w14:paraId="63C8179D">
            <w:pPr>
              <w:pStyle w:val="149"/>
              <w:rPr>
                <w:sz w:val="13"/>
                <w:szCs w:val="13"/>
              </w:rPr>
            </w:pPr>
            <w:r>
              <w:rPr>
                <w:sz w:val="13"/>
                <w:szCs w:val="13"/>
              </w:rPr>
              <w:t>47.74</w:t>
            </w:r>
          </w:p>
        </w:tc>
        <w:tc>
          <w:tcPr>
            <w:tcW w:w="803" w:type="dxa"/>
            <w:noWrap/>
            <w:vAlign w:val="center"/>
          </w:tcPr>
          <w:p w14:paraId="097D2AE0">
            <w:pPr>
              <w:pStyle w:val="149"/>
              <w:rPr>
                <w:sz w:val="13"/>
                <w:szCs w:val="13"/>
              </w:rPr>
            </w:pPr>
            <w:r>
              <w:rPr>
                <w:sz w:val="13"/>
                <w:szCs w:val="13"/>
              </w:rPr>
              <w:t>2022-2024</w:t>
            </w:r>
          </w:p>
        </w:tc>
        <w:tc>
          <w:tcPr>
            <w:tcW w:w="614" w:type="dxa"/>
            <w:gridSpan w:val="2"/>
            <w:noWrap/>
            <w:vAlign w:val="center"/>
          </w:tcPr>
          <w:p w14:paraId="526ACBC3">
            <w:pPr>
              <w:pStyle w:val="149"/>
              <w:rPr>
                <w:sz w:val="13"/>
                <w:szCs w:val="13"/>
              </w:rPr>
            </w:pPr>
            <w:r>
              <w:rPr>
                <w:sz w:val="13"/>
                <w:szCs w:val="13"/>
              </w:rPr>
              <w:t>未建</w:t>
            </w:r>
          </w:p>
        </w:tc>
        <w:tc>
          <w:tcPr>
            <w:tcW w:w="567" w:type="dxa"/>
            <w:gridSpan w:val="2"/>
            <w:noWrap/>
            <w:vAlign w:val="center"/>
          </w:tcPr>
          <w:p w14:paraId="3E8376C2">
            <w:pPr>
              <w:pStyle w:val="149"/>
              <w:rPr>
                <w:sz w:val="13"/>
                <w:szCs w:val="13"/>
              </w:rPr>
            </w:pPr>
            <w:r>
              <w:rPr>
                <w:sz w:val="13"/>
                <w:szCs w:val="13"/>
              </w:rPr>
              <w:t>未运营</w:t>
            </w:r>
          </w:p>
        </w:tc>
        <w:tc>
          <w:tcPr>
            <w:tcW w:w="992" w:type="dxa"/>
            <w:gridSpan w:val="2"/>
            <w:noWrap/>
            <w:vAlign w:val="center"/>
          </w:tcPr>
          <w:p w14:paraId="7457C5CD">
            <w:pPr>
              <w:pStyle w:val="149"/>
              <w:rPr>
                <w:sz w:val="13"/>
                <w:szCs w:val="13"/>
              </w:rPr>
            </w:pPr>
            <w:r>
              <w:rPr>
                <w:sz w:val="13"/>
                <w:szCs w:val="13"/>
              </w:rPr>
              <w:t>未编制</w:t>
            </w:r>
          </w:p>
        </w:tc>
        <w:tc>
          <w:tcPr>
            <w:tcW w:w="1701" w:type="dxa"/>
            <w:gridSpan w:val="2"/>
            <w:noWrap/>
            <w:vAlign w:val="center"/>
          </w:tcPr>
          <w:p w14:paraId="549C840A">
            <w:pPr>
              <w:pStyle w:val="149"/>
              <w:rPr>
                <w:sz w:val="13"/>
                <w:szCs w:val="13"/>
              </w:rPr>
            </w:pPr>
          </w:p>
        </w:tc>
        <w:tc>
          <w:tcPr>
            <w:tcW w:w="844" w:type="dxa"/>
            <w:vMerge w:val="restart"/>
            <w:noWrap/>
            <w:vAlign w:val="center"/>
          </w:tcPr>
          <w:p w14:paraId="43365259">
            <w:pPr>
              <w:pStyle w:val="149"/>
              <w:rPr>
                <w:sz w:val="13"/>
                <w:szCs w:val="13"/>
              </w:rPr>
            </w:pPr>
            <w:r>
              <w:rPr>
                <w:sz w:val="13"/>
                <w:szCs w:val="13"/>
              </w:rPr>
              <w:t xml:space="preserve">22.56 </w:t>
            </w:r>
          </w:p>
        </w:tc>
        <w:tc>
          <w:tcPr>
            <w:tcW w:w="844" w:type="dxa"/>
            <w:gridSpan w:val="2"/>
            <w:vMerge w:val="restart"/>
            <w:noWrap/>
            <w:vAlign w:val="center"/>
          </w:tcPr>
          <w:p w14:paraId="13CD5796">
            <w:pPr>
              <w:pStyle w:val="149"/>
              <w:rPr>
                <w:sz w:val="13"/>
                <w:szCs w:val="13"/>
              </w:rPr>
            </w:pPr>
            <w:r>
              <w:rPr>
                <w:sz w:val="13"/>
                <w:szCs w:val="13"/>
              </w:rPr>
              <w:t xml:space="preserve">22.56 </w:t>
            </w:r>
          </w:p>
        </w:tc>
        <w:tc>
          <w:tcPr>
            <w:tcW w:w="892" w:type="dxa"/>
            <w:gridSpan w:val="2"/>
            <w:vMerge w:val="restart"/>
            <w:vAlign w:val="center"/>
          </w:tcPr>
          <w:p w14:paraId="2C97B72B">
            <w:pPr>
              <w:pStyle w:val="149"/>
              <w:rPr>
                <w:sz w:val="13"/>
                <w:szCs w:val="13"/>
              </w:rPr>
            </w:pPr>
            <w:r>
              <w:rPr>
                <w:sz w:val="13"/>
                <w:szCs w:val="13"/>
              </w:rPr>
              <w:t xml:space="preserve">9.36 </w:t>
            </w:r>
          </w:p>
        </w:tc>
        <w:tc>
          <w:tcPr>
            <w:tcW w:w="1527" w:type="dxa"/>
            <w:noWrap/>
            <w:vAlign w:val="center"/>
          </w:tcPr>
          <w:p w14:paraId="44704991">
            <w:pPr>
              <w:pStyle w:val="149"/>
              <w:rPr>
                <w:sz w:val="13"/>
                <w:szCs w:val="13"/>
              </w:rPr>
            </w:pPr>
          </w:p>
        </w:tc>
        <w:tc>
          <w:tcPr>
            <w:tcW w:w="1051" w:type="dxa"/>
            <w:noWrap/>
            <w:vAlign w:val="center"/>
          </w:tcPr>
          <w:p w14:paraId="45B66C57">
            <w:pPr>
              <w:pStyle w:val="149"/>
              <w:rPr>
                <w:sz w:val="13"/>
                <w:szCs w:val="13"/>
              </w:rPr>
            </w:pPr>
            <w:r>
              <w:rPr>
                <w:sz w:val="13"/>
                <w:szCs w:val="13"/>
              </w:rPr>
              <w:t>未完成</w:t>
            </w:r>
          </w:p>
        </w:tc>
      </w:tr>
      <w:tr w14:paraId="10488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070E2421">
            <w:pPr>
              <w:pStyle w:val="149"/>
              <w:rPr>
                <w:sz w:val="13"/>
                <w:szCs w:val="13"/>
              </w:rPr>
            </w:pPr>
            <w:r>
              <w:rPr>
                <w:sz w:val="13"/>
                <w:szCs w:val="13"/>
              </w:rPr>
              <w:t>55</w:t>
            </w:r>
          </w:p>
        </w:tc>
        <w:tc>
          <w:tcPr>
            <w:tcW w:w="1317" w:type="dxa"/>
            <w:noWrap/>
            <w:vAlign w:val="center"/>
          </w:tcPr>
          <w:p w14:paraId="6661ABA4">
            <w:pPr>
              <w:pStyle w:val="149"/>
              <w:rPr>
                <w:sz w:val="13"/>
                <w:szCs w:val="13"/>
              </w:rPr>
            </w:pPr>
            <w:r>
              <w:rPr>
                <w:sz w:val="13"/>
                <w:szCs w:val="13"/>
              </w:rPr>
              <w:t>内蒙古大全新材料有限公司</w:t>
            </w:r>
          </w:p>
        </w:tc>
        <w:tc>
          <w:tcPr>
            <w:tcW w:w="2226" w:type="dxa"/>
            <w:noWrap/>
            <w:vAlign w:val="center"/>
          </w:tcPr>
          <w:p w14:paraId="58BAAFE0">
            <w:pPr>
              <w:pStyle w:val="149"/>
              <w:rPr>
                <w:sz w:val="13"/>
                <w:szCs w:val="13"/>
              </w:rPr>
            </w:pPr>
            <w:r>
              <w:rPr>
                <w:sz w:val="13"/>
                <w:szCs w:val="13"/>
              </w:rPr>
              <w:t>年产30万吨高纯工业硅加20万吨有机硅项目（二期）年产13万吨工业硅</w:t>
            </w:r>
          </w:p>
        </w:tc>
        <w:tc>
          <w:tcPr>
            <w:tcW w:w="1418" w:type="dxa"/>
            <w:noWrap/>
            <w:vAlign w:val="center"/>
          </w:tcPr>
          <w:p w14:paraId="706D049B">
            <w:pPr>
              <w:pStyle w:val="149"/>
              <w:rPr>
                <w:sz w:val="13"/>
                <w:szCs w:val="13"/>
              </w:rPr>
            </w:pPr>
            <w:r>
              <w:rPr>
                <w:sz w:val="13"/>
                <w:szCs w:val="13"/>
              </w:rPr>
              <w:t>项目代码：2303-150222-04-01-629550</w:t>
            </w:r>
          </w:p>
        </w:tc>
        <w:tc>
          <w:tcPr>
            <w:tcW w:w="709" w:type="dxa"/>
            <w:vMerge w:val="continue"/>
            <w:vAlign w:val="center"/>
          </w:tcPr>
          <w:p w14:paraId="71753D2C">
            <w:pPr>
              <w:pStyle w:val="149"/>
              <w:rPr>
                <w:sz w:val="13"/>
                <w:szCs w:val="13"/>
              </w:rPr>
            </w:pPr>
          </w:p>
        </w:tc>
        <w:tc>
          <w:tcPr>
            <w:tcW w:w="803" w:type="dxa"/>
            <w:noWrap/>
            <w:vAlign w:val="center"/>
          </w:tcPr>
          <w:p w14:paraId="76126045">
            <w:pPr>
              <w:pStyle w:val="149"/>
              <w:rPr>
                <w:sz w:val="13"/>
                <w:szCs w:val="13"/>
              </w:rPr>
            </w:pPr>
            <w:r>
              <w:rPr>
                <w:sz w:val="13"/>
                <w:szCs w:val="13"/>
              </w:rPr>
              <w:t>2022-2024</w:t>
            </w:r>
          </w:p>
        </w:tc>
        <w:tc>
          <w:tcPr>
            <w:tcW w:w="614" w:type="dxa"/>
            <w:gridSpan w:val="2"/>
            <w:noWrap/>
            <w:vAlign w:val="center"/>
          </w:tcPr>
          <w:p w14:paraId="2D9F4782">
            <w:pPr>
              <w:pStyle w:val="149"/>
              <w:rPr>
                <w:sz w:val="13"/>
                <w:szCs w:val="13"/>
              </w:rPr>
            </w:pPr>
            <w:r>
              <w:rPr>
                <w:sz w:val="13"/>
                <w:szCs w:val="13"/>
              </w:rPr>
              <w:t>未建</w:t>
            </w:r>
          </w:p>
        </w:tc>
        <w:tc>
          <w:tcPr>
            <w:tcW w:w="567" w:type="dxa"/>
            <w:gridSpan w:val="2"/>
            <w:noWrap/>
            <w:vAlign w:val="center"/>
          </w:tcPr>
          <w:p w14:paraId="23C4ED39">
            <w:pPr>
              <w:pStyle w:val="149"/>
              <w:rPr>
                <w:sz w:val="13"/>
                <w:szCs w:val="13"/>
              </w:rPr>
            </w:pPr>
            <w:r>
              <w:rPr>
                <w:sz w:val="13"/>
                <w:szCs w:val="13"/>
              </w:rPr>
              <w:t>未运营</w:t>
            </w:r>
          </w:p>
        </w:tc>
        <w:tc>
          <w:tcPr>
            <w:tcW w:w="992" w:type="dxa"/>
            <w:gridSpan w:val="2"/>
            <w:noWrap/>
            <w:vAlign w:val="center"/>
          </w:tcPr>
          <w:p w14:paraId="045C617B">
            <w:pPr>
              <w:pStyle w:val="149"/>
              <w:rPr>
                <w:sz w:val="13"/>
                <w:szCs w:val="13"/>
              </w:rPr>
            </w:pPr>
            <w:r>
              <w:rPr>
                <w:sz w:val="13"/>
                <w:szCs w:val="13"/>
              </w:rPr>
              <w:t>未编制</w:t>
            </w:r>
          </w:p>
        </w:tc>
        <w:tc>
          <w:tcPr>
            <w:tcW w:w="1701" w:type="dxa"/>
            <w:gridSpan w:val="2"/>
            <w:noWrap/>
            <w:vAlign w:val="center"/>
          </w:tcPr>
          <w:p w14:paraId="3916979D">
            <w:pPr>
              <w:pStyle w:val="149"/>
              <w:rPr>
                <w:sz w:val="13"/>
                <w:szCs w:val="13"/>
              </w:rPr>
            </w:pPr>
          </w:p>
        </w:tc>
        <w:tc>
          <w:tcPr>
            <w:tcW w:w="844" w:type="dxa"/>
            <w:vMerge w:val="continue"/>
            <w:noWrap/>
            <w:vAlign w:val="center"/>
          </w:tcPr>
          <w:p w14:paraId="25C35491">
            <w:pPr>
              <w:pStyle w:val="149"/>
              <w:rPr>
                <w:sz w:val="13"/>
                <w:szCs w:val="13"/>
              </w:rPr>
            </w:pPr>
          </w:p>
        </w:tc>
        <w:tc>
          <w:tcPr>
            <w:tcW w:w="844" w:type="dxa"/>
            <w:gridSpan w:val="2"/>
            <w:vMerge w:val="continue"/>
            <w:noWrap/>
            <w:vAlign w:val="center"/>
          </w:tcPr>
          <w:p w14:paraId="51CD5A80">
            <w:pPr>
              <w:pStyle w:val="149"/>
              <w:rPr>
                <w:sz w:val="13"/>
                <w:szCs w:val="13"/>
              </w:rPr>
            </w:pPr>
          </w:p>
        </w:tc>
        <w:tc>
          <w:tcPr>
            <w:tcW w:w="892" w:type="dxa"/>
            <w:gridSpan w:val="2"/>
            <w:vMerge w:val="continue"/>
            <w:vAlign w:val="center"/>
          </w:tcPr>
          <w:p w14:paraId="5D155878">
            <w:pPr>
              <w:pStyle w:val="149"/>
              <w:rPr>
                <w:sz w:val="13"/>
                <w:szCs w:val="13"/>
              </w:rPr>
            </w:pPr>
          </w:p>
        </w:tc>
        <w:tc>
          <w:tcPr>
            <w:tcW w:w="1527" w:type="dxa"/>
            <w:noWrap/>
            <w:vAlign w:val="center"/>
          </w:tcPr>
          <w:p w14:paraId="7B3DA805">
            <w:pPr>
              <w:pStyle w:val="149"/>
              <w:rPr>
                <w:sz w:val="13"/>
                <w:szCs w:val="13"/>
              </w:rPr>
            </w:pPr>
          </w:p>
        </w:tc>
        <w:tc>
          <w:tcPr>
            <w:tcW w:w="1051" w:type="dxa"/>
            <w:noWrap/>
            <w:vAlign w:val="center"/>
          </w:tcPr>
          <w:p w14:paraId="643D28B2">
            <w:pPr>
              <w:pStyle w:val="149"/>
              <w:rPr>
                <w:sz w:val="13"/>
                <w:szCs w:val="13"/>
              </w:rPr>
            </w:pPr>
            <w:r>
              <w:rPr>
                <w:sz w:val="13"/>
                <w:szCs w:val="13"/>
              </w:rPr>
              <w:t>未完成</w:t>
            </w:r>
          </w:p>
        </w:tc>
      </w:tr>
      <w:tr w14:paraId="582A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290E2A0B">
            <w:pPr>
              <w:pStyle w:val="149"/>
              <w:rPr>
                <w:sz w:val="13"/>
                <w:szCs w:val="13"/>
              </w:rPr>
            </w:pPr>
            <w:r>
              <w:rPr>
                <w:sz w:val="13"/>
                <w:szCs w:val="13"/>
              </w:rPr>
              <w:t>56</w:t>
            </w:r>
          </w:p>
        </w:tc>
        <w:tc>
          <w:tcPr>
            <w:tcW w:w="1317" w:type="dxa"/>
            <w:noWrap/>
            <w:vAlign w:val="center"/>
          </w:tcPr>
          <w:p w14:paraId="1639C67C">
            <w:pPr>
              <w:pStyle w:val="149"/>
              <w:rPr>
                <w:sz w:val="13"/>
                <w:szCs w:val="13"/>
              </w:rPr>
            </w:pPr>
            <w:r>
              <w:rPr>
                <w:sz w:val="13"/>
                <w:szCs w:val="13"/>
              </w:rPr>
              <w:t>内蒙古大全新材料有限公司</w:t>
            </w:r>
          </w:p>
        </w:tc>
        <w:tc>
          <w:tcPr>
            <w:tcW w:w="2226" w:type="dxa"/>
            <w:vAlign w:val="center"/>
          </w:tcPr>
          <w:p w14:paraId="7DBEF0AB">
            <w:pPr>
              <w:pStyle w:val="149"/>
              <w:rPr>
                <w:sz w:val="13"/>
                <w:szCs w:val="13"/>
              </w:rPr>
            </w:pPr>
            <w:r>
              <w:rPr>
                <w:sz w:val="13"/>
                <w:szCs w:val="13"/>
              </w:rPr>
              <w:t>内蒙古大全新材料股份有限公司2*30MW余热发电项目</w:t>
            </w:r>
          </w:p>
        </w:tc>
        <w:tc>
          <w:tcPr>
            <w:tcW w:w="1418" w:type="dxa"/>
            <w:vAlign w:val="center"/>
          </w:tcPr>
          <w:p w14:paraId="10AEF266">
            <w:pPr>
              <w:pStyle w:val="149"/>
              <w:rPr>
                <w:sz w:val="13"/>
                <w:szCs w:val="13"/>
              </w:rPr>
            </w:pPr>
            <w:r>
              <w:rPr>
                <w:sz w:val="13"/>
                <w:szCs w:val="13"/>
              </w:rPr>
              <w:t>项目代码：2209-150222-04-01-240747</w:t>
            </w:r>
          </w:p>
        </w:tc>
        <w:tc>
          <w:tcPr>
            <w:tcW w:w="709" w:type="dxa"/>
            <w:vMerge w:val="continue"/>
            <w:vAlign w:val="center"/>
          </w:tcPr>
          <w:p w14:paraId="61618328">
            <w:pPr>
              <w:pStyle w:val="149"/>
              <w:rPr>
                <w:sz w:val="13"/>
                <w:szCs w:val="13"/>
              </w:rPr>
            </w:pPr>
          </w:p>
        </w:tc>
        <w:tc>
          <w:tcPr>
            <w:tcW w:w="803" w:type="dxa"/>
            <w:noWrap/>
            <w:vAlign w:val="center"/>
          </w:tcPr>
          <w:p w14:paraId="08D9D272">
            <w:pPr>
              <w:pStyle w:val="149"/>
              <w:rPr>
                <w:sz w:val="13"/>
                <w:szCs w:val="13"/>
              </w:rPr>
            </w:pPr>
            <w:r>
              <w:rPr>
                <w:sz w:val="13"/>
                <w:szCs w:val="13"/>
              </w:rPr>
              <w:t>2022-2024</w:t>
            </w:r>
          </w:p>
        </w:tc>
        <w:tc>
          <w:tcPr>
            <w:tcW w:w="614" w:type="dxa"/>
            <w:gridSpan w:val="2"/>
            <w:noWrap/>
            <w:vAlign w:val="center"/>
          </w:tcPr>
          <w:p w14:paraId="374383DC">
            <w:pPr>
              <w:pStyle w:val="149"/>
              <w:rPr>
                <w:sz w:val="13"/>
                <w:szCs w:val="13"/>
              </w:rPr>
            </w:pPr>
            <w:r>
              <w:rPr>
                <w:sz w:val="13"/>
                <w:szCs w:val="13"/>
              </w:rPr>
              <w:t>未建</w:t>
            </w:r>
          </w:p>
        </w:tc>
        <w:tc>
          <w:tcPr>
            <w:tcW w:w="567" w:type="dxa"/>
            <w:gridSpan w:val="2"/>
            <w:noWrap/>
            <w:vAlign w:val="center"/>
          </w:tcPr>
          <w:p w14:paraId="58DBC580">
            <w:pPr>
              <w:pStyle w:val="149"/>
              <w:rPr>
                <w:sz w:val="13"/>
                <w:szCs w:val="13"/>
              </w:rPr>
            </w:pPr>
            <w:r>
              <w:rPr>
                <w:sz w:val="13"/>
                <w:szCs w:val="13"/>
              </w:rPr>
              <w:t>未运营</w:t>
            </w:r>
          </w:p>
        </w:tc>
        <w:tc>
          <w:tcPr>
            <w:tcW w:w="992" w:type="dxa"/>
            <w:gridSpan w:val="2"/>
            <w:noWrap/>
            <w:vAlign w:val="center"/>
          </w:tcPr>
          <w:p w14:paraId="24F47F1E">
            <w:pPr>
              <w:pStyle w:val="149"/>
              <w:rPr>
                <w:sz w:val="13"/>
                <w:szCs w:val="13"/>
              </w:rPr>
            </w:pPr>
            <w:r>
              <w:rPr>
                <w:sz w:val="13"/>
                <w:szCs w:val="13"/>
              </w:rPr>
              <w:t>未编制</w:t>
            </w:r>
          </w:p>
        </w:tc>
        <w:tc>
          <w:tcPr>
            <w:tcW w:w="1701" w:type="dxa"/>
            <w:gridSpan w:val="2"/>
            <w:vAlign w:val="center"/>
          </w:tcPr>
          <w:p w14:paraId="69887DB8">
            <w:pPr>
              <w:pStyle w:val="149"/>
              <w:rPr>
                <w:sz w:val="13"/>
                <w:szCs w:val="13"/>
              </w:rPr>
            </w:pPr>
          </w:p>
        </w:tc>
        <w:tc>
          <w:tcPr>
            <w:tcW w:w="844" w:type="dxa"/>
            <w:vMerge w:val="continue"/>
            <w:noWrap/>
            <w:vAlign w:val="center"/>
          </w:tcPr>
          <w:p w14:paraId="5D21DC1B">
            <w:pPr>
              <w:pStyle w:val="149"/>
              <w:rPr>
                <w:sz w:val="13"/>
                <w:szCs w:val="13"/>
              </w:rPr>
            </w:pPr>
          </w:p>
        </w:tc>
        <w:tc>
          <w:tcPr>
            <w:tcW w:w="844" w:type="dxa"/>
            <w:gridSpan w:val="2"/>
            <w:vMerge w:val="continue"/>
            <w:noWrap/>
            <w:vAlign w:val="center"/>
          </w:tcPr>
          <w:p w14:paraId="5386873A">
            <w:pPr>
              <w:pStyle w:val="149"/>
              <w:rPr>
                <w:sz w:val="13"/>
                <w:szCs w:val="13"/>
              </w:rPr>
            </w:pPr>
          </w:p>
        </w:tc>
        <w:tc>
          <w:tcPr>
            <w:tcW w:w="892" w:type="dxa"/>
            <w:gridSpan w:val="2"/>
            <w:vMerge w:val="continue"/>
            <w:vAlign w:val="center"/>
          </w:tcPr>
          <w:p w14:paraId="0C21625F">
            <w:pPr>
              <w:pStyle w:val="149"/>
              <w:rPr>
                <w:sz w:val="13"/>
                <w:szCs w:val="13"/>
              </w:rPr>
            </w:pPr>
          </w:p>
        </w:tc>
        <w:tc>
          <w:tcPr>
            <w:tcW w:w="1527" w:type="dxa"/>
            <w:noWrap/>
            <w:vAlign w:val="center"/>
          </w:tcPr>
          <w:p w14:paraId="606B56B0">
            <w:pPr>
              <w:pStyle w:val="149"/>
              <w:rPr>
                <w:sz w:val="13"/>
                <w:szCs w:val="13"/>
              </w:rPr>
            </w:pPr>
          </w:p>
        </w:tc>
        <w:tc>
          <w:tcPr>
            <w:tcW w:w="1051" w:type="dxa"/>
            <w:noWrap/>
            <w:vAlign w:val="center"/>
          </w:tcPr>
          <w:p w14:paraId="3C3B67AC">
            <w:pPr>
              <w:pStyle w:val="149"/>
              <w:rPr>
                <w:sz w:val="13"/>
                <w:szCs w:val="13"/>
              </w:rPr>
            </w:pPr>
            <w:r>
              <w:rPr>
                <w:sz w:val="13"/>
                <w:szCs w:val="13"/>
              </w:rPr>
              <w:t>未完成</w:t>
            </w:r>
          </w:p>
        </w:tc>
      </w:tr>
      <w:tr w14:paraId="35EE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56CF7EE0">
            <w:pPr>
              <w:pStyle w:val="149"/>
              <w:rPr>
                <w:sz w:val="13"/>
                <w:szCs w:val="13"/>
              </w:rPr>
            </w:pPr>
            <w:r>
              <w:rPr>
                <w:sz w:val="13"/>
                <w:szCs w:val="13"/>
              </w:rPr>
              <w:t>58</w:t>
            </w:r>
          </w:p>
        </w:tc>
        <w:tc>
          <w:tcPr>
            <w:tcW w:w="1317" w:type="dxa"/>
            <w:noWrap/>
            <w:vAlign w:val="center"/>
          </w:tcPr>
          <w:p w14:paraId="34CDD770">
            <w:pPr>
              <w:pStyle w:val="149"/>
              <w:rPr>
                <w:sz w:val="13"/>
                <w:szCs w:val="13"/>
              </w:rPr>
            </w:pPr>
            <w:r>
              <w:rPr>
                <w:sz w:val="13"/>
                <w:szCs w:val="13"/>
              </w:rPr>
              <w:t>东方日升（包头）硅业有限公司</w:t>
            </w:r>
          </w:p>
        </w:tc>
        <w:tc>
          <w:tcPr>
            <w:tcW w:w="2226" w:type="dxa"/>
            <w:noWrap/>
            <w:vAlign w:val="center"/>
          </w:tcPr>
          <w:p w14:paraId="78D55546">
            <w:pPr>
              <w:pStyle w:val="149"/>
              <w:rPr>
                <w:sz w:val="13"/>
                <w:szCs w:val="13"/>
              </w:rPr>
            </w:pPr>
            <w:r>
              <w:rPr>
                <w:sz w:val="13"/>
                <w:szCs w:val="13"/>
              </w:rPr>
              <w:t>东方日升（包头）硅业有限公司2×35MW余热发电项目</w:t>
            </w:r>
          </w:p>
        </w:tc>
        <w:tc>
          <w:tcPr>
            <w:tcW w:w="1418" w:type="dxa"/>
            <w:noWrap/>
            <w:vAlign w:val="center"/>
          </w:tcPr>
          <w:p w14:paraId="5EFC7B78">
            <w:pPr>
              <w:pStyle w:val="149"/>
              <w:rPr>
                <w:sz w:val="13"/>
                <w:szCs w:val="13"/>
              </w:rPr>
            </w:pPr>
            <w:r>
              <w:rPr>
                <w:sz w:val="13"/>
                <w:szCs w:val="13"/>
              </w:rPr>
              <w:t>项目代码：2301-150222-04-01-723989</w:t>
            </w:r>
          </w:p>
        </w:tc>
        <w:tc>
          <w:tcPr>
            <w:tcW w:w="709" w:type="dxa"/>
            <w:vMerge w:val="restart"/>
            <w:noWrap/>
            <w:vAlign w:val="center"/>
          </w:tcPr>
          <w:p w14:paraId="31D49E83">
            <w:pPr>
              <w:pStyle w:val="149"/>
              <w:rPr>
                <w:sz w:val="13"/>
                <w:szCs w:val="13"/>
              </w:rPr>
            </w:pPr>
            <w:r>
              <w:rPr>
                <w:sz w:val="13"/>
                <w:szCs w:val="13"/>
              </w:rPr>
              <w:t>94.85</w:t>
            </w:r>
          </w:p>
        </w:tc>
        <w:tc>
          <w:tcPr>
            <w:tcW w:w="803" w:type="dxa"/>
            <w:noWrap/>
            <w:vAlign w:val="center"/>
          </w:tcPr>
          <w:p w14:paraId="1DC88583">
            <w:pPr>
              <w:pStyle w:val="149"/>
              <w:rPr>
                <w:sz w:val="13"/>
                <w:szCs w:val="13"/>
              </w:rPr>
            </w:pPr>
            <w:r>
              <w:rPr>
                <w:sz w:val="13"/>
                <w:szCs w:val="13"/>
              </w:rPr>
              <w:t>2023-2024</w:t>
            </w:r>
          </w:p>
        </w:tc>
        <w:tc>
          <w:tcPr>
            <w:tcW w:w="614" w:type="dxa"/>
            <w:gridSpan w:val="2"/>
            <w:noWrap/>
            <w:vAlign w:val="center"/>
          </w:tcPr>
          <w:p w14:paraId="6A0EDA2B">
            <w:pPr>
              <w:pStyle w:val="149"/>
              <w:rPr>
                <w:sz w:val="13"/>
                <w:szCs w:val="13"/>
              </w:rPr>
            </w:pPr>
            <w:r>
              <w:rPr>
                <w:sz w:val="13"/>
                <w:szCs w:val="13"/>
              </w:rPr>
              <w:t>未建</w:t>
            </w:r>
          </w:p>
        </w:tc>
        <w:tc>
          <w:tcPr>
            <w:tcW w:w="567" w:type="dxa"/>
            <w:gridSpan w:val="2"/>
            <w:noWrap/>
            <w:vAlign w:val="center"/>
          </w:tcPr>
          <w:p w14:paraId="312828E9">
            <w:pPr>
              <w:pStyle w:val="149"/>
              <w:rPr>
                <w:sz w:val="13"/>
                <w:szCs w:val="13"/>
              </w:rPr>
            </w:pPr>
            <w:r>
              <w:rPr>
                <w:sz w:val="13"/>
                <w:szCs w:val="13"/>
              </w:rPr>
              <w:t>未运营</w:t>
            </w:r>
          </w:p>
        </w:tc>
        <w:tc>
          <w:tcPr>
            <w:tcW w:w="992" w:type="dxa"/>
            <w:gridSpan w:val="2"/>
            <w:noWrap/>
            <w:vAlign w:val="center"/>
          </w:tcPr>
          <w:p w14:paraId="60CE0B26">
            <w:pPr>
              <w:pStyle w:val="149"/>
              <w:rPr>
                <w:sz w:val="13"/>
                <w:szCs w:val="13"/>
              </w:rPr>
            </w:pPr>
            <w:r>
              <w:rPr>
                <w:sz w:val="13"/>
                <w:szCs w:val="13"/>
              </w:rPr>
              <w:t>未编制</w:t>
            </w:r>
          </w:p>
        </w:tc>
        <w:tc>
          <w:tcPr>
            <w:tcW w:w="1701" w:type="dxa"/>
            <w:gridSpan w:val="2"/>
            <w:noWrap/>
            <w:vAlign w:val="center"/>
          </w:tcPr>
          <w:p w14:paraId="00563213">
            <w:pPr>
              <w:pStyle w:val="149"/>
              <w:rPr>
                <w:sz w:val="13"/>
                <w:szCs w:val="13"/>
              </w:rPr>
            </w:pPr>
          </w:p>
        </w:tc>
        <w:tc>
          <w:tcPr>
            <w:tcW w:w="844" w:type="dxa"/>
            <w:vMerge w:val="restart"/>
            <w:noWrap/>
            <w:vAlign w:val="center"/>
          </w:tcPr>
          <w:p w14:paraId="72DE854E">
            <w:pPr>
              <w:pStyle w:val="149"/>
              <w:rPr>
                <w:sz w:val="13"/>
                <w:szCs w:val="13"/>
              </w:rPr>
            </w:pPr>
            <w:r>
              <w:rPr>
                <w:sz w:val="13"/>
                <w:szCs w:val="13"/>
              </w:rPr>
              <w:t xml:space="preserve">44.83 </w:t>
            </w:r>
          </w:p>
        </w:tc>
        <w:tc>
          <w:tcPr>
            <w:tcW w:w="844" w:type="dxa"/>
            <w:gridSpan w:val="2"/>
            <w:vMerge w:val="restart"/>
            <w:noWrap/>
            <w:vAlign w:val="center"/>
          </w:tcPr>
          <w:p w14:paraId="7306D2EA">
            <w:pPr>
              <w:pStyle w:val="149"/>
              <w:rPr>
                <w:sz w:val="13"/>
                <w:szCs w:val="13"/>
              </w:rPr>
            </w:pPr>
            <w:r>
              <w:rPr>
                <w:sz w:val="13"/>
                <w:szCs w:val="13"/>
              </w:rPr>
              <w:t xml:space="preserve">44.83 </w:t>
            </w:r>
          </w:p>
        </w:tc>
        <w:tc>
          <w:tcPr>
            <w:tcW w:w="892" w:type="dxa"/>
            <w:gridSpan w:val="2"/>
            <w:vMerge w:val="restart"/>
            <w:vAlign w:val="center"/>
          </w:tcPr>
          <w:p w14:paraId="66A70F93">
            <w:pPr>
              <w:pStyle w:val="149"/>
              <w:rPr>
                <w:sz w:val="13"/>
                <w:szCs w:val="13"/>
              </w:rPr>
            </w:pPr>
            <w:r>
              <w:rPr>
                <w:sz w:val="13"/>
                <w:szCs w:val="13"/>
              </w:rPr>
              <w:t xml:space="preserve">18.59 </w:t>
            </w:r>
          </w:p>
        </w:tc>
        <w:tc>
          <w:tcPr>
            <w:tcW w:w="1527" w:type="dxa"/>
            <w:noWrap/>
            <w:vAlign w:val="center"/>
          </w:tcPr>
          <w:p w14:paraId="4ABE6CBE">
            <w:pPr>
              <w:pStyle w:val="149"/>
              <w:rPr>
                <w:sz w:val="13"/>
                <w:szCs w:val="13"/>
              </w:rPr>
            </w:pPr>
          </w:p>
        </w:tc>
        <w:tc>
          <w:tcPr>
            <w:tcW w:w="1051" w:type="dxa"/>
            <w:noWrap/>
            <w:vAlign w:val="center"/>
          </w:tcPr>
          <w:p w14:paraId="0E58AEE5">
            <w:pPr>
              <w:pStyle w:val="149"/>
              <w:rPr>
                <w:sz w:val="13"/>
                <w:szCs w:val="13"/>
              </w:rPr>
            </w:pPr>
            <w:r>
              <w:rPr>
                <w:sz w:val="13"/>
                <w:szCs w:val="13"/>
              </w:rPr>
              <w:t>未完成</w:t>
            </w:r>
          </w:p>
        </w:tc>
      </w:tr>
      <w:tr w14:paraId="72DC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023B9AA3">
            <w:pPr>
              <w:pStyle w:val="149"/>
              <w:rPr>
                <w:sz w:val="13"/>
                <w:szCs w:val="13"/>
              </w:rPr>
            </w:pPr>
            <w:r>
              <w:rPr>
                <w:sz w:val="13"/>
                <w:szCs w:val="13"/>
              </w:rPr>
              <w:t>59</w:t>
            </w:r>
          </w:p>
        </w:tc>
        <w:tc>
          <w:tcPr>
            <w:tcW w:w="1317" w:type="dxa"/>
            <w:noWrap/>
            <w:vAlign w:val="center"/>
          </w:tcPr>
          <w:p w14:paraId="1208137D">
            <w:pPr>
              <w:pStyle w:val="149"/>
              <w:rPr>
                <w:sz w:val="13"/>
                <w:szCs w:val="13"/>
              </w:rPr>
            </w:pPr>
            <w:r>
              <w:rPr>
                <w:sz w:val="13"/>
                <w:szCs w:val="13"/>
              </w:rPr>
              <w:t>东方日升（包头）硅业有限公司</w:t>
            </w:r>
          </w:p>
        </w:tc>
        <w:tc>
          <w:tcPr>
            <w:tcW w:w="2226" w:type="dxa"/>
            <w:noWrap/>
            <w:vAlign w:val="center"/>
          </w:tcPr>
          <w:p w14:paraId="70E2866F">
            <w:pPr>
              <w:pStyle w:val="149"/>
              <w:rPr>
                <w:sz w:val="13"/>
                <w:szCs w:val="13"/>
              </w:rPr>
            </w:pPr>
            <w:r>
              <w:rPr>
                <w:sz w:val="13"/>
                <w:szCs w:val="13"/>
              </w:rPr>
              <w:t>东方日升源网荷储一体化15万吨高纯多晶项目</w:t>
            </w:r>
          </w:p>
        </w:tc>
        <w:tc>
          <w:tcPr>
            <w:tcW w:w="1418" w:type="dxa"/>
            <w:noWrap/>
            <w:vAlign w:val="center"/>
          </w:tcPr>
          <w:p w14:paraId="18192FA8">
            <w:pPr>
              <w:pStyle w:val="149"/>
              <w:rPr>
                <w:sz w:val="13"/>
                <w:szCs w:val="13"/>
              </w:rPr>
            </w:pPr>
            <w:r>
              <w:rPr>
                <w:sz w:val="13"/>
                <w:szCs w:val="13"/>
              </w:rPr>
              <w:t>项目代码：2208-150222-04-01-550823</w:t>
            </w:r>
          </w:p>
        </w:tc>
        <w:tc>
          <w:tcPr>
            <w:tcW w:w="709" w:type="dxa"/>
            <w:vMerge w:val="continue"/>
            <w:vAlign w:val="center"/>
          </w:tcPr>
          <w:p w14:paraId="742E74B1">
            <w:pPr>
              <w:pStyle w:val="149"/>
              <w:rPr>
                <w:sz w:val="13"/>
                <w:szCs w:val="13"/>
              </w:rPr>
            </w:pPr>
          </w:p>
        </w:tc>
        <w:tc>
          <w:tcPr>
            <w:tcW w:w="803" w:type="dxa"/>
            <w:noWrap/>
            <w:vAlign w:val="center"/>
          </w:tcPr>
          <w:p w14:paraId="0EE45B70">
            <w:pPr>
              <w:pStyle w:val="149"/>
              <w:rPr>
                <w:sz w:val="13"/>
                <w:szCs w:val="13"/>
              </w:rPr>
            </w:pPr>
            <w:r>
              <w:rPr>
                <w:sz w:val="13"/>
                <w:szCs w:val="13"/>
              </w:rPr>
              <w:t>2022-2024</w:t>
            </w:r>
          </w:p>
        </w:tc>
        <w:tc>
          <w:tcPr>
            <w:tcW w:w="614" w:type="dxa"/>
            <w:gridSpan w:val="2"/>
            <w:noWrap/>
            <w:vAlign w:val="center"/>
          </w:tcPr>
          <w:p w14:paraId="3D7A2393">
            <w:pPr>
              <w:pStyle w:val="149"/>
              <w:rPr>
                <w:sz w:val="13"/>
                <w:szCs w:val="13"/>
              </w:rPr>
            </w:pPr>
            <w:r>
              <w:rPr>
                <w:sz w:val="13"/>
                <w:szCs w:val="13"/>
              </w:rPr>
              <w:t>未建</w:t>
            </w:r>
          </w:p>
        </w:tc>
        <w:tc>
          <w:tcPr>
            <w:tcW w:w="567" w:type="dxa"/>
            <w:gridSpan w:val="2"/>
            <w:noWrap/>
            <w:vAlign w:val="center"/>
          </w:tcPr>
          <w:p w14:paraId="5CEAD0EA">
            <w:pPr>
              <w:pStyle w:val="149"/>
              <w:rPr>
                <w:sz w:val="13"/>
                <w:szCs w:val="13"/>
              </w:rPr>
            </w:pPr>
            <w:r>
              <w:rPr>
                <w:sz w:val="13"/>
                <w:szCs w:val="13"/>
              </w:rPr>
              <w:t>未运营</w:t>
            </w:r>
          </w:p>
        </w:tc>
        <w:tc>
          <w:tcPr>
            <w:tcW w:w="992" w:type="dxa"/>
            <w:gridSpan w:val="2"/>
            <w:noWrap/>
            <w:vAlign w:val="center"/>
          </w:tcPr>
          <w:p w14:paraId="2B5DB1C6">
            <w:pPr>
              <w:pStyle w:val="149"/>
              <w:rPr>
                <w:sz w:val="13"/>
                <w:szCs w:val="13"/>
              </w:rPr>
            </w:pPr>
            <w:r>
              <w:rPr>
                <w:sz w:val="13"/>
                <w:szCs w:val="13"/>
              </w:rPr>
              <w:t>未编制</w:t>
            </w:r>
          </w:p>
        </w:tc>
        <w:tc>
          <w:tcPr>
            <w:tcW w:w="1701" w:type="dxa"/>
            <w:gridSpan w:val="2"/>
            <w:noWrap/>
            <w:vAlign w:val="center"/>
          </w:tcPr>
          <w:p w14:paraId="536DFDDB">
            <w:pPr>
              <w:pStyle w:val="149"/>
              <w:rPr>
                <w:sz w:val="13"/>
                <w:szCs w:val="13"/>
              </w:rPr>
            </w:pPr>
          </w:p>
        </w:tc>
        <w:tc>
          <w:tcPr>
            <w:tcW w:w="844" w:type="dxa"/>
            <w:vMerge w:val="continue"/>
            <w:noWrap/>
            <w:vAlign w:val="center"/>
          </w:tcPr>
          <w:p w14:paraId="1CBA1CE5">
            <w:pPr>
              <w:pStyle w:val="149"/>
              <w:rPr>
                <w:sz w:val="13"/>
                <w:szCs w:val="13"/>
              </w:rPr>
            </w:pPr>
          </w:p>
        </w:tc>
        <w:tc>
          <w:tcPr>
            <w:tcW w:w="844" w:type="dxa"/>
            <w:gridSpan w:val="2"/>
            <w:vMerge w:val="continue"/>
            <w:noWrap/>
            <w:vAlign w:val="center"/>
          </w:tcPr>
          <w:p w14:paraId="682141E1">
            <w:pPr>
              <w:pStyle w:val="149"/>
              <w:rPr>
                <w:sz w:val="13"/>
                <w:szCs w:val="13"/>
              </w:rPr>
            </w:pPr>
          </w:p>
        </w:tc>
        <w:tc>
          <w:tcPr>
            <w:tcW w:w="892" w:type="dxa"/>
            <w:gridSpan w:val="2"/>
            <w:vMerge w:val="continue"/>
            <w:vAlign w:val="center"/>
          </w:tcPr>
          <w:p w14:paraId="735812BA">
            <w:pPr>
              <w:pStyle w:val="149"/>
              <w:rPr>
                <w:sz w:val="13"/>
                <w:szCs w:val="13"/>
              </w:rPr>
            </w:pPr>
          </w:p>
        </w:tc>
        <w:tc>
          <w:tcPr>
            <w:tcW w:w="1527" w:type="dxa"/>
            <w:noWrap/>
            <w:vAlign w:val="center"/>
          </w:tcPr>
          <w:p w14:paraId="79EBE036">
            <w:pPr>
              <w:pStyle w:val="149"/>
              <w:rPr>
                <w:sz w:val="13"/>
                <w:szCs w:val="13"/>
              </w:rPr>
            </w:pPr>
          </w:p>
        </w:tc>
        <w:tc>
          <w:tcPr>
            <w:tcW w:w="1051" w:type="dxa"/>
            <w:noWrap/>
            <w:vAlign w:val="center"/>
          </w:tcPr>
          <w:p w14:paraId="493F0FA8">
            <w:pPr>
              <w:pStyle w:val="149"/>
              <w:rPr>
                <w:sz w:val="13"/>
                <w:szCs w:val="13"/>
              </w:rPr>
            </w:pPr>
            <w:r>
              <w:rPr>
                <w:sz w:val="13"/>
                <w:szCs w:val="13"/>
              </w:rPr>
              <w:t>未完成</w:t>
            </w:r>
          </w:p>
        </w:tc>
      </w:tr>
      <w:tr w14:paraId="1F20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4FC2ABDD">
            <w:pPr>
              <w:pStyle w:val="149"/>
              <w:rPr>
                <w:sz w:val="13"/>
                <w:szCs w:val="13"/>
              </w:rPr>
            </w:pPr>
            <w:r>
              <w:rPr>
                <w:sz w:val="13"/>
                <w:szCs w:val="13"/>
              </w:rPr>
              <w:t>62</w:t>
            </w:r>
          </w:p>
        </w:tc>
        <w:tc>
          <w:tcPr>
            <w:tcW w:w="1317" w:type="dxa"/>
            <w:noWrap/>
            <w:vAlign w:val="center"/>
          </w:tcPr>
          <w:p w14:paraId="50D5910E">
            <w:pPr>
              <w:pStyle w:val="149"/>
              <w:rPr>
                <w:sz w:val="13"/>
                <w:szCs w:val="13"/>
              </w:rPr>
            </w:pPr>
            <w:r>
              <w:rPr>
                <w:sz w:val="13"/>
                <w:szCs w:val="13"/>
              </w:rPr>
              <w:t>东方日升（包头）硅业有限公司</w:t>
            </w:r>
          </w:p>
        </w:tc>
        <w:tc>
          <w:tcPr>
            <w:tcW w:w="2226" w:type="dxa"/>
            <w:noWrap/>
            <w:vAlign w:val="center"/>
          </w:tcPr>
          <w:p w14:paraId="37EFB722">
            <w:pPr>
              <w:pStyle w:val="149"/>
              <w:rPr>
                <w:sz w:val="13"/>
                <w:szCs w:val="13"/>
              </w:rPr>
            </w:pPr>
            <w:r>
              <w:rPr>
                <w:sz w:val="13"/>
                <w:szCs w:val="13"/>
              </w:rPr>
              <w:t>东方日升源网荷储一体化二期10GW拉晶项目</w:t>
            </w:r>
          </w:p>
        </w:tc>
        <w:tc>
          <w:tcPr>
            <w:tcW w:w="1418" w:type="dxa"/>
            <w:noWrap/>
            <w:vAlign w:val="center"/>
          </w:tcPr>
          <w:p w14:paraId="4A500CB7">
            <w:pPr>
              <w:pStyle w:val="149"/>
              <w:rPr>
                <w:sz w:val="13"/>
                <w:szCs w:val="13"/>
              </w:rPr>
            </w:pPr>
            <w:r>
              <w:rPr>
                <w:sz w:val="13"/>
                <w:szCs w:val="13"/>
              </w:rPr>
              <w:t>项目代码：2208-150222-04-01-193255</w:t>
            </w:r>
          </w:p>
        </w:tc>
        <w:tc>
          <w:tcPr>
            <w:tcW w:w="709" w:type="dxa"/>
            <w:noWrap/>
            <w:vAlign w:val="center"/>
          </w:tcPr>
          <w:p w14:paraId="5C75BAD3">
            <w:pPr>
              <w:pStyle w:val="149"/>
              <w:rPr>
                <w:sz w:val="13"/>
                <w:szCs w:val="13"/>
              </w:rPr>
            </w:pPr>
            <w:r>
              <w:rPr>
                <w:sz w:val="13"/>
                <w:szCs w:val="13"/>
              </w:rPr>
              <w:t>7.32</w:t>
            </w:r>
          </w:p>
        </w:tc>
        <w:tc>
          <w:tcPr>
            <w:tcW w:w="803" w:type="dxa"/>
            <w:noWrap/>
            <w:vAlign w:val="center"/>
          </w:tcPr>
          <w:p w14:paraId="6F98A9F8">
            <w:pPr>
              <w:pStyle w:val="149"/>
              <w:rPr>
                <w:sz w:val="13"/>
                <w:szCs w:val="13"/>
              </w:rPr>
            </w:pPr>
            <w:r>
              <w:rPr>
                <w:sz w:val="13"/>
                <w:szCs w:val="13"/>
              </w:rPr>
              <w:t>2022-2024</w:t>
            </w:r>
          </w:p>
        </w:tc>
        <w:tc>
          <w:tcPr>
            <w:tcW w:w="614" w:type="dxa"/>
            <w:gridSpan w:val="2"/>
            <w:noWrap/>
            <w:vAlign w:val="center"/>
          </w:tcPr>
          <w:p w14:paraId="66140BD6">
            <w:pPr>
              <w:pStyle w:val="149"/>
              <w:rPr>
                <w:sz w:val="13"/>
                <w:szCs w:val="13"/>
              </w:rPr>
            </w:pPr>
            <w:r>
              <w:rPr>
                <w:sz w:val="13"/>
                <w:szCs w:val="13"/>
              </w:rPr>
              <w:t>未建</w:t>
            </w:r>
          </w:p>
        </w:tc>
        <w:tc>
          <w:tcPr>
            <w:tcW w:w="567" w:type="dxa"/>
            <w:gridSpan w:val="2"/>
            <w:noWrap/>
            <w:vAlign w:val="center"/>
          </w:tcPr>
          <w:p w14:paraId="563E827A">
            <w:pPr>
              <w:pStyle w:val="149"/>
              <w:rPr>
                <w:sz w:val="13"/>
                <w:szCs w:val="13"/>
              </w:rPr>
            </w:pPr>
            <w:r>
              <w:rPr>
                <w:sz w:val="13"/>
                <w:szCs w:val="13"/>
              </w:rPr>
              <w:t>未运营</w:t>
            </w:r>
          </w:p>
        </w:tc>
        <w:tc>
          <w:tcPr>
            <w:tcW w:w="992" w:type="dxa"/>
            <w:gridSpan w:val="2"/>
            <w:noWrap/>
            <w:vAlign w:val="center"/>
          </w:tcPr>
          <w:p w14:paraId="7C0476EC">
            <w:pPr>
              <w:pStyle w:val="149"/>
              <w:rPr>
                <w:sz w:val="13"/>
                <w:szCs w:val="13"/>
              </w:rPr>
            </w:pPr>
            <w:r>
              <w:rPr>
                <w:sz w:val="13"/>
                <w:szCs w:val="13"/>
              </w:rPr>
              <w:t>未编制</w:t>
            </w:r>
          </w:p>
        </w:tc>
        <w:tc>
          <w:tcPr>
            <w:tcW w:w="1701" w:type="dxa"/>
            <w:gridSpan w:val="2"/>
            <w:noWrap/>
            <w:vAlign w:val="center"/>
          </w:tcPr>
          <w:p w14:paraId="468918C5">
            <w:pPr>
              <w:pStyle w:val="149"/>
              <w:rPr>
                <w:sz w:val="13"/>
                <w:szCs w:val="13"/>
              </w:rPr>
            </w:pPr>
          </w:p>
        </w:tc>
        <w:tc>
          <w:tcPr>
            <w:tcW w:w="844" w:type="dxa"/>
            <w:noWrap/>
            <w:vAlign w:val="center"/>
          </w:tcPr>
          <w:p w14:paraId="43957664">
            <w:pPr>
              <w:pStyle w:val="149"/>
              <w:rPr>
                <w:sz w:val="13"/>
                <w:szCs w:val="13"/>
              </w:rPr>
            </w:pPr>
            <w:r>
              <w:rPr>
                <w:sz w:val="13"/>
                <w:szCs w:val="13"/>
              </w:rPr>
              <w:t xml:space="preserve">3.46 </w:t>
            </w:r>
          </w:p>
        </w:tc>
        <w:tc>
          <w:tcPr>
            <w:tcW w:w="844" w:type="dxa"/>
            <w:gridSpan w:val="2"/>
            <w:noWrap/>
            <w:vAlign w:val="center"/>
          </w:tcPr>
          <w:p w14:paraId="289320CD">
            <w:pPr>
              <w:pStyle w:val="149"/>
              <w:rPr>
                <w:sz w:val="13"/>
                <w:szCs w:val="13"/>
              </w:rPr>
            </w:pPr>
            <w:r>
              <w:rPr>
                <w:sz w:val="13"/>
                <w:szCs w:val="13"/>
              </w:rPr>
              <w:t xml:space="preserve">3.46 </w:t>
            </w:r>
          </w:p>
        </w:tc>
        <w:tc>
          <w:tcPr>
            <w:tcW w:w="892" w:type="dxa"/>
            <w:gridSpan w:val="2"/>
            <w:vAlign w:val="center"/>
          </w:tcPr>
          <w:p w14:paraId="3E1B49EE">
            <w:pPr>
              <w:pStyle w:val="149"/>
              <w:rPr>
                <w:sz w:val="13"/>
                <w:szCs w:val="13"/>
              </w:rPr>
            </w:pPr>
            <w:r>
              <w:rPr>
                <w:sz w:val="13"/>
                <w:szCs w:val="13"/>
              </w:rPr>
              <w:t xml:space="preserve">1.43 </w:t>
            </w:r>
          </w:p>
        </w:tc>
        <w:tc>
          <w:tcPr>
            <w:tcW w:w="1527" w:type="dxa"/>
            <w:noWrap/>
            <w:vAlign w:val="center"/>
          </w:tcPr>
          <w:p w14:paraId="1BE11023">
            <w:pPr>
              <w:pStyle w:val="149"/>
              <w:rPr>
                <w:sz w:val="13"/>
                <w:szCs w:val="13"/>
              </w:rPr>
            </w:pPr>
          </w:p>
        </w:tc>
        <w:tc>
          <w:tcPr>
            <w:tcW w:w="1051" w:type="dxa"/>
            <w:noWrap/>
            <w:vAlign w:val="center"/>
          </w:tcPr>
          <w:p w14:paraId="61CD7554">
            <w:pPr>
              <w:pStyle w:val="149"/>
              <w:rPr>
                <w:sz w:val="13"/>
                <w:szCs w:val="13"/>
              </w:rPr>
            </w:pPr>
            <w:r>
              <w:rPr>
                <w:sz w:val="13"/>
                <w:szCs w:val="13"/>
              </w:rPr>
              <w:t>未完成</w:t>
            </w:r>
          </w:p>
        </w:tc>
      </w:tr>
      <w:tr w14:paraId="022A4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1" w:type="dxa"/>
            <w:noWrap/>
            <w:vAlign w:val="center"/>
          </w:tcPr>
          <w:p w14:paraId="3A09F174">
            <w:pPr>
              <w:pStyle w:val="149"/>
              <w:rPr>
                <w:sz w:val="13"/>
                <w:szCs w:val="13"/>
              </w:rPr>
            </w:pPr>
            <w:r>
              <w:rPr>
                <w:sz w:val="13"/>
                <w:szCs w:val="13"/>
              </w:rPr>
              <w:t>63</w:t>
            </w:r>
          </w:p>
        </w:tc>
        <w:tc>
          <w:tcPr>
            <w:tcW w:w="1317" w:type="dxa"/>
            <w:noWrap/>
            <w:vAlign w:val="center"/>
          </w:tcPr>
          <w:p w14:paraId="4D1F475A">
            <w:pPr>
              <w:pStyle w:val="149"/>
              <w:rPr>
                <w:sz w:val="13"/>
                <w:szCs w:val="13"/>
              </w:rPr>
            </w:pPr>
            <w:r>
              <w:rPr>
                <w:sz w:val="13"/>
                <w:szCs w:val="13"/>
              </w:rPr>
              <w:t>包头市格索兰新能源有限公司</w:t>
            </w:r>
          </w:p>
        </w:tc>
        <w:tc>
          <w:tcPr>
            <w:tcW w:w="2226" w:type="dxa"/>
            <w:noWrap/>
            <w:vAlign w:val="center"/>
          </w:tcPr>
          <w:p w14:paraId="77D82FAC">
            <w:pPr>
              <w:pStyle w:val="149"/>
              <w:rPr>
                <w:sz w:val="13"/>
                <w:szCs w:val="13"/>
              </w:rPr>
            </w:pPr>
            <w:r>
              <w:rPr>
                <w:sz w:val="13"/>
                <w:szCs w:val="13"/>
              </w:rPr>
              <w:t>年产1亿平方米太阳能装备用光伏电池封装材料项目</w:t>
            </w:r>
          </w:p>
        </w:tc>
        <w:tc>
          <w:tcPr>
            <w:tcW w:w="1418" w:type="dxa"/>
            <w:noWrap/>
            <w:vAlign w:val="center"/>
          </w:tcPr>
          <w:p w14:paraId="5A043E22">
            <w:pPr>
              <w:pStyle w:val="149"/>
              <w:rPr>
                <w:sz w:val="13"/>
                <w:szCs w:val="13"/>
              </w:rPr>
            </w:pPr>
            <w:r>
              <w:rPr>
                <w:sz w:val="13"/>
                <w:szCs w:val="13"/>
              </w:rPr>
              <w:t>项目代码：2206-150222-04-01-807165</w:t>
            </w:r>
          </w:p>
        </w:tc>
        <w:tc>
          <w:tcPr>
            <w:tcW w:w="709" w:type="dxa"/>
            <w:noWrap/>
            <w:vAlign w:val="center"/>
          </w:tcPr>
          <w:p w14:paraId="4B2D7191">
            <w:pPr>
              <w:pStyle w:val="149"/>
              <w:rPr>
                <w:sz w:val="13"/>
                <w:szCs w:val="13"/>
              </w:rPr>
            </w:pPr>
            <w:r>
              <w:rPr>
                <w:sz w:val="13"/>
                <w:szCs w:val="13"/>
              </w:rPr>
              <w:t>38</w:t>
            </w:r>
          </w:p>
        </w:tc>
        <w:tc>
          <w:tcPr>
            <w:tcW w:w="803" w:type="dxa"/>
            <w:noWrap/>
            <w:vAlign w:val="center"/>
          </w:tcPr>
          <w:p w14:paraId="4A465BF9">
            <w:pPr>
              <w:pStyle w:val="149"/>
              <w:rPr>
                <w:sz w:val="13"/>
                <w:szCs w:val="13"/>
              </w:rPr>
            </w:pPr>
            <w:r>
              <w:rPr>
                <w:sz w:val="13"/>
                <w:szCs w:val="13"/>
              </w:rPr>
              <w:t>2022-2025</w:t>
            </w:r>
          </w:p>
        </w:tc>
        <w:tc>
          <w:tcPr>
            <w:tcW w:w="614" w:type="dxa"/>
            <w:gridSpan w:val="2"/>
            <w:noWrap/>
            <w:vAlign w:val="center"/>
          </w:tcPr>
          <w:p w14:paraId="5C736EF9">
            <w:pPr>
              <w:pStyle w:val="149"/>
              <w:rPr>
                <w:sz w:val="13"/>
                <w:szCs w:val="13"/>
              </w:rPr>
            </w:pPr>
            <w:r>
              <w:rPr>
                <w:sz w:val="13"/>
                <w:szCs w:val="13"/>
              </w:rPr>
              <w:t>未建</w:t>
            </w:r>
          </w:p>
        </w:tc>
        <w:tc>
          <w:tcPr>
            <w:tcW w:w="567" w:type="dxa"/>
            <w:gridSpan w:val="2"/>
            <w:noWrap/>
            <w:vAlign w:val="center"/>
          </w:tcPr>
          <w:p w14:paraId="1F73BAE7">
            <w:pPr>
              <w:pStyle w:val="149"/>
              <w:rPr>
                <w:sz w:val="13"/>
                <w:szCs w:val="13"/>
              </w:rPr>
            </w:pPr>
            <w:r>
              <w:rPr>
                <w:sz w:val="13"/>
                <w:szCs w:val="13"/>
              </w:rPr>
              <w:t>未运营</w:t>
            </w:r>
          </w:p>
        </w:tc>
        <w:tc>
          <w:tcPr>
            <w:tcW w:w="992" w:type="dxa"/>
            <w:gridSpan w:val="2"/>
            <w:noWrap/>
            <w:vAlign w:val="center"/>
          </w:tcPr>
          <w:p w14:paraId="35F0A6AA">
            <w:pPr>
              <w:pStyle w:val="149"/>
              <w:rPr>
                <w:sz w:val="13"/>
                <w:szCs w:val="13"/>
              </w:rPr>
            </w:pPr>
            <w:r>
              <w:rPr>
                <w:sz w:val="13"/>
                <w:szCs w:val="13"/>
              </w:rPr>
              <w:t>未编制</w:t>
            </w:r>
          </w:p>
        </w:tc>
        <w:tc>
          <w:tcPr>
            <w:tcW w:w="1701" w:type="dxa"/>
            <w:gridSpan w:val="2"/>
            <w:noWrap/>
            <w:vAlign w:val="center"/>
          </w:tcPr>
          <w:p w14:paraId="5911AF5C">
            <w:pPr>
              <w:pStyle w:val="149"/>
              <w:rPr>
                <w:sz w:val="13"/>
                <w:szCs w:val="13"/>
              </w:rPr>
            </w:pPr>
          </w:p>
        </w:tc>
        <w:tc>
          <w:tcPr>
            <w:tcW w:w="844" w:type="dxa"/>
            <w:noWrap/>
            <w:vAlign w:val="center"/>
          </w:tcPr>
          <w:p w14:paraId="30309181">
            <w:pPr>
              <w:pStyle w:val="149"/>
              <w:rPr>
                <w:sz w:val="13"/>
                <w:szCs w:val="13"/>
              </w:rPr>
            </w:pPr>
            <w:r>
              <w:rPr>
                <w:sz w:val="13"/>
                <w:szCs w:val="13"/>
              </w:rPr>
              <w:t xml:space="preserve">17.96 </w:t>
            </w:r>
          </w:p>
        </w:tc>
        <w:tc>
          <w:tcPr>
            <w:tcW w:w="844" w:type="dxa"/>
            <w:gridSpan w:val="2"/>
            <w:noWrap/>
            <w:vAlign w:val="center"/>
          </w:tcPr>
          <w:p w14:paraId="7CB832E0">
            <w:pPr>
              <w:pStyle w:val="149"/>
              <w:rPr>
                <w:sz w:val="13"/>
                <w:szCs w:val="13"/>
              </w:rPr>
            </w:pPr>
            <w:r>
              <w:rPr>
                <w:sz w:val="13"/>
                <w:szCs w:val="13"/>
              </w:rPr>
              <w:t xml:space="preserve">17.96 </w:t>
            </w:r>
          </w:p>
        </w:tc>
        <w:tc>
          <w:tcPr>
            <w:tcW w:w="892" w:type="dxa"/>
            <w:gridSpan w:val="2"/>
            <w:vAlign w:val="center"/>
          </w:tcPr>
          <w:p w14:paraId="08C66893">
            <w:pPr>
              <w:pStyle w:val="149"/>
              <w:rPr>
                <w:sz w:val="13"/>
                <w:szCs w:val="13"/>
              </w:rPr>
            </w:pPr>
            <w:r>
              <w:rPr>
                <w:sz w:val="13"/>
                <w:szCs w:val="13"/>
              </w:rPr>
              <w:t xml:space="preserve">7.45 </w:t>
            </w:r>
          </w:p>
        </w:tc>
        <w:tc>
          <w:tcPr>
            <w:tcW w:w="1527" w:type="dxa"/>
            <w:noWrap/>
            <w:vAlign w:val="center"/>
          </w:tcPr>
          <w:p w14:paraId="6D1446E8">
            <w:pPr>
              <w:pStyle w:val="149"/>
              <w:rPr>
                <w:sz w:val="13"/>
                <w:szCs w:val="13"/>
              </w:rPr>
            </w:pPr>
          </w:p>
        </w:tc>
        <w:tc>
          <w:tcPr>
            <w:tcW w:w="1051" w:type="dxa"/>
            <w:noWrap/>
            <w:vAlign w:val="center"/>
          </w:tcPr>
          <w:p w14:paraId="64FE4545">
            <w:pPr>
              <w:pStyle w:val="149"/>
              <w:rPr>
                <w:sz w:val="13"/>
                <w:szCs w:val="13"/>
              </w:rPr>
            </w:pPr>
            <w:r>
              <w:rPr>
                <w:sz w:val="13"/>
                <w:szCs w:val="13"/>
              </w:rPr>
              <w:t>未完成</w:t>
            </w:r>
          </w:p>
        </w:tc>
      </w:tr>
      <w:tr w14:paraId="5DE01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gridSpan w:val="3"/>
            <w:noWrap/>
            <w:vAlign w:val="center"/>
          </w:tcPr>
          <w:p w14:paraId="6CCF6C02">
            <w:pPr>
              <w:pStyle w:val="149"/>
              <w:rPr>
                <w:sz w:val="13"/>
                <w:szCs w:val="13"/>
              </w:rPr>
            </w:pPr>
            <w:r>
              <w:rPr>
                <w:sz w:val="13"/>
                <w:szCs w:val="13"/>
              </w:rPr>
              <w:t>已建区小计</w:t>
            </w:r>
          </w:p>
        </w:tc>
        <w:tc>
          <w:tcPr>
            <w:tcW w:w="1418" w:type="dxa"/>
            <w:noWrap/>
            <w:vAlign w:val="center"/>
          </w:tcPr>
          <w:p w14:paraId="350221E6">
            <w:pPr>
              <w:pStyle w:val="149"/>
              <w:rPr>
                <w:sz w:val="13"/>
                <w:szCs w:val="13"/>
              </w:rPr>
            </w:pPr>
            <w:r>
              <w:rPr>
                <w:sz w:val="13"/>
                <w:szCs w:val="13"/>
              </w:rPr>
              <w:t>　</w:t>
            </w:r>
          </w:p>
        </w:tc>
        <w:tc>
          <w:tcPr>
            <w:tcW w:w="709" w:type="dxa"/>
            <w:noWrap/>
            <w:vAlign w:val="center"/>
          </w:tcPr>
          <w:p w14:paraId="2443AF83">
            <w:pPr>
              <w:pStyle w:val="149"/>
              <w:rPr>
                <w:sz w:val="13"/>
                <w:szCs w:val="13"/>
              </w:rPr>
            </w:pPr>
            <w:r>
              <w:rPr>
                <w:sz w:val="13"/>
                <w:szCs w:val="13"/>
              </w:rPr>
              <w:t xml:space="preserve">696.08 </w:t>
            </w:r>
          </w:p>
        </w:tc>
        <w:tc>
          <w:tcPr>
            <w:tcW w:w="845" w:type="dxa"/>
            <w:gridSpan w:val="2"/>
            <w:noWrap/>
            <w:vAlign w:val="center"/>
          </w:tcPr>
          <w:p w14:paraId="7737D929">
            <w:pPr>
              <w:pStyle w:val="149"/>
              <w:rPr>
                <w:sz w:val="13"/>
                <w:szCs w:val="13"/>
              </w:rPr>
            </w:pPr>
            <w:r>
              <w:rPr>
                <w:sz w:val="13"/>
                <w:szCs w:val="13"/>
              </w:rPr>
              <w:t>　</w:t>
            </w:r>
          </w:p>
        </w:tc>
        <w:tc>
          <w:tcPr>
            <w:tcW w:w="590" w:type="dxa"/>
            <w:gridSpan w:val="2"/>
            <w:noWrap/>
            <w:vAlign w:val="center"/>
          </w:tcPr>
          <w:p w14:paraId="15941EEB">
            <w:pPr>
              <w:pStyle w:val="149"/>
              <w:rPr>
                <w:sz w:val="13"/>
                <w:szCs w:val="13"/>
              </w:rPr>
            </w:pPr>
            <w:r>
              <w:rPr>
                <w:sz w:val="13"/>
                <w:szCs w:val="13"/>
              </w:rPr>
              <w:t>　</w:t>
            </w:r>
          </w:p>
        </w:tc>
        <w:tc>
          <w:tcPr>
            <w:tcW w:w="560" w:type="dxa"/>
            <w:gridSpan w:val="2"/>
            <w:noWrap/>
            <w:vAlign w:val="center"/>
          </w:tcPr>
          <w:p w14:paraId="22F8759B">
            <w:pPr>
              <w:pStyle w:val="149"/>
              <w:rPr>
                <w:sz w:val="13"/>
                <w:szCs w:val="13"/>
              </w:rPr>
            </w:pPr>
            <w:r>
              <w:rPr>
                <w:sz w:val="13"/>
                <w:szCs w:val="13"/>
              </w:rPr>
              <w:t>　</w:t>
            </w:r>
          </w:p>
        </w:tc>
        <w:tc>
          <w:tcPr>
            <w:tcW w:w="981" w:type="dxa"/>
            <w:noWrap/>
            <w:vAlign w:val="center"/>
          </w:tcPr>
          <w:p w14:paraId="7AD25F3F">
            <w:pPr>
              <w:pStyle w:val="149"/>
              <w:rPr>
                <w:sz w:val="13"/>
                <w:szCs w:val="13"/>
              </w:rPr>
            </w:pPr>
            <w:r>
              <w:rPr>
                <w:sz w:val="13"/>
                <w:szCs w:val="13"/>
              </w:rPr>
              <w:t>　</w:t>
            </w:r>
          </w:p>
        </w:tc>
        <w:tc>
          <w:tcPr>
            <w:tcW w:w="1693" w:type="dxa"/>
            <w:noWrap/>
            <w:vAlign w:val="center"/>
          </w:tcPr>
          <w:p w14:paraId="06EE9890">
            <w:pPr>
              <w:pStyle w:val="149"/>
              <w:rPr>
                <w:sz w:val="13"/>
                <w:szCs w:val="13"/>
              </w:rPr>
            </w:pPr>
          </w:p>
        </w:tc>
        <w:tc>
          <w:tcPr>
            <w:tcW w:w="867" w:type="dxa"/>
            <w:gridSpan w:val="3"/>
            <w:noWrap/>
            <w:vAlign w:val="center"/>
          </w:tcPr>
          <w:p w14:paraId="64E40B1A">
            <w:pPr>
              <w:pStyle w:val="149"/>
              <w:rPr>
                <w:sz w:val="13"/>
                <w:szCs w:val="13"/>
              </w:rPr>
            </w:pPr>
          </w:p>
        </w:tc>
        <w:tc>
          <w:tcPr>
            <w:tcW w:w="829" w:type="dxa"/>
            <w:noWrap/>
            <w:vAlign w:val="center"/>
          </w:tcPr>
          <w:p w14:paraId="40E71AA9">
            <w:pPr>
              <w:pStyle w:val="149"/>
              <w:rPr>
                <w:sz w:val="13"/>
                <w:szCs w:val="13"/>
              </w:rPr>
            </w:pPr>
          </w:p>
        </w:tc>
        <w:tc>
          <w:tcPr>
            <w:tcW w:w="865" w:type="dxa"/>
            <w:vAlign w:val="center"/>
          </w:tcPr>
          <w:p w14:paraId="54CBAFFE">
            <w:pPr>
              <w:pStyle w:val="149"/>
              <w:rPr>
                <w:sz w:val="13"/>
                <w:szCs w:val="13"/>
              </w:rPr>
            </w:pPr>
          </w:p>
        </w:tc>
        <w:tc>
          <w:tcPr>
            <w:tcW w:w="1554" w:type="dxa"/>
            <w:gridSpan w:val="2"/>
            <w:noWrap/>
            <w:vAlign w:val="center"/>
          </w:tcPr>
          <w:p w14:paraId="6F29F70F">
            <w:pPr>
              <w:pStyle w:val="149"/>
              <w:rPr>
                <w:sz w:val="13"/>
                <w:szCs w:val="13"/>
              </w:rPr>
            </w:pPr>
            <w:r>
              <w:rPr>
                <w:sz w:val="13"/>
                <w:szCs w:val="13"/>
              </w:rPr>
              <w:t>　</w:t>
            </w:r>
          </w:p>
        </w:tc>
        <w:tc>
          <w:tcPr>
            <w:tcW w:w="1051" w:type="dxa"/>
            <w:noWrap/>
            <w:vAlign w:val="center"/>
          </w:tcPr>
          <w:p w14:paraId="0C1A64D1">
            <w:pPr>
              <w:pStyle w:val="149"/>
              <w:rPr>
                <w:sz w:val="13"/>
                <w:szCs w:val="13"/>
              </w:rPr>
            </w:pPr>
            <w:r>
              <w:rPr>
                <w:sz w:val="13"/>
                <w:szCs w:val="13"/>
              </w:rPr>
              <w:t>　</w:t>
            </w:r>
          </w:p>
        </w:tc>
      </w:tr>
      <w:tr w14:paraId="1F62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gridSpan w:val="3"/>
            <w:noWrap/>
            <w:vAlign w:val="center"/>
          </w:tcPr>
          <w:p w14:paraId="1152D0A5">
            <w:pPr>
              <w:pStyle w:val="149"/>
              <w:rPr>
                <w:sz w:val="13"/>
                <w:szCs w:val="13"/>
              </w:rPr>
            </w:pPr>
            <w:r>
              <w:rPr>
                <w:sz w:val="13"/>
                <w:szCs w:val="13"/>
              </w:rPr>
              <w:t>已编报水土方案项目小计</w:t>
            </w:r>
          </w:p>
        </w:tc>
        <w:tc>
          <w:tcPr>
            <w:tcW w:w="1418" w:type="dxa"/>
            <w:noWrap/>
            <w:vAlign w:val="center"/>
          </w:tcPr>
          <w:p w14:paraId="66AB28C1">
            <w:pPr>
              <w:pStyle w:val="149"/>
              <w:rPr>
                <w:sz w:val="13"/>
                <w:szCs w:val="13"/>
              </w:rPr>
            </w:pPr>
            <w:r>
              <w:rPr>
                <w:sz w:val="13"/>
                <w:szCs w:val="13"/>
              </w:rPr>
              <w:t>　</w:t>
            </w:r>
          </w:p>
        </w:tc>
        <w:tc>
          <w:tcPr>
            <w:tcW w:w="709" w:type="dxa"/>
            <w:noWrap/>
            <w:vAlign w:val="center"/>
          </w:tcPr>
          <w:p w14:paraId="46CB0DE4">
            <w:pPr>
              <w:pStyle w:val="149"/>
              <w:rPr>
                <w:sz w:val="13"/>
                <w:szCs w:val="13"/>
              </w:rPr>
            </w:pPr>
            <w:r>
              <w:rPr>
                <w:sz w:val="13"/>
                <w:szCs w:val="13"/>
              </w:rPr>
              <w:t xml:space="preserve">575.92 </w:t>
            </w:r>
          </w:p>
        </w:tc>
        <w:tc>
          <w:tcPr>
            <w:tcW w:w="845" w:type="dxa"/>
            <w:gridSpan w:val="2"/>
            <w:noWrap/>
            <w:vAlign w:val="center"/>
          </w:tcPr>
          <w:p w14:paraId="0653E4F9">
            <w:pPr>
              <w:pStyle w:val="149"/>
              <w:rPr>
                <w:sz w:val="13"/>
                <w:szCs w:val="13"/>
              </w:rPr>
            </w:pPr>
          </w:p>
        </w:tc>
        <w:tc>
          <w:tcPr>
            <w:tcW w:w="590" w:type="dxa"/>
            <w:gridSpan w:val="2"/>
            <w:noWrap/>
            <w:vAlign w:val="center"/>
          </w:tcPr>
          <w:p w14:paraId="36A8C2D7">
            <w:pPr>
              <w:pStyle w:val="149"/>
              <w:rPr>
                <w:sz w:val="13"/>
                <w:szCs w:val="13"/>
              </w:rPr>
            </w:pPr>
            <w:r>
              <w:rPr>
                <w:sz w:val="13"/>
                <w:szCs w:val="13"/>
              </w:rPr>
              <w:t>　</w:t>
            </w:r>
          </w:p>
        </w:tc>
        <w:tc>
          <w:tcPr>
            <w:tcW w:w="560" w:type="dxa"/>
            <w:gridSpan w:val="2"/>
            <w:noWrap/>
            <w:vAlign w:val="center"/>
          </w:tcPr>
          <w:p w14:paraId="19F6F3CD">
            <w:pPr>
              <w:pStyle w:val="149"/>
              <w:rPr>
                <w:sz w:val="13"/>
                <w:szCs w:val="13"/>
              </w:rPr>
            </w:pPr>
            <w:r>
              <w:rPr>
                <w:sz w:val="13"/>
                <w:szCs w:val="13"/>
              </w:rPr>
              <w:t>　</w:t>
            </w:r>
          </w:p>
        </w:tc>
        <w:tc>
          <w:tcPr>
            <w:tcW w:w="981" w:type="dxa"/>
            <w:noWrap/>
            <w:vAlign w:val="center"/>
          </w:tcPr>
          <w:p w14:paraId="17F7F546">
            <w:pPr>
              <w:pStyle w:val="149"/>
              <w:rPr>
                <w:sz w:val="13"/>
                <w:szCs w:val="13"/>
              </w:rPr>
            </w:pPr>
            <w:r>
              <w:rPr>
                <w:sz w:val="13"/>
                <w:szCs w:val="13"/>
              </w:rPr>
              <w:t>　</w:t>
            </w:r>
          </w:p>
        </w:tc>
        <w:tc>
          <w:tcPr>
            <w:tcW w:w="1693" w:type="dxa"/>
            <w:noWrap/>
            <w:vAlign w:val="center"/>
          </w:tcPr>
          <w:p w14:paraId="6FA0C2CE">
            <w:pPr>
              <w:pStyle w:val="149"/>
              <w:rPr>
                <w:sz w:val="13"/>
                <w:szCs w:val="13"/>
              </w:rPr>
            </w:pPr>
          </w:p>
        </w:tc>
        <w:tc>
          <w:tcPr>
            <w:tcW w:w="867" w:type="dxa"/>
            <w:gridSpan w:val="3"/>
            <w:noWrap/>
            <w:vAlign w:val="center"/>
          </w:tcPr>
          <w:p w14:paraId="5602C7BB">
            <w:pPr>
              <w:pStyle w:val="149"/>
              <w:rPr>
                <w:sz w:val="13"/>
                <w:szCs w:val="13"/>
              </w:rPr>
            </w:pPr>
          </w:p>
        </w:tc>
        <w:tc>
          <w:tcPr>
            <w:tcW w:w="829" w:type="dxa"/>
            <w:noWrap/>
            <w:vAlign w:val="center"/>
          </w:tcPr>
          <w:p w14:paraId="2B8A6435">
            <w:pPr>
              <w:pStyle w:val="149"/>
              <w:rPr>
                <w:sz w:val="13"/>
                <w:szCs w:val="13"/>
              </w:rPr>
            </w:pPr>
          </w:p>
        </w:tc>
        <w:tc>
          <w:tcPr>
            <w:tcW w:w="865" w:type="dxa"/>
            <w:vAlign w:val="center"/>
          </w:tcPr>
          <w:p w14:paraId="476C2363">
            <w:pPr>
              <w:pStyle w:val="149"/>
              <w:rPr>
                <w:sz w:val="13"/>
                <w:szCs w:val="13"/>
              </w:rPr>
            </w:pPr>
          </w:p>
        </w:tc>
        <w:tc>
          <w:tcPr>
            <w:tcW w:w="1554" w:type="dxa"/>
            <w:gridSpan w:val="2"/>
            <w:noWrap/>
            <w:vAlign w:val="center"/>
          </w:tcPr>
          <w:p w14:paraId="0C0C2837">
            <w:pPr>
              <w:pStyle w:val="149"/>
              <w:rPr>
                <w:sz w:val="13"/>
                <w:szCs w:val="13"/>
              </w:rPr>
            </w:pPr>
            <w:r>
              <w:rPr>
                <w:sz w:val="13"/>
                <w:szCs w:val="13"/>
              </w:rPr>
              <w:t>　</w:t>
            </w:r>
          </w:p>
        </w:tc>
        <w:tc>
          <w:tcPr>
            <w:tcW w:w="1051" w:type="dxa"/>
            <w:noWrap/>
            <w:vAlign w:val="center"/>
          </w:tcPr>
          <w:p w14:paraId="6184FEFB">
            <w:pPr>
              <w:pStyle w:val="149"/>
              <w:rPr>
                <w:sz w:val="13"/>
                <w:szCs w:val="13"/>
              </w:rPr>
            </w:pPr>
            <w:r>
              <w:rPr>
                <w:sz w:val="13"/>
                <w:szCs w:val="13"/>
              </w:rPr>
              <w:t>　</w:t>
            </w:r>
          </w:p>
        </w:tc>
      </w:tr>
      <w:tr w14:paraId="3CB6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4" w:type="dxa"/>
            <w:gridSpan w:val="3"/>
            <w:noWrap/>
            <w:vAlign w:val="center"/>
          </w:tcPr>
          <w:p w14:paraId="2D6412F3">
            <w:pPr>
              <w:pStyle w:val="149"/>
              <w:rPr>
                <w:sz w:val="13"/>
                <w:szCs w:val="13"/>
              </w:rPr>
            </w:pPr>
            <w:r>
              <w:rPr>
                <w:sz w:val="13"/>
                <w:szCs w:val="13"/>
              </w:rPr>
              <w:t>合计</w:t>
            </w:r>
          </w:p>
        </w:tc>
        <w:tc>
          <w:tcPr>
            <w:tcW w:w="1418" w:type="dxa"/>
            <w:noWrap/>
            <w:vAlign w:val="center"/>
          </w:tcPr>
          <w:p w14:paraId="78F8FFC6">
            <w:pPr>
              <w:pStyle w:val="149"/>
              <w:rPr>
                <w:sz w:val="13"/>
                <w:szCs w:val="13"/>
              </w:rPr>
            </w:pPr>
          </w:p>
        </w:tc>
        <w:tc>
          <w:tcPr>
            <w:tcW w:w="709" w:type="dxa"/>
            <w:noWrap/>
            <w:vAlign w:val="center"/>
          </w:tcPr>
          <w:p w14:paraId="5B5793EE">
            <w:pPr>
              <w:pStyle w:val="149"/>
              <w:rPr>
                <w:sz w:val="13"/>
                <w:szCs w:val="13"/>
              </w:rPr>
            </w:pPr>
            <w:r>
              <w:rPr>
                <w:sz w:val="13"/>
                <w:szCs w:val="13"/>
              </w:rPr>
              <w:t>883.99</w:t>
            </w:r>
          </w:p>
        </w:tc>
        <w:tc>
          <w:tcPr>
            <w:tcW w:w="845" w:type="dxa"/>
            <w:gridSpan w:val="2"/>
            <w:noWrap/>
            <w:vAlign w:val="center"/>
          </w:tcPr>
          <w:p w14:paraId="1FB1671D">
            <w:pPr>
              <w:pStyle w:val="149"/>
              <w:rPr>
                <w:sz w:val="13"/>
                <w:szCs w:val="13"/>
              </w:rPr>
            </w:pPr>
          </w:p>
        </w:tc>
        <w:tc>
          <w:tcPr>
            <w:tcW w:w="590" w:type="dxa"/>
            <w:gridSpan w:val="2"/>
            <w:noWrap/>
            <w:vAlign w:val="center"/>
          </w:tcPr>
          <w:p w14:paraId="505A4039">
            <w:pPr>
              <w:pStyle w:val="149"/>
              <w:rPr>
                <w:sz w:val="13"/>
                <w:szCs w:val="13"/>
              </w:rPr>
            </w:pPr>
          </w:p>
        </w:tc>
        <w:tc>
          <w:tcPr>
            <w:tcW w:w="560" w:type="dxa"/>
            <w:gridSpan w:val="2"/>
            <w:noWrap/>
            <w:vAlign w:val="center"/>
          </w:tcPr>
          <w:p w14:paraId="72D2D31F">
            <w:pPr>
              <w:pStyle w:val="149"/>
              <w:rPr>
                <w:sz w:val="13"/>
                <w:szCs w:val="13"/>
              </w:rPr>
            </w:pPr>
          </w:p>
        </w:tc>
        <w:tc>
          <w:tcPr>
            <w:tcW w:w="981" w:type="dxa"/>
            <w:noWrap/>
            <w:vAlign w:val="center"/>
          </w:tcPr>
          <w:p w14:paraId="45EBAF15">
            <w:pPr>
              <w:pStyle w:val="149"/>
              <w:rPr>
                <w:sz w:val="13"/>
                <w:szCs w:val="13"/>
              </w:rPr>
            </w:pPr>
          </w:p>
        </w:tc>
        <w:tc>
          <w:tcPr>
            <w:tcW w:w="1693" w:type="dxa"/>
            <w:noWrap/>
            <w:vAlign w:val="center"/>
          </w:tcPr>
          <w:p w14:paraId="5F00482F">
            <w:pPr>
              <w:pStyle w:val="149"/>
              <w:rPr>
                <w:sz w:val="13"/>
                <w:szCs w:val="13"/>
              </w:rPr>
            </w:pPr>
          </w:p>
        </w:tc>
        <w:tc>
          <w:tcPr>
            <w:tcW w:w="867" w:type="dxa"/>
            <w:gridSpan w:val="3"/>
            <w:noWrap/>
            <w:vAlign w:val="center"/>
          </w:tcPr>
          <w:p w14:paraId="0668ECEE">
            <w:pPr>
              <w:pStyle w:val="149"/>
              <w:rPr>
                <w:sz w:val="13"/>
                <w:szCs w:val="13"/>
              </w:rPr>
            </w:pPr>
            <w:r>
              <w:rPr>
                <w:sz w:val="13"/>
                <w:szCs w:val="13"/>
              </w:rPr>
              <w:t xml:space="preserve">458.57 </w:t>
            </w:r>
          </w:p>
        </w:tc>
        <w:tc>
          <w:tcPr>
            <w:tcW w:w="829" w:type="dxa"/>
            <w:noWrap/>
            <w:vAlign w:val="center"/>
          </w:tcPr>
          <w:p w14:paraId="633498E2">
            <w:pPr>
              <w:pStyle w:val="149"/>
              <w:rPr>
                <w:sz w:val="13"/>
                <w:szCs w:val="13"/>
              </w:rPr>
            </w:pPr>
            <w:r>
              <w:rPr>
                <w:sz w:val="13"/>
                <w:szCs w:val="13"/>
              </w:rPr>
              <w:t xml:space="preserve">458.57 </w:t>
            </w:r>
          </w:p>
        </w:tc>
        <w:tc>
          <w:tcPr>
            <w:tcW w:w="865" w:type="dxa"/>
            <w:vAlign w:val="center"/>
          </w:tcPr>
          <w:p w14:paraId="4D6DD88C">
            <w:pPr>
              <w:pStyle w:val="149"/>
              <w:rPr>
                <w:sz w:val="13"/>
                <w:szCs w:val="13"/>
              </w:rPr>
            </w:pPr>
            <w:r>
              <w:rPr>
                <w:sz w:val="13"/>
                <w:szCs w:val="13"/>
              </w:rPr>
              <w:t xml:space="preserve">173.25 </w:t>
            </w:r>
          </w:p>
        </w:tc>
        <w:tc>
          <w:tcPr>
            <w:tcW w:w="1554" w:type="dxa"/>
            <w:gridSpan w:val="2"/>
            <w:noWrap/>
            <w:vAlign w:val="center"/>
          </w:tcPr>
          <w:p w14:paraId="6C65E2F3">
            <w:pPr>
              <w:pStyle w:val="149"/>
              <w:rPr>
                <w:sz w:val="13"/>
                <w:szCs w:val="13"/>
              </w:rPr>
            </w:pPr>
          </w:p>
        </w:tc>
        <w:tc>
          <w:tcPr>
            <w:tcW w:w="1051" w:type="dxa"/>
            <w:noWrap/>
            <w:vAlign w:val="center"/>
          </w:tcPr>
          <w:p w14:paraId="74645607">
            <w:pPr>
              <w:pStyle w:val="149"/>
              <w:rPr>
                <w:sz w:val="13"/>
                <w:szCs w:val="13"/>
              </w:rPr>
            </w:pPr>
          </w:p>
        </w:tc>
      </w:tr>
    </w:tbl>
    <w:p w14:paraId="179CB854">
      <w:pPr>
        <w:pStyle w:val="44"/>
        <w:rPr>
          <w:color w:val="000000" w:themeColor="text1"/>
          <w:spacing w:val="70"/>
          <w:lang w:eastAsia="zh-CN"/>
          <w14:textFill>
            <w14:solidFill>
              <w14:schemeClr w14:val="tx1"/>
            </w14:solidFill>
          </w14:textFill>
        </w:rPr>
      </w:pPr>
      <w:r>
        <w:rPr>
          <w:color w:val="000000" w:themeColor="text1"/>
          <w:spacing w:val="70"/>
          <w:lang w:eastAsia="zh-CN"/>
          <w14:textFill>
            <w14:solidFill>
              <w14:schemeClr w14:val="tx1"/>
            </w14:solidFill>
          </w14:textFill>
        </w:rPr>
        <w:t>表1-9                     地块2（下湿壕片区）工矿用地</w:t>
      </w:r>
      <w:r>
        <w:rPr>
          <w:rFonts w:hint="eastAsia"/>
          <w:color w:val="000000" w:themeColor="text1"/>
          <w:spacing w:val="70"/>
          <w:lang w:eastAsia="zh-CN"/>
          <w14:textFill>
            <w14:solidFill>
              <w14:schemeClr w14:val="tx1"/>
            </w14:solidFill>
          </w14:textFill>
        </w:rPr>
        <w:t>入驻</w:t>
      </w:r>
      <w:r>
        <w:rPr>
          <w:color w:val="000000" w:themeColor="text1"/>
          <w:spacing w:val="70"/>
          <w:lang w:eastAsia="zh-CN"/>
          <w14:textFill>
            <w14:solidFill>
              <w14:schemeClr w14:val="tx1"/>
            </w14:solidFill>
          </w14:textFill>
        </w:rPr>
        <w:t>项目情况一览表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
        <w:gridCol w:w="1688"/>
        <w:gridCol w:w="1732"/>
        <w:gridCol w:w="1331"/>
        <w:gridCol w:w="1156"/>
        <w:gridCol w:w="641"/>
        <w:gridCol w:w="608"/>
        <w:gridCol w:w="608"/>
        <w:gridCol w:w="1001"/>
        <w:gridCol w:w="1001"/>
        <w:gridCol w:w="584"/>
        <w:gridCol w:w="525"/>
        <w:gridCol w:w="1688"/>
        <w:gridCol w:w="437"/>
        <w:gridCol w:w="806"/>
      </w:tblGrid>
      <w:tr w14:paraId="3E3C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restart"/>
            <w:tcBorders>
              <w:bottom w:val="single" w:color="auto" w:sz="4" w:space="0"/>
              <w:insideH w:val="single" w:sz="4" w:space="0"/>
            </w:tcBorders>
            <w:noWrap/>
            <w:vAlign w:val="center"/>
          </w:tcPr>
          <w:p w14:paraId="33743D0E">
            <w:pPr>
              <w:pStyle w:val="149"/>
              <w:rPr>
                <w:sz w:val="15"/>
                <w:szCs w:val="15"/>
              </w:rPr>
            </w:pPr>
            <w:r>
              <w:rPr>
                <w:sz w:val="15"/>
                <w:szCs w:val="15"/>
              </w:rPr>
              <w:t>序号</w:t>
            </w:r>
          </w:p>
        </w:tc>
        <w:tc>
          <w:tcPr>
            <w:tcW w:w="0" w:type="auto"/>
            <w:vMerge w:val="restart"/>
            <w:tcBorders>
              <w:bottom w:val="single" w:color="auto" w:sz="4" w:space="0"/>
              <w:insideH w:val="single" w:sz="4" w:space="0"/>
            </w:tcBorders>
            <w:noWrap/>
            <w:vAlign w:val="center"/>
          </w:tcPr>
          <w:p w14:paraId="674F0331">
            <w:pPr>
              <w:pStyle w:val="149"/>
              <w:rPr>
                <w:sz w:val="15"/>
                <w:szCs w:val="15"/>
              </w:rPr>
            </w:pPr>
            <w:r>
              <w:rPr>
                <w:sz w:val="15"/>
                <w:szCs w:val="15"/>
              </w:rPr>
              <w:t>企业名称</w:t>
            </w:r>
          </w:p>
        </w:tc>
        <w:tc>
          <w:tcPr>
            <w:tcW w:w="0" w:type="auto"/>
            <w:vMerge w:val="restart"/>
            <w:tcBorders>
              <w:bottom w:val="single" w:color="auto" w:sz="4" w:space="0"/>
              <w:insideH w:val="single" w:sz="4" w:space="0"/>
            </w:tcBorders>
            <w:noWrap/>
            <w:vAlign w:val="center"/>
          </w:tcPr>
          <w:p w14:paraId="6D4A4583">
            <w:pPr>
              <w:pStyle w:val="149"/>
              <w:rPr>
                <w:sz w:val="15"/>
                <w:szCs w:val="15"/>
              </w:rPr>
            </w:pPr>
            <w:r>
              <w:rPr>
                <w:sz w:val="15"/>
                <w:szCs w:val="15"/>
              </w:rPr>
              <w:t>项目名称</w:t>
            </w:r>
          </w:p>
        </w:tc>
        <w:tc>
          <w:tcPr>
            <w:tcW w:w="0" w:type="auto"/>
            <w:vMerge w:val="restart"/>
            <w:tcBorders>
              <w:bottom w:val="single" w:color="auto" w:sz="4" w:space="0"/>
              <w:insideH w:val="single" w:sz="4" w:space="0"/>
            </w:tcBorders>
            <w:noWrap/>
            <w:vAlign w:val="center"/>
          </w:tcPr>
          <w:p w14:paraId="2EC4F6A0">
            <w:pPr>
              <w:pStyle w:val="149"/>
              <w:rPr>
                <w:sz w:val="15"/>
                <w:szCs w:val="15"/>
              </w:rPr>
            </w:pPr>
            <w:r>
              <w:rPr>
                <w:sz w:val="15"/>
                <w:szCs w:val="15"/>
              </w:rPr>
              <w:t>立项文号</w:t>
            </w:r>
          </w:p>
        </w:tc>
        <w:tc>
          <w:tcPr>
            <w:tcW w:w="0" w:type="auto"/>
            <w:vMerge w:val="restart"/>
            <w:tcBorders>
              <w:bottom w:val="single" w:color="auto" w:sz="4" w:space="0"/>
              <w:insideH w:val="single" w:sz="4" w:space="0"/>
            </w:tcBorders>
            <w:noWrap/>
            <w:vAlign w:val="center"/>
          </w:tcPr>
          <w:p w14:paraId="35FB2447">
            <w:pPr>
              <w:pStyle w:val="149"/>
              <w:rPr>
                <w:sz w:val="15"/>
                <w:szCs w:val="15"/>
              </w:rPr>
            </w:pPr>
            <w:r>
              <w:rPr>
                <w:sz w:val="15"/>
                <w:szCs w:val="15"/>
              </w:rPr>
              <w:t>防治责任范围（hm²）</w:t>
            </w:r>
          </w:p>
        </w:tc>
        <w:tc>
          <w:tcPr>
            <w:tcW w:w="0" w:type="auto"/>
            <w:vMerge w:val="restart"/>
            <w:tcBorders>
              <w:bottom w:val="single" w:color="auto" w:sz="4" w:space="0"/>
              <w:insideH w:val="single" w:sz="4" w:space="0"/>
            </w:tcBorders>
            <w:noWrap/>
            <w:vAlign w:val="center"/>
          </w:tcPr>
          <w:p w14:paraId="35CEC9E0">
            <w:pPr>
              <w:pStyle w:val="149"/>
              <w:rPr>
                <w:sz w:val="15"/>
                <w:szCs w:val="15"/>
              </w:rPr>
            </w:pPr>
            <w:r>
              <w:rPr>
                <w:sz w:val="15"/>
                <w:szCs w:val="15"/>
              </w:rPr>
              <w:t>建设年限</w:t>
            </w:r>
          </w:p>
        </w:tc>
        <w:tc>
          <w:tcPr>
            <w:tcW w:w="0" w:type="auto"/>
            <w:vMerge w:val="restart"/>
            <w:tcBorders>
              <w:bottom w:val="single" w:color="auto" w:sz="4" w:space="0"/>
              <w:insideH w:val="single" w:sz="4" w:space="0"/>
            </w:tcBorders>
            <w:noWrap/>
            <w:vAlign w:val="center"/>
          </w:tcPr>
          <w:p w14:paraId="264368D6">
            <w:pPr>
              <w:pStyle w:val="149"/>
              <w:rPr>
                <w:sz w:val="15"/>
                <w:szCs w:val="15"/>
              </w:rPr>
            </w:pPr>
            <w:r>
              <w:rPr>
                <w:sz w:val="15"/>
                <w:szCs w:val="15"/>
              </w:rPr>
              <w:t>经营状况</w:t>
            </w:r>
          </w:p>
        </w:tc>
        <w:tc>
          <w:tcPr>
            <w:tcW w:w="0" w:type="auto"/>
            <w:vMerge w:val="restart"/>
            <w:tcBorders>
              <w:bottom w:val="single" w:color="auto" w:sz="4" w:space="0"/>
              <w:insideH w:val="single" w:sz="4" w:space="0"/>
            </w:tcBorders>
            <w:noWrap/>
            <w:vAlign w:val="center"/>
          </w:tcPr>
          <w:p w14:paraId="117C8739">
            <w:pPr>
              <w:pStyle w:val="149"/>
              <w:rPr>
                <w:sz w:val="15"/>
                <w:szCs w:val="15"/>
              </w:rPr>
            </w:pPr>
            <w:r>
              <w:rPr>
                <w:sz w:val="15"/>
                <w:szCs w:val="15"/>
              </w:rPr>
              <w:t>生产情况</w:t>
            </w:r>
          </w:p>
        </w:tc>
        <w:tc>
          <w:tcPr>
            <w:tcW w:w="0" w:type="auto"/>
            <w:vMerge w:val="restart"/>
            <w:tcBorders>
              <w:bottom w:val="single" w:color="auto" w:sz="4" w:space="0"/>
              <w:insideH w:val="single" w:sz="4" w:space="0"/>
            </w:tcBorders>
            <w:noWrap/>
            <w:vAlign w:val="center"/>
          </w:tcPr>
          <w:p w14:paraId="49D0DB79">
            <w:pPr>
              <w:pStyle w:val="149"/>
              <w:rPr>
                <w:sz w:val="15"/>
                <w:szCs w:val="15"/>
              </w:rPr>
            </w:pPr>
            <w:r>
              <w:rPr>
                <w:sz w:val="15"/>
                <w:szCs w:val="15"/>
              </w:rPr>
              <w:t>水保方案编制情况</w:t>
            </w:r>
          </w:p>
        </w:tc>
        <w:tc>
          <w:tcPr>
            <w:tcW w:w="0" w:type="auto"/>
            <w:vMerge w:val="restart"/>
            <w:tcBorders>
              <w:bottom w:val="single" w:color="auto" w:sz="4" w:space="0"/>
              <w:insideH w:val="single" w:sz="4" w:space="0"/>
            </w:tcBorders>
            <w:noWrap/>
            <w:vAlign w:val="center"/>
          </w:tcPr>
          <w:p w14:paraId="0B6091B3">
            <w:pPr>
              <w:pStyle w:val="149"/>
              <w:rPr>
                <w:sz w:val="15"/>
                <w:szCs w:val="15"/>
              </w:rPr>
            </w:pPr>
            <w:r>
              <w:rPr>
                <w:sz w:val="15"/>
                <w:szCs w:val="15"/>
              </w:rPr>
              <w:t>水土保持方案批复</w:t>
            </w:r>
          </w:p>
        </w:tc>
        <w:tc>
          <w:tcPr>
            <w:tcW w:w="0" w:type="auto"/>
            <w:gridSpan w:val="2"/>
            <w:tcBorders>
              <w:bottom w:val="single" w:color="auto" w:sz="4" w:space="0"/>
              <w:insideH w:val="single" w:sz="4" w:space="0"/>
            </w:tcBorders>
            <w:noWrap/>
            <w:vAlign w:val="center"/>
          </w:tcPr>
          <w:p w14:paraId="4ED95A86">
            <w:pPr>
              <w:pStyle w:val="149"/>
              <w:rPr>
                <w:sz w:val="15"/>
                <w:szCs w:val="15"/>
              </w:rPr>
            </w:pPr>
            <w:r>
              <w:rPr>
                <w:sz w:val="15"/>
                <w:szCs w:val="15"/>
              </w:rPr>
              <w:t>土石方量（万m³）</w:t>
            </w:r>
          </w:p>
        </w:tc>
        <w:tc>
          <w:tcPr>
            <w:tcW w:w="0" w:type="auto"/>
            <w:vMerge w:val="restart"/>
            <w:tcBorders>
              <w:bottom w:val="single" w:color="auto" w:sz="4" w:space="0"/>
              <w:insideH w:val="single" w:sz="4" w:space="0"/>
            </w:tcBorders>
            <w:noWrap/>
            <w:vAlign w:val="center"/>
          </w:tcPr>
          <w:p w14:paraId="52F17A44">
            <w:pPr>
              <w:pStyle w:val="149"/>
              <w:rPr>
                <w:sz w:val="15"/>
                <w:szCs w:val="15"/>
              </w:rPr>
            </w:pPr>
            <w:r>
              <w:rPr>
                <w:rFonts w:hint="eastAsia"/>
                <w:sz w:val="15"/>
                <w:szCs w:val="15"/>
              </w:rPr>
              <w:t>主要水土保持措施</w:t>
            </w:r>
          </w:p>
        </w:tc>
        <w:tc>
          <w:tcPr>
            <w:tcW w:w="0" w:type="auto"/>
            <w:vMerge w:val="restart"/>
            <w:tcBorders>
              <w:bottom w:val="single" w:color="auto" w:sz="4" w:space="0"/>
              <w:insideH w:val="single" w:sz="4" w:space="0"/>
            </w:tcBorders>
            <w:vAlign w:val="center"/>
          </w:tcPr>
          <w:p w14:paraId="3E96ED3E">
            <w:pPr>
              <w:pStyle w:val="149"/>
              <w:rPr>
                <w:sz w:val="15"/>
                <w:szCs w:val="15"/>
              </w:rPr>
            </w:pPr>
            <w:r>
              <w:rPr>
                <w:rFonts w:hint="eastAsia"/>
                <w:sz w:val="15"/>
                <w:szCs w:val="15"/>
              </w:rPr>
              <w:t>绿化面积</w:t>
            </w:r>
          </w:p>
        </w:tc>
        <w:tc>
          <w:tcPr>
            <w:tcW w:w="0" w:type="auto"/>
            <w:vMerge w:val="restart"/>
            <w:tcBorders>
              <w:bottom w:val="single" w:color="auto" w:sz="4" w:space="0"/>
              <w:insideH w:val="single" w:sz="4" w:space="0"/>
            </w:tcBorders>
            <w:noWrap/>
            <w:vAlign w:val="center"/>
          </w:tcPr>
          <w:p w14:paraId="2CC922A8">
            <w:pPr>
              <w:pStyle w:val="149"/>
              <w:rPr>
                <w:sz w:val="15"/>
                <w:szCs w:val="15"/>
              </w:rPr>
            </w:pPr>
            <w:r>
              <w:rPr>
                <w:sz w:val="15"/>
                <w:szCs w:val="15"/>
              </w:rPr>
              <w:t>水土保持设施</w:t>
            </w:r>
          </w:p>
          <w:p w14:paraId="7B724BA6">
            <w:pPr>
              <w:pStyle w:val="149"/>
              <w:rPr>
                <w:sz w:val="15"/>
                <w:szCs w:val="15"/>
              </w:rPr>
            </w:pPr>
            <w:r>
              <w:rPr>
                <w:sz w:val="15"/>
                <w:szCs w:val="15"/>
              </w:rPr>
              <w:t>竣工验收情况</w:t>
            </w:r>
          </w:p>
        </w:tc>
      </w:tr>
      <w:tr w14:paraId="459D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Merge w:val="continue"/>
            <w:vAlign w:val="center"/>
          </w:tcPr>
          <w:p w14:paraId="278ECED2">
            <w:pPr>
              <w:pStyle w:val="149"/>
              <w:rPr>
                <w:sz w:val="15"/>
                <w:szCs w:val="15"/>
              </w:rPr>
            </w:pPr>
          </w:p>
        </w:tc>
        <w:tc>
          <w:tcPr>
            <w:tcW w:w="0" w:type="auto"/>
            <w:vMerge w:val="continue"/>
            <w:vAlign w:val="center"/>
          </w:tcPr>
          <w:p w14:paraId="0DE9CB42">
            <w:pPr>
              <w:pStyle w:val="149"/>
              <w:rPr>
                <w:sz w:val="15"/>
                <w:szCs w:val="15"/>
              </w:rPr>
            </w:pPr>
          </w:p>
        </w:tc>
        <w:tc>
          <w:tcPr>
            <w:tcW w:w="0" w:type="auto"/>
            <w:vMerge w:val="continue"/>
            <w:vAlign w:val="center"/>
          </w:tcPr>
          <w:p w14:paraId="2F9BF8D6">
            <w:pPr>
              <w:pStyle w:val="149"/>
              <w:rPr>
                <w:sz w:val="15"/>
                <w:szCs w:val="15"/>
              </w:rPr>
            </w:pPr>
          </w:p>
        </w:tc>
        <w:tc>
          <w:tcPr>
            <w:tcW w:w="0" w:type="auto"/>
            <w:vMerge w:val="continue"/>
            <w:vAlign w:val="center"/>
          </w:tcPr>
          <w:p w14:paraId="2A17256B">
            <w:pPr>
              <w:pStyle w:val="149"/>
              <w:rPr>
                <w:sz w:val="15"/>
                <w:szCs w:val="15"/>
              </w:rPr>
            </w:pPr>
          </w:p>
        </w:tc>
        <w:tc>
          <w:tcPr>
            <w:tcW w:w="0" w:type="auto"/>
            <w:vMerge w:val="continue"/>
            <w:noWrap/>
            <w:vAlign w:val="center"/>
          </w:tcPr>
          <w:p w14:paraId="0CC0F6DC">
            <w:pPr>
              <w:pStyle w:val="149"/>
              <w:rPr>
                <w:sz w:val="15"/>
                <w:szCs w:val="15"/>
              </w:rPr>
            </w:pPr>
          </w:p>
        </w:tc>
        <w:tc>
          <w:tcPr>
            <w:tcW w:w="0" w:type="auto"/>
            <w:vMerge w:val="continue"/>
            <w:vAlign w:val="center"/>
          </w:tcPr>
          <w:p w14:paraId="39A52F81">
            <w:pPr>
              <w:pStyle w:val="149"/>
              <w:rPr>
                <w:sz w:val="15"/>
                <w:szCs w:val="15"/>
              </w:rPr>
            </w:pPr>
          </w:p>
        </w:tc>
        <w:tc>
          <w:tcPr>
            <w:tcW w:w="0" w:type="auto"/>
            <w:vMerge w:val="continue"/>
            <w:vAlign w:val="center"/>
          </w:tcPr>
          <w:p w14:paraId="4C6159D4">
            <w:pPr>
              <w:pStyle w:val="149"/>
              <w:rPr>
                <w:sz w:val="15"/>
                <w:szCs w:val="15"/>
              </w:rPr>
            </w:pPr>
          </w:p>
        </w:tc>
        <w:tc>
          <w:tcPr>
            <w:tcW w:w="0" w:type="auto"/>
            <w:vMerge w:val="continue"/>
            <w:vAlign w:val="center"/>
          </w:tcPr>
          <w:p w14:paraId="394ABB24">
            <w:pPr>
              <w:pStyle w:val="149"/>
              <w:rPr>
                <w:sz w:val="15"/>
                <w:szCs w:val="15"/>
              </w:rPr>
            </w:pPr>
          </w:p>
        </w:tc>
        <w:tc>
          <w:tcPr>
            <w:tcW w:w="0" w:type="auto"/>
            <w:vMerge w:val="continue"/>
            <w:vAlign w:val="center"/>
          </w:tcPr>
          <w:p w14:paraId="7F4DCBD9">
            <w:pPr>
              <w:pStyle w:val="149"/>
              <w:rPr>
                <w:sz w:val="15"/>
                <w:szCs w:val="15"/>
              </w:rPr>
            </w:pPr>
          </w:p>
        </w:tc>
        <w:tc>
          <w:tcPr>
            <w:tcW w:w="0" w:type="auto"/>
            <w:vMerge w:val="continue"/>
            <w:vAlign w:val="center"/>
          </w:tcPr>
          <w:p w14:paraId="7258C641">
            <w:pPr>
              <w:pStyle w:val="149"/>
              <w:rPr>
                <w:sz w:val="15"/>
                <w:szCs w:val="15"/>
              </w:rPr>
            </w:pPr>
          </w:p>
        </w:tc>
        <w:tc>
          <w:tcPr>
            <w:tcW w:w="0" w:type="auto"/>
            <w:vAlign w:val="center"/>
          </w:tcPr>
          <w:p w14:paraId="28058C8C">
            <w:pPr>
              <w:pStyle w:val="149"/>
              <w:rPr>
                <w:sz w:val="15"/>
                <w:szCs w:val="15"/>
              </w:rPr>
            </w:pPr>
            <w:r>
              <w:rPr>
                <w:sz w:val="15"/>
                <w:szCs w:val="15"/>
              </w:rPr>
              <w:t>土方开挖</w:t>
            </w:r>
          </w:p>
        </w:tc>
        <w:tc>
          <w:tcPr>
            <w:tcW w:w="0" w:type="auto"/>
            <w:vAlign w:val="center"/>
          </w:tcPr>
          <w:p w14:paraId="71DB7BD3">
            <w:pPr>
              <w:pStyle w:val="149"/>
              <w:rPr>
                <w:sz w:val="15"/>
                <w:szCs w:val="15"/>
              </w:rPr>
            </w:pPr>
            <w:r>
              <w:rPr>
                <w:sz w:val="15"/>
                <w:szCs w:val="15"/>
              </w:rPr>
              <w:t>土方回填</w:t>
            </w:r>
          </w:p>
        </w:tc>
        <w:tc>
          <w:tcPr>
            <w:tcW w:w="0" w:type="auto"/>
            <w:vMerge w:val="continue"/>
            <w:vAlign w:val="center"/>
          </w:tcPr>
          <w:p w14:paraId="719BDD25">
            <w:pPr>
              <w:pStyle w:val="149"/>
              <w:rPr>
                <w:sz w:val="15"/>
                <w:szCs w:val="15"/>
              </w:rPr>
            </w:pPr>
          </w:p>
        </w:tc>
        <w:tc>
          <w:tcPr>
            <w:tcW w:w="0" w:type="auto"/>
            <w:vMerge w:val="continue"/>
            <w:vAlign w:val="center"/>
          </w:tcPr>
          <w:p w14:paraId="135BFA28">
            <w:pPr>
              <w:pStyle w:val="149"/>
              <w:rPr>
                <w:sz w:val="15"/>
                <w:szCs w:val="15"/>
              </w:rPr>
            </w:pPr>
          </w:p>
        </w:tc>
        <w:tc>
          <w:tcPr>
            <w:tcW w:w="0" w:type="auto"/>
            <w:vMerge w:val="continue"/>
            <w:vAlign w:val="center"/>
          </w:tcPr>
          <w:p w14:paraId="5B527E83">
            <w:pPr>
              <w:pStyle w:val="149"/>
              <w:rPr>
                <w:sz w:val="15"/>
                <w:szCs w:val="15"/>
              </w:rPr>
            </w:pPr>
          </w:p>
        </w:tc>
      </w:tr>
      <w:tr w14:paraId="328D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noWrap/>
            <w:vAlign w:val="center"/>
          </w:tcPr>
          <w:p w14:paraId="65D66879">
            <w:pPr>
              <w:pStyle w:val="149"/>
              <w:rPr>
                <w:sz w:val="15"/>
                <w:szCs w:val="15"/>
              </w:rPr>
            </w:pPr>
            <w:r>
              <w:rPr>
                <w:sz w:val="15"/>
                <w:szCs w:val="15"/>
              </w:rPr>
              <w:t>1</w:t>
            </w:r>
          </w:p>
        </w:tc>
        <w:tc>
          <w:tcPr>
            <w:tcW w:w="0" w:type="auto"/>
            <w:vAlign w:val="center"/>
          </w:tcPr>
          <w:p w14:paraId="14049C89">
            <w:pPr>
              <w:pStyle w:val="149"/>
              <w:rPr>
                <w:sz w:val="15"/>
                <w:szCs w:val="15"/>
              </w:rPr>
            </w:pPr>
            <w:r>
              <w:rPr>
                <w:sz w:val="15"/>
                <w:szCs w:val="15"/>
              </w:rPr>
              <w:t>包头市吉宇钢铁有限责任公司</w:t>
            </w:r>
          </w:p>
        </w:tc>
        <w:tc>
          <w:tcPr>
            <w:tcW w:w="0" w:type="auto"/>
            <w:vAlign w:val="center"/>
          </w:tcPr>
          <w:p w14:paraId="17BA1E69">
            <w:pPr>
              <w:pStyle w:val="149"/>
              <w:rPr>
                <w:sz w:val="15"/>
                <w:szCs w:val="15"/>
              </w:rPr>
            </w:pPr>
            <w:r>
              <w:rPr>
                <w:sz w:val="15"/>
                <w:szCs w:val="15"/>
              </w:rPr>
              <w:t>包头市吉宇钢铁有限责任公司整合搬迁绿色升级改造项目</w:t>
            </w:r>
          </w:p>
        </w:tc>
        <w:tc>
          <w:tcPr>
            <w:tcW w:w="0" w:type="auto"/>
            <w:vAlign w:val="center"/>
          </w:tcPr>
          <w:p w14:paraId="358F9F04">
            <w:pPr>
              <w:pStyle w:val="149"/>
              <w:rPr>
                <w:sz w:val="15"/>
                <w:szCs w:val="15"/>
              </w:rPr>
            </w:pPr>
            <w:r>
              <w:rPr>
                <w:sz w:val="15"/>
                <w:szCs w:val="15"/>
              </w:rPr>
              <w:t>项目代码：</w:t>
            </w:r>
            <w:r>
              <w:rPr>
                <w:sz w:val="15"/>
                <w:szCs w:val="15"/>
              </w:rPr>
              <w:br w:type="textWrapping"/>
            </w:r>
            <w:r>
              <w:rPr>
                <w:sz w:val="15"/>
                <w:szCs w:val="15"/>
              </w:rPr>
              <w:t>2110-150222-07-02-847221</w:t>
            </w:r>
          </w:p>
        </w:tc>
        <w:tc>
          <w:tcPr>
            <w:tcW w:w="0" w:type="auto"/>
            <w:vAlign w:val="center"/>
          </w:tcPr>
          <w:p w14:paraId="034CA538">
            <w:pPr>
              <w:pStyle w:val="149"/>
              <w:rPr>
                <w:sz w:val="15"/>
                <w:szCs w:val="15"/>
              </w:rPr>
            </w:pPr>
            <w:r>
              <w:rPr>
                <w:sz w:val="15"/>
                <w:szCs w:val="15"/>
              </w:rPr>
              <w:t xml:space="preserve">115.35 </w:t>
            </w:r>
          </w:p>
        </w:tc>
        <w:tc>
          <w:tcPr>
            <w:tcW w:w="0" w:type="auto"/>
            <w:noWrap/>
            <w:vAlign w:val="center"/>
          </w:tcPr>
          <w:p w14:paraId="117F5E06">
            <w:pPr>
              <w:pStyle w:val="149"/>
              <w:rPr>
                <w:sz w:val="15"/>
                <w:szCs w:val="15"/>
              </w:rPr>
            </w:pPr>
            <w:r>
              <w:rPr>
                <w:sz w:val="15"/>
                <w:szCs w:val="15"/>
              </w:rPr>
              <w:t>2021-2023</w:t>
            </w:r>
          </w:p>
        </w:tc>
        <w:tc>
          <w:tcPr>
            <w:tcW w:w="0" w:type="auto"/>
            <w:noWrap/>
            <w:vAlign w:val="center"/>
          </w:tcPr>
          <w:p w14:paraId="43B7B5CF">
            <w:pPr>
              <w:pStyle w:val="149"/>
              <w:rPr>
                <w:sz w:val="15"/>
                <w:szCs w:val="15"/>
              </w:rPr>
            </w:pPr>
            <w:r>
              <w:rPr>
                <w:sz w:val="15"/>
                <w:szCs w:val="15"/>
              </w:rPr>
              <w:t>建成</w:t>
            </w:r>
          </w:p>
        </w:tc>
        <w:tc>
          <w:tcPr>
            <w:tcW w:w="0" w:type="auto"/>
            <w:noWrap/>
            <w:vAlign w:val="center"/>
          </w:tcPr>
          <w:p w14:paraId="32A015F4">
            <w:pPr>
              <w:pStyle w:val="149"/>
              <w:rPr>
                <w:sz w:val="15"/>
                <w:szCs w:val="15"/>
              </w:rPr>
            </w:pPr>
            <w:r>
              <w:rPr>
                <w:sz w:val="15"/>
                <w:szCs w:val="15"/>
              </w:rPr>
              <w:t>生产</w:t>
            </w:r>
          </w:p>
        </w:tc>
        <w:tc>
          <w:tcPr>
            <w:tcW w:w="0" w:type="auto"/>
            <w:noWrap/>
            <w:vAlign w:val="center"/>
          </w:tcPr>
          <w:p w14:paraId="3FB6396D">
            <w:pPr>
              <w:pStyle w:val="149"/>
              <w:rPr>
                <w:sz w:val="15"/>
                <w:szCs w:val="15"/>
              </w:rPr>
            </w:pPr>
            <w:r>
              <w:rPr>
                <w:sz w:val="15"/>
                <w:szCs w:val="15"/>
              </w:rPr>
              <w:t>已编制方案</w:t>
            </w:r>
          </w:p>
        </w:tc>
        <w:tc>
          <w:tcPr>
            <w:tcW w:w="0" w:type="auto"/>
            <w:vAlign w:val="center"/>
          </w:tcPr>
          <w:p w14:paraId="32222E39">
            <w:pPr>
              <w:pStyle w:val="149"/>
              <w:rPr>
                <w:sz w:val="15"/>
                <w:szCs w:val="15"/>
              </w:rPr>
            </w:pPr>
            <w:r>
              <w:rPr>
                <w:sz w:val="15"/>
                <w:szCs w:val="15"/>
              </w:rPr>
              <w:t>固水发〔2022〕188号</w:t>
            </w:r>
          </w:p>
        </w:tc>
        <w:tc>
          <w:tcPr>
            <w:tcW w:w="0" w:type="auto"/>
            <w:vAlign w:val="center"/>
          </w:tcPr>
          <w:p w14:paraId="7F92ADCA">
            <w:pPr>
              <w:pStyle w:val="149"/>
              <w:rPr>
                <w:sz w:val="15"/>
                <w:szCs w:val="15"/>
              </w:rPr>
            </w:pPr>
            <w:r>
              <w:rPr>
                <w:sz w:val="15"/>
                <w:szCs w:val="15"/>
              </w:rPr>
              <w:t>13.74</w:t>
            </w:r>
          </w:p>
        </w:tc>
        <w:tc>
          <w:tcPr>
            <w:tcW w:w="0" w:type="auto"/>
            <w:vAlign w:val="center"/>
          </w:tcPr>
          <w:p w14:paraId="5271504F">
            <w:pPr>
              <w:pStyle w:val="149"/>
              <w:rPr>
                <w:sz w:val="15"/>
                <w:szCs w:val="15"/>
              </w:rPr>
            </w:pPr>
            <w:r>
              <w:rPr>
                <w:sz w:val="15"/>
                <w:szCs w:val="15"/>
              </w:rPr>
              <w:t>13.74</w:t>
            </w:r>
          </w:p>
        </w:tc>
        <w:tc>
          <w:tcPr>
            <w:tcW w:w="0" w:type="auto"/>
            <w:noWrap/>
            <w:vAlign w:val="center"/>
          </w:tcPr>
          <w:p w14:paraId="71EE77AD">
            <w:pPr>
              <w:pStyle w:val="149"/>
              <w:rPr>
                <w:sz w:val="15"/>
                <w:szCs w:val="15"/>
              </w:rPr>
            </w:pPr>
            <w:r>
              <w:rPr>
                <w:rFonts w:hint="eastAsia"/>
                <w:sz w:val="15"/>
                <w:szCs w:val="15"/>
              </w:rPr>
              <w:t>表土剥离、排水暗管、</w:t>
            </w:r>
          </w:p>
          <w:p w14:paraId="0E477DB6">
            <w:pPr>
              <w:pStyle w:val="149"/>
              <w:rPr>
                <w:sz w:val="15"/>
                <w:szCs w:val="15"/>
              </w:rPr>
            </w:pPr>
            <w:r>
              <w:rPr>
                <w:rFonts w:hint="eastAsia"/>
                <w:sz w:val="15"/>
                <w:szCs w:val="15"/>
              </w:rPr>
              <w:t>土地整治、空地绿化、密目网苫盖</w:t>
            </w:r>
          </w:p>
        </w:tc>
        <w:tc>
          <w:tcPr>
            <w:tcW w:w="0" w:type="auto"/>
            <w:vAlign w:val="center"/>
          </w:tcPr>
          <w:p w14:paraId="73C84E73">
            <w:pPr>
              <w:pStyle w:val="149"/>
              <w:rPr>
                <w:sz w:val="15"/>
                <w:szCs w:val="15"/>
              </w:rPr>
            </w:pPr>
            <w:r>
              <w:rPr>
                <w:rFonts w:hint="eastAsia"/>
                <w:sz w:val="15"/>
                <w:szCs w:val="15"/>
              </w:rPr>
              <w:t>4</w:t>
            </w:r>
            <w:r>
              <w:rPr>
                <w:sz w:val="15"/>
                <w:szCs w:val="15"/>
              </w:rPr>
              <w:t>.25</w:t>
            </w:r>
          </w:p>
        </w:tc>
        <w:tc>
          <w:tcPr>
            <w:tcW w:w="0" w:type="auto"/>
            <w:noWrap/>
            <w:vAlign w:val="center"/>
          </w:tcPr>
          <w:p w14:paraId="12F7418A">
            <w:pPr>
              <w:pStyle w:val="149"/>
              <w:rPr>
                <w:sz w:val="15"/>
                <w:szCs w:val="15"/>
              </w:rPr>
            </w:pPr>
            <w:r>
              <w:rPr>
                <w:sz w:val="15"/>
                <w:szCs w:val="15"/>
              </w:rPr>
              <w:t>未完成</w:t>
            </w:r>
          </w:p>
        </w:tc>
      </w:tr>
      <w:tr w14:paraId="434A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noWrap/>
            <w:vAlign w:val="center"/>
          </w:tcPr>
          <w:p w14:paraId="16CA6F71">
            <w:pPr>
              <w:pStyle w:val="149"/>
              <w:rPr>
                <w:sz w:val="15"/>
                <w:szCs w:val="15"/>
              </w:rPr>
            </w:pPr>
            <w:r>
              <w:rPr>
                <w:sz w:val="15"/>
                <w:szCs w:val="15"/>
              </w:rPr>
              <w:t>2</w:t>
            </w:r>
          </w:p>
        </w:tc>
        <w:tc>
          <w:tcPr>
            <w:tcW w:w="0" w:type="auto"/>
            <w:noWrap/>
            <w:vAlign w:val="center"/>
          </w:tcPr>
          <w:p w14:paraId="681367E3">
            <w:pPr>
              <w:pStyle w:val="149"/>
              <w:rPr>
                <w:sz w:val="15"/>
                <w:szCs w:val="15"/>
              </w:rPr>
            </w:pPr>
            <w:r>
              <w:rPr>
                <w:sz w:val="15"/>
                <w:szCs w:val="15"/>
              </w:rPr>
              <w:t>包头市鑫丰特钢有限责任公司</w:t>
            </w:r>
          </w:p>
        </w:tc>
        <w:tc>
          <w:tcPr>
            <w:tcW w:w="0" w:type="auto"/>
            <w:noWrap/>
            <w:vAlign w:val="center"/>
          </w:tcPr>
          <w:p w14:paraId="30DC623E">
            <w:pPr>
              <w:pStyle w:val="149"/>
              <w:rPr>
                <w:sz w:val="15"/>
                <w:szCs w:val="15"/>
              </w:rPr>
            </w:pPr>
            <w:r>
              <w:rPr>
                <w:sz w:val="15"/>
                <w:szCs w:val="15"/>
              </w:rPr>
              <w:t>年产15万吨镍铁合金技改扩建项目</w:t>
            </w:r>
          </w:p>
        </w:tc>
        <w:tc>
          <w:tcPr>
            <w:tcW w:w="0" w:type="auto"/>
            <w:noWrap/>
            <w:vAlign w:val="center"/>
          </w:tcPr>
          <w:p w14:paraId="660233FA">
            <w:pPr>
              <w:pStyle w:val="149"/>
              <w:rPr>
                <w:sz w:val="15"/>
                <w:szCs w:val="15"/>
              </w:rPr>
            </w:pPr>
            <w:r>
              <w:rPr>
                <w:sz w:val="15"/>
                <w:szCs w:val="15"/>
              </w:rPr>
              <w:t>包经信投规发(2011)406号</w:t>
            </w:r>
          </w:p>
        </w:tc>
        <w:tc>
          <w:tcPr>
            <w:tcW w:w="0" w:type="auto"/>
            <w:noWrap/>
            <w:vAlign w:val="center"/>
          </w:tcPr>
          <w:p w14:paraId="42B26978">
            <w:pPr>
              <w:pStyle w:val="149"/>
              <w:rPr>
                <w:sz w:val="15"/>
                <w:szCs w:val="15"/>
              </w:rPr>
            </w:pPr>
            <w:r>
              <w:rPr>
                <w:sz w:val="15"/>
                <w:szCs w:val="15"/>
              </w:rPr>
              <w:t>21.29</w:t>
            </w:r>
          </w:p>
        </w:tc>
        <w:tc>
          <w:tcPr>
            <w:tcW w:w="0" w:type="auto"/>
            <w:noWrap/>
            <w:vAlign w:val="center"/>
          </w:tcPr>
          <w:p w14:paraId="582BEC7E">
            <w:pPr>
              <w:pStyle w:val="149"/>
              <w:rPr>
                <w:sz w:val="15"/>
                <w:szCs w:val="15"/>
              </w:rPr>
            </w:pPr>
            <w:r>
              <w:rPr>
                <w:sz w:val="15"/>
                <w:szCs w:val="15"/>
              </w:rPr>
              <w:t>2012-2013</w:t>
            </w:r>
          </w:p>
        </w:tc>
        <w:tc>
          <w:tcPr>
            <w:tcW w:w="0" w:type="auto"/>
            <w:noWrap/>
            <w:vAlign w:val="center"/>
          </w:tcPr>
          <w:p w14:paraId="3E8C5B44">
            <w:pPr>
              <w:pStyle w:val="149"/>
              <w:rPr>
                <w:sz w:val="15"/>
                <w:szCs w:val="15"/>
              </w:rPr>
            </w:pPr>
            <w:r>
              <w:rPr>
                <w:sz w:val="15"/>
                <w:szCs w:val="15"/>
              </w:rPr>
              <w:t>建成</w:t>
            </w:r>
          </w:p>
        </w:tc>
        <w:tc>
          <w:tcPr>
            <w:tcW w:w="0" w:type="auto"/>
            <w:noWrap/>
            <w:vAlign w:val="center"/>
          </w:tcPr>
          <w:p w14:paraId="59B81FA4">
            <w:pPr>
              <w:pStyle w:val="149"/>
              <w:rPr>
                <w:sz w:val="15"/>
                <w:szCs w:val="15"/>
              </w:rPr>
            </w:pPr>
            <w:r>
              <w:rPr>
                <w:sz w:val="15"/>
                <w:szCs w:val="15"/>
              </w:rPr>
              <w:t>停产</w:t>
            </w:r>
          </w:p>
        </w:tc>
        <w:tc>
          <w:tcPr>
            <w:tcW w:w="0" w:type="auto"/>
            <w:noWrap/>
            <w:vAlign w:val="center"/>
          </w:tcPr>
          <w:p w14:paraId="2307BBA3">
            <w:pPr>
              <w:pStyle w:val="149"/>
              <w:rPr>
                <w:sz w:val="15"/>
                <w:szCs w:val="15"/>
              </w:rPr>
            </w:pPr>
            <w:r>
              <w:rPr>
                <w:sz w:val="15"/>
                <w:szCs w:val="15"/>
              </w:rPr>
              <w:t>未编制</w:t>
            </w:r>
          </w:p>
        </w:tc>
        <w:tc>
          <w:tcPr>
            <w:tcW w:w="0" w:type="auto"/>
            <w:noWrap/>
            <w:vAlign w:val="center"/>
          </w:tcPr>
          <w:p w14:paraId="534D6B83">
            <w:pPr>
              <w:pStyle w:val="149"/>
              <w:rPr>
                <w:sz w:val="15"/>
                <w:szCs w:val="15"/>
              </w:rPr>
            </w:pPr>
            <w:r>
              <w:rPr>
                <w:sz w:val="15"/>
                <w:szCs w:val="15"/>
              </w:rPr>
              <w:t>　</w:t>
            </w:r>
          </w:p>
        </w:tc>
        <w:tc>
          <w:tcPr>
            <w:tcW w:w="0" w:type="auto"/>
            <w:noWrap/>
            <w:vAlign w:val="center"/>
          </w:tcPr>
          <w:p w14:paraId="1EB6EA8E">
            <w:pPr>
              <w:pStyle w:val="149"/>
              <w:rPr>
                <w:sz w:val="15"/>
                <w:szCs w:val="15"/>
              </w:rPr>
            </w:pPr>
            <w:r>
              <w:rPr>
                <w:rFonts w:hint="eastAsia"/>
                <w:sz w:val="15"/>
                <w:szCs w:val="15"/>
              </w:rPr>
              <w:t xml:space="preserve">10.06 </w:t>
            </w:r>
          </w:p>
        </w:tc>
        <w:tc>
          <w:tcPr>
            <w:tcW w:w="0" w:type="auto"/>
            <w:noWrap/>
            <w:vAlign w:val="center"/>
          </w:tcPr>
          <w:p w14:paraId="53253226">
            <w:pPr>
              <w:pStyle w:val="149"/>
              <w:rPr>
                <w:sz w:val="15"/>
                <w:szCs w:val="15"/>
              </w:rPr>
            </w:pPr>
            <w:r>
              <w:rPr>
                <w:rFonts w:hint="eastAsia"/>
                <w:sz w:val="15"/>
                <w:szCs w:val="15"/>
              </w:rPr>
              <w:t xml:space="preserve">10.06 </w:t>
            </w:r>
          </w:p>
        </w:tc>
        <w:tc>
          <w:tcPr>
            <w:tcW w:w="0" w:type="auto"/>
            <w:noWrap/>
            <w:vAlign w:val="center"/>
          </w:tcPr>
          <w:p w14:paraId="5BCC795B">
            <w:pPr>
              <w:pStyle w:val="149"/>
              <w:rPr>
                <w:sz w:val="15"/>
                <w:szCs w:val="15"/>
              </w:rPr>
            </w:pPr>
          </w:p>
        </w:tc>
        <w:tc>
          <w:tcPr>
            <w:tcW w:w="0" w:type="auto"/>
            <w:vAlign w:val="center"/>
          </w:tcPr>
          <w:p w14:paraId="235DD52A">
            <w:pPr>
              <w:pStyle w:val="149"/>
              <w:rPr>
                <w:sz w:val="15"/>
                <w:szCs w:val="15"/>
              </w:rPr>
            </w:pPr>
            <w:r>
              <w:rPr>
                <w:rFonts w:hint="eastAsia"/>
                <w:sz w:val="15"/>
                <w:szCs w:val="15"/>
              </w:rPr>
              <w:t xml:space="preserve">4.17 </w:t>
            </w:r>
          </w:p>
        </w:tc>
        <w:tc>
          <w:tcPr>
            <w:tcW w:w="0" w:type="auto"/>
            <w:noWrap/>
            <w:vAlign w:val="center"/>
          </w:tcPr>
          <w:p w14:paraId="3213FBF3">
            <w:pPr>
              <w:pStyle w:val="149"/>
              <w:rPr>
                <w:sz w:val="15"/>
                <w:szCs w:val="15"/>
              </w:rPr>
            </w:pPr>
            <w:r>
              <w:rPr>
                <w:sz w:val="15"/>
                <w:szCs w:val="15"/>
              </w:rPr>
              <w:t>未完成</w:t>
            </w:r>
          </w:p>
        </w:tc>
      </w:tr>
      <w:tr w14:paraId="5C96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noWrap/>
            <w:vAlign w:val="center"/>
          </w:tcPr>
          <w:p w14:paraId="624B1B7F">
            <w:pPr>
              <w:pStyle w:val="149"/>
              <w:rPr>
                <w:sz w:val="15"/>
                <w:szCs w:val="15"/>
              </w:rPr>
            </w:pPr>
            <w:r>
              <w:rPr>
                <w:sz w:val="15"/>
                <w:szCs w:val="15"/>
              </w:rPr>
              <w:t>3</w:t>
            </w:r>
          </w:p>
        </w:tc>
        <w:tc>
          <w:tcPr>
            <w:tcW w:w="0" w:type="auto"/>
            <w:noWrap/>
            <w:vAlign w:val="center"/>
          </w:tcPr>
          <w:p w14:paraId="5418C7B4">
            <w:pPr>
              <w:pStyle w:val="149"/>
              <w:rPr>
                <w:sz w:val="15"/>
                <w:szCs w:val="15"/>
              </w:rPr>
            </w:pPr>
            <w:r>
              <w:rPr>
                <w:sz w:val="15"/>
                <w:szCs w:val="15"/>
              </w:rPr>
              <w:t>包头市天威科技环保工贸有限公司</w:t>
            </w:r>
          </w:p>
        </w:tc>
        <w:tc>
          <w:tcPr>
            <w:tcW w:w="0" w:type="auto"/>
            <w:noWrap/>
            <w:vAlign w:val="center"/>
          </w:tcPr>
          <w:p w14:paraId="31E5CCD8">
            <w:pPr>
              <w:pStyle w:val="149"/>
              <w:rPr>
                <w:sz w:val="15"/>
                <w:szCs w:val="15"/>
              </w:rPr>
            </w:pPr>
            <w:r>
              <w:rPr>
                <w:sz w:val="15"/>
                <w:szCs w:val="15"/>
              </w:rPr>
              <w:t>20万吨矿渣粉项目</w:t>
            </w:r>
          </w:p>
        </w:tc>
        <w:tc>
          <w:tcPr>
            <w:tcW w:w="0" w:type="auto"/>
            <w:noWrap/>
            <w:vAlign w:val="center"/>
          </w:tcPr>
          <w:p w14:paraId="5D3389E7">
            <w:pPr>
              <w:pStyle w:val="149"/>
              <w:rPr>
                <w:sz w:val="15"/>
                <w:szCs w:val="15"/>
              </w:rPr>
            </w:pPr>
            <w:r>
              <w:rPr>
                <w:sz w:val="15"/>
                <w:szCs w:val="15"/>
              </w:rPr>
              <w:t>固发改字【2008】123号</w:t>
            </w:r>
          </w:p>
        </w:tc>
        <w:tc>
          <w:tcPr>
            <w:tcW w:w="0" w:type="auto"/>
            <w:noWrap/>
            <w:vAlign w:val="center"/>
          </w:tcPr>
          <w:p w14:paraId="6DB2C074">
            <w:pPr>
              <w:pStyle w:val="149"/>
              <w:rPr>
                <w:sz w:val="15"/>
                <w:szCs w:val="15"/>
              </w:rPr>
            </w:pPr>
            <w:r>
              <w:rPr>
                <w:sz w:val="15"/>
                <w:szCs w:val="15"/>
              </w:rPr>
              <w:t xml:space="preserve">10.44 </w:t>
            </w:r>
          </w:p>
        </w:tc>
        <w:tc>
          <w:tcPr>
            <w:tcW w:w="0" w:type="auto"/>
            <w:noWrap/>
            <w:vAlign w:val="center"/>
          </w:tcPr>
          <w:p w14:paraId="6C03EB85">
            <w:pPr>
              <w:pStyle w:val="149"/>
              <w:rPr>
                <w:sz w:val="15"/>
                <w:szCs w:val="15"/>
              </w:rPr>
            </w:pPr>
            <w:r>
              <w:rPr>
                <w:sz w:val="15"/>
                <w:szCs w:val="15"/>
              </w:rPr>
              <w:t>2008-2009</w:t>
            </w:r>
          </w:p>
        </w:tc>
        <w:tc>
          <w:tcPr>
            <w:tcW w:w="0" w:type="auto"/>
            <w:noWrap/>
            <w:vAlign w:val="center"/>
          </w:tcPr>
          <w:p w14:paraId="4087BFB9">
            <w:pPr>
              <w:pStyle w:val="149"/>
              <w:rPr>
                <w:sz w:val="15"/>
                <w:szCs w:val="15"/>
              </w:rPr>
            </w:pPr>
            <w:r>
              <w:rPr>
                <w:sz w:val="15"/>
                <w:szCs w:val="15"/>
              </w:rPr>
              <w:t>建成</w:t>
            </w:r>
          </w:p>
        </w:tc>
        <w:tc>
          <w:tcPr>
            <w:tcW w:w="0" w:type="auto"/>
            <w:noWrap/>
            <w:vAlign w:val="center"/>
          </w:tcPr>
          <w:p w14:paraId="6E15B618">
            <w:pPr>
              <w:pStyle w:val="149"/>
              <w:rPr>
                <w:sz w:val="15"/>
                <w:szCs w:val="15"/>
              </w:rPr>
            </w:pPr>
            <w:r>
              <w:rPr>
                <w:sz w:val="15"/>
                <w:szCs w:val="15"/>
              </w:rPr>
              <w:t>停产</w:t>
            </w:r>
          </w:p>
        </w:tc>
        <w:tc>
          <w:tcPr>
            <w:tcW w:w="0" w:type="auto"/>
            <w:noWrap/>
            <w:vAlign w:val="center"/>
          </w:tcPr>
          <w:p w14:paraId="4F3264E4">
            <w:pPr>
              <w:pStyle w:val="149"/>
              <w:rPr>
                <w:sz w:val="15"/>
                <w:szCs w:val="15"/>
              </w:rPr>
            </w:pPr>
            <w:r>
              <w:rPr>
                <w:sz w:val="15"/>
                <w:szCs w:val="15"/>
              </w:rPr>
              <w:t>未编制</w:t>
            </w:r>
          </w:p>
        </w:tc>
        <w:tc>
          <w:tcPr>
            <w:tcW w:w="0" w:type="auto"/>
            <w:noWrap/>
            <w:vAlign w:val="center"/>
          </w:tcPr>
          <w:p w14:paraId="091C03B9">
            <w:pPr>
              <w:pStyle w:val="149"/>
              <w:rPr>
                <w:sz w:val="15"/>
                <w:szCs w:val="15"/>
              </w:rPr>
            </w:pPr>
            <w:r>
              <w:rPr>
                <w:sz w:val="15"/>
                <w:szCs w:val="15"/>
              </w:rPr>
              <w:t>　</w:t>
            </w:r>
          </w:p>
        </w:tc>
        <w:tc>
          <w:tcPr>
            <w:tcW w:w="0" w:type="auto"/>
            <w:noWrap/>
            <w:vAlign w:val="center"/>
          </w:tcPr>
          <w:p w14:paraId="3FAC5747">
            <w:pPr>
              <w:pStyle w:val="149"/>
              <w:rPr>
                <w:sz w:val="15"/>
                <w:szCs w:val="15"/>
              </w:rPr>
            </w:pPr>
            <w:r>
              <w:rPr>
                <w:rFonts w:hint="eastAsia"/>
                <w:sz w:val="15"/>
                <w:szCs w:val="15"/>
              </w:rPr>
              <w:t xml:space="preserve">4.94 </w:t>
            </w:r>
          </w:p>
        </w:tc>
        <w:tc>
          <w:tcPr>
            <w:tcW w:w="0" w:type="auto"/>
            <w:noWrap/>
            <w:vAlign w:val="center"/>
          </w:tcPr>
          <w:p w14:paraId="49B6C136">
            <w:pPr>
              <w:pStyle w:val="149"/>
              <w:rPr>
                <w:sz w:val="15"/>
                <w:szCs w:val="15"/>
              </w:rPr>
            </w:pPr>
            <w:r>
              <w:rPr>
                <w:rFonts w:hint="eastAsia"/>
                <w:sz w:val="15"/>
                <w:szCs w:val="15"/>
              </w:rPr>
              <w:t xml:space="preserve">4.94 </w:t>
            </w:r>
          </w:p>
        </w:tc>
        <w:tc>
          <w:tcPr>
            <w:tcW w:w="0" w:type="auto"/>
            <w:noWrap/>
            <w:vAlign w:val="center"/>
          </w:tcPr>
          <w:p w14:paraId="695F8B95">
            <w:pPr>
              <w:pStyle w:val="149"/>
              <w:rPr>
                <w:sz w:val="15"/>
                <w:szCs w:val="15"/>
              </w:rPr>
            </w:pPr>
          </w:p>
        </w:tc>
        <w:tc>
          <w:tcPr>
            <w:tcW w:w="0" w:type="auto"/>
            <w:vAlign w:val="center"/>
          </w:tcPr>
          <w:p w14:paraId="3B1E06DE">
            <w:pPr>
              <w:pStyle w:val="149"/>
              <w:rPr>
                <w:sz w:val="15"/>
                <w:szCs w:val="15"/>
              </w:rPr>
            </w:pPr>
            <w:r>
              <w:rPr>
                <w:rFonts w:hint="eastAsia"/>
                <w:sz w:val="15"/>
                <w:szCs w:val="15"/>
              </w:rPr>
              <w:t xml:space="preserve">2.05 </w:t>
            </w:r>
          </w:p>
        </w:tc>
        <w:tc>
          <w:tcPr>
            <w:tcW w:w="0" w:type="auto"/>
            <w:noWrap/>
            <w:vAlign w:val="center"/>
          </w:tcPr>
          <w:p w14:paraId="46F0665C">
            <w:pPr>
              <w:pStyle w:val="149"/>
              <w:rPr>
                <w:sz w:val="15"/>
                <w:szCs w:val="15"/>
              </w:rPr>
            </w:pPr>
            <w:r>
              <w:rPr>
                <w:sz w:val="15"/>
                <w:szCs w:val="15"/>
              </w:rPr>
              <w:t>未完成</w:t>
            </w:r>
          </w:p>
        </w:tc>
      </w:tr>
      <w:tr w14:paraId="45DE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noWrap/>
            <w:vAlign w:val="center"/>
          </w:tcPr>
          <w:p w14:paraId="7EAE5816">
            <w:pPr>
              <w:pStyle w:val="149"/>
              <w:rPr>
                <w:sz w:val="15"/>
                <w:szCs w:val="15"/>
              </w:rPr>
            </w:pPr>
            <w:r>
              <w:rPr>
                <w:sz w:val="15"/>
                <w:szCs w:val="15"/>
              </w:rPr>
              <w:t>合计</w:t>
            </w:r>
          </w:p>
        </w:tc>
        <w:tc>
          <w:tcPr>
            <w:tcW w:w="0" w:type="auto"/>
            <w:noWrap/>
            <w:vAlign w:val="center"/>
          </w:tcPr>
          <w:p w14:paraId="01D0632D">
            <w:pPr>
              <w:pStyle w:val="149"/>
              <w:rPr>
                <w:sz w:val="15"/>
                <w:szCs w:val="15"/>
              </w:rPr>
            </w:pPr>
            <w:r>
              <w:rPr>
                <w:sz w:val="15"/>
                <w:szCs w:val="15"/>
              </w:rPr>
              <w:t>　</w:t>
            </w:r>
          </w:p>
        </w:tc>
        <w:tc>
          <w:tcPr>
            <w:tcW w:w="0" w:type="auto"/>
            <w:noWrap/>
            <w:vAlign w:val="center"/>
          </w:tcPr>
          <w:p w14:paraId="14159314">
            <w:pPr>
              <w:pStyle w:val="149"/>
              <w:rPr>
                <w:sz w:val="15"/>
                <w:szCs w:val="15"/>
              </w:rPr>
            </w:pPr>
            <w:r>
              <w:rPr>
                <w:sz w:val="15"/>
                <w:szCs w:val="15"/>
              </w:rPr>
              <w:t>　</w:t>
            </w:r>
          </w:p>
        </w:tc>
        <w:tc>
          <w:tcPr>
            <w:tcW w:w="0" w:type="auto"/>
            <w:noWrap/>
            <w:vAlign w:val="center"/>
          </w:tcPr>
          <w:p w14:paraId="5339ADE0">
            <w:pPr>
              <w:pStyle w:val="149"/>
              <w:rPr>
                <w:sz w:val="15"/>
                <w:szCs w:val="15"/>
              </w:rPr>
            </w:pPr>
            <w:r>
              <w:rPr>
                <w:sz w:val="15"/>
                <w:szCs w:val="15"/>
              </w:rPr>
              <w:t>　</w:t>
            </w:r>
          </w:p>
        </w:tc>
        <w:tc>
          <w:tcPr>
            <w:tcW w:w="0" w:type="auto"/>
            <w:noWrap/>
            <w:vAlign w:val="center"/>
          </w:tcPr>
          <w:p w14:paraId="7996517E">
            <w:pPr>
              <w:pStyle w:val="149"/>
              <w:rPr>
                <w:sz w:val="15"/>
                <w:szCs w:val="15"/>
              </w:rPr>
            </w:pPr>
            <w:r>
              <w:rPr>
                <w:sz w:val="15"/>
                <w:szCs w:val="15"/>
              </w:rPr>
              <w:t xml:space="preserve">147.08 </w:t>
            </w:r>
          </w:p>
        </w:tc>
        <w:tc>
          <w:tcPr>
            <w:tcW w:w="0" w:type="auto"/>
            <w:noWrap/>
            <w:vAlign w:val="center"/>
          </w:tcPr>
          <w:p w14:paraId="089944E1">
            <w:pPr>
              <w:pStyle w:val="149"/>
              <w:rPr>
                <w:sz w:val="15"/>
                <w:szCs w:val="15"/>
              </w:rPr>
            </w:pPr>
            <w:r>
              <w:rPr>
                <w:sz w:val="15"/>
                <w:szCs w:val="15"/>
              </w:rPr>
              <w:t>　</w:t>
            </w:r>
          </w:p>
        </w:tc>
        <w:tc>
          <w:tcPr>
            <w:tcW w:w="0" w:type="auto"/>
            <w:noWrap/>
            <w:vAlign w:val="center"/>
          </w:tcPr>
          <w:p w14:paraId="07F20ECA">
            <w:pPr>
              <w:pStyle w:val="149"/>
              <w:rPr>
                <w:sz w:val="15"/>
                <w:szCs w:val="15"/>
              </w:rPr>
            </w:pPr>
            <w:r>
              <w:rPr>
                <w:sz w:val="15"/>
                <w:szCs w:val="15"/>
              </w:rPr>
              <w:t>　</w:t>
            </w:r>
          </w:p>
        </w:tc>
        <w:tc>
          <w:tcPr>
            <w:tcW w:w="0" w:type="auto"/>
            <w:noWrap/>
            <w:vAlign w:val="center"/>
          </w:tcPr>
          <w:p w14:paraId="3510EF80">
            <w:pPr>
              <w:pStyle w:val="149"/>
              <w:rPr>
                <w:sz w:val="15"/>
                <w:szCs w:val="15"/>
              </w:rPr>
            </w:pPr>
            <w:r>
              <w:rPr>
                <w:sz w:val="15"/>
                <w:szCs w:val="15"/>
              </w:rPr>
              <w:t>　</w:t>
            </w:r>
          </w:p>
        </w:tc>
        <w:tc>
          <w:tcPr>
            <w:tcW w:w="0" w:type="auto"/>
            <w:noWrap/>
            <w:vAlign w:val="center"/>
          </w:tcPr>
          <w:p w14:paraId="1EB2B153">
            <w:pPr>
              <w:pStyle w:val="149"/>
              <w:rPr>
                <w:sz w:val="15"/>
                <w:szCs w:val="15"/>
              </w:rPr>
            </w:pPr>
            <w:r>
              <w:rPr>
                <w:sz w:val="15"/>
                <w:szCs w:val="15"/>
              </w:rPr>
              <w:t>　</w:t>
            </w:r>
          </w:p>
        </w:tc>
        <w:tc>
          <w:tcPr>
            <w:tcW w:w="0" w:type="auto"/>
            <w:noWrap/>
            <w:vAlign w:val="center"/>
          </w:tcPr>
          <w:p w14:paraId="49B46381">
            <w:pPr>
              <w:pStyle w:val="149"/>
              <w:rPr>
                <w:sz w:val="15"/>
                <w:szCs w:val="15"/>
              </w:rPr>
            </w:pPr>
            <w:r>
              <w:rPr>
                <w:sz w:val="15"/>
                <w:szCs w:val="15"/>
              </w:rPr>
              <w:t>　</w:t>
            </w:r>
          </w:p>
        </w:tc>
        <w:tc>
          <w:tcPr>
            <w:tcW w:w="0" w:type="auto"/>
            <w:noWrap/>
            <w:vAlign w:val="center"/>
          </w:tcPr>
          <w:p w14:paraId="07C7DC82">
            <w:pPr>
              <w:pStyle w:val="149"/>
              <w:rPr>
                <w:sz w:val="15"/>
                <w:szCs w:val="15"/>
              </w:rPr>
            </w:pPr>
            <w:r>
              <w:rPr>
                <w:rFonts w:hint="eastAsia"/>
                <w:sz w:val="15"/>
                <w:szCs w:val="15"/>
              </w:rPr>
              <w:t xml:space="preserve">28.74 </w:t>
            </w:r>
          </w:p>
        </w:tc>
        <w:tc>
          <w:tcPr>
            <w:tcW w:w="0" w:type="auto"/>
            <w:noWrap/>
            <w:vAlign w:val="center"/>
          </w:tcPr>
          <w:p w14:paraId="32B09608">
            <w:pPr>
              <w:pStyle w:val="149"/>
              <w:rPr>
                <w:sz w:val="15"/>
                <w:szCs w:val="15"/>
              </w:rPr>
            </w:pPr>
            <w:r>
              <w:rPr>
                <w:rFonts w:hint="eastAsia"/>
                <w:sz w:val="15"/>
                <w:szCs w:val="15"/>
              </w:rPr>
              <w:t xml:space="preserve">28.74 </w:t>
            </w:r>
          </w:p>
        </w:tc>
        <w:tc>
          <w:tcPr>
            <w:tcW w:w="0" w:type="auto"/>
            <w:noWrap/>
            <w:vAlign w:val="center"/>
          </w:tcPr>
          <w:p w14:paraId="0408A430">
            <w:pPr>
              <w:pStyle w:val="149"/>
              <w:rPr>
                <w:sz w:val="15"/>
                <w:szCs w:val="15"/>
              </w:rPr>
            </w:pPr>
            <w:r>
              <w:rPr>
                <w:sz w:val="15"/>
                <w:szCs w:val="15"/>
              </w:rPr>
              <w:t>　</w:t>
            </w:r>
          </w:p>
        </w:tc>
        <w:tc>
          <w:tcPr>
            <w:tcW w:w="0" w:type="auto"/>
            <w:vAlign w:val="center"/>
          </w:tcPr>
          <w:p w14:paraId="1E089E44">
            <w:pPr>
              <w:pStyle w:val="149"/>
              <w:rPr>
                <w:sz w:val="15"/>
                <w:szCs w:val="15"/>
              </w:rPr>
            </w:pPr>
            <w:r>
              <w:rPr>
                <w:rFonts w:hint="eastAsia"/>
                <w:sz w:val="15"/>
                <w:szCs w:val="15"/>
              </w:rPr>
              <w:t xml:space="preserve">10.47 </w:t>
            </w:r>
          </w:p>
        </w:tc>
        <w:tc>
          <w:tcPr>
            <w:tcW w:w="0" w:type="auto"/>
            <w:noWrap/>
            <w:vAlign w:val="center"/>
          </w:tcPr>
          <w:p w14:paraId="54D096F2">
            <w:pPr>
              <w:pStyle w:val="149"/>
              <w:rPr>
                <w:sz w:val="15"/>
                <w:szCs w:val="15"/>
              </w:rPr>
            </w:pPr>
            <w:r>
              <w:rPr>
                <w:sz w:val="15"/>
                <w:szCs w:val="15"/>
              </w:rPr>
              <w:t>　</w:t>
            </w:r>
          </w:p>
        </w:tc>
      </w:tr>
    </w:tbl>
    <w:p w14:paraId="4D45EEC0">
      <w:pPr>
        <w:widowControl w:val="0"/>
        <w:spacing w:after="120"/>
        <w:ind w:firstLine="0" w:firstLineChars="0"/>
        <w:rPr>
          <w:rFonts w:cs="Times New Roman"/>
          <w:color w:val="000000" w:themeColor="text1"/>
          <w14:textFill>
            <w14:solidFill>
              <w14:schemeClr w14:val="tx1"/>
            </w14:solidFill>
          </w14:textFill>
        </w:rPr>
      </w:pPr>
    </w:p>
    <w:bookmarkEnd w:id="95"/>
    <w:p w14:paraId="497AD117">
      <w:pPr>
        <w:widowControl w:val="0"/>
        <w:spacing w:after="120"/>
        <w:ind w:firstLine="0" w:firstLineChars="0"/>
        <w:rPr>
          <w:rFonts w:cs="Times New Roman"/>
          <w:color w:val="000000" w:themeColor="text1"/>
          <w14:textFill>
            <w14:solidFill>
              <w14:schemeClr w14:val="tx1"/>
            </w14:solidFill>
          </w14:textFill>
        </w:rPr>
        <w:sectPr>
          <w:footerReference r:id="rId22" w:type="default"/>
          <w:pgSz w:w="16838" w:h="11906" w:orient="landscape"/>
          <w:pgMar w:top="1418" w:right="1418" w:bottom="1418" w:left="1418" w:header="850" w:footer="850" w:gutter="0"/>
          <w:cols w:space="720" w:num="1"/>
          <w:docGrid w:linePitch="326" w:charSpace="0"/>
        </w:sectPr>
      </w:pPr>
    </w:p>
    <w:p w14:paraId="0A9A44C7">
      <w:pPr>
        <w:pStyle w:val="3"/>
        <w:spacing w:before="120" w:after="120"/>
      </w:pPr>
      <w:bookmarkStart w:id="96" w:name="_Toc85444714"/>
      <w:bookmarkStart w:id="97" w:name="_Toc88833970"/>
      <w:bookmarkStart w:id="98" w:name="_Toc85444438"/>
      <w:bookmarkStart w:id="99" w:name="_Toc88821209"/>
      <w:bookmarkStart w:id="100" w:name="_Toc152535466"/>
      <w:bookmarkStart w:id="101" w:name="_Toc85444537"/>
      <w:r>
        <w:t>平面布局</w:t>
      </w:r>
      <w:bookmarkEnd w:id="96"/>
      <w:bookmarkEnd w:id="97"/>
      <w:bookmarkEnd w:id="98"/>
      <w:bookmarkEnd w:id="99"/>
      <w:bookmarkEnd w:id="100"/>
      <w:bookmarkEnd w:id="101"/>
    </w:p>
    <w:p w14:paraId="1B21D20C">
      <w:pPr>
        <w:pStyle w:val="4"/>
        <w:spacing w:before="120" w:after="120"/>
      </w:pPr>
      <w:bookmarkStart w:id="102" w:name="_Toc85444539"/>
      <w:r>
        <w:t>总体布置</w:t>
      </w:r>
      <w:bookmarkEnd w:id="102"/>
    </w:p>
    <w:p w14:paraId="1807F87E">
      <w:pPr>
        <w:widowControl w:val="0"/>
        <w:ind w:firstLine="480"/>
        <w:rPr>
          <w:rFonts w:cs="Times New Roman"/>
          <w:color w:val="000000" w:themeColor="text1"/>
          <w:lang w:val="zh-CN"/>
          <w14:textFill>
            <w14:solidFill>
              <w14:schemeClr w14:val="tx1"/>
            </w14:solidFill>
          </w14:textFill>
        </w:rPr>
      </w:pPr>
      <w:bookmarkStart w:id="103" w:name="_Hlk78050602"/>
      <w:bookmarkStart w:id="104" w:name="_Hlk85699819"/>
      <w:r>
        <w:rPr>
          <w:rFonts w:cs="Times New Roman"/>
          <w:color w:val="000000" w:themeColor="text1"/>
          <w14:textFill>
            <w14:solidFill>
              <w14:schemeClr w14:val="tx1"/>
            </w14:solidFill>
          </w14:textFill>
        </w:rPr>
        <w:t>园区</w:t>
      </w:r>
      <w:bookmarkEnd w:id="103"/>
      <w:r>
        <w:rPr>
          <w:rFonts w:cs="Times New Roman"/>
          <w:color w:val="000000" w:themeColor="text1"/>
          <w14:textFill>
            <w14:solidFill>
              <w14:schemeClr w14:val="tx1"/>
            </w14:solidFill>
          </w14:textFill>
        </w:rPr>
        <w:t>总体布局</w:t>
      </w:r>
      <w:r>
        <w:rPr>
          <w:rFonts w:cs="Times New Roman"/>
          <w:color w:val="000000" w:themeColor="text1"/>
          <w:lang w:val="zh-CN"/>
          <w14:textFill>
            <w14:solidFill>
              <w14:schemeClr w14:val="tx1"/>
            </w14:solidFill>
          </w14:textFill>
        </w:rPr>
        <w:t>结合地形、地质条件以及目前的土地利用现状、综合考虑规划工业上下游产业链的关系以及生态环境要求、环境保护需要等因素，进行科学的空间布局规划。</w:t>
      </w:r>
    </w:p>
    <w:p w14:paraId="0AEEEE80">
      <w:pPr>
        <w:widowControl w:val="0"/>
        <w:ind w:firstLine="480"/>
        <w:rPr>
          <w:rFonts w:cs="Times New Roman"/>
          <w:color w:val="000000" w:themeColor="text1"/>
          <w:lang w:val="zh-CN"/>
          <w14:textFill>
            <w14:solidFill>
              <w14:schemeClr w14:val="tx1"/>
            </w14:solidFill>
          </w14:textFill>
        </w:rPr>
      </w:pPr>
      <w:bookmarkStart w:id="105" w:name="_Hlk88241494"/>
      <w:r>
        <w:rPr>
          <w:rFonts w:cs="Times New Roman"/>
          <w:color w:val="000000" w:themeColor="text1"/>
          <w:lang w:val="zh-CN"/>
          <w14:textFill>
            <w14:solidFill>
              <w14:schemeClr w14:val="tx1"/>
            </w14:solidFill>
          </w14:textFill>
        </w:rPr>
        <w:t>根据园区产业发展规划，依托西侧的包白公路（S210）、北侧的一级公路及东侧至石拐区的三条主要对外交通道路，形成对外交通较为完善的包头金山经济开发区。工业区用地性质以三类工矿用地为主，在各产业区块之间留有大面积的生态绿化空间，在组团内部形成较为合理的产业循环链条，实现产业区的可持续发展。</w:t>
      </w:r>
    </w:p>
    <w:p w14:paraId="060386BD">
      <w:pPr>
        <w:widowControl w:val="0"/>
        <w:ind w:firstLine="480"/>
        <w:rPr>
          <w:rFonts w:cs="Times New Roman"/>
          <w:color w:val="000000" w:themeColor="text1"/>
          <w:lang w:val="zh-CN"/>
          <w14:textFill>
            <w14:solidFill>
              <w14:schemeClr w14:val="tx1"/>
            </w14:solidFill>
          </w14:textFill>
        </w:rPr>
      </w:pPr>
      <w:r>
        <w:rPr>
          <w:rFonts w:cs="Times New Roman"/>
          <w:color w:val="000000" w:themeColor="text1"/>
          <w:lang w:val="zh-CN"/>
          <w14:textFill>
            <w14:solidFill>
              <w14:schemeClr w14:val="tx1"/>
            </w14:solidFill>
          </w14:textFill>
        </w:rPr>
        <w:t>地块2（下湿壕片区）依托北侧S311为主要对外交通，工矿用地性质以三类工矿用地为主。</w:t>
      </w:r>
    </w:p>
    <w:p w14:paraId="29A15B36">
      <w:pPr>
        <w:widowControl w:val="0"/>
        <w:ind w:firstLine="480"/>
        <w:rPr>
          <w:rFonts w:cs="Times New Roman"/>
          <w:color w:val="000000" w:themeColor="text1"/>
          <w:lang w:val="zh-CN"/>
          <w14:textFill>
            <w14:solidFill>
              <w14:schemeClr w14:val="tx1"/>
            </w14:solidFill>
          </w14:textFill>
        </w:rPr>
      </w:pPr>
      <w:r>
        <w:rPr>
          <w:rFonts w:cs="Times New Roman"/>
          <w:color w:val="000000" w:themeColor="text1"/>
          <w:lang w:val="zh-CN"/>
          <w14:textFill>
            <w14:solidFill>
              <w14:schemeClr w14:val="tx1"/>
            </w14:solidFill>
          </w14:textFill>
        </w:rPr>
        <w:t>根据自然资源部印发《国土空间调查、规划、用途管制用地用海分类指南(试行)》对园区用地进行分类。</w:t>
      </w:r>
    </w:p>
    <w:p w14:paraId="626B04AA">
      <w:pPr>
        <w:widowControl w:val="0"/>
        <w:ind w:firstLine="480"/>
        <w:rPr>
          <w:rFonts w:cs="Times New Roman"/>
          <w:lang w:val="zh-CN"/>
        </w:rPr>
      </w:pPr>
      <w:r>
        <w:rPr>
          <w:rFonts w:hint="eastAsia" w:cs="Times New Roman"/>
          <w:lang w:val="zh-CN"/>
        </w:rPr>
        <w:t>（1）工矿用地（10）</w:t>
      </w:r>
    </w:p>
    <w:p w14:paraId="64D3296A">
      <w:pPr>
        <w:widowControl w:val="0"/>
        <w:ind w:firstLine="480"/>
        <w:rPr>
          <w:rFonts w:cs="Times New Roman"/>
          <w:lang w:val="zh-CN"/>
        </w:rPr>
      </w:pPr>
      <w:r>
        <w:rPr>
          <w:rFonts w:hint="eastAsia" w:cs="Times New Roman"/>
          <w:lang w:val="zh-CN"/>
        </w:rPr>
        <w:t>规划范围内工业用地为三类工业用地，共计1151.36hm</w:t>
      </w:r>
      <w:r>
        <w:rPr>
          <w:rFonts w:ascii="Calibri" w:hAnsi="Calibri" w:cs="Calibri"/>
          <w:lang w:val="zh-CN"/>
        </w:rPr>
        <w:t>²</w:t>
      </w:r>
      <w:r>
        <w:rPr>
          <w:rFonts w:hint="eastAsia" w:cs="Times New Roman"/>
          <w:lang w:val="zh-CN"/>
        </w:rPr>
        <w:t>。其中地块1（金山产业园北区）工业用地面积为1004.28hm</w:t>
      </w:r>
      <w:r>
        <w:rPr>
          <w:rFonts w:ascii="Calibri" w:hAnsi="Calibri" w:cs="Calibri"/>
          <w:lang w:val="zh-CN"/>
        </w:rPr>
        <w:t>²</w:t>
      </w:r>
      <w:r>
        <w:rPr>
          <w:rFonts w:hint="eastAsia" w:cs="Times New Roman"/>
          <w:lang w:val="zh-CN"/>
        </w:rPr>
        <w:t>，地块2（下湿壕片区）内工业用地为147.08hm</w:t>
      </w:r>
      <w:r>
        <w:rPr>
          <w:rFonts w:ascii="Calibri" w:hAnsi="Calibri" w:cs="Calibri"/>
          <w:lang w:val="zh-CN"/>
        </w:rPr>
        <w:t>²</w:t>
      </w:r>
      <w:r>
        <w:rPr>
          <w:rFonts w:hint="eastAsia" w:cs="Times New Roman"/>
          <w:lang w:val="zh-CN"/>
        </w:rPr>
        <w:t>。</w:t>
      </w:r>
    </w:p>
    <w:p w14:paraId="68D726E3">
      <w:pPr>
        <w:widowControl w:val="0"/>
        <w:ind w:firstLine="480"/>
        <w:rPr>
          <w:rFonts w:cs="Times New Roman"/>
          <w:lang w:val="zh-CN"/>
        </w:rPr>
      </w:pPr>
      <w:r>
        <w:rPr>
          <w:rFonts w:hint="eastAsia" w:cs="Times New Roman"/>
          <w:lang w:val="zh-CN"/>
        </w:rPr>
        <w:t>（2）公共管理与公共服务设施用地（08）</w:t>
      </w:r>
    </w:p>
    <w:p w14:paraId="7643A189">
      <w:pPr>
        <w:widowControl w:val="0"/>
        <w:ind w:firstLine="480"/>
        <w:rPr>
          <w:rFonts w:cs="Times New Roman"/>
          <w:lang w:val="zh-CN"/>
        </w:rPr>
      </w:pPr>
      <w:r>
        <w:rPr>
          <w:rFonts w:hint="eastAsia" w:cs="Times New Roman"/>
          <w:lang w:val="zh-CN"/>
        </w:rPr>
        <w:t>规划范围内机关团体用地，用地面积为1.07hm</w:t>
      </w:r>
      <w:r>
        <w:rPr>
          <w:rFonts w:ascii="Calibri" w:hAnsi="Calibri" w:cs="Calibri"/>
          <w:lang w:val="zh-CN"/>
        </w:rPr>
        <w:t>²</w:t>
      </w:r>
      <w:r>
        <w:rPr>
          <w:rFonts w:hint="eastAsia" w:cs="Times New Roman"/>
          <w:lang w:val="zh-CN"/>
        </w:rPr>
        <w:t>。位于金山产业园内。地块2（下湿壕片区）内</w:t>
      </w:r>
    </w:p>
    <w:p w14:paraId="16026563">
      <w:pPr>
        <w:widowControl w:val="0"/>
        <w:ind w:firstLine="480"/>
        <w:rPr>
          <w:rFonts w:cs="Times New Roman"/>
          <w:lang w:val="zh-CN"/>
        </w:rPr>
      </w:pPr>
      <w:r>
        <w:rPr>
          <w:rFonts w:hint="eastAsia" w:cs="Times New Roman"/>
          <w:lang w:val="zh-CN"/>
        </w:rPr>
        <w:t>公共管理与公共服务设施用地。</w:t>
      </w:r>
    </w:p>
    <w:p w14:paraId="0F3F963A">
      <w:pPr>
        <w:widowControl w:val="0"/>
        <w:ind w:firstLine="480"/>
        <w:rPr>
          <w:rFonts w:cs="Times New Roman"/>
          <w:lang w:val="zh-CN"/>
        </w:rPr>
      </w:pPr>
      <w:r>
        <w:rPr>
          <w:rFonts w:hint="eastAsia" w:cs="Times New Roman"/>
          <w:lang w:val="zh-CN"/>
        </w:rPr>
        <w:t>（3）商业用地（09）</w:t>
      </w:r>
    </w:p>
    <w:p w14:paraId="62EDBC61">
      <w:pPr>
        <w:widowControl w:val="0"/>
        <w:ind w:firstLine="480"/>
        <w:rPr>
          <w:rFonts w:cs="Times New Roman"/>
          <w:lang w:val="zh-CN"/>
        </w:rPr>
      </w:pPr>
      <w:r>
        <w:rPr>
          <w:rFonts w:hint="eastAsia" w:cs="Times New Roman"/>
          <w:lang w:val="zh-CN"/>
        </w:rPr>
        <w:t>规划范围内的加油加气站用地，用地面积为4.37hm</w:t>
      </w:r>
      <w:r>
        <w:rPr>
          <w:rFonts w:ascii="Calibri" w:hAnsi="Calibri" w:cs="Calibri"/>
          <w:lang w:val="zh-CN"/>
        </w:rPr>
        <w:t>²</w:t>
      </w:r>
      <w:r>
        <w:rPr>
          <w:rFonts w:hint="eastAsia" w:cs="Times New Roman"/>
          <w:lang w:val="zh-CN"/>
        </w:rPr>
        <w:t>。位于金山产业园内。下湿壕片</w:t>
      </w:r>
    </w:p>
    <w:p w14:paraId="71D3E851">
      <w:pPr>
        <w:widowControl w:val="0"/>
        <w:ind w:firstLine="480"/>
        <w:rPr>
          <w:rFonts w:cs="Times New Roman"/>
          <w:lang w:val="zh-CN"/>
        </w:rPr>
      </w:pPr>
      <w:r>
        <w:rPr>
          <w:rFonts w:hint="eastAsia" w:cs="Times New Roman"/>
          <w:lang w:val="zh-CN"/>
        </w:rPr>
        <w:t>区内商业用地。</w:t>
      </w:r>
    </w:p>
    <w:p w14:paraId="7F8A5787">
      <w:pPr>
        <w:widowControl w:val="0"/>
        <w:ind w:firstLine="480"/>
        <w:rPr>
          <w:rFonts w:cs="Times New Roman"/>
          <w:lang w:val="zh-CN"/>
        </w:rPr>
      </w:pPr>
      <w:r>
        <w:rPr>
          <w:rFonts w:hint="eastAsia" w:cs="Times New Roman"/>
          <w:lang w:val="zh-CN"/>
        </w:rPr>
        <w:t>（4）交通运输用地（12）</w:t>
      </w:r>
    </w:p>
    <w:p w14:paraId="61A5636C">
      <w:pPr>
        <w:widowControl w:val="0"/>
        <w:ind w:firstLine="480"/>
        <w:rPr>
          <w:rFonts w:cs="Times New Roman"/>
          <w:lang w:val="zh-CN"/>
        </w:rPr>
      </w:pPr>
      <w:r>
        <w:rPr>
          <w:rFonts w:hint="eastAsia" w:cs="Times New Roman"/>
          <w:lang w:val="zh-CN"/>
        </w:rPr>
        <w:t>规划范围内的城镇道路用地和社会停车场用地，用地面积为93.79hm</w:t>
      </w:r>
      <w:r>
        <w:rPr>
          <w:rFonts w:ascii="Calibri" w:hAnsi="Calibri" w:cs="Calibri"/>
          <w:lang w:val="zh-CN"/>
        </w:rPr>
        <w:t>²</w:t>
      </w:r>
      <w:r>
        <w:rPr>
          <w:rFonts w:hint="eastAsia" w:cs="Times New Roman"/>
          <w:lang w:val="zh-CN"/>
        </w:rPr>
        <w:t>。其中金山产</w:t>
      </w:r>
    </w:p>
    <w:p w14:paraId="3E760276">
      <w:pPr>
        <w:widowControl w:val="0"/>
        <w:ind w:firstLine="480"/>
        <w:rPr>
          <w:rFonts w:cs="Times New Roman"/>
          <w:lang w:val="zh-CN"/>
        </w:rPr>
      </w:pPr>
      <w:r>
        <w:rPr>
          <w:rFonts w:hint="eastAsia" w:cs="Times New Roman"/>
          <w:lang w:val="zh-CN"/>
        </w:rPr>
        <w:t>业片区内城镇道路用地面积为78.62hm</w:t>
      </w:r>
      <w:r>
        <w:rPr>
          <w:rFonts w:ascii="Calibri" w:hAnsi="Calibri" w:cs="Calibri"/>
          <w:lang w:val="zh-CN"/>
        </w:rPr>
        <w:t>²</w:t>
      </w:r>
      <w:r>
        <w:rPr>
          <w:rFonts w:hint="eastAsia" w:cs="Times New Roman"/>
          <w:lang w:val="zh-CN"/>
        </w:rPr>
        <w:t>，社会停车场用地面积为12.08hm</w:t>
      </w:r>
      <w:r>
        <w:rPr>
          <w:rFonts w:ascii="Calibri" w:hAnsi="Calibri" w:cs="Calibri"/>
          <w:lang w:val="zh-CN"/>
        </w:rPr>
        <w:t>²</w:t>
      </w:r>
      <w:r>
        <w:rPr>
          <w:rFonts w:hint="eastAsia" w:cs="Times New Roman"/>
          <w:lang w:val="zh-CN"/>
        </w:rPr>
        <w:t>；地块2（下湿壕片区）内城镇道路用地面积为3.09hm</w:t>
      </w:r>
      <w:r>
        <w:rPr>
          <w:rFonts w:ascii="Calibri" w:hAnsi="Calibri" w:cs="Calibri"/>
          <w:lang w:val="zh-CN"/>
        </w:rPr>
        <w:t>²</w:t>
      </w:r>
      <w:r>
        <w:rPr>
          <w:rFonts w:hint="eastAsia" w:cs="Times New Roman"/>
          <w:lang w:val="zh-CN"/>
        </w:rPr>
        <w:t>。</w:t>
      </w:r>
    </w:p>
    <w:p w14:paraId="7002A717">
      <w:pPr>
        <w:widowControl w:val="0"/>
        <w:ind w:firstLine="480"/>
        <w:rPr>
          <w:rFonts w:cs="Times New Roman"/>
          <w:lang w:val="zh-CN"/>
        </w:rPr>
      </w:pPr>
      <w:r>
        <w:rPr>
          <w:rFonts w:hint="eastAsia" w:cs="Times New Roman"/>
          <w:lang w:val="zh-CN"/>
        </w:rPr>
        <w:t>（5）公用设施用地（13）</w:t>
      </w:r>
    </w:p>
    <w:p w14:paraId="0B546F6A">
      <w:pPr>
        <w:widowControl w:val="0"/>
        <w:ind w:firstLine="480"/>
        <w:rPr>
          <w:rFonts w:cs="Times New Roman"/>
          <w:lang w:val="zh-CN"/>
        </w:rPr>
      </w:pPr>
      <w:r>
        <w:rPr>
          <w:rFonts w:hint="eastAsia" w:cs="Times New Roman"/>
          <w:lang w:val="zh-CN"/>
        </w:rPr>
        <w:t>规划公用设施用地面积为10.66hm</w:t>
      </w:r>
      <w:r>
        <w:rPr>
          <w:rFonts w:ascii="Calibri" w:hAnsi="Calibri" w:cs="Calibri"/>
          <w:lang w:val="zh-CN"/>
        </w:rPr>
        <w:t>²</w:t>
      </w:r>
      <w:r>
        <w:rPr>
          <w:rFonts w:hint="eastAsia" w:cs="Times New Roman"/>
          <w:lang w:val="zh-CN"/>
        </w:rPr>
        <w:t>。地块2（下湿壕片区）内无公共设施用地</w:t>
      </w:r>
    </w:p>
    <w:p w14:paraId="7C8E8171">
      <w:pPr>
        <w:widowControl w:val="0"/>
        <w:ind w:firstLine="480"/>
        <w:rPr>
          <w:rFonts w:cs="Times New Roman"/>
          <w:lang w:val="zh-CN"/>
        </w:rPr>
      </w:pPr>
      <w:r>
        <w:rPr>
          <w:rFonts w:hint="eastAsia" w:cs="Times New Roman"/>
          <w:lang w:val="zh-CN"/>
        </w:rPr>
        <w:t>（6）绿地与开敞空间用地</w:t>
      </w:r>
    </w:p>
    <w:p w14:paraId="6F8F3DB1">
      <w:pPr>
        <w:widowControl w:val="0"/>
        <w:ind w:firstLine="480"/>
        <w:rPr>
          <w:rFonts w:cs="Times New Roman"/>
          <w:lang w:val="zh-CN"/>
        </w:rPr>
      </w:pPr>
      <w:r>
        <w:rPr>
          <w:rFonts w:hint="eastAsia" w:cs="Times New Roman"/>
          <w:lang w:val="zh-CN"/>
        </w:rPr>
        <w:t>规划范围内的绿地与开敞空间用地，用地面积为</w:t>
      </w:r>
      <w:r>
        <w:rPr>
          <w:rFonts w:cs="Times New Roman"/>
          <w:lang w:val="zh-CN"/>
        </w:rPr>
        <w:t>5.37</w:t>
      </w:r>
      <w:r>
        <w:rPr>
          <w:rFonts w:hint="eastAsia" w:cs="Times New Roman"/>
          <w:lang w:val="zh-CN"/>
        </w:rPr>
        <w:t>hm</w:t>
      </w:r>
      <w:r>
        <w:rPr>
          <w:rFonts w:ascii="Calibri" w:hAnsi="Calibri" w:cs="Calibri"/>
          <w:lang w:val="zh-CN"/>
        </w:rPr>
        <w:t>²</w:t>
      </w:r>
      <w:r>
        <w:rPr>
          <w:rFonts w:hint="eastAsia" w:cs="Times New Roman"/>
          <w:lang w:val="zh-CN"/>
        </w:rPr>
        <w:t>。其中地块1（金山产业园北区）内绿地与开敞空间用地面积为</w:t>
      </w:r>
      <w:r>
        <w:rPr>
          <w:rFonts w:cs="Times New Roman"/>
          <w:lang w:val="zh-CN"/>
        </w:rPr>
        <w:t>3.54</w:t>
      </w:r>
      <w:r>
        <w:rPr>
          <w:rFonts w:hint="eastAsia" w:cs="Times New Roman"/>
          <w:lang w:val="zh-CN"/>
        </w:rPr>
        <w:t>hm</w:t>
      </w:r>
      <w:r>
        <w:rPr>
          <w:rFonts w:ascii="Calibri" w:hAnsi="Calibri" w:cs="Calibri"/>
          <w:lang w:val="zh-CN"/>
        </w:rPr>
        <w:t>²</w:t>
      </w:r>
      <w:r>
        <w:rPr>
          <w:rFonts w:hint="eastAsia" w:cs="Times New Roman"/>
          <w:lang w:val="zh-CN"/>
        </w:rPr>
        <w:t>；地块2（下湿壕片区）内绿地与开敞空间用地面积为</w:t>
      </w:r>
      <w:r>
        <w:rPr>
          <w:rFonts w:cs="Times New Roman"/>
          <w:lang w:val="zh-CN"/>
        </w:rPr>
        <w:t>1.83</w:t>
      </w:r>
      <w:r>
        <w:rPr>
          <w:rFonts w:hint="eastAsia" w:cs="Times New Roman"/>
          <w:lang w:val="zh-CN"/>
        </w:rPr>
        <w:t>hm</w:t>
      </w:r>
      <w:r>
        <w:rPr>
          <w:rFonts w:ascii="Calibri" w:hAnsi="Calibri" w:cs="Calibri"/>
          <w:lang w:val="zh-CN"/>
        </w:rPr>
        <w:t>²</w:t>
      </w:r>
      <w:r>
        <w:rPr>
          <w:rFonts w:hint="eastAsia" w:cs="Times New Roman"/>
          <w:lang w:val="zh-CN"/>
        </w:rPr>
        <w:t>。</w:t>
      </w:r>
    </w:p>
    <w:p w14:paraId="7786EBCA">
      <w:pPr>
        <w:widowControl w:val="0"/>
        <w:ind w:firstLine="480"/>
        <w:rPr>
          <w:rFonts w:cs="Times New Roman"/>
          <w:lang w:val="zh-CN"/>
        </w:rPr>
      </w:pPr>
      <w:r>
        <w:rPr>
          <w:rFonts w:hint="eastAsia" w:cs="Times New Roman"/>
          <w:lang w:val="zh-CN"/>
        </w:rPr>
        <w:t>（7）陆地水域</w:t>
      </w:r>
    </w:p>
    <w:p w14:paraId="567C3251">
      <w:pPr>
        <w:widowControl w:val="0"/>
        <w:ind w:firstLine="480"/>
        <w:rPr>
          <w:rFonts w:cs="Times New Roman"/>
          <w:lang w:val="zh-CN"/>
        </w:rPr>
      </w:pPr>
      <w:r>
        <w:rPr>
          <w:rFonts w:hint="eastAsia" w:cs="Times New Roman"/>
          <w:lang w:val="zh-CN"/>
        </w:rPr>
        <w:t>规划范围内的</w:t>
      </w:r>
      <w:bookmarkStart w:id="626" w:name="_GoBack"/>
      <w:bookmarkEnd w:id="626"/>
      <w:r>
        <w:rPr>
          <w:rFonts w:hint="eastAsia" w:cs="Times New Roman"/>
          <w:lang w:val="zh-CN"/>
        </w:rPr>
        <w:t>陆地水域，用地面积为</w:t>
      </w:r>
      <w:r>
        <w:rPr>
          <w:rFonts w:cs="Times New Roman"/>
          <w:lang w:val="zh-CN"/>
        </w:rPr>
        <w:t>1.10</w:t>
      </w:r>
      <w:r>
        <w:rPr>
          <w:rFonts w:hint="eastAsia" w:cs="Times New Roman"/>
          <w:lang w:val="zh-CN"/>
        </w:rPr>
        <w:t>hm</w:t>
      </w:r>
      <w:r>
        <w:rPr>
          <w:rFonts w:ascii="Calibri" w:hAnsi="Calibri" w:cs="Calibri"/>
          <w:lang w:val="zh-CN"/>
        </w:rPr>
        <w:t>²</w:t>
      </w:r>
      <w:r>
        <w:rPr>
          <w:rFonts w:hint="eastAsia" w:cs="Times New Roman"/>
          <w:lang w:val="zh-CN"/>
        </w:rPr>
        <w:t>。其中地块1（金山产业园北区）无陆地水域；地块2（下湿壕片区）内陆地水域用地面积为</w:t>
      </w:r>
      <w:r>
        <w:rPr>
          <w:rFonts w:cs="Times New Roman"/>
          <w:lang w:val="zh-CN"/>
        </w:rPr>
        <w:t>1.10</w:t>
      </w:r>
      <w:r>
        <w:rPr>
          <w:rFonts w:hint="eastAsia" w:cs="Times New Roman"/>
          <w:lang w:val="zh-CN"/>
        </w:rPr>
        <w:t>hm</w:t>
      </w:r>
      <w:r>
        <w:rPr>
          <w:rFonts w:ascii="Calibri" w:hAnsi="Calibri" w:cs="Calibri"/>
          <w:lang w:val="zh-CN"/>
        </w:rPr>
        <w:t>²</w:t>
      </w:r>
      <w:r>
        <w:rPr>
          <w:rFonts w:hint="eastAsia" w:cs="Times New Roman"/>
          <w:lang w:val="zh-CN"/>
        </w:rPr>
        <w:t>。</w:t>
      </w:r>
    </w:p>
    <w:bookmarkEnd w:id="105"/>
    <w:p w14:paraId="5BE29D29">
      <w:pPr>
        <w:widowControl w:val="0"/>
        <w:ind w:firstLine="480"/>
        <w:jc w:val="left"/>
        <w:rPr>
          <w:rFonts w:cs="Times New Roman"/>
          <w:color w:val="000000" w:themeColor="text1"/>
          <w:lang w:val="zh-CN"/>
          <w14:textFill>
            <w14:solidFill>
              <w14:schemeClr w14:val="tx1"/>
            </w14:solidFill>
          </w14:textFill>
        </w:rPr>
        <w:sectPr>
          <w:footerReference r:id="rId23" w:type="default"/>
          <w:pgSz w:w="11907" w:h="16839"/>
          <w:pgMar w:top="1418" w:right="1418" w:bottom="1418" w:left="1418" w:header="850" w:footer="850" w:gutter="0"/>
          <w:cols w:space="720" w:num="1"/>
          <w:docGrid w:linePitch="326" w:charSpace="0"/>
        </w:sectPr>
      </w:pPr>
      <w:r>
        <w:rPr>
          <w:rFonts w:cs="Times New Roman"/>
          <w:color w:val="000000" w:themeColor="text1"/>
          <w14:textFill>
            <w14:solidFill>
              <w14:schemeClr w14:val="tx1"/>
            </w14:solidFill>
          </w14:textFill>
        </w:rPr>
        <w:t>地块1（金山产业园北区）规划集中建设区用地详细汇总表见下表1-10，地块2（下湿壕片区）规划集中建设区用地详细汇总表见下表1-11。</w:t>
      </w:r>
    </w:p>
    <w:p w14:paraId="17B9BAA6">
      <w:pPr>
        <w:pStyle w:val="44"/>
        <w:rPr>
          <w:bCs/>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表1-10         地块1（金山产业园北区）规划集中建设区用地详细汇总表</w:t>
      </w:r>
    </w:p>
    <w:tbl>
      <w:tblPr>
        <w:tblStyle w:val="27"/>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216"/>
        <w:gridCol w:w="1209"/>
        <w:gridCol w:w="1209"/>
        <w:gridCol w:w="2911"/>
        <w:gridCol w:w="1371"/>
        <w:gridCol w:w="1371"/>
      </w:tblGrid>
      <w:tr w14:paraId="69BEA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tcBorders>
              <w:bottom w:val="double" w:color="auto" w:sz="4" w:space="0"/>
            </w:tcBorders>
            <w:shd w:val="clear" w:color="auto" w:fill="auto"/>
            <w:vAlign w:val="center"/>
          </w:tcPr>
          <w:p w14:paraId="5CA5CA83">
            <w:pPr>
              <w:pStyle w:val="33"/>
              <w:rPr>
                <w:color w:val="000000" w:themeColor="text1"/>
                <w14:textFill>
                  <w14:solidFill>
                    <w14:schemeClr w14:val="tx1"/>
                  </w14:solidFill>
                </w14:textFill>
              </w:rPr>
            </w:pPr>
            <w:r>
              <w:rPr>
                <w:color w:val="000000" w:themeColor="text1"/>
                <w14:textFill>
                  <w14:solidFill>
                    <w14:schemeClr w14:val="tx1"/>
                  </w14:solidFill>
                </w14:textFill>
              </w:rPr>
              <w:t>一级类别</w:t>
            </w:r>
          </w:p>
        </w:tc>
        <w:tc>
          <w:tcPr>
            <w:tcW w:w="651" w:type="pct"/>
            <w:tcBorders>
              <w:bottom w:val="double" w:color="auto" w:sz="4" w:space="0"/>
            </w:tcBorders>
            <w:shd w:val="clear" w:color="auto" w:fill="auto"/>
            <w:vAlign w:val="center"/>
          </w:tcPr>
          <w:p w14:paraId="526778D3">
            <w:pPr>
              <w:pStyle w:val="33"/>
              <w:rPr>
                <w:color w:val="000000" w:themeColor="text1"/>
                <w14:textFill>
                  <w14:solidFill>
                    <w14:schemeClr w14:val="tx1"/>
                  </w14:solidFill>
                </w14:textFill>
              </w:rPr>
            </w:pPr>
            <w:r>
              <w:rPr>
                <w:color w:val="000000" w:themeColor="text1"/>
                <w14:textFill>
                  <w14:solidFill>
                    <w14:schemeClr w14:val="tx1"/>
                  </w14:solidFill>
                </w14:textFill>
              </w:rPr>
              <w:t>二级类别</w:t>
            </w:r>
          </w:p>
        </w:tc>
        <w:tc>
          <w:tcPr>
            <w:tcW w:w="651" w:type="pct"/>
            <w:tcBorders>
              <w:bottom w:val="double" w:color="auto" w:sz="4" w:space="0"/>
            </w:tcBorders>
            <w:shd w:val="clear" w:color="auto" w:fill="auto"/>
            <w:vAlign w:val="center"/>
          </w:tcPr>
          <w:p w14:paraId="795204C5">
            <w:pPr>
              <w:pStyle w:val="33"/>
              <w:rPr>
                <w:color w:val="000000" w:themeColor="text1"/>
                <w14:textFill>
                  <w14:solidFill>
                    <w14:schemeClr w14:val="tx1"/>
                  </w14:solidFill>
                </w14:textFill>
              </w:rPr>
            </w:pPr>
            <w:r>
              <w:rPr>
                <w:color w:val="000000" w:themeColor="text1"/>
                <w14:textFill>
                  <w14:solidFill>
                    <w14:schemeClr w14:val="tx1"/>
                  </w14:solidFill>
                </w14:textFill>
              </w:rPr>
              <w:t>三级类别</w:t>
            </w:r>
          </w:p>
        </w:tc>
        <w:tc>
          <w:tcPr>
            <w:tcW w:w="1567" w:type="pct"/>
            <w:tcBorders>
              <w:bottom w:val="double" w:color="auto" w:sz="4" w:space="0"/>
            </w:tcBorders>
            <w:shd w:val="clear" w:color="auto" w:fill="auto"/>
            <w:vAlign w:val="center"/>
          </w:tcPr>
          <w:p w14:paraId="6D4FCA10">
            <w:pPr>
              <w:pStyle w:val="33"/>
              <w:rPr>
                <w:color w:val="000000" w:themeColor="text1"/>
                <w14:textFill>
                  <w14:solidFill>
                    <w14:schemeClr w14:val="tx1"/>
                  </w14:solidFill>
                </w14:textFill>
              </w:rPr>
            </w:pPr>
            <w:r>
              <w:rPr>
                <w:color w:val="000000" w:themeColor="text1"/>
                <w14:textFill>
                  <w14:solidFill>
                    <w14:schemeClr w14:val="tx1"/>
                  </w14:solidFill>
                </w14:textFill>
              </w:rPr>
              <w:t>类别名称</w:t>
            </w:r>
          </w:p>
        </w:tc>
        <w:tc>
          <w:tcPr>
            <w:tcW w:w="738" w:type="pct"/>
            <w:tcBorders>
              <w:bottom w:val="double" w:color="auto" w:sz="4" w:space="0"/>
            </w:tcBorders>
            <w:shd w:val="clear" w:color="auto" w:fill="auto"/>
            <w:vAlign w:val="center"/>
          </w:tcPr>
          <w:p w14:paraId="277509E9">
            <w:pPr>
              <w:pStyle w:val="33"/>
              <w:rPr>
                <w:color w:val="000000" w:themeColor="text1"/>
                <w14:textFill>
                  <w14:solidFill>
                    <w14:schemeClr w14:val="tx1"/>
                  </w14:solidFill>
                </w14:textFill>
              </w:rPr>
            </w:pPr>
            <w:r>
              <w:rPr>
                <w:color w:val="000000" w:themeColor="text1"/>
                <w14:textFill>
                  <w14:solidFill>
                    <w14:schemeClr w14:val="tx1"/>
                  </w14:solidFill>
                </w14:textFill>
              </w:rPr>
              <w:t>面积(hm²)</w:t>
            </w:r>
          </w:p>
        </w:tc>
        <w:tc>
          <w:tcPr>
            <w:tcW w:w="738" w:type="pct"/>
            <w:tcBorders>
              <w:bottom w:val="double" w:color="auto" w:sz="4" w:space="0"/>
            </w:tcBorders>
            <w:vAlign w:val="center"/>
          </w:tcPr>
          <w:p w14:paraId="01113E8E">
            <w:pPr>
              <w:pStyle w:val="33"/>
              <w:rPr>
                <w:color w:val="000000" w:themeColor="text1"/>
                <w14:textFill>
                  <w14:solidFill>
                    <w14:schemeClr w14:val="tx1"/>
                  </w14:solidFill>
                </w14:textFill>
              </w:rPr>
            </w:pPr>
            <w:r>
              <w:rPr>
                <w:color w:val="000000" w:themeColor="text1"/>
                <w14:textFill>
                  <w14:solidFill>
                    <w14:schemeClr w14:val="tx1"/>
                  </w14:solidFill>
                </w14:textFill>
              </w:rPr>
              <w:t>比例（%）</w:t>
            </w:r>
          </w:p>
        </w:tc>
      </w:tr>
      <w:tr w14:paraId="12D5F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tcBorders>
              <w:top w:val="double" w:color="auto" w:sz="4" w:space="0"/>
            </w:tcBorders>
            <w:shd w:val="clear" w:color="auto" w:fill="auto"/>
            <w:vAlign w:val="center"/>
          </w:tcPr>
          <w:p w14:paraId="4BD119C5">
            <w:pPr>
              <w:pStyle w:val="33"/>
              <w:rPr>
                <w:color w:val="000000" w:themeColor="text1"/>
                <w14:textFill>
                  <w14:solidFill>
                    <w14:schemeClr w14:val="tx1"/>
                  </w14:solidFill>
                </w14:textFill>
              </w:rPr>
            </w:pPr>
            <w:r>
              <w:rPr>
                <w:color w:val="000000" w:themeColor="text1"/>
                <w14:textFill>
                  <w14:solidFill>
                    <w14:schemeClr w14:val="tx1"/>
                  </w14:solidFill>
                </w14:textFill>
              </w:rPr>
              <w:t>8</w:t>
            </w:r>
          </w:p>
        </w:tc>
        <w:tc>
          <w:tcPr>
            <w:tcW w:w="651" w:type="pct"/>
            <w:tcBorders>
              <w:top w:val="double" w:color="auto" w:sz="4" w:space="0"/>
            </w:tcBorders>
            <w:shd w:val="clear" w:color="auto" w:fill="auto"/>
            <w:vAlign w:val="center"/>
          </w:tcPr>
          <w:p w14:paraId="6376EA88">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651" w:type="pct"/>
            <w:tcBorders>
              <w:top w:val="double" w:color="auto" w:sz="4" w:space="0"/>
            </w:tcBorders>
            <w:shd w:val="clear" w:color="auto" w:fill="auto"/>
            <w:vAlign w:val="center"/>
          </w:tcPr>
          <w:p w14:paraId="199A7126">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pct"/>
            <w:tcBorders>
              <w:top w:val="double" w:color="auto" w:sz="4" w:space="0"/>
            </w:tcBorders>
            <w:shd w:val="clear" w:color="auto" w:fill="auto"/>
            <w:vAlign w:val="center"/>
          </w:tcPr>
          <w:p w14:paraId="20E6EB34">
            <w:pPr>
              <w:pStyle w:val="33"/>
              <w:rPr>
                <w:color w:val="000000" w:themeColor="text1"/>
                <w14:textFill>
                  <w14:solidFill>
                    <w14:schemeClr w14:val="tx1"/>
                  </w14:solidFill>
                </w14:textFill>
              </w:rPr>
            </w:pPr>
            <w:r>
              <w:rPr>
                <w:color w:val="000000" w:themeColor="text1"/>
                <w14:textFill>
                  <w14:solidFill>
                    <w14:schemeClr w14:val="tx1"/>
                  </w14:solidFill>
                </w14:textFill>
              </w:rPr>
              <w:t>公共管理与公共服务用地</w:t>
            </w:r>
          </w:p>
        </w:tc>
        <w:tc>
          <w:tcPr>
            <w:tcW w:w="738" w:type="pct"/>
            <w:tcBorders>
              <w:top w:val="double" w:color="auto" w:sz="4" w:space="0"/>
            </w:tcBorders>
            <w:shd w:val="clear" w:color="auto" w:fill="auto"/>
            <w:vAlign w:val="center"/>
          </w:tcPr>
          <w:p w14:paraId="788E19F1">
            <w:pPr>
              <w:pStyle w:val="33"/>
              <w:rPr>
                <w:color w:val="000000" w:themeColor="text1"/>
                <w14:textFill>
                  <w14:solidFill>
                    <w14:schemeClr w14:val="tx1"/>
                  </w14:solidFill>
                </w14:textFill>
              </w:rPr>
            </w:pPr>
            <w:r>
              <w:rPr>
                <w:color w:val="000000" w:themeColor="text1"/>
                <w14:textFill>
                  <w14:solidFill>
                    <w14:schemeClr w14:val="tx1"/>
                  </w14:solidFill>
                </w14:textFill>
              </w:rPr>
              <w:t>1.07</w:t>
            </w:r>
          </w:p>
        </w:tc>
        <w:tc>
          <w:tcPr>
            <w:tcW w:w="738" w:type="pct"/>
            <w:tcBorders>
              <w:top w:val="double" w:color="auto" w:sz="4" w:space="0"/>
            </w:tcBorders>
            <w:vAlign w:val="center"/>
          </w:tcPr>
          <w:p w14:paraId="318D95F9">
            <w:pPr>
              <w:pStyle w:val="33"/>
              <w:rPr>
                <w:color w:val="000000" w:themeColor="text1"/>
                <w14:textFill>
                  <w14:solidFill>
                    <w14:schemeClr w14:val="tx1"/>
                  </w14:solidFill>
                </w14:textFill>
              </w:rPr>
            </w:pPr>
            <w:r>
              <w:rPr>
                <w:color w:val="000000" w:themeColor="text1"/>
                <w14:textFill>
                  <w14:solidFill>
                    <w14:schemeClr w14:val="tx1"/>
                  </w14:solidFill>
                </w14:textFill>
              </w:rPr>
              <w:t>0.01</w:t>
            </w:r>
          </w:p>
        </w:tc>
      </w:tr>
      <w:tr w14:paraId="00627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shd w:val="clear" w:color="auto" w:fill="auto"/>
            <w:vAlign w:val="center"/>
          </w:tcPr>
          <w:p w14:paraId="5973156E">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651" w:type="pct"/>
            <w:shd w:val="clear" w:color="auto" w:fill="auto"/>
            <w:vAlign w:val="center"/>
          </w:tcPr>
          <w:p w14:paraId="143C1398">
            <w:pPr>
              <w:pStyle w:val="33"/>
              <w:rPr>
                <w:color w:val="000000" w:themeColor="text1"/>
                <w14:textFill>
                  <w14:solidFill>
                    <w14:schemeClr w14:val="tx1"/>
                  </w14:solidFill>
                </w14:textFill>
              </w:rPr>
            </w:pPr>
            <w:r>
              <w:rPr>
                <w:color w:val="000000" w:themeColor="text1"/>
                <w14:textFill>
                  <w14:solidFill>
                    <w14:schemeClr w14:val="tx1"/>
                  </w14:solidFill>
                </w14:textFill>
              </w:rPr>
              <w:t>801</w:t>
            </w:r>
          </w:p>
        </w:tc>
        <w:tc>
          <w:tcPr>
            <w:tcW w:w="651" w:type="pct"/>
            <w:shd w:val="clear" w:color="auto" w:fill="auto"/>
            <w:vAlign w:val="center"/>
          </w:tcPr>
          <w:p w14:paraId="4BBFA3C8">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pct"/>
            <w:shd w:val="clear" w:color="auto" w:fill="auto"/>
            <w:vAlign w:val="center"/>
          </w:tcPr>
          <w:p w14:paraId="120BDD6F">
            <w:pPr>
              <w:pStyle w:val="33"/>
              <w:rPr>
                <w:color w:val="000000" w:themeColor="text1"/>
                <w14:textFill>
                  <w14:solidFill>
                    <w14:schemeClr w14:val="tx1"/>
                  </w14:solidFill>
                </w14:textFill>
              </w:rPr>
            </w:pPr>
            <w:r>
              <w:rPr>
                <w:color w:val="000000" w:themeColor="text1"/>
                <w14:textFill>
                  <w14:solidFill>
                    <w14:schemeClr w14:val="tx1"/>
                  </w14:solidFill>
                </w14:textFill>
              </w:rPr>
              <w:t>机关团体用地</w:t>
            </w:r>
          </w:p>
        </w:tc>
        <w:tc>
          <w:tcPr>
            <w:tcW w:w="738" w:type="pct"/>
            <w:shd w:val="clear" w:color="auto" w:fill="auto"/>
            <w:vAlign w:val="center"/>
          </w:tcPr>
          <w:p w14:paraId="3AB9BB0D">
            <w:pPr>
              <w:pStyle w:val="33"/>
              <w:rPr>
                <w:color w:val="000000" w:themeColor="text1"/>
                <w14:textFill>
                  <w14:solidFill>
                    <w14:schemeClr w14:val="tx1"/>
                  </w14:solidFill>
                </w14:textFill>
              </w:rPr>
            </w:pPr>
            <w:r>
              <w:rPr>
                <w:color w:val="000000" w:themeColor="text1"/>
                <w14:textFill>
                  <w14:solidFill>
                    <w14:schemeClr w14:val="tx1"/>
                  </w14:solidFill>
                </w14:textFill>
              </w:rPr>
              <w:t>1.07</w:t>
            </w:r>
          </w:p>
        </w:tc>
        <w:tc>
          <w:tcPr>
            <w:tcW w:w="738" w:type="pct"/>
            <w:vAlign w:val="center"/>
          </w:tcPr>
          <w:p w14:paraId="31281E7C">
            <w:pPr>
              <w:pStyle w:val="33"/>
              <w:rPr>
                <w:color w:val="000000" w:themeColor="text1"/>
                <w14:textFill>
                  <w14:solidFill>
                    <w14:schemeClr w14:val="tx1"/>
                  </w14:solidFill>
                </w14:textFill>
              </w:rPr>
            </w:pPr>
            <w:r>
              <w:rPr>
                <w:color w:val="000000" w:themeColor="text1"/>
                <w14:textFill>
                  <w14:solidFill>
                    <w14:schemeClr w14:val="tx1"/>
                  </w14:solidFill>
                </w14:textFill>
              </w:rPr>
              <w:t>0.01</w:t>
            </w:r>
          </w:p>
        </w:tc>
      </w:tr>
      <w:tr w14:paraId="3709D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shd w:val="clear" w:color="auto" w:fill="auto"/>
            <w:vAlign w:val="center"/>
          </w:tcPr>
          <w:p w14:paraId="51B3BDD9">
            <w:pPr>
              <w:pStyle w:val="33"/>
              <w:rPr>
                <w:color w:val="000000" w:themeColor="text1"/>
                <w14:textFill>
                  <w14:solidFill>
                    <w14:schemeClr w14:val="tx1"/>
                  </w14:solidFill>
                </w14:textFill>
              </w:rPr>
            </w:pPr>
            <w:r>
              <w:rPr>
                <w:color w:val="000000" w:themeColor="text1"/>
                <w14:textFill>
                  <w14:solidFill>
                    <w14:schemeClr w14:val="tx1"/>
                  </w14:solidFill>
                </w14:textFill>
              </w:rPr>
              <w:t>9</w:t>
            </w:r>
          </w:p>
        </w:tc>
        <w:tc>
          <w:tcPr>
            <w:tcW w:w="651" w:type="pct"/>
            <w:shd w:val="clear" w:color="auto" w:fill="auto"/>
            <w:vAlign w:val="center"/>
          </w:tcPr>
          <w:p w14:paraId="54079278">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651" w:type="pct"/>
            <w:shd w:val="clear" w:color="auto" w:fill="auto"/>
            <w:vAlign w:val="center"/>
          </w:tcPr>
          <w:p w14:paraId="5595636A">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pct"/>
            <w:shd w:val="clear" w:color="auto" w:fill="auto"/>
            <w:vAlign w:val="center"/>
          </w:tcPr>
          <w:p w14:paraId="2E922622">
            <w:pPr>
              <w:pStyle w:val="33"/>
              <w:rPr>
                <w:color w:val="000000" w:themeColor="text1"/>
                <w14:textFill>
                  <w14:solidFill>
                    <w14:schemeClr w14:val="tx1"/>
                  </w14:solidFill>
                </w14:textFill>
              </w:rPr>
            </w:pPr>
            <w:r>
              <w:rPr>
                <w:color w:val="000000" w:themeColor="text1"/>
                <w14:textFill>
                  <w14:solidFill>
                    <w14:schemeClr w14:val="tx1"/>
                  </w14:solidFill>
                </w14:textFill>
              </w:rPr>
              <w:t>商业服务业用地</w:t>
            </w:r>
          </w:p>
        </w:tc>
        <w:tc>
          <w:tcPr>
            <w:tcW w:w="738" w:type="pct"/>
            <w:shd w:val="clear" w:color="auto" w:fill="auto"/>
            <w:vAlign w:val="center"/>
          </w:tcPr>
          <w:p w14:paraId="41026317">
            <w:pPr>
              <w:pStyle w:val="33"/>
              <w:rPr>
                <w:color w:val="000000" w:themeColor="text1"/>
                <w14:textFill>
                  <w14:solidFill>
                    <w14:schemeClr w14:val="tx1"/>
                  </w14:solidFill>
                </w14:textFill>
              </w:rPr>
            </w:pPr>
            <w:r>
              <w:rPr>
                <w:color w:val="000000" w:themeColor="text1"/>
                <w14:textFill>
                  <w14:solidFill>
                    <w14:schemeClr w14:val="tx1"/>
                  </w14:solidFill>
                </w14:textFill>
              </w:rPr>
              <w:t>4.37</w:t>
            </w:r>
          </w:p>
        </w:tc>
        <w:tc>
          <w:tcPr>
            <w:tcW w:w="738" w:type="pct"/>
            <w:vAlign w:val="center"/>
          </w:tcPr>
          <w:p w14:paraId="2BD3CB99">
            <w:pPr>
              <w:pStyle w:val="33"/>
              <w:rPr>
                <w:color w:val="000000" w:themeColor="text1"/>
                <w14:textFill>
                  <w14:solidFill>
                    <w14:schemeClr w14:val="tx1"/>
                  </w14:solidFill>
                </w14:textFill>
              </w:rPr>
            </w:pPr>
            <w:r>
              <w:rPr>
                <w:color w:val="000000" w:themeColor="text1"/>
                <w14:textFill>
                  <w14:solidFill>
                    <w14:schemeClr w14:val="tx1"/>
                  </w14:solidFill>
                </w14:textFill>
              </w:rPr>
              <w:t>0.40</w:t>
            </w:r>
          </w:p>
        </w:tc>
      </w:tr>
      <w:tr w14:paraId="16FB5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shd w:val="clear" w:color="auto" w:fill="auto"/>
            <w:vAlign w:val="center"/>
          </w:tcPr>
          <w:p w14:paraId="419A4457">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651" w:type="pct"/>
            <w:shd w:val="clear" w:color="auto" w:fill="auto"/>
            <w:vAlign w:val="center"/>
          </w:tcPr>
          <w:p w14:paraId="49C40090">
            <w:pPr>
              <w:pStyle w:val="33"/>
              <w:rPr>
                <w:color w:val="000000" w:themeColor="text1"/>
                <w14:textFill>
                  <w14:solidFill>
                    <w14:schemeClr w14:val="tx1"/>
                  </w14:solidFill>
                </w14:textFill>
              </w:rPr>
            </w:pPr>
            <w:r>
              <w:rPr>
                <w:color w:val="000000" w:themeColor="text1"/>
                <w14:textFill>
                  <w14:solidFill>
                    <w14:schemeClr w14:val="tx1"/>
                  </w14:solidFill>
                </w14:textFill>
              </w:rPr>
              <w:t>901</w:t>
            </w:r>
          </w:p>
        </w:tc>
        <w:tc>
          <w:tcPr>
            <w:tcW w:w="651" w:type="pct"/>
            <w:shd w:val="clear" w:color="auto" w:fill="auto"/>
            <w:vAlign w:val="center"/>
          </w:tcPr>
          <w:p w14:paraId="70BF4553">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pct"/>
            <w:shd w:val="clear" w:color="auto" w:fill="auto"/>
            <w:vAlign w:val="center"/>
          </w:tcPr>
          <w:p w14:paraId="2C27E6CC">
            <w:pPr>
              <w:pStyle w:val="33"/>
              <w:rPr>
                <w:color w:val="000000" w:themeColor="text1"/>
                <w14:textFill>
                  <w14:solidFill>
                    <w14:schemeClr w14:val="tx1"/>
                  </w14:solidFill>
                </w14:textFill>
              </w:rPr>
            </w:pPr>
            <w:r>
              <w:rPr>
                <w:color w:val="000000" w:themeColor="text1"/>
                <w14:textFill>
                  <w14:solidFill>
                    <w14:schemeClr w14:val="tx1"/>
                  </w14:solidFill>
                </w14:textFill>
              </w:rPr>
              <w:t>商业用地</w:t>
            </w:r>
          </w:p>
        </w:tc>
        <w:tc>
          <w:tcPr>
            <w:tcW w:w="738" w:type="pct"/>
            <w:shd w:val="clear" w:color="auto" w:fill="auto"/>
            <w:vAlign w:val="center"/>
          </w:tcPr>
          <w:p w14:paraId="0D9AC0A6">
            <w:pPr>
              <w:pStyle w:val="33"/>
              <w:rPr>
                <w:color w:val="000000" w:themeColor="text1"/>
                <w14:textFill>
                  <w14:solidFill>
                    <w14:schemeClr w14:val="tx1"/>
                  </w14:solidFill>
                </w14:textFill>
              </w:rPr>
            </w:pPr>
            <w:r>
              <w:rPr>
                <w:color w:val="000000" w:themeColor="text1"/>
                <w14:textFill>
                  <w14:solidFill>
                    <w14:schemeClr w14:val="tx1"/>
                  </w14:solidFill>
                </w14:textFill>
              </w:rPr>
              <w:t>4.37</w:t>
            </w:r>
          </w:p>
        </w:tc>
        <w:tc>
          <w:tcPr>
            <w:tcW w:w="738" w:type="pct"/>
            <w:vAlign w:val="center"/>
          </w:tcPr>
          <w:p w14:paraId="6865D9FC">
            <w:pPr>
              <w:pStyle w:val="33"/>
              <w:rPr>
                <w:color w:val="000000" w:themeColor="text1"/>
                <w14:textFill>
                  <w14:solidFill>
                    <w14:schemeClr w14:val="tx1"/>
                  </w14:solidFill>
                </w14:textFill>
              </w:rPr>
            </w:pPr>
            <w:r>
              <w:rPr>
                <w:color w:val="000000" w:themeColor="text1"/>
                <w14:textFill>
                  <w14:solidFill>
                    <w14:schemeClr w14:val="tx1"/>
                  </w14:solidFill>
                </w14:textFill>
              </w:rPr>
              <w:t>0.40</w:t>
            </w:r>
          </w:p>
        </w:tc>
      </w:tr>
      <w:tr w14:paraId="7508E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shd w:val="clear" w:color="auto" w:fill="auto"/>
            <w:vAlign w:val="center"/>
          </w:tcPr>
          <w:p w14:paraId="1616A015">
            <w:pPr>
              <w:pStyle w:val="33"/>
              <w:rPr>
                <w:color w:val="000000" w:themeColor="text1"/>
                <w14:textFill>
                  <w14:solidFill>
                    <w14:schemeClr w14:val="tx1"/>
                  </w14:solidFill>
                </w14:textFill>
              </w:rPr>
            </w:pPr>
          </w:p>
        </w:tc>
        <w:tc>
          <w:tcPr>
            <w:tcW w:w="651" w:type="pct"/>
            <w:shd w:val="clear" w:color="auto" w:fill="auto"/>
            <w:vAlign w:val="center"/>
          </w:tcPr>
          <w:p w14:paraId="3349FAB6">
            <w:pPr>
              <w:pStyle w:val="33"/>
              <w:rPr>
                <w:color w:val="000000" w:themeColor="text1"/>
                <w14:textFill>
                  <w14:solidFill>
                    <w14:schemeClr w14:val="tx1"/>
                  </w14:solidFill>
                </w14:textFill>
              </w:rPr>
            </w:pPr>
          </w:p>
        </w:tc>
        <w:tc>
          <w:tcPr>
            <w:tcW w:w="651" w:type="pct"/>
            <w:shd w:val="clear" w:color="auto" w:fill="auto"/>
            <w:vAlign w:val="center"/>
          </w:tcPr>
          <w:p w14:paraId="2290B075">
            <w:pPr>
              <w:pStyle w:val="33"/>
              <w:rPr>
                <w:color w:val="000000" w:themeColor="text1"/>
                <w14:textFill>
                  <w14:solidFill>
                    <w14:schemeClr w14:val="tx1"/>
                  </w14:solidFill>
                </w14:textFill>
              </w:rPr>
            </w:pPr>
            <w:r>
              <w:rPr>
                <w:color w:val="000000" w:themeColor="text1"/>
                <w14:textFill>
                  <w14:solidFill>
                    <w14:schemeClr w14:val="tx1"/>
                  </w14:solidFill>
                </w14:textFill>
              </w:rPr>
              <w:t>90105</w:t>
            </w:r>
          </w:p>
        </w:tc>
        <w:tc>
          <w:tcPr>
            <w:tcW w:w="1567" w:type="pct"/>
            <w:shd w:val="clear" w:color="auto" w:fill="auto"/>
            <w:vAlign w:val="center"/>
          </w:tcPr>
          <w:p w14:paraId="658A155B">
            <w:pPr>
              <w:pStyle w:val="33"/>
              <w:rPr>
                <w:color w:val="000000" w:themeColor="text1"/>
                <w14:textFill>
                  <w14:solidFill>
                    <w14:schemeClr w14:val="tx1"/>
                  </w14:solidFill>
                </w14:textFill>
              </w:rPr>
            </w:pPr>
            <w:r>
              <w:rPr>
                <w:color w:val="000000" w:themeColor="text1"/>
                <w14:textFill>
                  <w14:solidFill>
                    <w14:schemeClr w14:val="tx1"/>
                  </w14:solidFill>
                </w14:textFill>
              </w:rPr>
              <w:t>公用设施营业网点用地</w:t>
            </w:r>
          </w:p>
        </w:tc>
        <w:tc>
          <w:tcPr>
            <w:tcW w:w="738" w:type="pct"/>
            <w:shd w:val="clear" w:color="auto" w:fill="auto"/>
            <w:vAlign w:val="center"/>
          </w:tcPr>
          <w:p w14:paraId="2F670A6D">
            <w:pPr>
              <w:pStyle w:val="33"/>
              <w:rPr>
                <w:color w:val="000000" w:themeColor="text1"/>
                <w14:textFill>
                  <w14:solidFill>
                    <w14:schemeClr w14:val="tx1"/>
                  </w14:solidFill>
                </w14:textFill>
              </w:rPr>
            </w:pPr>
            <w:r>
              <w:rPr>
                <w:color w:val="000000" w:themeColor="text1"/>
                <w14:textFill>
                  <w14:solidFill>
                    <w14:schemeClr w14:val="tx1"/>
                  </w14:solidFill>
                </w14:textFill>
              </w:rPr>
              <w:t>4.37</w:t>
            </w:r>
          </w:p>
        </w:tc>
        <w:tc>
          <w:tcPr>
            <w:tcW w:w="738" w:type="pct"/>
            <w:vAlign w:val="center"/>
          </w:tcPr>
          <w:p w14:paraId="4F21B8A2">
            <w:pPr>
              <w:pStyle w:val="33"/>
              <w:rPr>
                <w:color w:val="000000" w:themeColor="text1"/>
                <w14:textFill>
                  <w14:solidFill>
                    <w14:schemeClr w14:val="tx1"/>
                  </w14:solidFill>
                </w14:textFill>
              </w:rPr>
            </w:pPr>
            <w:r>
              <w:rPr>
                <w:color w:val="000000" w:themeColor="text1"/>
                <w14:textFill>
                  <w14:solidFill>
                    <w14:schemeClr w14:val="tx1"/>
                  </w14:solidFill>
                </w14:textFill>
              </w:rPr>
              <w:t>0.40</w:t>
            </w:r>
          </w:p>
        </w:tc>
      </w:tr>
      <w:tr w14:paraId="0CB16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shd w:val="clear" w:color="auto" w:fill="auto"/>
            <w:vAlign w:val="center"/>
          </w:tcPr>
          <w:p w14:paraId="54CE8C9B">
            <w:pPr>
              <w:pStyle w:val="33"/>
              <w:rPr>
                <w:color w:val="000000" w:themeColor="text1"/>
                <w14:textFill>
                  <w14:solidFill>
                    <w14:schemeClr w14:val="tx1"/>
                  </w14:solidFill>
                </w14:textFill>
              </w:rPr>
            </w:pPr>
            <w:r>
              <w:rPr>
                <w:color w:val="000000" w:themeColor="text1"/>
                <w14:textFill>
                  <w14:solidFill>
                    <w14:schemeClr w14:val="tx1"/>
                  </w14:solidFill>
                </w14:textFill>
              </w:rPr>
              <w:t>10</w:t>
            </w:r>
          </w:p>
        </w:tc>
        <w:tc>
          <w:tcPr>
            <w:tcW w:w="651" w:type="pct"/>
            <w:shd w:val="clear" w:color="auto" w:fill="auto"/>
            <w:vAlign w:val="center"/>
          </w:tcPr>
          <w:p w14:paraId="1B2D7886">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651" w:type="pct"/>
            <w:shd w:val="clear" w:color="auto" w:fill="auto"/>
            <w:vAlign w:val="center"/>
          </w:tcPr>
          <w:p w14:paraId="0B3149F3">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pct"/>
            <w:shd w:val="clear" w:color="auto" w:fill="auto"/>
            <w:vAlign w:val="center"/>
          </w:tcPr>
          <w:p w14:paraId="2B3481D6">
            <w:pPr>
              <w:pStyle w:val="33"/>
              <w:rPr>
                <w:color w:val="000000" w:themeColor="text1"/>
                <w14:textFill>
                  <w14:solidFill>
                    <w14:schemeClr w14:val="tx1"/>
                  </w14:solidFill>
                </w14:textFill>
              </w:rPr>
            </w:pPr>
            <w:r>
              <w:rPr>
                <w:color w:val="000000" w:themeColor="text1"/>
                <w14:textFill>
                  <w14:solidFill>
                    <w14:schemeClr w14:val="tx1"/>
                  </w14:solidFill>
                </w14:textFill>
              </w:rPr>
              <w:t>工矿用地</w:t>
            </w:r>
          </w:p>
        </w:tc>
        <w:tc>
          <w:tcPr>
            <w:tcW w:w="738" w:type="pct"/>
            <w:shd w:val="clear" w:color="auto" w:fill="auto"/>
            <w:vAlign w:val="center"/>
          </w:tcPr>
          <w:p w14:paraId="189C26EB">
            <w:pPr>
              <w:pStyle w:val="33"/>
              <w:rPr>
                <w:color w:val="000000" w:themeColor="text1"/>
                <w14:textFill>
                  <w14:solidFill>
                    <w14:schemeClr w14:val="tx1"/>
                  </w14:solidFill>
                </w14:textFill>
              </w:rPr>
            </w:pPr>
            <w:r>
              <w:rPr>
                <w:color w:val="000000" w:themeColor="text1"/>
                <w14:textFill>
                  <w14:solidFill>
                    <w14:schemeClr w14:val="tx1"/>
                  </w14:solidFill>
                </w14:textFill>
              </w:rPr>
              <w:t>1004.28</w:t>
            </w:r>
          </w:p>
        </w:tc>
        <w:tc>
          <w:tcPr>
            <w:tcW w:w="738" w:type="pct"/>
            <w:vAlign w:val="center"/>
          </w:tcPr>
          <w:p w14:paraId="6E59DA66">
            <w:pPr>
              <w:pStyle w:val="33"/>
              <w:rPr>
                <w:color w:val="000000" w:themeColor="text1"/>
                <w14:textFill>
                  <w14:solidFill>
                    <w14:schemeClr w14:val="tx1"/>
                  </w14:solidFill>
                </w14:textFill>
              </w:rPr>
            </w:pPr>
            <w:r>
              <w:rPr>
                <w:color w:val="000000" w:themeColor="text1"/>
                <w14:textFill>
                  <w14:solidFill>
                    <w14:schemeClr w14:val="tx1"/>
                  </w14:solidFill>
                </w14:textFill>
              </w:rPr>
              <w:t>90.11</w:t>
            </w:r>
          </w:p>
        </w:tc>
      </w:tr>
      <w:tr w14:paraId="3B8BD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shd w:val="clear" w:color="auto" w:fill="auto"/>
            <w:vAlign w:val="center"/>
          </w:tcPr>
          <w:p w14:paraId="502B02DC">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651" w:type="pct"/>
            <w:shd w:val="clear" w:color="auto" w:fill="auto"/>
            <w:vAlign w:val="center"/>
          </w:tcPr>
          <w:p w14:paraId="605380AB">
            <w:pPr>
              <w:pStyle w:val="33"/>
              <w:rPr>
                <w:color w:val="000000" w:themeColor="text1"/>
                <w14:textFill>
                  <w14:solidFill>
                    <w14:schemeClr w14:val="tx1"/>
                  </w14:solidFill>
                </w14:textFill>
              </w:rPr>
            </w:pPr>
            <w:r>
              <w:rPr>
                <w:color w:val="000000" w:themeColor="text1"/>
                <w14:textFill>
                  <w14:solidFill>
                    <w14:schemeClr w14:val="tx1"/>
                  </w14:solidFill>
                </w14:textFill>
              </w:rPr>
              <w:t>1001</w:t>
            </w:r>
          </w:p>
        </w:tc>
        <w:tc>
          <w:tcPr>
            <w:tcW w:w="651" w:type="pct"/>
            <w:shd w:val="clear" w:color="auto" w:fill="auto"/>
            <w:vAlign w:val="center"/>
          </w:tcPr>
          <w:p w14:paraId="789D21F0">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pct"/>
            <w:shd w:val="clear" w:color="auto" w:fill="auto"/>
            <w:vAlign w:val="center"/>
          </w:tcPr>
          <w:p w14:paraId="285EC6C2">
            <w:pPr>
              <w:pStyle w:val="33"/>
              <w:rPr>
                <w:color w:val="000000" w:themeColor="text1"/>
                <w14:textFill>
                  <w14:solidFill>
                    <w14:schemeClr w14:val="tx1"/>
                  </w14:solidFill>
                </w14:textFill>
              </w:rPr>
            </w:pPr>
            <w:r>
              <w:rPr>
                <w:color w:val="000000" w:themeColor="text1"/>
                <w14:textFill>
                  <w14:solidFill>
                    <w14:schemeClr w14:val="tx1"/>
                  </w14:solidFill>
                </w14:textFill>
              </w:rPr>
              <w:t>工业用地</w:t>
            </w:r>
          </w:p>
        </w:tc>
        <w:tc>
          <w:tcPr>
            <w:tcW w:w="738" w:type="pct"/>
            <w:shd w:val="clear" w:color="auto" w:fill="auto"/>
            <w:vAlign w:val="center"/>
          </w:tcPr>
          <w:p w14:paraId="66840058">
            <w:pPr>
              <w:pStyle w:val="33"/>
              <w:rPr>
                <w:color w:val="000000" w:themeColor="text1"/>
                <w14:textFill>
                  <w14:solidFill>
                    <w14:schemeClr w14:val="tx1"/>
                  </w14:solidFill>
                </w14:textFill>
              </w:rPr>
            </w:pPr>
            <w:r>
              <w:rPr>
                <w:color w:val="000000" w:themeColor="text1"/>
                <w14:textFill>
                  <w14:solidFill>
                    <w14:schemeClr w14:val="tx1"/>
                  </w14:solidFill>
                </w14:textFill>
              </w:rPr>
              <w:t>1004.28</w:t>
            </w:r>
          </w:p>
        </w:tc>
        <w:tc>
          <w:tcPr>
            <w:tcW w:w="738" w:type="pct"/>
            <w:vAlign w:val="center"/>
          </w:tcPr>
          <w:p w14:paraId="43710B3D">
            <w:pPr>
              <w:pStyle w:val="33"/>
              <w:rPr>
                <w:color w:val="000000" w:themeColor="text1"/>
                <w14:textFill>
                  <w14:solidFill>
                    <w14:schemeClr w14:val="tx1"/>
                  </w14:solidFill>
                </w14:textFill>
              </w:rPr>
            </w:pPr>
            <w:r>
              <w:rPr>
                <w:color w:val="000000" w:themeColor="text1"/>
                <w14:textFill>
                  <w14:solidFill>
                    <w14:schemeClr w14:val="tx1"/>
                  </w14:solidFill>
                </w14:textFill>
              </w:rPr>
              <w:t>90.11</w:t>
            </w:r>
          </w:p>
        </w:tc>
      </w:tr>
      <w:tr w14:paraId="7D30B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shd w:val="clear" w:color="auto" w:fill="auto"/>
            <w:vAlign w:val="center"/>
          </w:tcPr>
          <w:p w14:paraId="4225ED6B">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651" w:type="pct"/>
            <w:shd w:val="clear" w:color="auto" w:fill="auto"/>
            <w:vAlign w:val="center"/>
          </w:tcPr>
          <w:p w14:paraId="13997EF6">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651" w:type="pct"/>
            <w:shd w:val="clear" w:color="auto" w:fill="auto"/>
            <w:vAlign w:val="center"/>
          </w:tcPr>
          <w:p w14:paraId="1F587C0B">
            <w:pPr>
              <w:pStyle w:val="33"/>
              <w:rPr>
                <w:color w:val="000000" w:themeColor="text1"/>
                <w14:textFill>
                  <w14:solidFill>
                    <w14:schemeClr w14:val="tx1"/>
                  </w14:solidFill>
                </w14:textFill>
              </w:rPr>
            </w:pPr>
            <w:r>
              <w:rPr>
                <w:color w:val="000000" w:themeColor="text1"/>
                <w14:textFill>
                  <w14:solidFill>
                    <w14:schemeClr w14:val="tx1"/>
                  </w14:solidFill>
                </w14:textFill>
              </w:rPr>
              <w:t>100103</w:t>
            </w:r>
          </w:p>
        </w:tc>
        <w:tc>
          <w:tcPr>
            <w:tcW w:w="1567" w:type="pct"/>
            <w:shd w:val="clear" w:color="auto" w:fill="auto"/>
            <w:vAlign w:val="center"/>
          </w:tcPr>
          <w:p w14:paraId="0F48D7A1">
            <w:pPr>
              <w:pStyle w:val="33"/>
              <w:rPr>
                <w:color w:val="000000" w:themeColor="text1"/>
                <w14:textFill>
                  <w14:solidFill>
                    <w14:schemeClr w14:val="tx1"/>
                  </w14:solidFill>
                </w14:textFill>
              </w:rPr>
            </w:pPr>
            <w:r>
              <w:rPr>
                <w:color w:val="000000" w:themeColor="text1"/>
                <w14:textFill>
                  <w14:solidFill>
                    <w14:schemeClr w14:val="tx1"/>
                  </w14:solidFill>
                </w14:textFill>
              </w:rPr>
              <w:t>三类工业用地</w:t>
            </w:r>
          </w:p>
        </w:tc>
        <w:tc>
          <w:tcPr>
            <w:tcW w:w="738" w:type="pct"/>
            <w:shd w:val="clear" w:color="auto" w:fill="auto"/>
            <w:vAlign w:val="center"/>
          </w:tcPr>
          <w:p w14:paraId="43DC1608">
            <w:pPr>
              <w:pStyle w:val="33"/>
              <w:rPr>
                <w:color w:val="000000" w:themeColor="text1"/>
                <w14:textFill>
                  <w14:solidFill>
                    <w14:schemeClr w14:val="tx1"/>
                  </w14:solidFill>
                </w14:textFill>
              </w:rPr>
            </w:pPr>
            <w:r>
              <w:rPr>
                <w:color w:val="000000" w:themeColor="text1"/>
                <w14:textFill>
                  <w14:solidFill>
                    <w14:schemeClr w14:val="tx1"/>
                  </w14:solidFill>
                </w14:textFill>
              </w:rPr>
              <w:t>1004.28</w:t>
            </w:r>
          </w:p>
        </w:tc>
        <w:tc>
          <w:tcPr>
            <w:tcW w:w="738" w:type="pct"/>
            <w:vAlign w:val="center"/>
          </w:tcPr>
          <w:p w14:paraId="39BFE635">
            <w:pPr>
              <w:pStyle w:val="33"/>
              <w:rPr>
                <w:color w:val="000000" w:themeColor="text1"/>
                <w14:textFill>
                  <w14:solidFill>
                    <w14:schemeClr w14:val="tx1"/>
                  </w14:solidFill>
                </w14:textFill>
              </w:rPr>
            </w:pPr>
            <w:r>
              <w:rPr>
                <w:color w:val="000000" w:themeColor="text1"/>
                <w14:textFill>
                  <w14:solidFill>
                    <w14:schemeClr w14:val="tx1"/>
                  </w14:solidFill>
                </w14:textFill>
              </w:rPr>
              <w:t>90.11</w:t>
            </w:r>
          </w:p>
        </w:tc>
      </w:tr>
      <w:tr w14:paraId="5916C2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shd w:val="clear" w:color="auto" w:fill="auto"/>
            <w:vAlign w:val="center"/>
          </w:tcPr>
          <w:p w14:paraId="7DE16E75">
            <w:pPr>
              <w:pStyle w:val="33"/>
              <w:rPr>
                <w:color w:val="000000" w:themeColor="text1"/>
                <w14:textFill>
                  <w14:solidFill>
                    <w14:schemeClr w14:val="tx1"/>
                  </w14:solidFill>
                </w14:textFill>
              </w:rPr>
            </w:pPr>
            <w:r>
              <w:rPr>
                <w:color w:val="000000" w:themeColor="text1"/>
                <w14:textFill>
                  <w14:solidFill>
                    <w14:schemeClr w14:val="tx1"/>
                  </w14:solidFill>
                </w14:textFill>
              </w:rPr>
              <w:t>12</w:t>
            </w:r>
          </w:p>
        </w:tc>
        <w:tc>
          <w:tcPr>
            <w:tcW w:w="651" w:type="pct"/>
            <w:shd w:val="clear" w:color="auto" w:fill="auto"/>
            <w:vAlign w:val="center"/>
          </w:tcPr>
          <w:p w14:paraId="56C12C1E">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651" w:type="pct"/>
            <w:shd w:val="clear" w:color="auto" w:fill="auto"/>
            <w:vAlign w:val="center"/>
          </w:tcPr>
          <w:p w14:paraId="498E218B">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pct"/>
            <w:shd w:val="clear" w:color="auto" w:fill="auto"/>
            <w:vAlign w:val="center"/>
          </w:tcPr>
          <w:p w14:paraId="6CAB3DCB">
            <w:pPr>
              <w:pStyle w:val="33"/>
              <w:rPr>
                <w:color w:val="000000" w:themeColor="text1"/>
                <w14:textFill>
                  <w14:solidFill>
                    <w14:schemeClr w14:val="tx1"/>
                  </w14:solidFill>
                </w14:textFill>
              </w:rPr>
            </w:pPr>
            <w:r>
              <w:rPr>
                <w:color w:val="000000" w:themeColor="text1"/>
                <w14:textFill>
                  <w14:solidFill>
                    <w14:schemeClr w14:val="tx1"/>
                  </w14:solidFill>
                </w14:textFill>
              </w:rPr>
              <w:t>交通运输用地</w:t>
            </w:r>
          </w:p>
        </w:tc>
        <w:tc>
          <w:tcPr>
            <w:tcW w:w="738" w:type="pct"/>
            <w:shd w:val="clear" w:color="auto" w:fill="auto"/>
            <w:vAlign w:val="center"/>
          </w:tcPr>
          <w:p w14:paraId="48AD89C4">
            <w:pPr>
              <w:pStyle w:val="33"/>
              <w:rPr>
                <w:color w:val="000000" w:themeColor="text1"/>
                <w14:textFill>
                  <w14:solidFill>
                    <w14:schemeClr w14:val="tx1"/>
                  </w14:solidFill>
                </w14:textFill>
              </w:rPr>
            </w:pPr>
            <w:r>
              <w:rPr>
                <w:color w:val="000000" w:themeColor="text1"/>
                <w14:textFill>
                  <w14:solidFill>
                    <w14:schemeClr w14:val="tx1"/>
                  </w14:solidFill>
                </w14:textFill>
              </w:rPr>
              <w:t>90.70</w:t>
            </w:r>
          </w:p>
        </w:tc>
        <w:tc>
          <w:tcPr>
            <w:tcW w:w="738" w:type="pct"/>
            <w:vAlign w:val="center"/>
          </w:tcPr>
          <w:p w14:paraId="7056D381">
            <w:pPr>
              <w:pStyle w:val="33"/>
              <w:rPr>
                <w:color w:val="000000" w:themeColor="text1"/>
                <w14:textFill>
                  <w14:solidFill>
                    <w14:schemeClr w14:val="tx1"/>
                  </w14:solidFill>
                </w14:textFill>
              </w:rPr>
            </w:pPr>
            <w:r>
              <w:rPr>
                <w:color w:val="000000" w:themeColor="text1"/>
                <w14:textFill>
                  <w14:solidFill>
                    <w14:schemeClr w14:val="tx1"/>
                  </w14:solidFill>
                </w14:textFill>
              </w:rPr>
              <w:t>8.15</w:t>
            </w:r>
          </w:p>
        </w:tc>
      </w:tr>
      <w:tr w14:paraId="737B9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shd w:val="clear" w:color="auto" w:fill="auto"/>
            <w:vAlign w:val="center"/>
          </w:tcPr>
          <w:p w14:paraId="02B04E92">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651" w:type="pct"/>
            <w:shd w:val="clear" w:color="auto" w:fill="auto"/>
            <w:vAlign w:val="center"/>
          </w:tcPr>
          <w:p w14:paraId="4286341B">
            <w:pPr>
              <w:pStyle w:val="33"/>
              <w:rPr>
                <w:color w:val="000000" w:themeColor="text1"/>
                <w14:textFill>
                  <w14:solidFill>
                    <w14:schemeClr w14:val="tx1"/>
                  </w14:solidFill>
                </w14:textFill>
              </w:rPr>
            </w:pPr>
            <w:r>
              <w:rPr>
                <w:color w:val="000000" w:themeColor="text1"/>
                <w14:textFill>
                  <w14:solidFill>
                    <w14:schemeClr w14:val="tx1"/>
                  </w14:solidFill>
                </w14:textFill>
              </w:rPr>
              <w:t>1207</w:t>
            </w:r>
          </w:p>
        </w:tc>
        <w:tc>
          <w:tcPr>
            <w:tcW w:w="651" w:type="pct"/>
            <w:shd w:val="clear" w:color="auto" w:fill="auto"/>
            <w:vAlign w:val="center"/>
          </w:tcPr>
          <w:p w14:paraId="54C60A86">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pct"/>
            <w:shd w:val="clear" w:color="auto" w:fill="auto"/>
            <w:vAlign w:val="center"/>
          </w:tcPr>
          <w:p w14:paraId="402483E5">
            <w:pPr>
              <w:pStyle w:val="33"/>
              <w:rPr>
                <w:color w:val="000000" w:themeColor="text1"/>
                <w14:textFill>
                  <w14:solidFill>
                    <w14:schemeClr w14:val="tx1"/>
                  </w14:solidFill>
                </w14:textFill>
              </w:rPr>
            </w:pPr>
            <w:r>
              <w:rPr>
                <w:color w:val="000000" w:themeColor="text1"/>
                <w14:textFill>
                  <w14:solidFill>
                    <w14:schemeClr w14:val="tx1"/>
                  </w14:solidFill>
                </w14:textFill>
              </w:rPr>
              <w:t>城镇道路用地</w:t>
            </w:r>
          </w:p>
        </w:tc>
        <w:tc>
          <w:tcPr>
            <w:tcW w:w="738" w:type="pct"/>
            <w:shd w:val="clear" w:color="auto" w:fill="auto"/>
            <w:vAlign w:val="center"/>
          </w:tcPr>
          <w:p w14:paraId="58F79A82">
            <w:pPr>
              <w:pStyle w:val="33"/>
              <w:rPr>
                <w:color w:val="000000" w:themeColor="text1"/>
                <w14:textFill>
                  <w14:solidFill>
                    <w14:schemeClr w14:val="tx1"/>
                  </w14:solidFill>
                </w14:textFill>
              </w:rPr>
            </w:pPr>
            <w:r>
              <w:rPr>
                <w:color w:val="000000" w:themeColor="text1"/>
                <w14:textFill>
                  <w14:solidFill>
                    <w14:schemeClr w14:val="tx1"/>
                  </w14:solidFill>
                </w14:textFill>
              </w:rPr>
              <w:t>78.62</w:t>
            </w:r>
          </w:p>
        </w:tc>
        <w:tc>
          <w:tcPr>
            <w:tcW w:w="738" w:type="pct"/>
            <w:vAlign w:val="center"/>
          </w:tcPr>
          <w:p w14:paraId="64208DC3">
            <w:pPr>
              <w:pStyle w:val="33"/>
              <w:rPr>
                <w:color w:val="000000" w:themeColor="text1"/>
                <w14:textFill>
                  <w14:solidFill>
                    <w14:schemeClr w14:val="tx1"/>
                  </w14:solidFill>
                </w14:textFill>
              </w:rPr>
            </w:pPr>
            <w:r>
              <w:rPr>
                <w:color w:val="000000" w:themeColor="text1"/>
                <w14:textFill>
                  <w14:solidFill>
                    <w14:schemeClr w14:val="tx1"/>
                  </w14:solidFill>
                </w14:textFill>
              </w:rPr>
              <w:t>7.10</w:t>
            </w:r>
          </w:p>
        </w:tc>
      </w:tr>
      <w:tr w14:paraId="5FFBF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shd w:val="clear" w:color="auto" w:fill="auto"/>
            <w:vAlign w:val="center"/>
          </w:tcPr>
          <w:p w14:paraId="4512DB24">
            <w:pPr>
              <w:pStyle w:val="33"/>
              <w:rPr>
                <w:color w:val="000000" w:themeColor="text1"/>
                <w14:textFill>
                  <w14:solidFill>
                    <w14:schemeClr w14:val="tx1"/>
                  </w14:solidFill>
                </w14:textFill>
              </w:rPr>
            </w:pPr>
          </w:p>
        </w:tc>
        <w:tc>
          <w:tcPr>
            <w:tcW w:w="651" w:type="pct"/>
            <w:shd w:val="clear" w:color="auto" w:fill="auto"/>
            <w:vAlign w:val="center"/>
          </w:tcPr>
          <w:p w14:paraId="72A3069A">
            <w:pPr>
              <w:pStyle w:val="33"/>
              <w:rPr>
                <w:color w:val="000000" w:themeColor="text1"/>
                <w14:textFill>
                  <w14:solidFill>
                    <w14:schemeClr w14:val="tx1"/>
                  </w14:solidFill>
                </w14:textFill>
              </w:rPr>
            </w:pPr>
            <w:r>
              <w:rPr>
                <w:color w:val="000000" w:themeColor="text1"/>
                <w14:textFill>
                  <w14:solidFill>
                    <w14:schemeClr w14:val="tx1"/>
                  </w14:solidFill>
                </w14:textFill>
              </w:rPr>
              <w:t>1208</w:t>
            </w:r>
          </w:p>
        </w:tc>
        <w:tc>
          <w:tcPr>
            <w:tcW w:w="651" w:type="pct"/>
            <w:shd w:val="clear" w:color="auto" w:fill="auto"/>
            <w:vAlign w:val="center"/>
          </w:tcPr>
          <w:p w14:paraId="0A4D33FD">
            <w:pPr>
              <w:pStyle w:val="33"/>
              <w:rPr>
                <w:color w:val="000000" w:themeColor="text1"/>
                <w14:textFill>
                  <w14:solidFill>
                    <w14:schemeClr w14:val="tx1"/>
                  </w14:solidFill>
                </w14:textFill>
              </w:rPr>
            </w:pPr>
          </w:p>
        </w:tc>
        <w:tc>
          <w:tcPr>
            <w:tcW w:w="1567" w:type="pct"/>
            <w:shd w:val="clear" w:color="auto" w:fill="auto"/>
            <w:vAlign w:val="center"/>
          </w:tcPr>
          <w:p w14:paraId="61C35D95">
            <w:pPr>
              <w:pStyle w:val="33"/>
              <w:rPr>
                <w:color w:val="000000" w:themeColor="text1"/>
                <w14:textFill>
                  <w14:solidFill>
                    <w14:schemeClr w14:val="tx1"/>
                  </w14:solidFill>
                </w14:textFill>
              </w:rPr>
            </w:pPr>
            <w:r>
              <w:rPr>
                <w:color w:val="000000" w:themeColor="text1"/>
                <w14:textFill>
                  <w14:solidFill>
                    <w14:schemeClr w14:val="tx1"/>
                  </w14:solidFill>
                </w14:textFill>
              </w:rPr>
              <w:t>交通场站用地</w:t>
            </w:r>
          </w:p>
        </w:tc>
        <w:tc>
          <w:tcPr>
            <w:tcW w:w="738" w:type="pct"/>
            <w:shd w:val="clear" w:color="auto" w:fill="auto"/>
            <w:vAlign w:val="center"/>
          </w:tcPr>
          <w:p w14:paraId="255C5A98">
            <w:pPr>
              <w:pStyle w:val="33"/>
              <w:rPr>
                <w:color w:val="000000" w:themeColor="text1"/>
                <w14:textFill>
                  <w14:solidFill>
                    <w14:schemeClr w14:val="tx1"/>
                  </w14:solidFill>
                </w14:textFill>
              </w:rPr>
            </w:pPr>
            <w:r>
              <w:rPr>
                <w:color w:val="000000" w:themeColor="text1"/>
                <w14:textFill>
                  <w14:solidFill>
                    <w14:schemeClr w14:val="tx1"/>
                  </w14:solidFill>
                </w14:textFill>
              </w:rPr>
              <w:t>12.08</w:t>
            </w:r>
          </w:p>
        </w:tc>
        <w:tc>
          <w:tcPr>
            <w:tcW w:w="738" w:type="pct"/>
            <w:vAlign w:val="center"/>
          </w:tcPr>
          <w:p w14:paraId="244DC900">
            <w:pPr>
              <w:pStyle w:val="33"/>
              <w:rPr>
                <w:color w:val="000000" w:themeColor="text1"/>
                <w14:textFill>
                  <w14:solidFill>
                    <w14:schemeClr w14:val="tx1"/>
                  </w14:solidFill>
                </w14:textFill>
              </w:rPr>
            </w:pPr>
            <w:r>
              <w:rPr>
                <w:color w:val="000000" w:themeColor="text1"/>
                <w14:textFill>
                  <w14:solidFill>
                    <w14:schemeClr w14:val="tx1"/>
                  </w14:solidFill>
                </w14:textFill>
              </w:rPr>
              <w:t>1.05</w:t>
            </w:r>
          </w:p>
        </w:tc>
      </w:tr>
      <w:tr w14:paraId="35E11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shd w:val="clear" w:color="auto" w:fill="auto"/>
            <w:vAlign w:val="center"/>
          </w:tcPr>
          <w:p w14:paraId="0980DCD7">
            <w:pPr>
              <w:pStyle w:val="33"/>
              <w:rPr>
                <w:color w:val="000000" w:themeColor="text1"/>
                <w14:textFill>
                  <w14:solidFill>
                    <w14:schemeClr w14:val="tx1"/>
                  </w14:solidFill>
                </w14:textFill>
              </w:rPr>
            </w:pPr>
          </w:p>
        </w:tc>
        <w:tc>
          <w:tcPr>
            <w:tcW w:w="651" w:type="pct"/>
            <w:shd w:val="clear" w:color="auto" w:fill="auto"/>
            <w:vAlign w:val="center"/>
          </w:tcPr>
          <w:p w14:paraId="0505A37B">
            <w:pPr>
              <w:pStyle w:val="33"/>
              <w:rPr>
                <w:color w:val="000000" w:themeColor="text1"/>
                <w14:textFill>
                  <w14:solidFill>
                    <w14:schemeClr w14:val="tx1"/>
                  </w14:solidFill>
                </w14:textFill>
              </w:rPr>
            </w:pPr>
          </w:p>
        </w:tc>
        <w:tc>
          <w:tcPr>
            <w:tcW w:w="651" w:type="pct"/>
            <w:shd w:val="clear" w:color="auto" w:fill="auto"/>
            <w:vAlign w:val="center"/>
          </w:tcPr>
          <w:p w14:paraId="01D71665">
            <w:pPr>
              <w:pStyle w:val="33"/>
              <w:rPr>
                <w:color w:val="000000" w:themeColor="text1"/>
                <w14:textFill>
                  <w14:solidFill>
                    <w14:schemeClr w14:val="tx1"/>
                  </w14:solidFill>
                </w14:textFill>
              </w:rPr>
            </w:pPr>
            <w:r>
              <w:rPr>
                <w:color w:val="000000" w:themeColor="text1"/>
                <w14:textFill>
                  <w14:solidFill>
                    <w14:schemeClr w14:val="tx1"/>
                  </w14:solidFill>
                </w14:textFill>
              </w:rPr>
              <w:t>12083</w:t>
            </w:r>
          </w:p>
        </w:tc>
        <w:tc>
          <w:tcPr>
            <w:tcW w:w="1567" w:type="pct"/>
            <w:shd w:val="clear" w:color="auto" w:fill="auto"/>
            <w:vAlign w:val="center"/>
          </w:tcPr>
          <w:p w14:paraId="3C74883B">
            <w:pPr>
              <w:pStyle w:val="33"/>
              <w:rPr>
                <w:color w:val="000000" w:themeColor="text1"/>
                <w14:textFill>
                  <w14:solidFill>
                    <w14:schemeClr w14:val="tx1"/>
                  </w14:solidFill>
                </w14:textFill>
              </w:rPr>
            </w:pPr>
            <w:r>
              <w:rPr>
                <w:color w:val="000000" w:themeColor="text1"/>
                <w14:textFill>
                  <w14:solidFill>
                    <w14:schemeClr w14:val="tx1"/>
                  </w14:solidFill>
                </w14:textFill>
              </w:rPr>
              <w:t>社会停车场用地</w:t>
            </w:r>
          </w:p>
        </w:tc>
        <w:tc>
          <w:tcPr>
            <w:tcW w:w="738" w:type="pct"/>
            <w:shd w:val="clear" w:color="auto" w:fill="auto"/>
            <w:vAlign w:val="center"/>
          </w:tcPr>
          <w:p w14:paraId="29601D21">
            <w:pPr>
              <w:pStyle w:val="33"/>
              <w:rPr>
                <w:color w:val="000000" w:themeColor="text1"/>
                <w14:textFill>
                  <w14:solidFill>
                    <w14:schemeClr w14:val="tx1"/>
                  </w14:solidFill>
                </w14:textFill>
              </w:rPr>
            </w:pPr>
            <w:r>
              <w:rPr>
                <w:color w:val="000000" w:themeColor="text1"/>
                <w14:textFill>
                  <w14:solidFill>
                    <w14:schemeClr w14:val="tx1"/>
                  </w14:solidFill>
                </w14:textFill>
              </w:rPr>
              <w:t>12.08</w:t>
            </w:r>
          </w:p>
        </w:tc>
        <w:tc>
          <w:tcPr>
            <w:tcW w:w="738" w:type="pct"/>
            <w:vAlign w:val="center"/>
          </w:tcPr>
          <w:p w14:paraId="255F1D8A">
            <w:pPr>
              <w:pStyle w:val="33"/>
              <w:rPr>
                <w:color w:val="000000" w:themeColor="text1"/>
                <w14:textFill>
                  <w14:solidFill>
                    <w14:schemeClr w14:val="tx1"/>
                  </w14:solidFill>
                </w14:textFill>
              </w:rPr>
            </w:pPr>
            <w:r>
              <w:rPr>
                <w:color w:val="000000" w:themeColor="text1"/>
                <w14:textFill>
                  <w14:solidFill>
                    <w14:schemeClr w14:val="tx1"/>
                  </w14:solidFill>
                </w14:textFill>
              </w:rPr>
              <w:t>1.05</w:t>
            </w:r>
          </w:p>
        </w:tc>
      </w:tr>
      <w:tr w14:paraId="7EC28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shd w:val="clear" w:color="auto" w:fill="auto"/>
            <w:vAlign w:val="center"/>
          </w:tcPr>
          <w:p w14:paraId="2AC57CBA">
            <w:pPr>
              <w:pStyle w:val="33"/>
              <w:rPr>
                <w:color w:val="000000" w:themeColor="text1"/>
                <w14:textFill>
                  <w14:solidFill>
                    <w14:schemeClr w14:val="tx1"/>
                  </w14:solidFill>
                </w14:textFill>
              </w:rPr>
            </w:pPr>
            <w:r>
              <w:rPr>
                <w:color w:val="000000" w:themeColor="text1"/>
                <w14:textFill>
                  <w14:solidFill>
                    <w14:schemeClr w14:val="tx1"/>
                  </w14:solidFill>
                </w14:textFill>
              </w:rPr>
              <w:t>13</w:t>
            </w:r>
          </w:p>
        </w:tc>
        <w:tc>
          <w:tcPr>
            <w:tcW w:w="651" w:type="pct"/>
            <w:shd w:val="clear" w:color="auto" w:fill="auto"/>
            <w:vAlign w:val="center"/>
          </w:tcPr>
          <w:p w14:paraId="7F147FFB">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651" w:type="pct"/>
            <w:shd w:val="clear" w:color="auto" w:fill="auto"/>
            <w:vAlign w:val="center"/>
          </w:tcPr>
          <w:p w14:paraId="48F07E7C">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pct"/>
            <w:shd w:val="clear" w:color="auto" w:fill="auto"/>
            <w:vAlign w:val="center"/>
          </w:tcPr>
          <w:p w14:paraId="52CB1F86">
            <w:pPr>
              <w:pStyle w:val="33"/>
              <w:rPr>
                <w:color w:val="000000" w:themeColor="text1"/>
                <w14:textFill>
                  <w14:solidFill>
                    <w14:schemeClr w14:val="tx1"/>
                  </w14:solidFill>
                </w14:textFill>
              </w:rPr>
            </w:pPr>
            <w:r>
              <w:rPr>
                <w:color w:val="000000" w:themeColor="text1"/>
                <w14:textFill>
                  <w14:solidFill>
                    <w14:schemeClr w14:val="tx1"/>
                  </w14:solidFill>
                </w14:textFill>
              </w:rPr>
              <w:t>公用设施用地</w:t>
            </w:r>
          </w:p>
        </w:tc>
        <w:tc>
          <w:tcPr>
            <w:tcW w:w="738" w:type="pct"/>
            <w:shd w:val="clear" w:color="auto" w:fill="auto"/>
            <w:vAlign w:val="center"/>
          </w:tcPr>
          <w:p w14:paraId="62EB7872">
            <w:pPr>
              <w:pStyle w:val="33"/>
              <w:rPr>
                <w:color w:val="000000" w:themeColor="text1"/>
                <w14:textFill>
                  <w14:solidFill>
                    <w14:schemeClr w14:val="tx1"/>
                  </w14:solidFill>
                </w14:textFill>
              </w:rPr>
            </w:pPr>
            <w:r>
              <w:rPr>
                <w:color w:val="000000" w:themeColor="text1"/>
                <w14:textFill>
                  <w14:solidFill>
                    <w14:schemeClr w14:val="tx1"/>
                  </w14:solidFill>
                </w14:textFill>
              </w:rPr>
              <w:t>10.66</w:t>
            </w:r>
          </w:p>
        </w:tc>
        <w:tc>
          <w:tcPr>
            <w:tcW w:w="738" w:type="pct"/>
            <w:vAlign w:val="center"/>
          </w:tcPr>
          <w:p w14:paraId="3E338C89">
            <w:pPr>
              <w:pStyle w:val="33"/>
              <w:rPr>
                <w:color w:val="000000" w:themeColor="text1"/>
                <w14:textFill>
                  <w14:solidFill>
                    <w14:schemeClr w14:val="tx1"/>
                  </w14:solidFill>
                </w14:textFill>
              </w:rPr>
            </w:pPr>
            <w:r>
              <w:rPr>
                <w:color w:val="000000" w:themeColor="text1"/>
                <w14:textFill>
                  <w14:solidFill>
                    <w14:schemeClr w14:val="tx1"/>
                  </w14:solidFill>
                </w14:textFill>
              </w:rPr>
              <w:t>1.00</w:t>
            </w:r>
          </w:p>
        </w:tc>
      </w:tr>
      <w:tr w14:paraId="70AB0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shd w:val="clear" w:color="auto" w:fill="auto"/>
            <w:vAlign w:val="center"/>
          </w:tcPr>
          <w:p w14:paraId="7DE02868">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651" w:type="pct"/>
            <w:shd w:val="clear" w:color="auto" w:fill="auto"/>
            <w:vAlign w:val="center"/>
          </w:tcPr>
          <w:p w14:paraId="1B58102D">
            <w:pPr>
              <w:pStyle w:val="33"/>
              <w:rPr>
                <w:color w:val="000000" w:themeColor="text1"/>
                <w14:textFill>
                  <w14:solidFill>
                    <w14:schemeClr w14:val="tx1"/>
                  </w14:solidFill>
                </w14:textFill>
              </w:rPr>
            </w:pPr>
            <w:r>
              <w:rPr>
                <w:color w:val="000000" w:themeColor="text1"/>
                <w14:textFill>
                  <w14:solidFill>
                    <w14:schemeClr w14:val="tx1"/>
                  </w14:solidFill>
                </w14:textFill>
              </w:rPr>
              <w:t>1302</w:t>
            </w:r>
          </w:p>
        </w:tc>
        <w:tc>
          <w:tcPr>
            <w:tcW w:w="651" w:type="pct"/>
            <w:shd w:val="clear" w:color="auto" w:fill="auto"/>
            <w:vAlign w:val="center"/>
          </w:tcPr>
          <w:p w14:paraId="54A24911">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pct"/>
            <w:shd w:val="clear" w:color="auto" w:fill="auto"/>
            <w:vAlign w:val="center"/>
          </w:tcPr>
          <w:p w14:paraId="3EBD45AF">
            <w:pPr>
              <w:pStyle w:val="33"/>
              <w:rPr>
                <w:color w:val="000000" w:themeColor="text1"/>
                <w14:textFill>
                  <w14:solidFill>
                    <w14:schemeClr w14:val="tx1"/>
                  </w14:solidFill>
                </w14:textFill>
              </w:rPr>
            </w:pPr>
            <w:r>
              <w:rPr>
                <w:color w:val="000000" w:themeColor="text1"/>
                <w14:textFill>
                  <w14:solidFill>
                    <w14:schemeClr w14:val="tx1"/>
                  </w14:solidFill>
                </w14:textFill>
              </w:rPr>
              <w:t>排水用地</w:t>
            </w:r>
          </w:p>
        </w:tc>
        <w:tc>
          <w:tcPr>
            <w:tcW w:w="738" w:type="pct"/>
            <w:shd w:val="clear" w:color="auto" w:fill="auto"/>
            <w:vAlign w:val="center"/>
          </w:tcPr>
          <w:p w14:paraId="0CD91EA5">
            <w:pPr>
              <w:pStyle w:val="33"/>
              <w:rPr>
                <w:color w:val="000000" w:themeColor="text1"/>
                <w14:textFill>
                  <w14:solidFill>
                    <w14:schemeClr w14:val="tx1"/>
                  </w14:solidFill>
                </w14:textFill>
              </w:rPr>
            </w:pPr>
            <w:r>
              <w:rPr>
                <w:color w:val="000000" w:themeColor="text1"/>
                <w14:textFill>
                  <w14:solidFill>
                    <w14:schemeClr w14:val="tx1"/>
                  </w14:solidFill>
                </w14:textFill>
              </w:rPr>
              <w:t>2.04</w:t>
            </w:r>
          </w:p>
        </w:tc>
        <w:tc>
          <w:tcPr>
            <w:tcW w:w="738" w:type="pct"/>
            <w:vAlign w:val="center"/>
          </w:tcPr>
          <w:p w14:paraId="2B1E6A35">
            <w:pPr>
              <w:pStyle w:val="33"/>
              <w:rPr>
                <w:color w:val="000000" w:themeColor="text1"/>
                <w14:textFill>
                  <w14:solidFill>
                    <w14:schemeClr w14:val="tx1"/>
                  </w14:solidFill>
                </w14:textFill>
              </w:rPr>
            </w:pPr>
            <w:r>
              <w:rPr>
                <w:color w:val="000000" w:themeColor="text1"/>
                <w14:textFill>
                  <w14:solidFill>
                    <w14:schemeClr w14:val="tx1"/>
                  </w14:solidFill>
                </w14:textFill>
              </w:rPr>
              <w:t>0.19</w:t>
            </w:r>
          </w:p>
        </w:tc>
      </w:tr>
      <w:tr w14:paraId="17658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shd w:val="clear" w:color="auto" w:fill="auto"/>
            <w:vAlign w:val="center"/>
          </w:tcPr>
          <w:p w14:paraId="454455FD">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651" w:type="pct"/>
            <w:shd w:val="clear" w:color="auto" w:fill="auto"/>
            <w:vAlign w:val="center"/>
          </w:tcPr>
          <w:p w14:paraId="680C2C4E">
            <w:pPr>
              <w:pStyle w:val="33"/>
              <w:rPr>
                <w:color w:val="000000" w:themeColor="text1"/>
                <w14:textFill>
                  <w14:solidFill>
                    <w14:schemeClr w14:val="tx1"/>
                  </w14:solidFill>
                </w14:textFill>
              </w:rPr>
            </w:pPr>
            <w:r>
              <w:rPr>
                <w:color w:val="000000" w:themeColor="text1"/>
                <w14:textFill>
                  <w14:solidFill>
                    <w14:schemeClr w14:val="tx1"/>
                  </w14:solidFill>
                </w14:textFill>
              </w:rPr>
              <w:t>1303</w:t>
            </w:r>
          </w:p>
        </w:tc>
        <w:tc>
          <w:tcPr>
            <w:tcW w:w="651" w:type="pct"/>
            <w:shd w:val="clear" w:color="auto" w:fill="auto"/>
            <w:vAlign w:val="center"/>
          </w:tcPr>
          <w:p w14:paraId="351D17AD">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pct"/>
            <w:shd w:val="clear" w:color="auto" w:fill="auto"/>
            <w:vAlign w:val="center"/>
          </w:tcPr>
          <w:p w14:paraId="1E620B69">
            <w:pPr>
              <w:pStyle w:val="33"/>
              <w:rPr>
                <w:color w:val="000000" w:themeColor="text1"/>
                <w14:textFill>
                  <w14:solidFill>
                    <w14:schemeClr w14:val="tx1"/>
                  </w14:solidFill>
                </w14:textFill>
              </w:rPr>
            </w:pPr>
            <w:r>
              <w:rPr>
                <w:color w:val="000000" w:themeColor="text1"/>
                <w14:textFill>
                  <w14:solidFill>
                    <w14:schemeClr w14:val="tx1"/>
                  </w14:solidFill>
                </w14:textFill>
              </w:rPr>
              <w:t>供电用地</w:t>
            </w:r>
          </w:p>
        </w:tc>
        <w:tc>
          <w:tcPr>
            <w:tcW w:w="738" w:type="pct"/>
            <w:shd w:val="clear" w:color="auto" w:fill="auto"/>
            <w:vAlign w:val="center"/>
          </w:tcPr>
          <w:p w14:paraId="239735C6">
            <w:pPr>
              <w:pStyle w:val="33"/>
              <w:rPr>
                <w:color w:val="000000" w:themeColor="text1"/>
                <w14:textFill>
                  <w14:solidFill>
                    <w14:schemeClr w14:val="tx1"/>
                  </w14:solidFill>
                </w14:textFill>
              </w:rPr>
            </w:pPr>
            <w:r>
              <w:rPr>
                <w:color w:val="000000" w:themeColor="text1"/>
                <w14:textFill>
                  <w14:solidFill>
                    <w14:schemeClr w14:val="tx1"/>
                  </w14:solidFill>
                </w14:textFill>
              </w:rPr>
              <w:t>2.87</w:t>
            </w:r>
          </w:p>
        </w:tc>
        <w:tc>
          <w:tcPr>
            <w:tcW w:w="738" w:type="pct"/>
            <w:vAlign w:val="center"/>
          </w:tcPr>
          <w:p w14:paraId="5F39ED32">
            <w:pPr>
              <w:pStyle w:val="33"/>
              <w:rPr>
                <w:color w:val="000000" w:themeColor="text1"/>
                <w14:textFill>
                  <w14:solidFill>
                    <w14:schemeClr w14:val="tx1"/>
                  </w14:solidFill>
                </w14:textFill>
              </w:rPr>
            </w:pPr>
            <w:r>
              <w:rPr>
                <w:color w:val="000000" w:themeColor="text1"/>
                <w14:textFill>
                  <w14:solidFill>
                    <w14:schemeClr w14:val="tx1"/>
                  </w14:solidFill>
                </w14:textFill>
              </w:rPr>
              <w:t>0.27</w:t>
            </w:r>
          </w:p>
        </w:tc>
      </w:tr>
      <w:tr w14:paraId="19D52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shd w:val="clear" w:color="auto" w:fill="auto"/>
            <w:vAlign w:val="center"/>
          </w:tcPr>
          <w:p w14:paraId="3062F4B4">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651" w:type="pct"/>
            <w:shd w:val="clear" w:color="auto" w:fill="auto"/>
            <w:vAlign w:val="center"/>
          </w:tcPr>
          <w:p w14:paraId="3C510145">
            <w:pPr>
              <w:pStyle w:val="33"/>
              <w:rPr>
                <w:color w:val="000000" w:themeColor="text1"/>
                <w14:textFill>
                  <w14:solidFill>
                    <w14:schemeClr w14:val="tx1"/>
                  </w14:solidFill>
                </w14:textFill>
              </w:rPr>
            </w:pPr>
            <w:r>
              <w:rPr>
                <w:color w:val="000000" w:themeColor="text1"/>
                <w14:textFill>
                  <w14:solidFill>
                    <w14:schemeClr w14:val="tx1"/>
                  </w14:solidFill>
                </w14:textFill>
              </w:rPr>
              <w:t>1304</w:t>
            </w:r>
          </w:p>
        </w:tc>
        <w:tc>
          <w:tcPr>
            <w:tcW w:w="651" w:type="pct"/>
            <w:shd w:val="clear" w:color="auto" w:fill="auto"/>
            <w:vAlign w:val="center"/>
          </w:tcPr>
          <w:p w14:paraId="1654707B">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pct"/>
            <w:shd w:val="clear" w:color="auto" w:fill="auto"/>
            <w:vAlign w:val="center"/>
          </w:tcPr>
          <w:p w14:paraId="7F740E96">
            <w:pPr>
              <w:pStyle w:val="33"/>
              <w:rPr>
                <w:color w:val="000000" w:themeColor="text1"/>
                <w14:textFill>
                  <w14:solidFill>
                    <w14:schemeClr w14:val="tx1"/>
                  </w14:solidFill>
                </w14:textFill>
              </w:rPr>
            </w:pPr>
            <w:r>
              <w:rPr>
                <w:color w:val="000000" w:themeColor="text1"/>
                <w14:textFill>
                  <w14:solidFill>
                    <w14:schemeClr w14:val="tx1"/>
                  </w14:solidFill>
                </w14:textFill>
              </w:rPr>
              <w:t>供燃气用地</w:t>
            </w:r>
          </w:p>
        </w:tc>
        <w:tc>
          <w:tcPr>
            <w:tcW w:w="738" w:type="pct"/>
            <w:shd w:val="clear" w:color="auto" w:fill="auto"/>
            <w:vAlign w:val="center"/>
          </w:tcPr>
          <w:p w14:paraId="05FC9245">
            <w:pPr>
              <w:pStyle w:val="33"/>
              <w:rPr>
                <w:color w:val="000000" w:themeColor="text1"/>
                <w14:textFill>
                  <w14:solidFill>
                    <w14:schemeClr w14:val="tx1"/>
                  </w14:solidFill>
                </w14:textFill>
              </w:rPr>
            </w:pPr>
            <w:r>
              <w:rPr>
                <w:color w:val="000000" w:themeColor="text1"/>
                <w14:textFill>
                  <w14:solidFill>
                    <w14:schemeClr w14:val="tx1"/>
                  </w14:solidFill>
                </w14:textFill>
              </w:rPr>
              <w:t>3.06</w:t>
            </w:r>
          </w:p>
        </w:tc>
        <w:tc>
          <w:tcPr>
            <w:tcW w:w="738" w:type="pct"/>
            <w:vAlign w:val="center"/>
          </w:tcPr>
          <w:p w14:paraId="3DE79E9E">
            <w:pPr>
              <w:pStyle w:val="33"/>
              <w:rPr>
                <w:color w:val="000000" w:themeColor="text1"/>
                <w14:textFill>
                  <w14:solidFill>
                    <w14:schemeClr w14:val="tx1"/>
                  </w14:solidFill>
                </w14:textFill>
              </w:rPr>
            </w:pPr>
            <w:r>
              <w:rPr>
                <w:color w:val="000000" w:themeColor="text1"/>
                <w14:textFill>
                  <w14:solidFill>
                    <w14:schemeClr w14:val="tx1"/>
                  </w14:solidFill>
                </w14:textFill>
              </w:rPr>
              <w:t>0.28</w:t>
            </w:r>
          </w:p>
        </w:tc>
      </w:tr>
      <w:tr w14:paraId="32351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shd w:val="clear" w:color="auto" w:fill="auto"/>
            <w:vAlign w:val="center"/>
          </w:tcPr>
          <w:p w14:paraId="7A2C30E1">
            <w:pPr>
              <w:pStyle w:val="33"/>
              <w:rPr>
                <w:color w:val="000000" w:themeColor="text1"/>
                <w14:textFill>
                  <w14:solidFill>
                    <w14:schemeClr w14:val="tx1"/>
                  </w14:solidFill>
                </w14:textFill>
              </w:rPr>
            </w:pPr>
          </w:p>
        </w:tc>
        <w:tc>
          <w:tcPr>
            <w:tcW w:w="651" w:type="pct"/>
            <w:shd w:val="clear" w:color="auto" w:fill="auto"/>
            <w:vAlign w:val="center"/>
          </w:tcPr>
          <w:p w14:paraId="290986A6">
            <w:pPr>
              <w:pStyle w:val="33"/>
              <w:rPr>
                <w:color w:val="000000" w:themeColor="text1"/>
                <w14:textFill>
                  <w14:solidFill>
                    <w14:schemeClr w14:val="tx1"/>
                  </w14:solidFill>
                </w14:textFill>
              </w:rPr>
            </w:pPr>
            <w:r>
              <w:rPr>
                <w:color w:val="000000" w:themeColor="text1"/>
                <w14:textFill>
                  <w14:solidFill>
                    <w14:schemeClr w14:val="tx1"/>
                  </w14:solidFill>
                </w14:textFill>
              </w:rPr>
              <w:t>1309</w:t>
            </w:r>
          </w:p>
        </w:tc>
        <w:tc>
          <w:tcPr>
            <w:tcW w:w="651" w:type="pct"/>
            <w:shd w:val="clear" w:color="auto" w:fill="auto"/>
            <w:vAlign w:val="center"/>
          </w:tcPr>
          <w:p w14:paraId="7E34C8F3">
            <w:pPr>
              <w:pStyle w:val="33"/>
              <w:rPr>
                <w:color w:val="000000" w:themeColor="text1"/>
                <w14:textFill>
                  <w14:solidFill>
                    <w14:schemeClr w14:val="tx1"/>
                  </w14:solidFill>
                </w14:textFill>
              </w:rPr>
            </w:pPr>
          </w:p>
        </w:tc>
        <w:tc>
          <w:tcPr>
            <w:tcW w:w="1567" w:type="pct"/>
            <w:shd w:val="clear" w:color="auto" w:fill="auto"/>
            <w:vAlign w:val="center"/>
          </w:tcPr>
          <w:p w14:paraId="49DB03FB">
            <w:pPr>
              <w:pStyle w:val="33"/>
              <w:rPr>
                <w:color w:val="000000" w:themeColor="text1"/>
                <w14:textFill>
                  <w14:solidFill>
                    <w14:schemeClr w14:val="tx1"/>
                  </w14:solidFill>
                </w14:textFill>
              </w:rPr>
            </w:pPr>
            <w:r>
              <w:rPr>
                <w:color w:val="000000" w:themeColor="text1"/>
                <w14:textFill>
                  <w14:solidFill>
                    <w14:schemeClr w14:val="tx1"/>
                  </w14:solidFill>
                </w14:textFill>
              </w:rPr>
              <w:t>环卫用地</w:t>
            </w:r>
          </w:p>
        </w:tc>
        <w:tc>
          <w:tcPr>
            <w:tcW w:w="738" w:type="pct"/>
            <w:shd w:val="clear" w:color="auto" w:fill="auto"/>
            <w:vAlign w:val="center"/>
          </w:tcPr>
          <w:p w14:paraId="4B9F78CE">
            <w:pPr>
              <w:pStyle w:val="33"/>
              <w:rPr>
                <w:color w:val="000000" w:themeColor="text1"/>
                <w14:textFill>
                  <w14:solidFill>
                    <w14:schemeClr w14:val="tx1"/>
                  </w14:solidFill>
                </w14:textFill>
              </w:rPr>
            </w:pPr>
            <w:r>
              <w:rPr>
                <w:color w:val="000000" w:themeColor="text1"/>
                <w14:textFill>
                  <w14:solidFill>
                    <w14:schemeClr w14:val="tx1"/>
                  </w14:solidFill>
                </w14:textFill>
              </w:rPr>
              <w:t>2.04</w:t>
            </w:r>
          </w:p>
        </w:tc>
        <w:tc>
          <w:tcPr>
            <w:tcW w:w="738" w:type="pct"/>
            <w:vAlign w:val="center"/>
          </w:tcPr>
          <w:p w14:paraId="47C870FC">
            <w:pPr>
              <w:pStyle w:val="33"/>
              <w:rPr>
                <w:color w:val="000000" w:themeColor="text1"/>
                <w14:textFill>
                  <w14:solidFill>
                    <w14:schemeClr w14:val="tx1"/>
                  </w14:solidFill>
                </w14:textFill>
              </w:rPr>
            </w:pPr>
            <w:r>
              <w:rPr>
                <w:color w:val="000000" w:themeColor="text1"/>
                <w14:textFill>
                  <w14:solidFill>
                    <w14:schemeClr w14:val="tx1"/>
                  </w14:solidFill>
                </w14:textFill>
              </w:rPr>
              <w:t>0.19</w:t>
            </w:r>
          </w:p>
        </w:tc>
      </w:tr>
      <w:tr w14:paraId="11661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shd w:val="clear" w:color="auto" w:fill="auto"/>
            <w:vAlign w:val="center"/>
          </w:tcPr>
          <w:p w14:paraId="33DF5A6C">
            <w:pPr>
              <w:pStyle w:val="33"/>
              <w:rPr>
                <w:color w:val="000000" w:themeColor="text1"/>
                <w14:textFill>
                  <w14:solidFill>
                    <w14:schemeClr w14:val="tx1"/>
                  </w14:solidFill>
                </w14:textFill>
              </w:rPr>
            </w:pPr>
          </w:p>
        </w:tc>
        <w:tc>
          <w:tcPr>
            <w:tcW w:w="651" w:type="pct"/>
            <w:shd w:val="clear" w:color="auto" w:fill="auto"/>
            <w:vAlign w:val="center"/>
          </w:tcPr>
          <w:p w14:paraId="614B06A4">
            <w:pPr>
              <w:pStyle w:val="33"/>
              <w:rPr>
                <w:color w:val="000000" w:themeColor="text1"/>
                <w14:textFill>
                  <w14:solidFill>
                    <w14:schemeClr w14:val="tx1"/>
                  </w14:solidFill>
                </w14:textFill>
              </w:rPr>
            </w:pPr>
            <w:r>
              <w:rPr>
                <w:color w:val="000000" w:themeColor="text1"/>
                <w14:textFill>
                  <w14:solidFill>
                    <w14:schemeClr w14:val="tx1"/>
                  </w14:solidFill>
                </w14:textFill>
              </w:rPr>
              <w:t>1310</w:t>
            </w:r>
          </w:p>
        </w:tc>
        <w:tc>
          <w:tcPr>
            <w:tcW w:w="651" w:type="pct"/>
            <w:shd w:val="clear" w:color="auto" w:fill="auto"/>
            <w:vAlign w:val="center"/>
          </w:tcPr>
          <w:p w14:paraId="46CB0A75">
            <w:pPr>
              <w:pStyle w:val="33"/>
              <w:rPr>
                <w:color w:val="000000" w:themeColor="text1"/>
                <w14:textFill>
                  <w14:solidFill>
                    <w14:schemeClr w14:val="tx1"/>
                  </w14:solidFill>
                </w14:textFill>
              </w:rPr>
            </w:pPr>
          </w:p>
        </w:tc>
        <w:tc>
          <w:tcPr>
            <w:tcW w:w="1567" w:type="pct"/>
            <w:shd w:val="clear" w:color="auto" w:fill="auto"/>
            <w:vAlign w:val="center"/>
          </w:tcPr>
          <w:p w14:paraId="715E2715">
            <w:pPr>
              <w:pStyle w:val="33"/>
              <w:rPr>
                <w:color w:val="000000" w:themeColor="text1"/>
                <w14:textFill>
                  <w14:solidFill>
                    <w14:schemeClr w14:val="tx1"/>
                  </w14:solidFill>
                </w14:textFill>
              </w:rPr>
            </w:pPr>
            <w:r>
              <w:rPr>
                <w:color w:val="000000" w:themeColor="text1"/>
                <w14:textFill>
                  <w14:solidFill>
                    <w14:schemeClr w14:val="tx1"/>
                  </w14:solidFill>
                </w14:textFill>
              </w:rPr>
              <w:t>消防用地</w:t>
            </w:r>
          </w:p>
        </w:tc>
        <w:tc>
          <w:tcPr>
            <w:tcW w:w="738" w:type="pct"/>
            <w:shd w:val="clear" w:color="auto" w:fill="auto"/>
            <w:vAlign w:val="center"/>
          </w:tcPr>
          <w:p w14:paraId="07BB72F3">
            <w:pPr>
              <w:pStyle w:val="33"/>
              <w:rPr>
                <w:color w:val="000000" w:themeColor="text1"/>
                <w14:textFill>
                  <w14:solidFill>
                    <w14:schemeClr w14:val="tx1"/>
                  </w14:solidFill>
                </w14:textFill>
              </w:rPr>
            </w:pPr>
            <w:r>
              <w:rPr>
                <w:color w:val="000000" w:themeColor="text1"/>
                <w14:textFill>
                  <w14:solidFill>
                    <w14:schemeClr w14:val="tx1"/>
                  </w14:solidFill>
                </w14:textFill>
              </w:rPr>
              <w:t>0.65</w:t>
            </w:r>
          </w:p>
        </w:tc>
        <w:tc>
          <w:tcPr>
            <w:tcW w:w="738" w:type="pct"/>
            <w:vAlign w:val="center"/>
          </w:tcPr>
          <w:p w14:paraId="1BC59CD6">
            <w:pPr>
              <w:pStyle w:val="33"/>
              <w:rPr>
                <w:color w:val="000000" w:themeColor="text1"/>
                <w14:textFill>
                  <w14:solidFill>
                    <w14:schemeClr w14:val="tx1"/>
                  </w14:solidFill>
                </w14:textFill>
              </w:rPr>
            </w:pPr>
            <w:r>
              <w:rPr>
                <w:color w:val="000000" w:themeColor="text1"/>
                <w14:textFill>
                  <w14:solidFill>
                    <w14:schemeClr w14:val="tx1"/>
                  </w14:solidFill>
                </w14:textFill>
              </w:rPr>
              <w:t>0.07</w:t>
            </w:r>
          </w:p>
        </w:tc>
      </w:tr>
      <w:tr w14:paraId="4A7D0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shd w:val="clear" w:color="auto" w:fill="auto"/>
            <w:vAlign w:val="center"/>
          </w:tcPr>
          <w:p w14:paraId="3B0E159F">
            <w:pPr>
              <w:pStyle w:val="33"/>
              <w:rPr>
                <w:color w:val="000000" w:themeColor="text1"/>
                <w14:textFill>
                  <w14:solidFill>
                    <w14:schemeClr w14:val="tx1"/>
                  </w14:solidFill>
                </w14:textFill>
              </w:rPr>
            </w:pPr>
            <w:r>
              <w:rPr>
                <w:color w:val="000000" w:themeColor="text1"/>
                <w14:textFill>
                  <w14:solidFill>
                    <w14:schemeClr w14:val="tx1"/>
                  </w14:solidFill>
                </w14:textFill>
              </w:rPr>
              <w:t>14</w:t>
            </w:r>
          </w:p>
        </w:tc>
        <w:tc>
          <w:tcPr>
            <w:tcW w:w="651" w:type="pct"/>
            <w:shd w:val="clear" w:color="auto" w:fill="auto"/>
            <w:vAlign w:val="center"/>
          </w:tcPr>
          <w:p w14:paraId="32990584">
            <w:pPr>
              <w:pStyle w:val="33"/>
              <w:rPr>
                <w:color w:val="000000" w:themeColor="text1"/>
                <w14:textFill>
                  <w14:solidFill>
                    <w14:schemeClr w14:val="tx1"/>
                  </w14:solidFill>
                </w14:textFill>
              </w:rPr>
            </w:pPr>
          </w:p>
        </w:tc>
        <w:tc>
          <w:tcPr>
            <w:tcW w:w="651" w:type="pct"/>
            <w:shd w:val="clear" w:color="auto" w:fill="auto"/>
            <w:vAlign w:val="center"/>
          </w:tcPr>
          <w:p w14:paraId="2101922B">
            <w:pPr>
              <w:pStyle w:val="33"/>
              <w:rPr>
                <w:color w:val="000000" w:themeColor="text1"/>
                <w14:textFill>
                  <w14:solidFill>
                    <w14:schemeClr w14:val="tx1"/>
                  </w14:solidFill>
                </w14:textFill>
              </w:rPr>
            </w:pPr>
          </w:p>
        </w:tc>
        <w:tc>
          <w:tcPr>
            <w:tcW w:w="1567" w:type="pct"/>
            <w:shd w:val="clear" w:color="auto" w:fill="auto"/>
            <w:vAlign w:val="center"/>
          </w:tcPr>
          <w:p w14:paraId="217E11F1">
            <w:pPr>
              <w:pStyle w:val="33"/>
              <w:rPr>
                <w:color w:val="000000" w:themeColor="text1"/>
                <w14:textFill>
                  <w14:solidFill>
                    <w14:schemeClr w14:val="tx1"/>
                  </w14:solidFill>
                </w14:textFill>
              </w:rPr>
            </w:pPr>
            <w:r>
              <w:rPr>
                <w:color w:val="000000" w:themeColor="text1"/>
                <w14:textFill>
                  <w14:solidFill>
                    <w14:schemeClr w14:val="tx1"/>
                  </w14:solidFill>
                </w14:textFill>
              </w:rPr>
              <w:t>绿地与开敞空间用地</w:t>
            </w:r>
          </w:p>
        </w:tc>
        <w:tc>
          <w:tcPr>
            <w:tcW w:w="738" w:type="pct"/>
            <w:shd w:val="clear" w:color="auto" w:fill="auto"/>
            <w:vAlign w:val="center"/>
          </w:tcPr>
          <w:p w14:paraId="77F48EC7">
            <w:pPr>
              <w:pStyle w:val="33"/>
              <w:rPr>
                <w:color w:val="000000" w:themeColor="text1"/>
                <w14:textFill>
                  <w14:solidFill>
                    <w14:schemeClr w14:val="tx1"/>
                  </w14:solidFill>
                </w14:textFill>
              </w:rPr>
            </w:pPr>
            <w:r>
              <w:rPr>
                <w:color w:val="000000" w:themeColor="text1"/>
                <w14:textFill>
                  <w14:solidFill>
                    <w14:schemeClr w14:val="tx1"/>
                  </w14:solidFill>
                </w14:textFill>
              </w:rPr>
              <w:t>3.54</w:t>
            </w:r>
          </w:p>
        </w:tc>
        <w:tc>
          <w:tcPr>
            <w:tcW w:w="738" w:type="pct"/>
            <w:vAlign w:val="center"/>
          </w:tcPr>
          <w:p w14:paraId="0B6D1D4F">
            <w:pPr>
              <w:pStyle w:val="33"/>
              <w:rPr>
                <w:color w:val="000000" w:themeColor="text1"/>
                <w14:textFill>
                  <w14:solidFill>
                    <w14:schemeClr w14:val="tx1"/>
                  </w14:solidFill>
                </w14:textFill>
              </w:rPr>
            </w:pPr>
            <w:r>
              <w:rPr>
                <w:color w:val="000000" w:themeColor="text1"/>
                <w14:textFill>
                  <w14:solidFill>
                    <w14:schemeClr w14:val="tx1"/>
                  </w14:solidFill>
                </w14:textFill>
              </w:rPr>
              <w:t>0.33</w:t>
            </w:r>
          </w:p>
        </w:tc>
      </w:tr>
      <w:tr w14:paraId="67FE7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shd w:val="clear" w:color="auto" w:fill="auto"/>
            <w:vAlign w:val="center"/>
          </w:tcPr>
          <w:p w14:paraId="68410A41">
            <w:pPr>
              <w:pStyle w:val="33"/>
              <w:rPr>
                <w:color w:val="000000" w:themeColor="text1"/>
                <w14:textFill>
                  <w14:solidFill>
                    <w14:schemeClr w14:val="tx1"/>
                  </w14:solidFill>
                </w14:textFill>
              </w:rPr>
            </w:pPr>
          </w:p>
        </w:tc>
        <w:tc>
          <w:tcPr>
            <w:tcW w:w="651" w:type="pct"/>
            <w:shd w:val="clear" w:color="auto" w:fill="auto"/>
            <w:vAlign w:val="center"/>
          </w:tcPr>
          <w:p w14:paraId="5A04A9C3">
            <w:pPr>
              <w:pStyle w:val="33"/>
              <w:rPr>
                <w:color w:val="000000" w:themeColor="text1"/>
                <w14:textFill>
                  <w14:solidFill>
                    <w14:schemeClr w14:val="tx1"/>
                  </w14:solidFill>
                </w14:textFill>
              </w:rPr>
            </w:pPr>
            <w:r>
              <w:rPr>
                <w:color w:val="000000" w:themeColor="text1"/>
                <w14:textFill>
                  <w14:solidFill>
                    <w14:schemeClr w14:val="tx1"/>
                  </w14:solidFill>
                </w14:textFill>
              </w:rPr>
              <w:t>1402</w:t>
            </w:r>
          </w:p>
        </w:tc>
        <w:tc>
          <w:tcPr>
            <w:tcW w:w="651" w:type="pct"/>
            <w:shd w:val="clear" w:color="auto" w:fill="auto"/>
            <w:vAlign w:val="center"/>
          </w:tcPr>
          <w:p w14:paraId="68C1E465">
            <w:pPr>
              <w:pStyle w:val="33"/>
              <w:rPr>
                <w:color w:val="000000" w:themeColor="text1"/>
                <w14:textFill>
                  <w14:solidFill>
                    <w14:schemeClr w14:val="tx1"/>
                  </w14:solidFill>
                </w14:textFill>
              </w:rPr>
            </w:pPr>
          </w:p>
        </w:tc>
        <w:tc>
          <w:tcPr>
            <w:tcW w:w="1567" w:type="pct"/>
            <w:shd w:val="clear" w:color="auto" w:fill="auto"/>
            <w:vAlign w:val="center"/>
          </w:tcPr>
          <w:p w14:paraId="01AF1F69">
            <w:pPr>
              <w:pStyle w:val="33"/>
              <w:rPr>
                <w:color w:val="000000" w:themeColor="text1"/>
                <w14:textFill>
                  <w14:solidFill>
                    <w14:schemeClr w14:val="tx1"/>
                  </w14:solidFill>
                </w14:textFill>
              </w:rPr>
            </w:pPr>
            <w:r>
              <w:rPr>
                <w:color w:val="000000" w:themeColor="text1"/>
                <w14:textFill>
                  <w14:solidFill>
                    <w14:schemeClr w14:val="tx1"/>
                  </w14:solidFill>
                </w14:textFill>
              </w:rPr>
              <w:t>防护绿地</w:t>
            </w:r>
          </w:p>
        </w:tc>
        <w:tc>
          <w:tcPr>
            <w:tcW w:w="738" w:type="pct"/>
            <w:shd w:val="clear" w:color="auto" w:fill="auto"/>
            <w:vAlign w:val="center"/>
          </w:tcPr>
          <w:p w14:paraId="24E7024F">
            <w:pPr>
              <w:pStyle w:val="33"/>
              <w:rPr>
                <w:color w:val="000000" w:themeColor="text1"/>
                <w14:textFill>
                  <w14:solidFill>
                    <w14:schemeClr w14:val="tx1"/>
                  </w14:solidFill>
                </w14:textFill>
              </w:rPr>
            </w:pPr>
            <w:r>
              <w:rPr>
                <w:color w:val="000000" w:themeColor="text1"/>
                <w14:textFill>
                  <w14:solidFill>
                    <w14:schemeClr w14:val="tx1"/>
                  </w14:solidFill>
                </w14:textFill>
              </w:rPr>
              <w:t>3.54</w:t>
            </w:r>
          </w:p>
        </w:tc>
        <w:tc>
          <w:tcPr>
            <w:tcW w:w="738" w:type="pct"/>
            <w:vAlign w:val="center"/>
          </w:tcPr>
          <w:p w14:paraId="4F88DA9B">
            <w:pPr>
              <w:pStyle w:val="33"/>
              <w:rPr>
                <w:color w:val="000000" w:themeColor="text1"/>
                <w14:textFill>
                  <w14:solidFill>
                    <w14:schemeClr w14:val="tx1"/>
                  </w14:solidFill>
                </w14:textFill>
              </w:rPr>
            </w:pPr>
            <w:r>
              <w:rPr>
                <w:color w:val="000000" w:themeColor="text1"/>
                <w14:textFill>
                  <w14:solidFill>
                    <w14:schemeClr w14:val="tx1"/>
                  </w14:solidFill>
                </w14:textFill>
              </w:rPr>
              <w:t>0.33</w:t>
            </w:r>
          </w:p>
        </w:tc>
      </w:tr>
      <w:tr w14:paraId="21664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655" w:type="pct"/>
            <w:shd w:val="clear" w:color="auto" w:fill="auto"/>
            <w:vAlign w:val="center"/>
          </w:tcPr>
          <w:p w14:paraId="242482DF">
            <w:pPr>
              <w:pStyle w:val="33"/>
              <w:rPr>
                <w:color w:val="000000" w:themeColor="text1"/>
                <w14:textFill>
                  <w14:solidFill>
                    <w14:schemeClr w14:val="tx1"/>
                  </w14:solidFill>
                </w14:textFill>
              </w:rPr>
            </w:pPr>
            <w:r>
              <w:rPr>
                <w:color w:val="000000" w:themeColor="text1"/>
                <w14:textFill>
                  <w14:solidFill>
                    <w14:schemeClr w14:val="tx1"/>
                  </w14:solidFill>
                </w14:textFill>
              </w:rPr>
              <w:t>总计</w:t>
            </w:r>
          </w:p>
        </w:tc>
        <w:tc>
          <w:tcPr>
            <w:tcW w:w="651" w:type="pct"/>
            <w:shd w:val="clear" w:color="auto" w:fill="auto"/>
            <w:vAlign w:val="center"/>
          </w:tcPr>
          <w:p w14:paraId="725C1ED0">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651" w:type="pct"/>
            <w:shd w:val="clear" w:color="auto" w:fill="auto"/>
            <w:vAlign w:val="center"/>
          </w:tcPr>
          <w:p w14:paraId="22D6DCE7">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1567" w:type="pct"/>
            <w:shd w:val="clear" w:color="auto" w:fill="auto"/>
            <w:vAlign w:val="center"/>
          </w:tcPr>
          <w:p w14:paraId="72972BC0">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738" w:type="pct"/>
            <w:shd w:val="clear" w:color="auto" w:fill="auto"/>
            <w:vAlign w:val="center"/>
          </w:tcPr>
          <w:p w14:paraId="0E7F6FA5">
            <w:pPr>
              <w:pStyle w:val="33"/>
              <w:rPr>
                <w:color w:val="000000" w:themeColor="text1"/>
                <w14:textFill>
                  <w14:solidFill>
                    <w14:schemeClr w14:val="tx1"/>
                  </w14:solidFill>
                </w14:textFill>
              </w:rPr>
            </w:pPr>
            <w:r>
              <w:rPr>
                <w:color w:val="000000" w:themeColor="text1"/>
                <w14:textFill>
                  <w14:solidFill>
                    <w14:schemeClr w14:val="tx1"/>
                  </w14:solidFill>
                </w14:textFill>
              </w:rPr>
              <w:t>1114.62</w:t>
            </w:r>
          </w:p>
        </w:tc>
        <w:tc>
          <w:tcPr>
            <w:tcW w:w="738" w:type="pct"/>
            <w:vAlign w:val="center"/>
          </w:tcPr>
          <w:p w14:paraId="2A20BECA">
            <w:pPr>
              <w:pStyle w:val="33"/>
              <w:rPr>
                <w:color w:val="000000" w:themeColor="text1"/>
                <w14:textFill>
                  <w14:solidFill>
                    <w14:schemeClr w14:val="tx1"/>
                  </w14:solidFill>
                </w14:textFill>
              </w:rPr>
            </w:pPr>
          </w:p>
        </w:tc>
      </w:tr>
    </w:tbl>
    <w:p w14:paraId="53012331">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表1-11           地块2（下湿壕片区）规划集中建设区用地详细汇总表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1341"/>
        <w:gridCol w:w="1341"/>
        <w:gridCol w:w="2582"/>
        <w:gridCol w:w="1341"/>
        <w:gridCol w:w="1341"/>
      </w:tblGrid>
      <w:tr w14:paraId="0976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pct"/>
            <w:tcBorders>
              <w:bottom w:val="double" w:color="auto" w:sz="4" w:space="0"/>
            </w:tcBorders>
            <w:shd w:val="clear" w:color="auto" w:fill="auto"/>
            <w:vAlign w:val="center"/>
          </w:tcPr>
          <w:p w14:paraId="3A966FCD">
            <w:pPr>
              <w:pStyle w:val="33"/>
              <w:rPr>
                <w:color w:val="000000" w:themeColor="text1"/>
                <w14:textFill>
                  <w14:solidFill>
                    <w14:schemeClr w14:val="tx1"/>
                  </w14:solidFill>
                </w14:textFill>
              </w:rPr>
            </w:pPr>
            <w:r>
              <w:rPr>
                <w:color w:val="000000" w:themeColor="text1"/>
                <w14:textFill>
                  <w14:solidFill>
                    <w14:schemeClr w14:val="tx1"/>
                  </w14:solidFill>
                </w14:textFill>
              </w:rPr>
              <w:t>一级类别</w:t>
            </w:r>
          </w:p>
        </w:tc>
        <w:tc>
          <w:tcPr>
            <w:tcW w:w="722" w:type="pct"/>
            <w:tcBorders>
              <w:bottom w:val="double" w:color="auto" w:sz="4" w:space="0"/>
            </w:tcBorders>
            <w:shd w:val="clear" w:color="auto" w:fill="auto"/>
            <w:vAlign w:val="center"/>
          </w:tcPr>
          <w:p w14:paraId="3A90E917">
            <w:pPr>
              <w:pStyle w:val="33"/>
              <w:rPr>
                <w:color w:val="000000" w:themeColor="text1"/>
                <w14:textFill>
                  <w14:solidFill>
                    <w14:schemeClr w14:val="tx1"/>
                  </w14:solidFill>
                </w14:textFill>
              </w:rPr>
            </w:pPr>
            <w:r>
              <w:rPr>
                <w:color w:val="000000" w:themeColor="text1"/>
                <w14:textFill>
                  <w14:solidFill>
                    <w14:schemeClr w14:val="tx1"/>
                  </w14:solidFill>
                </w14:textFill>
              </w:rPr>
              <w:t>二级类别</w:t>
            </w:r>
          </w:p>
        </w:tc>
        <w:tc>
          <w:tcPr>
            <w:tcW w:w="722" w:type="pct"/>
            <w:tcBorders>
              <w:bottom w:val="double" w:color="auto" w:sz="4" w:space="0"/>
            </w:tcBorders>
            <w:shd w:val="clear" w:color="auto" w:fill="auto"/>
            <w:vAlign w:val="center"/>
          </w:tcPr>
          <w:p w14:paraId="01BF7476">
            <w:pPr>
              <w:pStyle w:val="33"/>
              <w:rPr>
                <w:color w:val="000000" w:themeColor="text1"/>
                <w14:textFill>
                  <w14:solidFill>
                    <w14:schemeClr w14:val="tx1"/>
                  </w14:solidFill>
                </w14:textFill>
              </w:rPr>
            </w:pPr>
            <w:r>
              <w:rPr>
                <w:color w:val="000000" w:themeColor="text1"/>
                <w14:textFill>
                  <w14:solidFill>
                    <w14:schemeClr w14:val="tx1"/>
                  </w14:solidFill>
                </w14:textFill>
              </w:rPr>
              <w:t>三级类别</w:t>
            </w:r>
          </w:p>
        </w:tc>
        <w:tc>
          <w:tcPr>
            <w:tcW w:w="1390" w:type="pct"/>
            <w:tcBorders>
              <w:bottom w:val="double" w:color="auto" w:sz="4" w:space="0"/>
            </w:tcBorders>
            <w:shd w:val="clear" w:color="auto" w:fill="auto"/>
            <w:vAlign w:val="center"/>
          </w:tcPr>
          <w:p w14:paraId="12F40306">
            <w:pPr>
              <w:pStyle w:val="33"/>
              <w:rPr>
                <w:color w:val="000000" w:themeColor="text1"/>
                <w14:textFill>
                  <w14:solidFill>
                    <w14:schemeClr w14:val="tx1"/>
                  </w14:solidFill>
                </w14:textFill>
              </w:rPr>
            </w:pPr>
            <w:r>
              <w:rPr>
                <w:color w:val="000000" w:themeColor="text1"/>
                <w14:textFill>
                  <w14:solidFill>
                    <w14:schemeClr w14:val="tx1"/>
                  </w14:solidFill>
                </w14:textFill>
              </w:rPr>
              <w:t>类别名称</w:t>
            </w:r>
          </w:p>
        </w:tc>
        <w:tc>
          <w:tcPr>
            <w:tcW w:w="722" w:type="pct"/>
            <w:tcBorders>
              <w:bottom w:val="double" w:color="auto" w:sz="4" w:space="0"/>
            </w:tcBorders>
            <w:shd w:val="clear" w:color="auto" w:fill="auto"/>
            <w:vAlign w:val="center"/>
          </w:tcPr>
          <w:p w14:paraId="3A6783F7">
            <w:pPr>
              <w:pStyle w:val="33"/>
              <w:rPr>
                <w:color w:val="000000" w:themeColor="text1"/>
                <w14:textFill>
                  <w14:solidFill>
                    <w14:schemeClr w14:val="tx1"/>
                  </w14:solidFill>
                </w14:textFill>
              </w:rPr>
            </w:pPr>
            <w:r>
              <w:rPr>
                <w:color w:val="000000" w:themeColor="text1"/>
                <w14:textFill>
                  <w14:solidFill>
                    <w14:schemeClr w14:val="tx1"/>
                  </w14:solidFill>
                </w14:textFill>
              </w:rPr>
              <w:t>面积(hm²)</w:t>
            </w:r>
          </w:p>
        </w:tc>
        <w:tc>
          <w:tcPr>
            <w:tcW w:w="722" w:type="pct"/>
            <w:tcBorders>
              <w:bottom w:val="double" w:color="auto" w:sz="4" w:space="0"/>
            </w:tcBorders>
            <w:shd w:val="clear" w:color="auto" w:fill="auto"/>
            <w:vAlign w:val="center"/>
          </w:tcPr>
          <w:p w14:paraId="38DFF22D">
            <w:pPr>
              <w:pStyle w:val="33"/>
              <w:rPr>
                <w:color w:val="000000" w:themeColor="text1"/>
                <w14:textFill>
                  <w14:solidFill>
                    <w14:schemeClr w14:val="tx1"/>
                  </w14:solidFill>
                </w14:textFill>
              </w:rPr>
            </w:pPr>
            <w:r>
              <w:rPr>
                <w:color w:val="000000" w:themeColor="text1"/>
                <w14:textFill>
                  <w14:solidFill>
                    <w14:schemeClr w14:val="tx1"/>
                  </w14:solidFill>
                </w14:textFill>
              </w:rPr>
              <w:t>比例(%)</w:t>
            </w:r>
          </w:p>
        </w:tc>
      </w:tr>
      <w:tr w14:paraId="16A1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pct"/>
            <w:tcBorders>
              <w:top w:val="double" w:color="auto" w:sz="4" w:space="0"/>
            </w:tcBorders>
            <w:shd w:val="clear" w:color="auto" w:fill="auto"/>
            <w:vAlign w:val="center"/>
          </w:tcPr>
          <w:p w14:paraId="374B74B0">
            <w:pPr>
              <w:pStyle w:val="33"/>
              <w:rPr>
                <w:color w:val="000000" w:themeColor="text1"/>
                <w14:textFill>
                  <w14:solidFill>
                    <w14:schemeClr w14:val="tx1"/>
                  </w14:solidFill>
                </w14:textFill>
              </w:rPr>
            </w:pPr>
            <w:r>
              <w:rPr>
                <w:color w:val="000000" w:themeColor="text1"/>
                <w14:textFill>
                  <w14:solidFill>
                    <w14:schemeClr w14:val="tx1"/>
                  </w14:solidFill>
                </w14:textFill>
              </w:rPr>
              <w:t>10</w:t>
            </w:r>
          </w:p>
        </w:tc>
        <w:tc>
          <w:tcPr>
            <w:tcW w:w="722" w:type="pct"/>
            <w:tcBorders>
              <w:top w:val="double" w:color="auto" w:sz="4" w:space="0"/>
            </w:tcBorders>
            <w:shd w:val="clear" w:color="auto" w:fill="auto"/>
            <w:noWrap/>
            <w:vAlign w:val="center"/>
          </w:tcPr>
          <w:p w14:paraId="1F7D7AF9">
            <w:pPr>
              <w:pStyle w:val="33"/>
              <w:rPr>
                <w:color w:val="000000" w:themeColor="text1"/>
                <w14:textFill>
                  <w14:solidFill>
                    <w14:schemeClr w14:val="tx1"/>
                  </w14:solidFill>
                </w14:textFill>
              </w:rPr>
            </w:pPr>
          </w:p>
        </w:tc>
        <w:tc>
          <w:tcPr>
            <w:tcW w:w="722" w:type="pct"/>
            <w:tcBorders>
              <w:top w:val="double" w:color="auto" w:sz="4" w:space="0"/>
            </w:tcBorders>
            <w:shd w:val="clear" w:color="auto" w:fill="auto"/>
            <w:vAlign w:val="center"/>
          </w:tcPr>
          <w:p w14:paraId="12C3BD5E">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1390" w:type="pct"/>
            <w:tcBorders>
              <w:top w:val="double" w:color="auto" w:sz="4" w:space="0"/>
            </w:tcBorders>
            <w:shd w:val="clear" w:color="auto" w:fill="auto"/>
            <w:vAlign w:val="center"/>
          </w:tcPr>
          <w:p w14:paraId="708AE36D">
            <w:pPr>
              <w:pStyle w:val="33"/>
              <w:rPr>
                <w:color w:val="000000" w:themeColor="text1"/>
                <w14:textFill>
                  <w14:solidFill>
                    <w14:schemeClr w14:val="tx1"/>
                  </w14:solidFill>
                </w14:textFill>
              </w:rPr>
            </w:pPr>
            <w:r>
              <w:rPr>
                <w:color w:val="000000" w:themeColor="text1"/>
                <w14:textFill>
                  <w14:solidFill>
                    <w14:schemeClr w14:val="tx1"/>
                  </w14:solidFill>
                </w14:textFill>
              </w:rPr>
              <w:t>工矿用地</w:t>
            </w:r>
          </w:p>
        </w:tc>
        <w:tc>
          <w:tcPr>
            <w:tcW w:w="722" w:type="pct"/>
            <w:tcBorders>
              <w:top w:val="double" w:color="auto" w:sz="4" w:space="0"/>
            </w:tcBorders>
            <w:shd w:val="clear" w:color="auto" w:fill="auto"/>
            <w:vAlign w:val="center"/>
          </w:tcPr>
          <w:p w14:paraId="2CE285D5">
            <w:pPr>
              <w:pStyle w:val="33"/>
              <w:rPr>
                <w:color w:val="000000" w:themeColor="text1"/>
                <w14:textFill>
                  <w14:solidFill>
                    <w14:schemeClr w14:val="tx1"/>
                  </w14:solidFill>
                </w14:textFill>
              </w:rPr>
            </w:pPr>
            <w:r>
              <w:rPr>
                <w:color w:val="000000" w:themeColor="text1"/>
                <w14:textFill>
                  <w14:solidFill>
                    <w14:schemeClr w14:val="tx1"/>
                  </w14:solidFill>
                </w14:textFill>
              </w:rPr>
              <w:t>147.08</w:t>
            </w:r>
          </w:p>
        </w:tc>
        <w:tc>
          <w:tcPr>
            <w:tcW w:w="722" w:type="pct"/>
            <w:tcBorders>
              <w:top w:val="double" w:color="auto" w:sz="4" w:space="0"/>
            </w:tcBorders>
            <w:shd w:val="clear" w:color="auto" w:fill="auto"/>
            <w:vAlign w:val="center"/>
          </w:tcPr>
          <w:p w14:paraId="14F6035C">
            <w:pPr>
              <w:pStyle w:val="33"/>
              <w:rPr>
                <w:color w:val="000000" w:themeColor="text1"/>
                <w14:textFill>
                  <w14:solidFill>
                    <w14:schemeClr w14:val="tx1"/>
                  </w14:solidFill>
                </w14:textFill>
              </w:rPr>
            </w:pPr>
            <w:r>
              <w:rPr>
                <w:color w:val="000000" w:themeColor="text1"/>
                <w14:textFill>
                  <w14:solidFill>
                    <w14:schemeClr w14:val="tx1"/>
                  </w14:solidFill>
                </w14:textFill>
              </w:rPr>
              <w:t>96.07</w:t>
            </w:r>
          </w:p>
        </w:tc>
      </w:tr>
      <w:tr w14:paraId="4CD9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pct"/>
            <w:shd w:val="clear" w:color="auto" w:fill="auto"/>
            <w:vAlign w:val="center"/>
          </w:tcPr>
          <w:p w14:paraId="000618FC">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722" w:type="pct"/>
            <w:shd w:val="clear" w:color="auto" w:fill="auto"/>
            <w:noWrap/>
            <w:vAlign w:val="center"/>
          </w:tcPr>
          <w:p w14:paraId="6E81C23D">
            <w:pPr>
              <w:pStyle w:val="33"/>
              <w:rPr>
                <w:color w:val="000000" w:themeColor="text1"/>
                <w14:textFill>
                  <w14:solidFill>
                    <w14:schemeClr w14:val="tx1"/>
                  </w14:solidFill>
                </w14:textFill>
              </w:rPr>
            </w:pPr>
            <w:r>
              <w:rPr>
                <w:color w:val="000000" w:themeColor="text1"/>
                <w14:textFill>
                  <w14:solidFill>
                    <w14:schemeClr w14:val="tx1"/>
                  </w14:solidFill>
                </w14:textFill>
              </w:rPr>
              <w:t>1001</w:t>
            </w:r>
          </w:p>
        </w:tc>
        <w:tc>
          <w:tcPr>
            <w:tcW w:w="722" w:type="pct"/>
            <w:shd w:val="clear" w:color="auto" w:fill="auto"/>
            <w:vAlign w:val="center"/>
          </w:tcPr>
          <w:p w14:paraId="02FBBC8B">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1390" w:type="pct"/>
            <w:shd w:val="clear" w:color="auto" w:fill="auto"/>
            <w:vAlign w:val="center"/>
          </w:tcPr>
          <w:p w14:paraId="61DD6A36">
            <w:pPr>
              <w:pStyle w:val="33"/>
              <w:rPr>
                <w:color w:val="000000" w:themeColor="text1"/>
                <w14:textFill>
                  <w14:solidFill>
                    <w14:schemeClr w14:val="tx1"/>
                  </w14:solidFill>
                </w14:textFill>
              </w:rPr>
            </w:pPr>
            <w:r>
              <w:rPr>
                <w:color w:val="000000" w:themeColor="text1"/>
                <w14:textFill>
                  <w14:solidFill>
                    <w14:schemeClr w14:val="tx1"/>
                  </w14:solidFill>
                </w14:textFill>
              </w:rPr>
              <w:t>工业用地</w:t>
            </w:r>
          </w:p>
        </w:tc>
        <w:tc>
          <w:tcPr>
            <w:tcW w:w="722" w:type="pct"/>
            <w:shd w:val="clear" w:color="auto" w:fill="auto"/>
            <w:vAlign w:val="center"/>
          </w:tcPr>
          <w:p w14:paraId="4176FA13">
            <w:pPr>
              <w:pStyle w:val="33"/>
              <w:rPr>
                <w:color w:val="000000" w:themeColor="text1"/>
                <w14:textFill>
                  <w14:solidFill>
                    <w14:schemeClr w14:val="tx1"/>
                  </w14:solidFill>
                </w14:textFill>
              </w:rPr>
            </w:pPr>
            <w:r>
              <w:rPr>
                <w:color w:val="000000" w:themeColor="text1"/>
                <w14:textFill>
                  <w14:solidFill>
                    <w14:schemeClr w14:val="tx1"/>
                  </w14:solidFill>
                </w14:textFill>
              </w:rPr>
              <w:t>147.08</w:t>
            </w:r>
          </w:p>
        </w:tc>
        <w:tc>
          <w:tcPr>
            <w:tcW w:w="722" w:type="pct"/>
            <w:shd w:val="clear" w:color="auto" w:fill="auto"/>
            <w:vAlign w:val="center"/>
          </w:tcPr>
          <w:p w14:paraId="15E673AE">
            <w:pPr>
              <w:pStyle w:val="33"/>
              <w:rPr>
                <w:color w:val="000000" w:themeColor="text1"/>
                <w14:textFill>
                  <w14:solidFill>
                    <w14:schemeClr w14:val="tx1"/>
                  </w14:solidFill>
                </w14:textFill>
              </w:rPr>
            </w:pPr>
            <w:r>
              <w:rPr>
                <w:color w:val="000000" w:themeColor="text1"/>
                <w14:textFill>
                  <w14:solidFill>
                    <w14:schemeClr w14:val="tx1"/>
                  </w14:solidFill>
                </w14:textFill>
              </w:rPr>
              <w:t>96.07</w:t>
            </w:r>
          </w:p>
        </w:tc>
      </w:tr>
      <w:tr w14:paraId="691A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pct"/>
            <w:shd w:val="clear" w:color="auto" w:fill="auto"/>
            <w:vAlign w:val="center"/>
          </w:tcPr>
          <w:p w14:paraId="6729A3EF">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722" w:type="pct"/>
            <w:shd w:val="clear" w:color="auto" w:fill="auto"/>
            <w:noWrap/>
            <w:vAlign w:val="center"/>
          </w:tcPr>
          <w:p w14:paraId="23A10F4F">
            <w:pPr>
              <w:pStyle w:val="33"/>
              <w:rPr>
                <w:color w:val="000000" w:themeColor="text1"/>
                <w14:textFill>
                  <w14:solidFill>
                    <w14:schemeClr w14:val="tx1"/>
                  </w14:solidFill>
                </w14:textFill>
              </w:rPr>
            </w:pPr>
          </w:p>
        </w:tc>
        <w:tc>
          <w:tcPr>
            <w:tcW w:w="722" w:type="pct"/>
            <w:shd w:val="clear" w:color="auto" w:fill="auto"/>
            <w:vAlign w:val="center"/>
          </w:tcPr>
          <w:p w14:paraId="7F263CCA">
            <w:pPr>
              <w:pStyle w:val="33"/>
              <w:rPr>
                <w:color w:val="000000" w:themeColor="text1"/>
                <w14:textFill>
                  <w14:solidFill>
                    <w14:schemeClr w14:val="tx1"/>
                  </w14:solidFill>
                </w14:textFill>
              </w:rPr>
            </w:pPr>
            <w:r>
              <w:rPr>
                <w:color w:val="000000" w:themeColor="text1"/>
                <w14:textFill>
                  <w14:solidFill>
                    <w14:schemeClr w14:val="tx1"/>
                  </w14:solidFill>
                </w14:textFill>
              </w:rPr>
              <w:t>100103</w:t>
            </w:r>
          </w:p>
        </w:tc>
        <w:tc>
          <w:tcPr>
            <w:tcW w:w="1390" w:type="pct"/>
            <w:shd w:val="clear" w:color="auto" w:fill="auto"/>
            <w:vAlign w:val="center"/>
          </w:tcPr>
          <w:p w14:paraId="24DA2E38">
            <w:pPr>
              <w:pStyle w:val="33"/>
              <w:rPr>
                <w:color w:val="000000" w:themeColor="text1"/>
                <w14:textFill>
                  <w14:solidFill>
                    <w14:schemeClr w14:val="tx1"/>
                  </w14:solidFill>
                </w14:textFill>
              </w:rPr>
            </w:pPr>
            <w:r>
              <w:rPr>
                <w:color w:val="000000" w:themeColor="text1"/>
                <w14:textFill>
                  <w14:solidFill>
                    <w14:schemeClr w14:val="tx1"/>
                  </w14:solidFill>
                </w14:textFill>
              </w:rPr>
              <w:t>三类工业用地</w:t>
            </w:r>
          </w:p>
        </w:tc>
        <w:tc>
          <w:tcPr>
            <w:tcW w:w="722" w:type="pct"/>
            <w:shd w:val="clear" w:color="auto" w:fill="auto"/>
            <w:vAlign w:val="center"/>
          </w:tcPr>
          <w:p w14:paraId="49BFE8B4">
            <w:pPr>
              <w:pStyle w:val="33"/>
              <w:rPr>
                <w:color w:val="000000" w:themeColor="text1"/>
                <w14:textFill>
                  <w14:solidFill>
                    <w14:schemeClr w14:val="tx1"/>
                  </w14:solidFill>
                </w14:textFill>
              </w:rPr>
            </w:pPr>
            <w:r>
              <w:rPr>
                <w:color w:val="000000" w:themeColor="text1"/>
                <w14:textFill>
                  <w14:solidFill>
                    <w14:schemeClr w14:val="tx1"/>
                  </w14:solidFill>
                </w14:textFill>
              </w:rPr>
              <w:t>147.08</w:t>
            </w:r>
          </w:p>
        </w:tc>
        <w:tc>
          <w:tcPr>
            <w:tcW w:w="722" w:type="pct"/>
            <w:shd w:val="clear" w:color="auto" w:fill="auto"/>
            <w:vAlign w:val="center"/>
          </w:tcPr>
          <w:p w14:paraId="4E127566">
            <w:pPr>
              <w:pStyle w:val="33"/>
              <w:rPr>
                <w:color w:val="000000" w:themeColor="text1"/>
                <w14:textFill>
                  <w14:solidFill>
                    <w14:schemeClr w14:val="tx1"/>
                  </w14:solidFill>
                </w14:textFill>
              </w:rPr>
            </w:pPr>
            <w:r>
              <w:rPr>
                <w:color w:val="000000" w:themeColor="text1"/>
                <w14:textFill>
                  <w14:solidFill>
                    <w14:schemeClr w14:val="tx1"/>
                  </w14:solidFill>
                </w14:textFill>
              </w:rPr>
              <w:t>96.07</w:t>
            </w:r>
          </w:p>
        </w:tc>
      </w:tr>
      <w:tr w14:paraId="1DED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pct"/>
            <w:shd w:val="clear" w:color="auto" w:fill="auto"/>
            <w:vAlign w:val="center"/>
          </w:tcPr>
          <w:p w14:paraId="189CE07A">
            <w:pPr>
              <w:pStyle w:val="33"/>
              <w:rPr>
                <w:color w:val="000000" w:themeColor="text1"/>
                <w14:textFill>
                  <w14:solidFill>
                    <w14:schemeClr w14:val="tx1"/>
                  </w14:solidFill>
                </w14:textFill>
              </w:rPr>
            </w:pPr>
            <w:r>
              <w:rPr>
                <w:color w:val="000000" w:themeColor="text1"/>
                <w14:textFill>
                  <w14:solidFill>
                    <w14:schemeClr w14:val="tx1"/>
                  </w14:solidFill>
                </w14:textFill>
              </w:rPr>
              <w:t>12</w:t>
            </w:r>
          </w:p>
        </w:tc>
        <w:tc>
          <w:tcPr>
            <w:tcW w:w="722" w:type="pct"/>
            <w:shd w:val="clear" w:color="auto" w:fill="auto"/>
            <w:noWrap/>
            <w:vAlign w:val="center"/>
          </w:tcPr>
          <w:p w14:paraId="3901BCE4">
            <w:pPr>
              <w:pStyle w:val="33"/>
              <w:rPr>
                <w:color w:val="000000" w:themeColor="text1"/>
                <w14:textFill>
                  <w14:solidFill>
                    <w14:schemeClr w14:val="tx1"/>
                  </w14:solidFill>
                </w14:textFill>
              </w:rPr>
            </w:pPr>
          </w:p>
        </w:tc>
        <w:tc>
          <w:tcPr>
            <w:tcW w:w="722" w:type="pct"/>
            <w:shd w:val="clear" w:color="auto" w:fill="auto"/>
            <w:vAlign w:val="center"/>
          </w:tcPr>
          <w:p w14:paraId="14C1CA22">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1390" w:type="pct"/>
            <w:shd w:val="clear" w:color="auto" w:fill="auto"/>
            <w:vAlign w:val="center"/>
          </w:tcPr>
          <w:p w14:paraId="5E47860C">
            <w:pPr>
              <w:pStyle w:val="33"/>
              <w:rPr>
                <w:color w:val="000000" w:themeColor="text1"/>
                <w14:textFill>
                  <w14:solidFill>
                    <w14:schemeClr w14:val="tx1"/>
                  </w14:solidFill>
                </w14:textFill>
              </w:rPr>
            </w:pPr>
            <w:r>
              <w:rPr>
                <w:color w:val="000000" w:themeColor="text1"/>
                <w14:textFill>
                  <w14:solidFill>
                    <w14:schemeClr w14:val="tx1"/>
                  </w14:solidFill>
                </w14:textFill>
              </w:rPr>
              <w:t>交通运输用地</w:t>
            </w:r>
          </w:p>
        </w:tc>
        <w:tc>
          <w:tcPr>
            <w:tcW w:w="722" w:type="pct"/>
            <w:shd w:val="clear" w:color="auto" w:fill="auto"/>
            <w:vAlign w:val="center"/>
          </w:tcPr>
          <w:p w14:paraId="69E2060E">
            <w:pPr>
              <w:pStyle w:val="33"/>
              <w:rPr>
                <w:color w:val="000000" w:themeColor="text1"/>
                <w14:textFill>
                  <w14:solidFill>
                    <w14:schemeClr w14:val="tx1"/>
                  </w14:solidFill>
                </w14:textFill>
              </w:rPr>
            </w:pPr>
            <w:r>
              <w:rPr>
                <w:color w:val="000000" w:themeColor="text1"/>
                <w14:textFill>
                  <w14:solidFill>
                    <w14:schemeClr w14:val="tx1"/>
                  </w14:solidFill>
                </w14:textFill>
              </w:rPr>
              <w:t>3.09</w:t>
            </w:r>
          </w:p>
        </w:tc>
        <w:tc>
          <w:tcPr>
            <w:tcW w:w="722" w:type="pct"/>
            <w:shd w:val="clear" w:color="auto" w:fill="auto"/>
            <w:vAlign w:val="center"/>
          </w:tcPr>
          <w:p w14:paraId="264B3D9F">
            <w:pPr>
              <w:pStyle w:val="33"/>
              <w:rPr>
                <w:color w:val="000000" w:themeColor="text1"/>
                <w14:textFill>
                  <w14:solidFill>
                    <w14:schemeClr w14:val="tx1"/>
                  </w14:solidFill>
                </w14:textFill>
              </w:rPr>
            </w:pPr>
            <w:r>
              <w:rPr>
                <w:color w:val="000000" w:themeColor="text1"/>
                <w14:textFill>
                  <w14:solidFill>
                    <w14:schemeClr w14:val="tx1"/>
                  </w14:solidFill>
                </w14:textFill>
              </w:rPr>
              <w:t>2.02</w:t>
            </w:r>
          </w:p>
        </w:tc>
      </w:tr>
      <w:tr w14:paraId="1294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pct"/>
            <w:shd w:val="clear" w:color="auto" w:fill="auto"/>
            <w:vAlign w:val="center"/>
          </w:tcPr>
          <w:p w14:paraId="649784AB">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722" w:type="pct"/>
            <w:shd w:val="clear" w:color="auto" w:fill="auto"/>
            <w:noWrap/>
            <w:vAlign w:val="center"/>
          </w:tcPr>
          <w:p w14:paraId="6AF611D5">
            <w:pPr>
              <w:pStyle w:val="33"/>
              <w:rPr>
                <w:color w:val="000000" w:themeColor="text1"/>
                <w14:textFill>
                  <w14:solidFill>
                    <w14:schemeClr w14:val="tx1"/>
                  </w14:solidFill>
                </w14:textFill>
              </w:rPr>
            </w:pPr>
            <w:r>
              <w:rPr>
                <w:color w:val="000000" w:themeColor="text1"/>
                <w14:textFill>
                  <w14:solidFill>
                    <w14:schemeClr w14:val="tx1"/>
                  </w14:solidFill>
                </w14:textFill>
              </w:rPr>
              <w:t>1207</w:t>
            </w:r>
          </w:p>
        </w:tc>
        <w:tc>
          <w:tcPr>
            <w:tcW w:w="722" w:type="pct"/>
            <w:shd w:val="clear" w:color="auto" w:fill="auto"/>
            <w:vAlign w:val="center"/>
          </w:tcPr>
          <w:p w14:paraId="3D077CA5">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1390" w:type="pct"/>
            <w:shd w:val="clear" w:color="auto" w:fill="auto"/>
            <w:vAlign w:val="center"/>
          </w:tcPr>
          <w:p w14:paraId="73225C66">
            <w:pPr>
              <w:pStyle w:val="33"/>
              <w:rPr>
                <w:color w:val="000000" w:themeColor="text1"/>
                <w14:textFill>
                  <w14:solidFill>
                    <w14:schemeClr w14:val="tx1"/>
                  </w14:solidFill>
                </w14:textFill>
              </w:rPr>
            </w:pPr>
            <w:r>
              <w:rPr>
                <w:color w:val="000000" w:themeColor="text1"/>
                <w14:textFill>
                  <w14:solidFill>
                    <w14:schemeClr w14:val="tx1"/>
                  </w14:solidFill>
                </w14:textFill>
              </w:rPr>
              <w:t>城镇道路用地</w:t>
            </w:r>
          </w:p>
        </w:tc>
        <w:tc>
          <w:tcPr>
            <w:tcW w:w="722" w:type="pct"/>
            <w:shd w:val="clear" w:color="auto" w:fill="auto"/>
            <w:vAlign w:val="center"/>
          </w:tcPr>
          <w:p w14:paraId="12D7724D">
            <w:pPr>
              <w:pStyle w:val="33"/>
              <w:rPr>
                <w:color w:val="000000" w:themeColor="text1"/>
                <w14:textFill>
                  <w14:solidFill>
                    <w14:schemeClr w14:val="tx1"/>
                  </w14:solidFill>
                </w14:textFill>
              </w:rPr>
            </w:pPr>
            <w:r>
              <w:rPr>
                <w:color w:val="000000" w:themeColor="text1"/>
                <w14:textFill>
                  <w14:solidFill>
                    <w14:schemeClr w14:val="tx1"/>
                  </w14:solidFill>
                </w14:textFill>
              </w:rPr>
              <w:t>3.09</w:t>
            </w:r>
          </w:p>
        </w:tc>
        <w:tc>
          <w:tcPr>
            <w:tcW w:w="722" w:type="pct"/>
            <w:shd w:val="clear" w:color="auto" w:fill="auto"/>
            <w:vAlign w:val="center"/>
          </w:tcPr>
          <w:p w14:paraId="740BB271">
            <w:pPr>
              <w:pStyle w:val="33"/>
              <w:rPr>
                <w:color w:val="000000" w:themeColor="text1"/>
                <w14:textFill>
                  <w14:solidFill>
                    <w14:schemeClr w14:val="tx1"/>
                  </w14:solidFill>
                </w14:textFill>
              </w:rPr>
            </w:pPr>
            <w:r>
              <w:rPr>
                <w:color w:val="000000" w:themeColor="text1"/>
                <w14:textFill>
                  <w14:solidFill>
                    <w14:schemeClr w14:val="tx1"/>
                  </w14:solidFill>
                </w14:textFill>
              </w:rPr>
              <w:t>2.02</w:t>
            </w:r>
          </w:p>
        </w:tc>
      </w:tr>
      <w:tr w14:paraId="5D75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pct"/>
            <w:shd w:val="clear" w:color="auto" w:fill="auto"/>
            <w:vAlign w:val="center"/>
          </w:tcPr>
          <w:p w14:paraId="33157F41">
            <w:pPr>
              <w:pStyle w:val="33"/>
              <w:rPr>
                <w:color w:val="000000" w:themeColor="text1"/>
                <w14:textFill>
                  <w14:solidFill>
                    <w14:schemeClr w14:val="tx1"/>
                  </w14:solidFill>
                </w14:textFill>
              </w:rPr>
            </w:pPr>
            <w:r>
              <w:rPr>
                <w:color w:val="000000" w:themeColor="text1"/>
                <w14:textFill>
                  <w14:solidFill>
                    <w14:schemeClr w14:val="tx1"/>
                  </w14:solidFill>
                </w14:textFill>
              </w:rPr>
              <w:t>14</w:t>
            </w:r>
          </w:p>
        </w:tc>
        <w:tc>
          <w:tcPr>
            <w:tcW w:w="722" w:type="pct"/>
            <w:shd w:val="clear" w:color="auto" w:fill="auto"/>
            <w:noWrap/>
            <w:vAlign w:val="center"/>
          </w:tcPr>
          <w:p w14:paraId="63094796">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722" w:type="pct"/>
            <w:shd w:val="clear" w:color="auto" w:fill="auto"/>
            <w:vAlign w:val="center"/>
          </w:tcPr>
          <w:p w14:paraId="62347FCF">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1390" w:type="pct"/>
            <w:shd w:val="clear" w:color="auto" w:fill="auto"/>
            <w:vAlign w:val="center"/>
          </w:tcPr>
          <w:p w14:paraId="69617ED9">
            <w:pPr>
              <w:pStyle w:val="33"/>
              <w:rPr>
                <w:color w:val="000000" w:themeColor="text1"/>
                <w14:textFill>
                  <w14:solidFill>
                    <w14:schemeClr w14:val="tx1"/>
                  </w14:solidFill>
                </w14:textFill>
              </w:rPr>
            </w:pPr>
            <w:r>
              <w:rPr>
                <w:color w:val="000000" w:themeColor="text1"/>
                <w14:textFill>
                  <w14:solidFill>
                    <w14:schemeClr w14:val="tx1"/>
                  </w14:solidFill>
                </w14:textFill>
              </w:rPr>
              <w:t>绿地与开敞空间用地</w:t>
            </w:r>
          </w:p>
        </w:tc>
        <w:tc>
          <w:tcPr>
            <w:tcW w:w="722" w:type="pct"/>
            <w:shd w:val="clear" w:color="auto" w:fill="auto"/>
            <w:vAlign w:val="center"/>
          </w:tcPr>
          <w:p w14:paraId="3DA28F28">
            <w:pPr>
              <w:pStyle w:val="33"/>
              <w:rPr>
                <w:color w:val="000000" w:themeColor="text1"/>
                <w14:textFill>
                  <w14:solidFill>
                    <w14:schemeClr w14:val="tx1"/>
                  </w14:solidFill>
                </w14:textFill>
              </w:rPr>
            </w:pPr>
            <w:r>
              <w:rPr>
                <w:color w:val="000000" w:themeColor="text1"/>
                <w14:textFill>
                  <w14:solidFill>
                    <w14:schemeClr w14:val="tx1"/>
                  </w14:solidFill>
                </w14:textFill>
              </w:rPr>
              <w:t>1.83</w:t>
            </w:r>
          </w:p>
        </w:tc>
        <w:tc>
          <w:tcPr>
            <w:tcW w:w="722" w:type="pct"/>
            <w:shd w:val="clear" w:color="auto" w:fill="auto"/>
            <w:vAlign w:val="center"/>
          </w:tcPr>
          <w:p w14:paraId="00E944A2">
            <w:pPr>
              <w:pStyle w:val="33"/>
              <w:rPr>
                <w:color w:val="000000" w:themeColor="text1"/>
                <w14:textFill>
                  <w14:solidFill>
                    <w14:schemeClr w14:val="tx1"/>
                  </w14:solidFill>
                </w14:textFill>
              </w:rPr>
            </w:pPr>
            <w:r>
              <w:rPr>
                <w:color w:val="000000" w:themeColor="text1"/>
                <w14:textFill>
                  <w14:solidFill>
                    <w14:schemeClr w14:val="tx1"/>
                  </w14:solidFill>
                </w14:textFill>
              </w:rPr>
              <w:t>1.20</w:t>
            </w:r>
          </w:p>
        </w:tc>
      </w:tr>
      <w:tr w14:paraId="27D9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pct"/>
            <w:shd w:val="clear" w:color="auto" w:fill="auto"/>
            <w:vAlign w:val="center"/>
          </w:tcPr>
          <w:p w14:paraId="4A7C4569">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722" w:type="pct"/>
            <w:shd w:val="clear" w:color="auto" w:fill="auto"/>
            <w:vAlign w:val="center"/>
          </w:tcPr>
          <w:p w14:paraId="66B24D27">
            <w:pPr>
              <w:pStyle w:val="33"/>
              <w:rPr>
                <w:color w:val="000000" w:themeColor="text1"/>
                <w14:textFill>
                  <w14:solidFill>
                    <w14:schemeClr w14:val="tx1"/>
                  </w14:solidFill>
                </w14:textFill>
              </w:rPr>
            </w:pPr>
            <w:r>
              <w:rPr>
                <w:color w:val="000000" w:themeColor="text1"/>
                <w14:textFill>
                  <w14:solidFill>
                    <w14:schemeClr w14:val="tx1"/>
                  </w14:solidFill>
                </w14:textFill>
              </w:rPr>
              <w:t>1402</w:t>
            </w:r>
          </w:p>
        </w:tc>
        <w:tc>
          <w:tcPr>
            <w:tcW w:w="722" w:type="pct"/>
            <w:shd w:val="clear" w:color="auto" w:fill="auto"/>
            <w:vAlign w:val="center"/>
          </w:tcPr>
          <w:p w14:paraId="530A4D29">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1390" w:type="pct"/>
            <w:shd w:val="clear" w:color="auto" w:fill="auto"/>
            <w:vAlign w:val="center"/>
          </w:tcPr>
          <w:p w14:paraId="068BA171">
            <w:pPr>
              <w:pStyle w:val="33"/>
              <w:rPr>
                <w:color w:val="000000" w:themeColor="text1"/>
                <w14:textFill>
                  <w14:solidFill>
                    <w14:schemeClr w14:val="tx1"/>
                  </w14:solidFill>
                </w14:textFill>
              </w:rPr>
            </w:pPr>
            <w:r>
              <w:rPr>
                <w:color w:val="000000" w:themeColor="text1"/>
                <w14:textFill>
                  <w14:solidFill>
                    <w14:schemeClr w14:val="tx1"/>
                  </w14:solidFill>
                </w14:textFill>
              </w:rPr>
              <w:t>绿地与开敞空间用地</w:t>
            </w:r>
          </w:p>
        </w:tc>
        <w:tc>
          <w:tcPr>
            <w:tcW w:w="722" w:type="pct"/>
            <w:shd w:val="clear" w:color="auto" w:fill="auto"/>
            <w:vAlign w:val="center"/>
          </w:tcPr>
          <w:p w14:paraId="09385D36">
            <w:pPr>
              <w:pStyle w:val="33"/>
              <w:rPr>
                <w:color w:val="000000" w:themeColor="text1"/>
                <w14:textFill>
                  <w14:solidFill>
                    <w14:schemeClr w14:val="tx1"/>
                  </w14:solidFill>
                </w14:textFill>
              </w:rPr>
            </w:pPr>
            <w:r>
              <w:rPr>
                <w:color w:val="000000" w:themeColor="text1"/>
                <w14:textFill>
                  <w14:solidFill>
                    <w14:schemeClr w14:val="tx1"/>
                  </w14:solidFill>
                </w14:textFill>
              </w:rPr>
              <w:t>1.83</w:t>
            </w:r>
          </w:p>
        </w:tc>
        <w:tc>
          <w:tcPr>
            <w:tcW w:w="722" w:type="pct"/>
            <w:shd w:val="clear" w:color="auto" w:fill="auto"/>
            <w:vAlign w:val="center"/>
          </w:tcPr>
          <w:p w14:paraId="68B0D13B">
            <w:pPr>
              <w:pStyle w:val="33"/>
              <w:rPr>
                <w:color w:val="000000" w:themeColor="text1"/>
                <w14:textFill>
                  <w14:solidFill>
                    <w14:schemeClr w14:val="tx1"/>
                  </w14:solidFill>
                </w14:textFill>
              </w:rPr>
            </w:pPr>
            <w:r>
              <w:rPr>
                <w:color w:val="000000" w:themeColor="text1"/>
                <w14:textFill>
                  <w14:solidFill>
                    <w14:schemeClr w14:val="tx1"/>
                  </w14:solidFill>
                </w14:textFill>
              </w:rPr>
              <w:t>1.20</w:t>
            </w:r>
          </w:p>
        </w:tc>
      </w:tr>
      <w:tr w14:paraId="2315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pct"/>
            <w:shd w:val="clear" w:color="auto" w:fill="auto"/>
            <w:vAlign w:val="center"/>
          </w:tcPr>
          <w:p w14:paraId="4D5992DF">
            <w:pPr>
              <w:pStyle w:val="33"/>
              <w:rPr>
                <w:color w:val="000000" w:themeColor="text1"/>
                <w14:textFill>
                  <w14:solidFill>
                    <w14:schemeClr w14:val="tx1"/>
                  </w14:solidFill>
                </w14:textFill>
              </w:rPr>
            </w:pPr>
            <w:r>
              <w:rPr>
                <w:color w:val="000000" w:themeColor="text1"/>
                <w14:textFill>
                  <w14:solidFill>
                    <w14:schemeClr w14:val="tx1"/>
                  </w14:solidFill>
                </w14:textFill>
              </w:rPr>
              <w:t>17</w:t>
            </w:r>
          </w:p>
        </w:tc>
        <w:tc>
          <w:tcPr>
            <w:tcW w:w="722" w:type="pct"/>
            <w:shd w:val="clear" w:color="auto" w:fill="auto"/>
            <w:vAlign w:val="center"/>
          </w:tcPr>
          <w:p w14:paraId="11FC6B96">
            <w:pPr>
              <w:pStyle w:val="33"/>
              <w:rPr>
                <w:color w:val="000000" w:themeColor="text1"/>
                <w14:textFill>
                  <w14:solidFill>
                    <w14:schemeClr w14:val="tx1"/>
                  </w14:solidFill>
                </w14:textFill>
              </w:rPr>
            </w:pPr>
          </w:p>
        </w:tc>
        <w:tc>
          <w:tcPr>
            <w:tcW w:w="722" w:type="pct"/>
            <w:shd w:val="clear" w:color="auto" w:fill="auto"/>
            <w:vAlign w:val="center"/>
          </w:tcPr>
          <w:p w14:paraId="0D6830BB">
            <w:pPr>
              <w:pStyle w:val="33"/>
              <w:rPr>
                <w:color w:val="000000" w:themeColor="text1"/>
                <w14:textFill>
                  <w14:solidFill>
                    <w14:schemeClr w14:val="tx1"/>
                  </w14:solidFill>
                </w14:textFill>
              </w:rPr>
            </w:pPr>
          </w:p>
        </w:tc>
        <w:tc>
          <w:tcPr>
            <w:tcW w:w="1390" w:type="pct"/>
            <w:shd w:val="clear" w:color="auto" w:fill="auto"/>
            <w:vAlign w:val="center"/>
          </w:tcPr>
          <w:p w14:paraId="4B8C3D59">
            <w:pPr>
              <w:pStyle w:val="33"/>
              <w:rPr>
                <w:color w:val="000000" w:themeColor="text1"/>
                <w14:textFill>
                  <w14:solidFill>
                    <w14:schemeClr w14:val="tx1"/>
                  </w14:solidFill>
                </w14:textFill>
              </w:rPr>
            </w:pPr>
            <w:r>
              <w:rPr>
                <w:color w:val="000000" w:themeColor="text1"/>
                <w14:textFill>
                  <w14:solidFill>
                    <w14:schemeClr w14:val="tx1"/>
                  </w14:solidFill>
                </w14:textFill>
              </w:rPr>
              <w:t>陆地水域</w:t>
            </w:r>
          </w:p>
        </w:tc>
        <w:tc>
          <w:tcPr>
            <w:tcW w:w="722" w:type="pct"/>
            <w:shd w:val="clear" w:color="auto" w:fill="auto"/>
            <w:vAlign w:val="center"/>
          </w:tcPr>
          <w:p w14:paraId="672A997B">
            <w:pPr>
              <w:pStyle w:val="33"/>
              <w:rPr>
                <w:color w:val="000000" w:themeColor="text1"/>
                <w14:textFill>
                  <w14:solidFill>
                    <w14:schemeClr w14:val="tx1"/>
                  </w14:solidFill>
                </w14:textFill>
              </w:rPr>
            </w:pPr>
            <w:r>
              <w:rPr>
                <w:color w:val="000000" w:themeColor="text1"/>
                <w14:textFill>
                  <w14:solidFill>
                    <w14:schemeClr w14:val="tx1"/>
                  </w14:solidFill>
                </w14:textFill>
              </w:rPr>
              <w:t>1.10</w:t>
            </w:r>
          </w:p>
        </w:tc>
        <w:tc>
          <w:tcPr>
            <w:tcW w:w="722" w:type="pct"/>
            <w:shd w:val="clear" w:color="auto" w:fill="auto"/>
            <w:vAlign w:val="center"/>
          </w:tcPr>
          <w:p w14:paraId="5913A852">
            <w:pPr>
              <w:pStyle w:val="33"/>
              <w:rPr>
                <w:color w:val="000000" w:themeColor="text1"/>
                <w14:textFill>
                  <w14:solidFill>
                    <w14:schemeClr w14:val="tx1"/>
                  </w14:solidFill>
                </w14:textFill>
              </w:rPr>
            </w:pPr>
            <w:r>
              <w:rPr>
                <w:color w:val="000000" w:themeColor="text1"/>
                <w14:textFill>
                  <w14:solidFill>
                    <w14:schemeClr w14:val="tx1"/>
                  </w14:solidFill>
                </w14:textFill>
              </w:rPr>
              <w:t>0.71</w:t>
            </w:r>
          </w:p>
        </w:tc>
      </w:tr>
      <w:tr w14:paraId="569D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pct"/>
            <w:shd w:val="clear" w:color="auto" w:fill="auto"/>
            <w:vAlign w:val="center"/>
          </w:tcPr>
          <w:p w14:paraId="38D9CBDB">
            <w:pPr>
              <w:pStyle w:val="33"/>
              <w:rPr>
                <w:color w:val="000000" w:themeColor="text1"/>
                <w14:textFill>
                  <w14:solidFill>
                    <w14:schemeClr w14:val="tx1"/>
                  </w14:solidFill>
                </w14:textFill>
              </w:rPr>
            </w:pPr>
            <w:r>
              <w:rPr>
                <w:color w:val="000000" w:themeColor="text1"/>
                <w14:textFill>
                  <w14:solidFill>
                    <w14:schemeClr w14:val="tx1"/>
                  </w14:solidFill>
                </w14:textFill>
              </w:rPr>
              <w:t>　合计</w:t>
            </w:r>
          </w:p>
        </w:tc>
        <w:tc>
          <w:tcPr>
            <w:tcW w:w="722" w:type="pct"/>
            <w:shd w:val="clear" w:color="auto" w:fill="auto"/>
            <w:vAlign w:val="center"/>
          </w:tcPr>
          <w:p w14:paraId="38A0B796">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722" w:type="pct"/>
            <w:shd w:val="clear" w:color="auto" w:fill="auto"/>
            <w:vAlign w:val="center"/>
          </w:tcPr>
          <w:p w14:paraId="4324524C">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1390" w:type="pct"/>
            <w:shd w:val="clear" w:color="auto" w:fill="auto"/>
            <w:vAlign w:val="center"/>
          </w:tcPr>
          <w:p w14:paraId="6B675D92">
            <w:pPr>
              <w:pStyle w:val="33"/>
              <w:rPr>
                <w:color w:val="000000" w:themeColor="text1"/>
                <w14:textFill>
                  <w14:solidFill>
                    <w14:schemeClr w14:val="tx1"/>
                  </w14:solidFill>
                </w14:textFill>
              </w:rPr>
            </w:pPr>
            <w:r>
              <w:rPr>
                <w:color w:val="000000" w:themeColor="text1"/>
                <w14:textFill>
                  <w14:solidFill>
                    <w14:schemeClr w14:val="tx1"/>
                  </w14:solidFill>
                </w14:textFill>
              </w:rPr>
              <w:t>　</w:t>
            </w:r>
          </w:p>
        </w:tc>
        <w:tc>
          <w:tcPr>
            <w:tcW w:w="722" w:type="pct"/>
            <w:shd w:val="clear" w:color="auto" w:fill="auto"/>
            <w:vAlign w:val="center"/>
          </w:tcPr>
          <w:p w14:paraId="057EC4DB">
            <w:pPr>
              <w:pStyle w:val="33"/>
              <w:rPr>
                <w:color w:val="000000" w:themeColor="text1"/>
                <w14:textFill>
                  <w14:solidFill>
                    <w14:schemeClr w14:val="tx1"/>
                  </w14:solidFill>
                </w14:textFill>
              </w:rPr>
            </w:pPr>
            <w:r>
              <w:rPr>
                <w:color w:val="000000" w:themeColor="text1"/>
                <w14:textFill>
                  <w14:solidFill>
                    <w14:schemeClr w14:val="tx1"/>
                  </w14:solidFill>
                </w14:textFill>
              </w:rPr>
              <w:t>153.10</w:t>
            </w:r>
          </w:p>
        </w:tc>
        <w:tc>
          <w:tcPr>
            <w:tcW w:w="722" w:type="pct"/>
            <w:shd w:val="clear" w:color="auto" w:fill="auto"/>
            <w:vAlign w:val="center"/>
          </w:tcPr>
          <w:p w14:paraId="1B910AC8">
            <w:pPr>
              <w:pStyle w:val="33"/>
              <w:rPr>
                <w:color w:val="000000" w:themeColor="text1"/>
                <w14:textFill>
                  <w14:solidFill>
                    <w14:schemeClr w14:val="tx1"/>
                  </w14:solidFill>
                </w14:textFill>
              </w:rPr>
            </w:pPr>
            <w:r>
              <w:rPr>
                <w:color w:val="000000" w:themeColor="text1"/>
                <w14:textFill>
                  <w14:solidFill>
                    <w14:schemeClr w14:val="tx1"/>
                  </w14:solidFill>
                </w14:textFill>
              </w:rPr>
              <w:t>100</w:t>
            </w:r>
          </w:p>
        </w:tc>
      </w:tr>
      <w:bookmarkEnd w:id="104"/>
    </w:tbl>
    <w:p w14:paraId="55EC2665">
      <w:pPr>
        <w:pStyle w:val="4"/>
        <w:spacing w:before="120" w:after="120"/>
      </w:pPr>
      <w:r>
        <w:t>规划建设性质</w:t>
      </w:r>
    </w:p>
    <w:p w14:paraId="4A4EECC3">
      <w:pPr>
        <w:widowControl w:val="0"/>
        <w:ind w:firstLine="480"/>
        <w:rPr>
          <w:rFonts w:cs="Times New Roman"/>
          <w:color w:val="000000" w:themeColor="text1"/>
          <w:lang w:val="zh-CN"/>
          <w14:textFill>
            <w14:solidFill>
              <w14:schemeClr w14:val="tx1"/>
            </w14:solidFill>
          </w14:textFill>
        </w:rPr>
      </w:pPr>
      <w:r>
        <w:rPr>
          <w:rFonts w:cs="Times New Roman"/>
          <w:color w:val="000000" w:themeColor="text1"/>
          <w:lang w:val="zh-CN"/>
          <w14:textFill>
            <w14:solidFill>
              <w14:schemeClr w14:val="tx1"/>
            </w14:solidFill>
          </w14:textFill>
        </w:rPr>
        <w:t>包头金山经济开发区是自治区级工业园区，自治区工业循环经济试点示范园区，自治区及全国范围内的承接产业转移示范园区，包头稀土高新区合作共建园区，包头市山北地区协同发展合作共建园区及中蒙跨境工业园区加工园区，并位于沿黄河、沿交通干线主要产业发展带。大力发展循环经济，推动山北地区区域协同发展，主动承接包头市、自治区的产业转移及蒙古国资源进行生产加工。</w:t>
      </w:r>
    </w:p>
    <w:p w14:paraId="732D2F64">
      <w:pPr>
        <w:pStyle w:val="4"/>
        <w:spacing w:before="120" w:after="120"/>
      </w:pPr>
      <w:r>
        <w:t>包头金山经济开发区规模</w:t>
      </w:r>
    </w:p>
    <w:p w14:paraId="3F1BBD3D">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（1）用地规模</w:t>
      </w:r>
    </w:p>
    <w:p w14:paraId="5C1748A4">
      <w:pPr>
        <w:pStyle w:val="66"/>
      </w:pPr>
      <w:r>
        <w:t>根据《包头市人民政府关于确认开发区四至范围划定成果的函》，包头金山经济开发区包含2个地块，总面积为1267.72hm²。其中，地块1四至范围为东至明登转盘、南至胜利壕、西至国道210、北至固阳大道，面积1114.62hm²，地块2四至范围为东至学田会、南至白银合套、西至白银合套，北至省道311，面积153.10hm²。</w:t>
      </w:r>
    </w:p>
    <w:p w14:paraId="63A4AE2A">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（2）人口规模</w:t>
      </w:r>
    </w:p>
    <w:p w14:paraId="40738A02">
      <w:pPr>
        <w:pStyle w:val="66"/>
      </w:pPr>
      <w:r>
        <w:t>规划包头金山经济开发区是以工业生产为主的区域，且与金山镇新区仅一路相隔，故产业集中区内不考虑设置集中的居住用地，其人口规模是指工业用地内的就业人口及其家属，园区内的人口主要居住在金山镇中心城区内。</w:t>
      </w:r>
    </w:p>
    <w:p w14:paraId="093389C8">
      <w:pPr>
        <w:pStyle w:val="66"/>
      </w:pPr>
      <w:r>
        <w:t>按照各产业用地面积、产业性质及规模所确定的各产业用工总量，结合园区发展目标，</w:t>
      </w:r>
      <w:r>
        <w:rPr>
          <w:rFonts w:hint="eastAsia"/>
        </w:rPr>
        <w:t>目前园区人口规模约为</w:t>
      </w:r>
      <w:r>
        <w:t>5000</w:t>
      </w:r>
      <w:r>
        <w:rPr>
          <w:rFonts w:hint="eastAsia"/>
        </w:rPr>
        <w:t>人，</w:t>
      </w:r>
      <w:r>
        <w:t>预测2035年可安置就业人口数为2.55万人</w:t>
      </w:r>
      <w:r>
        <w:rPr>
          <w:rFonts w:hint="eastAsia"/>
        </w:rPr>
        <w:t>。</w:t>
      </w:r>
    </w:p>
    <w:p w14:paraId="552270A7">
      <w:pPr>
        <w:pStyle w:val="4"/>
        <w:spacing w:before="120" w:after="120"/>
      </w:pPr>
      <w:r>
        <w:t>产业发展空间布局</w:t>
      </w:r>
    </w:p>
    <w:p w14:paraId="4EC0CEBD">
      <w:pPr>
        <w:pStyle w:val="66"/>
      </w:pPr>
      <w:r>
        <w:t>结合《包头金山工业园区总体规划（2023～2035)》总体空间布局，根据园区地形地貌、水电、交通走向体系及产业布局现状要求，充分考虑区位交通特点和周边发展环境，按照循环经济产业链关系合理进行空间结构布局，力求同一主题的工业项目在空间上形成连续不间断区域，以突出规模效应和群体组合优势。同时坚持产业布局规划与基础设施规划布局最佳匹配、项目布局与区域环境关系协调发展原则，达到项目投资最省、利用最方便、开发成本最低，实现发展与自然的和谐统一。</w:t>
      </w:r>
    </w:p>
    <w:p w14:paraId="23AD9072">
      <w:pPr>
        <w:pStyle w:val="66"/>
      </w:pPr>
      <w:r>
        <w:t>综合考虑以上因素，包头金山经济开发区在原有规划的基础上进行调整，形成“一园两区”的工业格局。金山工业区现有区域依托希望集团、万泰、贺宝、汇豪镁业、奥原新材料等基础性产业，拓展下游产业链，重点发展先进有色金属、先进非金属材料和新能源材料产业。依托固阳县优质风、光资源，重点发展新能源装备制造产业。增加化工板块，重点发展工业硅、多晶硅、有机硅及下游深加工等新能源新材料化工产业，围绕“碳中和、碳达峰”目标，重点发展源网荷储、制氢储氢、氢能冶金化工等新型绿电冶金化工全产业链项目。通过节能技术改造和清洁能源应用，构建绿能冶金示范基地。创建“源网荷储”清洁能源消纳互补基地，推动增量配售网改革，形成“电价洼地”。</w:t>
      </w:r>
    </w:p>
    <w:p w14:paraId="4774A05F">
      <w:pPr>
        <w:pStyle w:val="4"/>
        <w:spacing w:before="120" w:after="120"/>
      </w:pPr>
      <w:r>
        <w:t>园区产业定位</w:t>
      </w:r>
    </w:p>
    <w:p w14:paraId="502DEF3E">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重点发展先进金属冶炼加工、新能源新材料制造产业；拟在包头金山经济开发区区域内培育金山园区化工集中区，该集中区依托丰富的硅石资源优势，重点发展工业硅、多晶硅、有机硅及下游深加工等新能源新材料化工产业，围绕“碳中和、碳达峰”目标，重点发展源网荷储、制氢储氢、氢能冶金化工等新型绿电冶金化工全产业链项目。</w:t>
      </w:r>
    </w:p>
    <w:p w14:paraId="55F703A4">
      <w:pPr>
        <w:pStyle w:val="4"/>
        <w:spacing w:before="120" w:after="120"/>
      </w:pPr>
      <w:r>
        <w:rPr>
          <w:rFonts w:hint="eastAsia"/>
        </w:rPr>
        <w:t>园区经济发展目标</w:t>
      </w:r>
    </w:p>
    <w:p w14:paraId="6D1A4BF8">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依托包头金山经济开发区现有经济基础，发挥园区及周边地区的资源优势，以及园区后发优势，巩固提高传统产业优势，培育新型产业发展优势，推进园区基础产业、新型产业共同发展。未来园区将打造金属冶炼及深加工、新能源及装备制造、固废综合利用、新型材料百亿以上产业集群，发展成为内蒙古自治区传统产业循环化改造示范园区、包头产业创新发展示范园区的主引擎。</w:t>
      </w:r>
    </w:p>
    <w:p w14:paraId="1E838F75">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突出工业主导地位做大做强。抓住包头打造世界“两都”契机，大力发展新能源及风光装备制造产业，壮大新材料产业，推进传统产业提档升级、战新产业提质扩量，以新能源带动新工业，全年实现工业产值300亿元。持续推进大规模、高质量的新能源开发，力争新增新能源装机200万千瓦年底并网，累计达410万千瓦。绘好光伏绿能“新画卷”，重点以硅产业为核心发展先进制造业，推动续建的东方日升、弘元硅产业系列项目全面投产，东方希望光伏型材、大全有机硅等项目开工建设，积极引进切片、电池片、焊带、支架、背板、坩埚等光伏配套项目；支持东方日升组件产能稳中有扩，推动“源网荷储”一体化发展。</w:t>
      </w:r>
    </w:p>
    <w:p w14:paraId="7292B05D">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吹响风电装备制造“协奏曲”，年内建成山东中车整机项目，与中国质量认证中心合建实验风场等检验检测基地；引进建设涵盖塔筒、叶片、发电机、齿轮箱、铸锻件、电气设备等风电装备制造和运维全产业链。推动新材料产业跑出发展“加速度”，全面完成吉宇、德顺合并重组、绿色改造，引进稀土多元合金光伏钢板项目；实施新恒丰再生铝项目，推进贺宝、万泰铝业稳产增产；启动凯顺镁业，推动圣泉科利源稀土合金材料项目投产。培育氢能产业实现“零突破”，加快推动化工监测点认定，推进中能建制氢储氢、华电科工电解槽、金风储能电池落地投产，谋划布局制氢电源、电解槽隔膜、加氢枪、制冷系统等产业。新产业占规上工业比重达到30%以上，园区产业集中度达到85%。明晰园区产业定位，按照集约节约原则，加快要素集聚，提高亩产效益，建设低碳园区。</w:t>
      </w:r>
    </w:p>
    <w:p w14:paraId="5C050664">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瞄准国内领先产业园区的产出标准和类似厂区的就业密度，结合周边相关园区土地产出率及规划范围可建设用地分析，对园区产业规模进行预测。</w:t>
      </w:r>
    </w:p>
    <w:p w14:paraId="4CBFFA9A">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规划到近期2025年园区总产值达到300亿元；规划期末2035年，园区总产值达到1000亿元，可容纳就业人口约2.55万人。</w:t>
      </w:r>
    </w:p>
    <w:p w14:paraId="76270D82">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表1-12                                   </w:t>
      </w:r>
      <w:r>
        <w:rPr>
          <w:rFonts w:hint="eastAsia"/>
          <w:color w:val="000000" w:themeColor="text1"/>
          <w:lang w:eastAsia="zh-CN"/>
          <w14:textFill>
            <w14:solidFill>
              <w14:schemeClr w14:val="tx1"/>
            </w14:solidFill>
          </w14:textFill>
        </w:rPr>
        <w:t>园区现有产业发展规模</w:t>
      </w:r>
    </w:p>
    <w:p w14:paraId="13A8809B">
      <w:pPr>
        <w:pStyle w:val="66"/>
        <w:ind w:firstLine="0" w:firstLineChars="0"/>
        <w:jc w:val="left"/>
      </w:pPr>
      <w:r>
        <w:drawing>
          <wp:inline distT="0" distB="0" distL="0" distR="0">
            <wp:extent cx="5760085" cy="4423410"/>
            <wp:effectExtent l="0" t="0" r="0" b="0"/>
            <wp:docPr id="237459169" name="图片 237459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459169" name="图片 237459169"/>
                    <pic:cNvPicPr>
                      <a:picLocks noChangeAspect="1"/>
                    </pic:cNvPicPr>
                  </pic:nvPicPr>
                  <pic:blipFill>
                    <a:blip r:embed="rId95" cstate="email"/>
                    <a:stretch>
                      <a:fillRect/>
                    </a:stretch>
                  </pic:blipFill>
                  <pic:spPr>
                    <a:xfrm>
                      <a:off x="0" y="0"/>
                      <a:ext cx="5760085" cy="4423410"/>
                    </a:xfrm>
                    <a:prstGeom prst="rect">
                      <a:avLst/>
                    </a:prstGeom>
                  </pic:spPr>
                </pic:pic>
              </a:graphicData>
            </a:graphic>
          </wp:inline>
        </w:drawing>
      </w:r>
    </w:p>
    <w:p w14:paraId="188EED02">
      <w:pPr>
        <w:widowControl w:val="0"/>
        <w:ind w:firstLine="480"/>
        <w:rPr>
          <w:rFonts w:cs="Times New Roman"/>
          <w:color w:val="000000" w:themeColor="text1"/>
          <w14:textFill>
            <w14:solidFill>
              <w14:schemeClr w14:val="tx1"/>
            </w14:solidFill>
          </w14:textFill>
        </w:rPr>
        <w:sectPr>
          <w:pgSz w:w="11907" w:h="16839"/>
          <w:pgMar w:top="1418" w:right="1418" w:bottom="1418" w:left="1418" w:header="850" w:footer="850" w:gutter="0"/>
          <w:cols w:space="720" w:num="1"/>
          <w:docGrid w:linePitch="326" w:charSpace="0"/>
        </w:sectPr>
      </w:pPr>
    </w:p>
    <w:p w14:paraId="64B68619">
      <w:pPr>
        <w:pStyle w:val="4"/>
        <w:spacing w:before="120" w:after="120"/>
      </w:pPr>
      <w:bookmarkStart w:id="106" w:name="_Toc85444542"/>
      <w:r>
        <w:t>道路交通规划</w:t>
      </w:r>
      <w:bookmarkEnd w:id="106"/>
    </w:p>
    <w:p w14:paraId="6FF2FC34">
      <w:pPr>
        <w:pStyle w:val="5"/>
        <w:rPr>
          <w:color w:val="000000" w:themeColor="text1"/>
          <w14:textFill>
            <w14:solidFill>
              <w14:schemeClr w14:val="tx1"/>
            </w14:solidFill>
          </w14:textFill>
        </w:rPr>
      </w:pPr>
      <w:r>
        <w:rPr>
          <w:color w:val="000000" w:themeColor="text1"/>
          <w14:textFill>
            <w14:solidFill>
              <w14:schemeClr w14:val="tx1"/>
            </w14:solidFill>
          </w14:textFill>
        </w:rPr>
        <w:t>地块1（金山产业园北区）</w:t>
      </w:r>
      <w:bookmarkStart w:id="107" w:name="_Hlk140669114"/>
      <w:r>
        <w:rPr>
          <w:color w:val="000000" w:themeColor="text1"/>
          <w14:textFill>
            <w14:solidFill>
              <w14:schemeClr w14:val="tx1"/>
            </w14:solidFill>
          </w14:textFill>
        </w:rPr>
        <w:t>道路交通规划</w:t>
      </w:r>
    </w:p>
    <w:bookmarkEnd w:id="107"/>
    <w:p w14:paraId="7291CBCA">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（1）对外交通规划</w:t>
      </w:r>
    </w:p>
    <w:p w14:paraId="113ED07C">
      <w:pPr>
        <w:widowControl w:val="0"/>
        <w:ind w:firstLine="480"/>
        <w:rPr>
          <w:rFonts w:cs="Times New Roman"/>
          <w:color w:val="000000" w:themeColor="text1"/>
          <w14:textFill>
            <w14:solidFill>
              <w14:schemeClr w14:val="tx1"/>
            </w14:solidFill>
          </w14:textFill>
        </w:rPr>
      </w:pPr>
      <w:bookmarkStart w:id="108" w:name="_Hlk141797030"/>
      <w:r>
        <w:rPr>
          <w:rFonts w:cs="Times New Roman"/>
          <w:color w:val="000000" w:themeColor="text1"/>
          <w14:textFill>
            <w14:solidFill>
              <w14:schemeClr w14:val="tx1"/>
            </w14:solidFill>
          </w14:textFill>
        </w:rPr>
        <w:t>1）区域交通设施现状：</w:t>
      </w:r>
    </w:p>
    <w:p w14:paraId="5425ADC6">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包白公路（S210）：位于园区西侧，南接包头市，北至白云鄂博。</w:t>
      </w:r>
    </w:p>
    <w:p w14:paraId="659F31C9">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S311省道：位于园区东侧，西至巴彦淖尔市，东至武川县。</w:t>
      </w:r>
    </w:p>
    <w:p w14:paraId="06F4450D">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固石公路：位于园区东侧，向东南方向与石拐区相连。</w:t>
      </w:r>
    </w:p>
    <w:p w14:paraId="3D4FD92F">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包固一级公路：位于园区北侧，西与包头市相连，东至明灯村。</w:t>
      </w:r>
    </w:p>
    <w:p w14:paraId="4C655BA7">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包百一级公路（S211）：由园区北侧一级公路环岛向北通向百灵庙。</w:t>
      </w:r>
    </w:p>
    <w:p w14:paraId="1957A1CE">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2）铁路</w:t>
      </w:r>
    </w:p>
    <w:p w14:paraId="6654A1BD">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固阳县金山镇在园区南侧拟建一条铁路线，由明安站（包头—白云鄂博铁路线）出发到包头金山经济开发区，铁路总长度27.854km，并在园区南侧干河槽处拟建货运站点。铁路的建设可为园区的货运流通提供高效的服务。铁路目前还未建设。</w:t>
      </w:r>
    </w:p>
    <w:p w14:paraId="38A0935D">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3）公路</w:t>
      </w:r>
    </w:p>
    <w:p w14:paraId="5A07E4A1">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规划范围</w:t>
      </w:r>
      <w:bookmarkStart w:id="109" w:name="_Hlk87537701"/>
      <w:r>
        <w:rPr>
          <w:rFonts w:cs="Times New Roman"/>
          <w:color w:val="000000" w:themeColor="text1"/>
          <w14:textFill>
            <w14:solidFill>
              <w14:schemeClr w14:val="tx1"/>
            </w14:solidFill>
          </w14:textFill>
        </w:rPr>
        <w:t>东、西、北三面均有良好的对外交通出入口，分别为西侧的包白公路（S210）、北侧的包固一级公路、包百一级公路（S211）、S311省道以及东侧的固石公路，</w:t>
      </w:r>
      <w:bookmarkEnd w:id="109"/>
      <w:r>
        <w:rPr>
          <w:rFonts w:cs="Times New Roman"/>
          <w:color w:val="000000" w:themeColor="text1"/>
          <w14:textFill>
            <w14:solidFill>
              <w14:schemeClr w14:val="tx1"/>
            </w14:solidFill>
          </w14:textFill>
        </w:rPr>
        <w:t>包白公路（S210）红线宽度为40m，包固一级公路红线宽度为70m，其余两条公路红线宽度均为50m。对外公路目前已建设完成。</w:t>
      </w:r>
    </w:p>
    <w:bookmarkEnd w:id="108"/>
    <w:p w14:paraId="2043550B">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（2）内部交通规划</w:t>
      </w:r>
    </w:p>
    <w:p w14:paraId="38C341B8">
      <w:pPr>
        <w:widowControl w:val="0"/>
        <w:spacing w:before="96" w:beforeLines="4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根据园区的用地结构及地形特点，规划采用方格网为主的路网形式，体现园区道路便捷、通达性强的特点。</w:t>
      </w:r>
    </w:p>
    <w:p w14:paraId="7AF2BA2C">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规划园区道路分为两级：主干路和次干路。主干路设计车速为40—60km/h，次干路设计车速为40km/h。</w:t>
      </w:r>
    </w:p>
    <w:p w14:paraId="0D611248">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规划园区主干路为一横两纵，道路间距为800</w:t>
      </w:r>
      <w:r>
        <w:rPr>
          <w:rFonts w:eastAsia="微软雅黑"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2000m。一横为纬三路两纵为经二路及经四路，其中经二路和经四路向北延伸至包固一级公路，是园区对外联系的重要通道。规划经二路和经四路红线宽度均为30m，纬三路的红线宽度为30m，道路断面为一块板形式。</w:t>
      </w:r>
    </w:p>
    <w:p w14:paraId="3F47BA2B">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规划园区次干路中，纬一路和纬二路扩建段红线宽度为50m，纬二西路、纬二中路（电厂北侧）、纬二东路、经三路（电厂西侧）、经一路红线宽度均为40m，支一路北段（原经一路）、纬一路西段（经1路-经2路段）红线宽度均为30m。道路间距为500m—1000m，道路断面均为一块板式。规划园区内部道路的交叉口形式主要为平面交叉的形式。</w:t>
      </w:r>
    </w:p>
    <w:p w14:paraId="57EEE311">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园区道路建设情况表1-6，地块1（金山产业园北区）道路规划见附图9，地块2（下湿壕片区）道路规划见附图24。</w:t>
      </w:r>
    </w:p>
    <w:p w14:paraId="73DC960C">
      <w:pPr>
        <w:pStyle w:val="5"/>
        <w:numPr>
          <w:ilvl w:val="3"/>
          <w:numId w:val="2"/>
        </w:numPr>
        <w:rPr>
          <w:color w:val="000000" w:themeColor="text1"/>
          <w14:textFill>
            <w14:solidFill>
              <w14:schemeClr w14:val="tx1"/>
            </w14:solidFill>
          </w14:textFill>
        </w:rPr>
      </w:pPr>
      <w:r>
        <w:rPr>
          <w:color w:val="000000" w:themeColor="text1"/>
          <w14:textFill>
            <w14:solidFill>
              <w14:schemeClr w14:val="tx1"/>
            </w14:solidFill>
          </w14:textFill>
        </w:rPr>
        <w:t>地块2（下湿壕片区）道路交通规划</w:t>
      </w:r>
    </w:p>
    <w:p w14:paraId="2B71FE62">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地块2（下湿壕片区）北侧有S311(武海线)，修建两条次干道向北延伸与S311相接，道路红线宽度30m。</w:t>
      </w:r>
    </w:p>
    <w:p w14:paraId="0FD83FD2">
      <w:pPr>
        <w:pStyle w:val="4"/>
        <w:spacing w:before="120" w:after="120"/>
      </w:pPr>
      <w:bookmarkStart w:id="110" w:name="_Toc85444543"/>
      <w:r>
        <w:t>绿地系统规划</w:t>
      </w:r>
      <w:bookmarkEnd w:id="110"/>
    </w:p>
    <w:p w14:paraId="18ED798A">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规划包头金山经济开发区不设置公园绿地，在各工业用地和其他用地之间均设置绿化隔离带，地块1（金山产业园北区）规划防护绿地面积为3.54hm²，地块2（下湿壕片区）规划防护绿地面积为1.83hm²。</w:t>
      </w:r>
    </w:p>
    <w:p w14:paraId="02D166DB">
      <w:pPr>
        <w:pStyle w:val="4"/>
        <w:spacing w:before="120" w:after="120"/>
      </w:pPr>
      <w:r>
        <w:t>供电工程规划</w:t>
      </w:r>
    </w:p>
    <w:p w14:paraId="299E2A71">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（1）电力负荷预测</w:t>
      </w:r>
    </w:p>
    <w:p w14:paraId="63C63376">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根据《城市电力规划规范》（GB/50293-2014)和固阳县现状城镇用地负荷密度，对园区的电力负荷采用规划单位建设用地指标法进行预测。计算得出园区最大用电负荷为55.038万KW。</w:t>
      </w:r>
    </w:p>
    <w:p w14:paraId="15207591">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（2）电源与配电电压</w:t>
      </w:r>
    </w:p>
    <w:p w14:paraId="2AAD342C">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220KV变电站作为整个园区的主供电源，向园区提供110/35/10KV等级供电线路。规划220KV变电站深入负荷中心，按配电网络设计，采用放射型网格和T接型网络供电。</w:t>
      </w:r>
    </w:p>
    <w:p w14:paraId="44F6EB33">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（3）高压走廊及防护要求</w:t>
      </w:r>
    </w:p>
    <w:p w14:paraId="02F498F9">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220KV及110KV线路采用架空敷设。架空线路按规划预留的高压走廊统一布置，走廊控制宽度为：35KV按15-20m控制，110KV按15-25m控制，220KV按30-40m控制，500KV按60-75m控制。</w:t>
      </w:r>
    </w:p>
    <w:p w14:paraId="146327DC">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（4）供电现有工程</w:t>
      </w:r>
    </w:p>
    <w:p w14:paraId="3C7D5450">
      <w:pPr>
        <w:widowControl w:val="0"/>
        <w:ind w:firstLine="480"/>
        <w:contextualSpacing/>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现状包头金山经济开发区西侧有220KV变电站一座（固南变)，容量为180MW，在园区南侧有500KV变电站一座（固阳变)，容量为750MW。</w:t>
      </w:r>
    </w:p>
    <w:p w14:paraId="2F5C3F8A">
      <w:pPr>
        <w:widowControl w:val="0"/>
        <w:ind w:firstLine="480"/>
        <w:contextualSpacing/>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园区范围内现状有万胜220KV变电站、包钢110固阳矿山变电站、明登110KV变电站。</w:t>
      </w:r>
      <w:bookmarkStart w:id="111" w:name="_Toc85444544"/>
    </w:p>
    <w:p w14:paraId="057DD146">
      <w:pPr>
        <w:pStyle w:val="4"/>
        <w:spacing w:before="120" w:after="120"/>
      </w:pPr>
      <w:r>
        <w:t>给排水规划</w:t>
      </w:r>
      <w:bookmarkEnd w:id="111"/>
    </w:p>
    <w:p w14:paraId="79AC096C">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（1）供水规划</w:t>
      </w:r>
    </w:p>
    <w:p w14:paraId="224CDBED">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1）工业用水工程规划</w:t>
      </w:r>
    </w:p>
    <w:p w14:paraId="37E1CF3D">
      <w:pPr>
        <w:widowControl w:val="0"/>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①</w:t>
      </w:r>
      <w:r>
        <w:rPr>
          <w:rFonts w:cs="Times New Roman"/>
          <w:color w:val="000000" w:themeColor="text1"/>
          <w14:textFill>
            <w14:solidFill>
              <w14:schemeClr w14:val="tx1"/>
            </w14:solidFill>
          </w14:textFill>
        </w:rPr>
        <w:t>工业用水现状</w:t>
      </w:r>
    </w:p>
    <w:p w14:paraId="020F395D">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的工业用水主要水源为包头市大青山生态供水工程的包头——固阳输水管道工程，该工程年供水能力4000万m³，起点为包头市大青山生态供水工程的2号泵站，终点为包头金山经济开发区，主要为固阳县工业、农业、生活以及生态建设提供用水水源。</w:t>
      </w:r>
    </w:p>
    <w:p w14:paraId="41A58012">
      <w:pPr>
        <w:widowControl w:val="0"/>
        <w:ind w:firstLine="480"/>
        <w:rPr>
          <w:rFonts w:cs="Times New Roman"/>
          <w:color w:val="000000" w:themeColor="text1"/>
          <w14:textFill>
            <w14:solidFill>
              <w14:schemeClr w14:val="tx1"/>
            </w14:solidFill>
          </w14:textFill>
        </w:rPr>
      </w:pPr>
      <w:bookmarkStart w:id="112" w:name="_Hlk141798258"/>
      <w:r>
        <w:rPr>
          <w:rFonts w:cs="Times New Roman"/>
          <w:color w:val="000000" w:themeColor="text1"/>
          <w14:textFill>
            <w14:solidFill>
              <w14:schemeClr w14:val="tx1"/>
            </w14:solidFill>
          </w14:textFill>
        </w:rPr>
        <w:t>园区已建供水厂一座，位于园区外东南侧的地势较高处，设计处理规模为4.7万m³/d。供水厂占地3.2hm²。</w:t>
      </w:r>
    </w:p>
    <w:bookmarkEnd w:id="112"/>
    <w:p w14:paraId="25CCEF5E">
      <w:pPr>
        <w:widowControl w:val="0"/>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②</w:t>
      </w:r>
      <w:r>
        <w:rPr>
          <w:rFonts w:cs="Times New Roman"/>
          <w:color w:val="000000" w:themeColor="text1"/>
          <w14:textFill>
            <w14:solidFill>
              <w14:schemeClr w14:val="tx1"/>
            </w14:solidFill>
          </w14:textFill>
        </w:rPr>
        <w:t>工业用水需求预测</w:t>
      </w:r>
    </w:p>
    <w:p w14:paraId="26443EFD">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企业现状年用水量561.4万m³/年，依据园区产业发展规划，规划实施后，预计园区总的年工业用水量为3500万m³/a。工业用水由包头－固阳输水管道工程与中水联合供给。包头－固阳输水管道工程由位于包头钢铁集团厂区内的申银集团黄河净水厂为起点。现状该供水工程已经建设完成，投入使用，可以满足园区规划产业发展用水的需求。</w:t>
      </w:r>
    </w:p>
    <w:p w14:paraId="4E2F12EA">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2）生活给水工程规划</w:t>
      </w:r>
    </w:p>
    <w:p w14:paraId="35DD9B3E">
      <w:pPr>
        <w:widowControl w:val="0"/>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①</w:t>
      </w:r>
      <w:r>
        <w:rPr>
          <w:rFonts w:cs="Times New Roman"/>
          <w:color w:val="000000" w:themeColor="text1"/>
          <w14:textFill>
            <w14:solidFill>
              <w14:schemeClr w14:val="tx1"/>
            </w14:solidFill>
          </w14:textFill>
        </w:rPr>
        <w:t>生活给水水源</w:t>
      </w:r>
    </w:p>
    <w:p w14:paraId="5F71893C">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生活用水接金山镇市政供水管网，依据《固阳县国土空间总体规划（2021-2035）》，金山镇中心城区水源地位于阿塔山水库。阿塔山水库位于黄河支流昆都仑河上游，距离固阳县城约4km，是一座以供水、防洪为主，兼有拦沙功能的综合利用水利枢纽工程。满足园区生活用水需求。</w:t>
      </w:r>
    </w:p>
    <w:p w14:paraId="59062E82">
      <w:pPr>
        <w:widowControl w:val="0"/>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②</w:t>
      </w:r>
      <w:r>
        <w:rPr>
          <w:rFonts w:cs="Times New Roman"/>
          <w:color w:val="000000" w:themeColor="text1"/>
          <w14:textFill>
            <w14:solidFill>
              <w14:schemeClr w14:val="tx1"/>
            </w14:solidFill>
          </w14:textFill>
        </w:rPr>
        <w:t>生活用水量预测</w:t>
      </w:r>
    </w:p>
    <w:p w14:paraId="787CA5DB">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园区规划，园区人口规模为3.51万人。根据《城市居民生活用水量标准》(GB/T50331-2002)，内蒙古地区的城市居民生活用水量为80~135L/人·d，平均日综合生活用水定额取110L/人·d，考虑生活区不在工业园区范围内，按照以上标准的一半计算，则规划期末园区用水量为1485m³/d。</w:t>
      </w:r>
    </w:p>
    <w:p w14:paraId="7A988F69">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（2）排水工程规划</w:t>
      </w:r>
    </w:p>
    <w:p w14:paraId="6E298FFE">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1）污水工程规划</w:t>
      </w:r>
    </w:p>
    <w:p w14:paraId="11BE051A">
      <w:pPr>
        <w:widowControl w:val="0"/>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①</w:t>
      </w:r>
      <w:r>
        <w:rPr>
          <w:rFonts w:cs="Times New Roman"/>
          <w:color w:val="000000" w:themeColor="text1"/>
          <w14:textFill>
            <w14:solidFill>
              <w14:schemeClr w14:val="tx1"/>
            </w14:solidFill>
          </w14:textFill>
        </w:rPr>
        <w:t>污水处理方式</w:t>
      </w:r>
    </w:p>
    <w:p w14:paraId="456FF8C6">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工业污水由厂区自行处理，达到排放标准后排入到园区内的市政管道进入污水处理厂。本园区生活污水由工业园区规划小型污水处理厂处理。包头金山经济开发区污水处理厂选址位于园区西南侧，处理规模0.5万吨/d，园区内的生活污水通过污水管网排入到污水处理厂内处理，达到排放标准后排入到园区内的绿地及</w:t>
      </w:r>
      <w:r>
        <w:rPr>
          <w:rFonts w:hint="eastAsia" w:cs="Times New Roman"/>
          <w:color w:val="000000" w:themeColor="text1"/>
          <w14:textFill>
            <w14:solidFill>
              <w14:schemeClr w14:val="tx1"/>
            </w14:solidFill>
          </w14:textFill>
        </w:rPr>
        <w:t>排水明沟（暗管）</w:t>
      </w:r>
      <w:r>
        <w:rPr>
          <w:rFonts w:cs="Times New Roman"/>
          <w:color w:val="000000" w:themeColor="text1"/>
          <w14:textFill>
            <w14:solidFill>
              <w14:schemeClr w14:val="tx1"/>
            </w14:solidFill>
          </w14:textFill>
        </w:rPr>
        <w:t>内。</w:t>
      </w:r>
    </w:p>
    <w:p w14:paraId="4AC530B3">
      <w:pPr>
        <w:widowControl w:val="0"/>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②</w:t>
      </w:r>
      <w:r>
        <w:rPr>
          <w:rFonts w:cs="Times New Roman"/>
          <w:color w:val="000000" w:themeColor="text1"/>
          <w14:textFill>
            <w14:solidFill>
              <w14:schemeClr w14:val="tx1"/>
            </w14:solidFill>
          </w14:textFill>
        </w:rPr>
        <w:t>污水量预测</w:t>
      </w:r>
    </w:p>
    <w:p w14:paraId="61857D32">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园区生活污水量按生活给水量估算，污水排放系数取0.85，日变化系数取1.3，预测规划期末园区最高日生活污水量约为1641m³/d。</w:t>
      </w:r>
    </w:p>
    <w:p w14:paraId="67DCA1F0">
      <w:pPr>
        <w:widowControl w:val="0"/>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③</w:t>
      </w:r>
      <w:r>
        <w:rPr>
          <w:rFonts w:cs="Times New Roman"/>
          <w:color w:val="000000" w:themeColor="text1"/>
          <w14:textFill>
            <w14:solidFill>
              <w14:schemeClr w14:val="tx1"/>
            </w14:solidFill>
          </w14:textFill>
        </w:rPr>
        <w:t>污水管网规划</w:t>
      </w:r>
    </w:p>
    <w:p w14:paraId="22180992">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污水管线的布置原则是尽可能利用有利地形，使污水管道的坡度与地面一致，以减少管道的埋深，尽可能减少或少设中途泵站。污水干管一般沿道路布置，通常设置在机动车道下，尽可能避免穿越河道等障碍物，尽量减少与其他地下管线交叉，沿纬二路、纬三路设污水干管，管径为D600—D1000，其他道路下污水管管径不小于D400。</w:t>
      </w:r>
    </w:p>
    <w:p w14:paraId="3C9AD402">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2）中水利用</w:t>
      </w:r>
    </w:p>
    <w:p w14:paraId="56104B8E">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污水处理厂的中水主要作为为园区浇洒道路及绿化用水。规划沿纬二路、纬三路设中水管，管径为DN300mm—DN600mm。</w:t>
      </w:r>
    </w:p>
    <w:p w14:paraId="249FDB5A">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3）雨水工程规划</w:t>
      </w:r>
    </w:p>
    <w:p w14:paraId="7B854DB9">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结合包头金山经济开发区新建道路，逐步完善雨水排除系统。优先建设污水系统，但新建道路必须同时建设雨水管沟，以避免今后对道路进行开挖。污水处理厂的中水主要作为园区浇洒道路及绿化用水。规划沿纬二路西段、纬三路设中水管。</w:t>
      </w:r>
    </w:p>
    <w:p w14:paraId="4BE03CC7">
      <w:pPr>
        <w:widowControl w:val="0"/>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结合包头金山经济开发区的排水实际情况，充分利用其南侧的河渠作为雨水收集湿地，建议通过雨水截流和渗透系统，生态功能区雨水利用系统来建设海绵城市。具体来说，道路雨水可以通过排水明沟或暗管排入沿途的大型蓄水池或通过渗透方式补充地下水。同时，各个功能区可以沿着排水道修建可渗透的浅沟，表面植有草皮，供雨水径流时下渗。对于超过渗透能力的雨水，我们可以将其引入南排沟雨水湿地，既可以作为水景，也可以继续下渗，达到雨水的有效利用和生态保护的目的。</w:t>
      </w:r>
    </w:p>
    <w:p w14:paraId="4734BCBC">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（3）基础设施管网布置</w:t>
      </w:r>
    </w:p>
    <w:p w14:paraId="5FB9B615">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包头金山经济开发区已完成配套的各类管网中，已建污水管线22289m，雨水管线27189m，生活给水管线24744m，工业给水管线13741m，中水管线32993m。</w:t>
      </w:r>
    </w:p>
    <w:p w14:paraId="7E3993C1">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包头金山经济开发区基础设施各类管线完成统计见表1-7。</w:t>
      </w:r>
    </w:p>
    <w:p w14:paraId="089861EC">
      <w:pPr>
        <w:pStyle w:val="4"/>
        <w:spacing w:before="120" w:after="120"/>
      </w:pPr>
      <w:r>
        <w:t>控制指标体系</w:t>
      </w:r>
    </w:p>
    <w:p w14:paraId="4A00E499">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(一)容积率</w:t>
      </w:r>
    </w:p>
    <w:p w14:paraId="493BD031">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二类工业用地、三类工业用地：≥0.6；≤1.5；</w:t>
      </w:r>
    </w:p>
    <w:p w14:paraId="1A320AB5">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加油站加气站用地、排水用地（污水提升泵站）供热用地、消防用地、供燃气用地、供电用地、供水用地：≥0.6；</w:t>
      </w:r>
    </w:p>
    <w:p w14:paraId="740B7B0B">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一类物流仓储用地：≥1.2；</w:t>
      </w:r>
    </w:p>
    <w:p w14:paraId="6A39075A">
      <w:pPr>
        <w:widowControl w:val="0"/>
        <w:ind w:firstLine="480"/>
        <w:rPr>
          <w:rFonts w:cs="Times New Roman"/>
          <w:b/>
          <w:bCs/>
          <w:color w:val="000000" w:themeColor="text1"/>
          <w14:textFill>
            <w14:solidFill>
              <w14:schemeClr w14:val="tx1"/>
            </w14:solidFill>
          </w14:textFill>
        </w:rPr>
      </w:pPr>
      <w:r>
        <w:rPr>
          <w:rFonts w:cs="Times New Roman"/>
          <w:color w:val="000000" w:themeColor="text1"/>
          <w14:textFill>
            <w14:solidFill>
              <w14:schemeClr w14:val="tx1"/>
            </w14:solidFill>
          </w14:textFill>
        </w:rPr>
        <w:t>行政办公用地：≥1.5；</w:t>
      </w:r>
    </w:p>
    <w:p w14:paraId="6D763F84">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(二)建筑密度</w:t>
      </w:r>
    </w:p>
    <w:p w14:paraId="0BBE410A">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二类工业用地、三类工业用地：≥40；</w:t>
      </w:r>
    </w:p>
    <w:p w14:paraId="74C80EB6">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加油站加气站用地、排水用地（污水提升泵站）供热用地、消防用地、供燃气用地、供电用地、供水用地：≥35；</w:t>
      </w:r>
    </w:p>
    <w:p w14:paraId="78EE5240">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一类物流仓储用地：≥50；</w:t>
      </w:r>
    </w:p>
    <w:p w14:paraId="76FBF291">
      <w:pPr>
        <w:widowControl w:val="0"/>
        <w:ind w:firstLine="480"/>
        <w:rPr>
          <w:rFonts w:cs="Times New Roman"/>
          <w:b/>
          <w:bCs/>
          <w:color w:val="000000" w:themeColor="text1"/>
          <w14:textFill>
            <w14:solidFill>
              <w14:schemeClr w14:val="tx1"/>
            </w14:solidFill>
          </w14:textFill>
        </w:rPr>
      </w:pPr>
      <w:r>
        <w:rPr>
          <w:rFonts w:cs="Times New Roman"/>
          <w:color w:val="000000" w:themeColor="text1"/>
          <w14:textFill>
            <w14:solidFill>
              <w14:schemeClr w14:val="tx1"/>
            </w14:solidFill>
          </w14:textFill>
        </w:rPr>
        <w:t>行政办公用地：≥35；</w:t>
      </w:r>
    </w:p>
    <w:p w14:paraId="7219B749">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(三)绿地率</w:t>
      </w:r>
    </w:p>
    <w:p w14:paraId="357CF61F">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二类工业用地、三类工业用地：≤20；</w:t>
      </w:r>
    </w:p>
    <w:p w14:paraId="6FACF056">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加油站加气站用地、消防用地、供燃气用地、供电用地：≥25；</w:t>
      </w:r>
    </w:p>
    <w:p w14:paraId="04D5C273">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排水用地（污水提升泵站）、供热用地：≥35；</w:t>
      </w:r>
    </w:p>
    <w:p w14:paraId="55759D5C">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供水用地：≥30；</w:t>
      </w:r>
    </w:p>
    <w:p w14:paraId="6531A32C">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一类物流仓储用地：≥25；</w:t>
      </w:r>
    </w:p>
    <w:p w14:paraId="4782BAFD">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行政办公用地：≥90；</w:t>
      </w:r>
    </w:p>
    <w:p w14:paraId="15E74569">
      <w:pPr>
        <w:widowControl w:val="0"/>
        <w:ind w:firstLine="480"/>
        <w:rPr>
          <w:rFonts w:cs="Times New Roman"/>
          <w:b/>
          <w:bCs/>
          <w:color w:val="000000" w:themeColor="text1"/>
          <w14:textFill>
            <w14:solidFill>
              <w14:schemeClr w14:val="tx1"/>
            </w14:solidFill>
          </w14:textFill>
        </w:rPr>
      </w:pPr>
      <w:r>
        <w:rPr>
          <w:rFonts w:cs="Times New Roman"/>
          <w:color w:val="000000" w:themeColor="text1"/>
          <w14:textFill>
            <w14:solidFill>
              <w14:schemeClr w14:val="tx1"/>
            </w14:solidFill>
          </w14:textFill>
        </w:rPr>
        <w:t>防护绿地：≥90；</w:t>
      </w:r>
    </w:p>
    <w:p w14:paraId="0664E397">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(四)建筑高度控制</w:t>
      </w:r>
    </w:p>
    <w:p w14:paraId="780BA466">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二类工业用地、三类工业用地：≥24；</w:t>
      </w:r>
    </w:p>
    <w:p w14:paraId="6373F9CC">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加油站加气站用地、排水用地（污水提升泵站）供热用地、消防用地、供燃气用地、供电用地、供水用地：≥12；</w:t>
      </w:r>
    </w:p>
    <w:p w14:paraId="406C138F">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一类物流仓储用地：≥24；</w:t>
      </w:r>
    </w:p>
    <w:p w14:paraId="799C5D1F">
      <w:pPr>
        <w:widowControl w:val="0"/>
        <w:ind w:firstLine="480"/>
        <w:rPr>
          <w:rFonts w:cs="Times New Roman"/>
          <w:b/>
          <w:bCs/>
          <w:color w:val="000000" w:themeColor="text1"/>
          <w14:textFill>
            <w14:solidFill>
              <w14:schemeClr w14:val="tx1"/>
            </w14:solidFill>
          </w14:textFill>
        </w:rPr>
      </w:pPr>
      <w:r>
        <w:rPr>
          <w:rFonts w:cs="Times New Roman"/>
          <w:color w:val="000000" w:themeColor="text1"/>
          <w14:textFill>
            <w14:solidFill>
              <w14:schemeClr w14:val="tx1"/>
            </w14:solidFill>
          </w14:textFill>
        </w:rPr>
        <w:t>行政办公用地：≥24；</w:t>
      </w:r>
    </w:p>
    <w:p w14:paraId="3AD47862">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(五)工业地块上限制的设施</w:t>
      </w:r>
    </w:p>
    <w:p w14:paraId="7465EB9A">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园区工业用地内可兼容工业项目所需行政办公及生活服务设施用地面积不得超过工业项目总用地面积的7%。</w:t>
      </w:r>
    </w:p>
    <w:p w14:paraId="41AA10A0">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工业用地绿地率不得超过20%</w:t>
      </w:r>
      <w:r>
        <w:rPr>
          <w:rFonts w:hint="eastAsia" w:cs="Times New Roman"/>
          <w:color w:val="000000" w:themeColor="text1"/>
          <w14:textFill>
            <w14:solidFill>
              <w14:schemeClr w14:val="tx1"/>
            </w14:solidFill>
          </w14:textFill>
        </w:rPr>
        <w:t>。</w:t>
      </w:r>
    </w:p>
    <w:p w14:paraId="4D79B7D7">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规划区内各类建筑的间距控制，应符合《包头市城乡规划技术规定》相关章节的规定。除需遵循上述退界要求外，园区内已建成的市政管网两侧的建(构)筑物，需各退让市政管线5</w:t>
      </w:r>
      <w:r>
        <w:rPr>
          <w:rFonts w:hint="eastAsia" w:cs="Times New Roman"/>
          <w:color w:val="000000" w:themeColor="text1"/>
          <w14:textFill>
            <w14:solidFill>
              <w14:schemeClr w14:val="tx1"/>
            </w14:solidFill>
          </w14:textFill>
        </w:rPr>
        <w:t>m</w:t>
      </w:r>
      <w:r>
        <w:rPr>
          <w:rFonts w:cs="Times New Roman"/>
          <w:color w:val="000000" w:themeColor="text1"/>
          <w14:textFill>
            <w14:solidFill>
              <w14:schemeClr w14:val="tx1"/>
            </w14:solidFill>
          </w14:textFill>
        </w:rPr>
        <w:t>。</w:t>
      </w:r>
    </w:p>
    <w:p w14:paraId="36FAF31C">
      <w:pPr>
        <w:widowControl w:val="0"/>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园区各类用地控制性指标见表1</w:t>
      </w:r>
      <w:r>
        <w:rPr>
          <w:rFonts w:cs="Times New Roman"/>
          <w:color w:val="000000" w:themeColor="text1"/>
          <w14:textFill>
            <w14:solidFill>
              <w14:schemeClr w14:val="tx1"/>
            </w14:solidFill>
          </w14:textFill>
        </w:rPr>
        <w:t>-13</w:t>
      </w:r>
      <w:r>
        <w:rPr>
          <w:rFonts w:hint="eastAsia" w:cs="Times New Roman"/>
          <w:color w:val="000000" w:themeColor="text1"/>
          <w14:textFill>
            <w14:solidFill>
              <w14:schemeClr w14:val="tx1"/>
            </w14:solidFill>
          </w14:textFill>
        </w:rPr>
        <w:t>。</w:t>
      </w:r>
    </w:p>
    <w:p w14:paraId="431FF1EC">
      <w:pPr>
        <w:pStyle w:val="44"/>
        <w:rPr>
          <w:color w:val="000000" w:themeColor="text1"/>
          <w14:textFill>
            <w14:solidFill>
              <w14:schemeClr w14:val="tx1"/>
            </w14:solidFill>
          </w14:textFill>
        </w:rPr>
      </w:pPr>
      <w:r>
        <w:rPr>
          <w:color w:val="000000" w:themeColor="text1"/>
          <w14:textFill>
            <w14:solidFill>
              <w14:schemeClr w14:val="tx1"/>
            </w14:solidFill>
          </w14:textFill>
        </w:rPr>
        <w:t>表1-13                                           园区控制性指标</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2251"/>
        <w:gridCol w:w="1558"/>
        <w:gridCol w:w="1558"/>
        <w:gridCol w:w="1559"/>
        <w:gridCol w:w="1494"/>
      </w:tblGrid>
      <w:tr w14:paraId="6CF1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7" w:type="pct"/>
            <w:tcBorders>
              <w:bottom w:val="double" w:color="auto" w:sz="4" w:space="0"/>
            </w:tcBorders>
            <w:vAlign w:val="center"/>
          </w:tcPr>
          <w:p w14:paraId="3BCCBD10">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序号</w:t>
            </w:r>
          </w:p>
        </w:tc>
        <w:tc>
          <w:tcPr>
            <w:tcW w:w="1212" w:type="pct"/>
            <w:tcBorders>
              <w:bottom w:val="double" w:color="auto" w:sz="4" w:space="0"/>
            </w:tcBorders>
            <w:vAlign w:val="center"/>
          </w:tcPr>
          <w:p w14:paraId="6EBC5D6E">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用地性质</w:t>
            </w:r>
          </w:p>
        </w:tc>
        <w:tc>
          <w:tcPr>
            <w:tcW w:w="839" w:type="pct"/>
            <w:tcBorders>
              <w:bottom w:val="double" w:color="auto" w:sz="4" w:space="0"/>
            </w:tcBorders>
            <w:vAlign w:val="center"/>
          </w:tcPr>
          <w:p w14:paraId="54797E3B">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容积率</w:t>
            </w:r>
          </w:p>
        </w:tc>
        <w:tc>
          <w:tcPr>
            <w:tcW w:w="839" w:type="pct"/>
            <w:tcBorders>
              <w:bottom w:val="double" w:color="auto" w:sz="4" w:space="0"/>
            </w:tcBorders>
            <w:vAlign w:val="center"/>
          </w:tcPr>
          <w:p w14:paraId="75536AAA">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建筑系数</w:t>
            </w:r>
          </w:p>
        </w:tc>
        <w:tc>
          <w:tcPr>
            <w:tcW w:w="839" w:type="pct"/>
            <w:tcBorders>
              <w:bottom w:val="double" w:color="auto" w:sz="4" w:space="0"/>
            </w:tcBorders>
            <w:vAlign w:val="center"/>
          </w:tcPr>
          <w:p w14:paraId="6746A0CF">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建筑高度</w:t>
            </w:r>
          </w:p>
        </w:tc>
        <w:tc>
          <w:tcPr>
            <w:tcW w:w="805" w:type="pct"/>
            <w:tcBorders>
              <w:bottom w:val="double" w:color="auto" w:sz="4" w:space="0"/>
            </w:tcBorders>
            <w:vAlign w:val="center"/>
          </w:tcPr>
          <w:p w14:paraId="7ED0CB83">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绿地率</w:t>
            </w:r>
          </w:p>
        </w:tc>
      </w:tr>
      <w:tr w14:paraId="5536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7" w:type="pct"/>
            <w:tcBorders>
              <w:top w:val="double" w:color="auto" w:sz="4" w:space="0"/>
            </w:tcBorders>
            <w:vAlign w:val="center"/>
          </w:tcPr>
          <w:p w14:paraId="59D7A738">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w:t>
            </w:r>
          </w:p>
        </w:tc>
        <w:tc>
          <w:tcPr>
            <w:tcW w:w="1212" w:type="pct"/>
            <w:tcBorders>
              <w:top w:val="double" w:color="auto" w:sz="4" w:space="0"/>
            </w:tcBorders>
            <w:vAlign w:val="center"/>
          </w:tcPr>
          <w:p w14:paraId="6A4382AD">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二类工业用地</w:t>
            </w:r>
          </w:p>
        </w:tc>
        <w:tc>
          <w:tcPr>
            <w:tcW w:w="839" w:type="pct"/>
            <w:tcBorders>
              <w:top w:val="double" w:color="auto" w:sz="4" w:space="0"/>
            </w:tcBorders>
            <w:vAlign w:val="center"/>
          </w:tcPr>
          <w:p w14:paraId="5F4919B8">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≥0.6；≤1.5</w:t>
            </w:r>
          </w:p>
        </w:tc>
        <w:tc>
          <w:tcPr>
            <w:tcW w:w="839" w:type="pct"/>
            <w:tcBorders>
              <w:top w:val="double" w:color="auto" w:sz="4" w:space="0"/>
            </w:tcBorders>
            <w:vAlign w:val="center"/>
          </w:tcPr>
          <w:p w14:paraId="4B329724">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≥40</w:t>
            </w:r>
          </w:p>
        </w:tc>
        <w:tc>
          <w:tcPr>
            <w:tcW w:w="839" w:type="pct"/>
            <w:tcBorders>
              <w:top w:val="double" w:color="auto" w:sz="4" w:space="0"/>
            </w:tcBorders>
            <w:vAlign w:val="center"/>
          </w:tcPr>
          <w:p w14:paraId="473377FA">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24</w:t>
            </w:r>
          </w:p>
        </w:tc>
        <w:tc>
          <w:tcPr>
            <w:tcW w:w="805" w:type="pct"/>
            <w:tcBorders>
              <w:top w:val="double" w:color="auto" w:sz="4" w:space="0"/>
            </w:tcBorders>
            <w:vAlign w:val="center"/>
          </w:tcPr>
          <w:p w14:paraId="4748B372">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≤20</w:t>
            </w:r>
          </w:p>
        </w:tc>
      </w:tr>
      <w:tr w14:paraId="3B32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7" w:type="pct"/>
            <w:vAlign w:val="center"/>
          </w:tcPr>
          <w:p w14:paraId="5F35444D">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w:t>
            </w:r>
          </w:p>
        </w:tc>
        <w:tc>
          <w:tcPr>
            <w:tcW w:w="1212" w:type="pct"/>
            <w:vAlign w:val="center"/>
          </w:tcPr>
          <w:p w14:paraId="35802D2C">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三类工业用地</w:t>
            </w:r>
          </w:p>
        </w:tc>
        <w:tc>
          <w:tcPr>
            <w:tcW w:w="839" w:type="pct"/>
            <w:vAlign w:val="center"/>
          </w:tcPr>
          <w:p w14:paraId="4DB8922B">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≥0.6；≤1.5</w:t>
            </w:r>
          </w:p>
        </w:tc>
        <w:tc>
          <w:tcPr>
            <w:tcW w:w="839" w:type="pct"/>
            <w:vAlign w:val="center"/>
          </w:tcPr>
          <w:p w14:paraId="73344CE4">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≥40</w:t>
            </w:r>
          </w:p>
        </w:tc>
        <w:tc>
          <w:tcPr>
            <w:tcW w:w="839" w:type="pct"/>
            <w:vAlign w:val="center"/>
          </w:tcPr>
          <w:p w14:paraId="12C928B9">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24</w:t>
            </w:r>
          </w:p>
        </w:tc>
        <w:tc>
          <w:tcPr>
            <w:tcW w:w="805" w:type="pct"/>
            <w:vAlign w:val="center"/>
          </w:tcPr>
          <w:p w14:paraId="5DBFAE3F">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≤20</w:t>
            </w:r>
          </w:p>
        </w:tc>
      </w:tr>
      <w:tr w14:paraId="794D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7" w:type="pct"/>
            <w:vAlign w:val="center"/>
          </w:tcPr>
          <w:p w14:paraId="25922B60">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w:t>
            </w:r>
          </w:p>
        </w:tc>
        <w:tc>
          <w:tcPr>
            <w:tcW w:w="1212" w:type="pct"/>
            <w:vAlign w:val="center"/>
          </w:tcPr>
          <w:p w14:paraId="0C81172E">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供燃料用地</w:t>
            </w:r>
          </w:p>
        </w:tc>
        <w:tc>
          <w:tcPr>
            <w:tcW w:w="839" w:type="pct"/>
            <w:vAlign w:val="center"/>
          </w:tcPr>
          <w:p w14:paraId="687B5AB0">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0.6</w:t>
            </w:r>
          </w:p>
        </w:tc>
        <w:tc>
          <w:tcPr>
            <w:tcW w:w="839" w:type="pct"/>
            <w:vAlign w:val="center"/>
          </w:tcPr>
          <w:p w14:paraId="1E722770">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35</w:t>
            </w:r>
          </w:p>
        </w:tc>
        <w:tc>
          <w:tcPr>
            <w:tcW w:w="839" w:type="pct"/>
            <w:vAlign w:val="center"/>
          </w:tcPr>
          <w:p w14:paraId="75CBD40E">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12</w:t>
            </w:r>
          </w:p>
        </w:tc>
        <w:tc>
          <w:tcPr>
            <w:tcW w:w="805" w:type="pct"/>
            <w:vAlign w:val="center"/>
          </w:tcPr>
          <w:p w14:paraId="3D02BD4B">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25</w:t>
            </w:r>
          </w:p>
        </w:tc>
      </w:tr>
      <w:tr w14:paraId="717A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7" w:type="pct"/>
            <w:vAlign w:val="center"/>
          </w:tcPr>
          <w:p w14:paraId="322B43AD">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w:t>
            </w:r>
          </w:p>
        </w:tc>
        <w:tc>
          <w:tcPr>
            <w:tcW w:w="1212" w:type="pct"/>
            <w:vAlign w:val="center"/>
          </w:tcPr>
          <w:p w14:paraId="7EBBB7FE">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防护绿地</w:t>
            </w:r>
          </w:p>
        </w:tc>
        <w:tc>
          <w:tcPr>
            <w:tcW w:w="839" w:type="pct"/>
            <w:vAlign w:val="center"/>
          </w:tcPr>
          <w:p w14:paraId="7D3D5D43">
            <w:pPr>
              <w:widowControl w:val="0"/>
              <w:spacing w:line="240" w:lineRule="auto"/>
              <w:ind w:firstLine="0" w:firstLineChars="0"/>
              <w:jc w:val="center"/>
              <w:rPr>
                <w:rFonts w:cs="Times New Roman"/>
                <w:color w:val="000000" w:themeColor="text1"/>
                <w14:textFill>
                  <w14:solidFill>
                    <w14:schemeClr w14:val="tx1"/>
                  </w14:solidFill>
                </w14:textFill>
              </w:rPr>
            </w:pPr>
          </w:p>
        </w:tc>
        <w:tc>
          <w:tcPr>
            <w:tcW w:w="839" w:type="pct"/>
            <w:vAlign w:val="center"/>
          </w:tcPr>
          <w:p w14:paraId="1609EC91">
            <w:pPr>
              <w:widowControl w:val="0"/>
              <w:spacing w:line="240" w:lineRule="auto"/>
              <w:ind w:firstLine="0" w:firstLineChars="0"/>
              <w:jc w:val="center"/>
              <w:rPr>
                <w:rFonts w:cs="Times New Roman"/>
                <w:color w:val="000000" w:themeColor="text1"/>
                <w14:textFill>
                  <w14:solidFill>
                    <w14:schemeClr w14:val="tx1"/>
                  </w14:solidFill>
                </w14:textFill>
              </w:rPr>
            </w:pPr>
          </w:p>
        </w:tc>
        <w:tc>
          <w:tcPr>
            <w:tcW w:w="839" w:type="pct"/>
            <w:vAlign w:val="center"/>
          </w:tcPr>
          <w:p w14:paraId="3EA85581">
            <w:pPr>
              <w:widowControl w:val="0"/>
              <w:spacing w:line="240" w:lineRule="auto"/>
              <w:ind w:firstLine="0" w:firstLineChars="0"/>
              <w:jc w:val="center"/>
              <w:rPr>
                <w:rFonts w:cs="Times New Roman"/>
                <w:color w:val="000000" w:themeColor="text1"/>
                <w14:textFill>
                  <w14:solidFill>
                    <w14:schemeClr w14:val="tx1"/>
                  </w14:solidFill>
                </w14:textFill>
              </w:rPr>
            </w:pPr>
          </w:p>
        </w:tc>
        <w:tc>
          <w:tcPr>
            <w:tcW w:w="805" w:type="pct"/>
            <w:vAlign w:val="center"/>
          </w:tcPr>
          <w:p w14:paraId="6F1DE97E">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90</w:t>
            </w:r>
          </w:p>
        </w:tc>
      </w:tr>
      <w:tr w14:paraId="7346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7" w:type="pct"/>
            <w:vAlign w:val="center"/>
          </w:tcPr>
          <w:p w14:paraId="021FA54A">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5</w:t>
            </w:r>
          </w:p>
        </w:tc>
        <w:tc>
          <w:tcPr>
            <w:tcW w:w="1212" w:type="pct"/>
            <w:vAlign w:val="center"/>
          </w:tcPr>
          <w:p w14:paraId="4AD7074B">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加油站加气站用地</w:t>
            </w:r>
          </w:p>
        </w:tc>
        <w:tc>
          <w:tcPr>
            <w:tcW w:w="839" w:type="pct"/>
            <w:vAlign w:val="center"/>
          </w:tcPr>
          <w:p w14:paraId="27C0EF40">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0.6</w:t>
            </w:r>
          </w:p>
        </w:tc>
        <w:tc>
          <w:tcPr>
            <w:tcW w:w="839" w:type="pct"/>
            <w:vAlign w:val="center"/>
          </w:tcPr>
          <w:p w14:paraId="4EBBD1F0">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35</w:t>
            </w:r>
          </w:p>
        </w:tc>
        <w:tc>
          <w:tcPr>
            <w:tcW w:w="839" w:type="pct"/>
            <w:vAlign w:val="center"/>
          </w:tcPr>
          <w:p w14:paraId="7B017809">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12</w:t>
            </w:r>
          </w:p>
        </w:tc>
        <w:tc>
          <w:tcPr>
            <w:tcW w:w="805" w:type="pct"/>
            <w:vAlign w:val="center"/>
          </w:tcPr>
          <w:p w14:paraId="5A5FBE0F">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25</w:t>
            </w:r>
          </w:p>
        </w:tc>
      </w:tr>
      <w:tr w14:paraId="0936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7" w:type="pct"/>
            <w:vAlign w:val="center"/>
          </w:tcPr>
          <w:p w14:paraId="7E8255CE">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6</w:t>
            </w:r>
          </w:p>
        </w:tc>
        <w:tc>
          <w:tcPr>
            <w:tcW w:w="1212" w:type="pct"/>
            <w:vAlign w:val="center"/>
          </w:tcPr>
          <w:p w14:paraId="2518622C">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排水用地（污水提升泵站）</w:t>
            </w:r>
          </w:p>
        </w:tc>
        <w:tc>
          <w:tcPr>
            <w:tcW w:w="839" w:type="pct"/>
            <w:vAlign w:val="center"/>
          </w:tcPr>
          <w:p w14:paraId="38D34FE8">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0.6</w:t>
            </w:r>
          </w:p>
        </w:tc>
        <w:tc>
          <w:tcPr>
            <w:tcW w:w="839" w:type="pct"/>
            <w:vAlign w:val="center"/>
          </w:tcPr>
          <w:p w14:paraId="5A7D157F">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35</w:t>
            </w:r>
          </w:p>
        </w:tc>
        <w:tc>
          <w:tcPr>
            <w:tcW w:w="839" w:type="pct"/>
            <w:vAlign w:val="center"/>
          </w:tcPr>
          <w:p w14:paraId="0EBD76CD">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12</w:t>
            </w:r>
          </w:p>
        </w:tc>
        <w:tc>
          <w:tcPr>
            <w:tcW w:w="805" w:type="pct"/>
            <w:vAlign w:val="center"/>
          </w:tcPr>
          <w:p w14:paraId="07FC81A5">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35</w:t>
            </w:r>
          </w:p>
        </w:tc>
      </w:tr>
      <w:tr w14:paraId="07C68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7" w:type="pct"/>
            <w:vAlign w:val="center"/>
          </w:tcPr>
          <w:p w14:paraId="13D22C76">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7</w:t>
            </w:r>
          </w:p>
        </w:tc>
        <w:tc>
          <w:tcPr>
            <w:tcW w:w="1212" w:type="pct"/>
            <w:vAlign w:val="center"/>
          </w:tcPr>
          <w:p w14:paraId="04134613">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非建设用地</w:t>
            </w:r>
          </w:p>
        </w:tc>
        <w:tc>
          <w:tcPr>
            <w:tcW w:w="839" w:type="pct"/>
            <w:vAlign w:val="center"/>
          </w:tcPr>
          <w:p w14:paraId="7FB43ACE">
            <w:pPr>
              <w:widowControl w:val="0"/>
              <w:spacing w:line="240" w:lineRule="auto"/>
              <w:ind w:firstLine="0" w:firstLineChars="0"/>
              <w:jc w:val="center"/>
              <w:rPr>
                <w:rFonts w:cs="Times New Roman"/>
                <w:color w:val="000000" w:themeColor="text1"/>
                <w14:textFill>
                  <w14:solidFill>
                    <w14:schemeClr w14:val="tx1"/>
                  </w14:solidFill>
                </w14:textFill>
              </w:rPr>
            </w:pPr>
          </w:p>
        </w:tc>
        <w:tc>
          <w:tcPr>
            <w:tcW w:w="839" w:type="pct"/>
            <w:vAlign w:val="center"/>
          </w:tcPr>
          <w:p w14:paraId="23B56A51">
            <w:pPr>
              <w:widowControl w:val="0"/>
              <w:spacing w:line="240" w:lineRule="auto"/>
              <w:ind w:firstLine="0" w:firstLineChars="0"/>
              <w:jc w:val="center"/>
              <w:rPr>
                <w:rFonts w:cs="Times New Roman"/>
                <w:color w:val="000000" w:themeColor="text1"/>
                <w14:textFill>
                  <w14:solidFill>
                    <w14:schemeClr w14:val="tx1"/>
                  </w14:solidFill>
                </w14:textFill>
              </w:rPr>
            </w:pPr>
          </w:p>
        </w:tc>
        <w:tc>
          <w:tcPr>
            <w:tcW w:w="839" w:type="pct"/>
            <w:vAlign w:val="center"/>
          </w:tcPr>
          <w:p w14:paraId="69E9E162">
            <w:pPr>
              <w:widowControl w:val="0"/>
              <w:spacing w:line="240" w:lineRule="auto"/>
              <w:ind w:firstLine="0" w:firstLineChars="0"/>
              <w:jc w:val="center"/>
              <w:rPr>
                <w:rFonts w:cs="Times New Roman"/>
                <w:color w:val="000000" w:themeColor="text1"/>
                <w14:textFill>
                  <w14:solidFill>
                    <w14:schemeClr w14:val="tx1"/>
                  </w14:solidFill>
                </w14:textFill>
              </w:rPr>
            </w:pPr>
          </w:p>
        </w:tc>
        <w:tc>
          <w:tcPr>
            <w:tcW w:w="805" w:type="pct"/>
            <w:vAlign w:val="center"/>
          </w:tcPr>
          <w:p w14:paraId="12518886">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90</w:t>
            </w:r>
          </w:p>
        </w:tc>
      </w:tr>
      <w:tr w14:paraId="0B38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7" w:type="pct"/>
            <w:vAlign w:val="center"/>
          </w:tcPr>
          <w:p w14:paraId="16C4CBB6">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8</w:t>
            </w:r>
          </w:p>
        </w:tc>
        <w:tc>
          <w:tcPr>
            <w:tcW w:w="1212" w:type="pct"/>
            <w:vAlign w:val="center"/>
          </w:tcPr>
          <w:p w14:paraId="1A7A3389">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一类物流仓储用地</w:t>
            </w:r>
          </w:p>
        </w:tc>
        <w:tc>
          <w:tcPr>
            <w:tcW w:w="839" w:type="pct"/>
            <w:vAlign w:val="center"/>
          </w:tcPr>
          <w:p w14:paraId="154F228F">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1.2</w:t>
            </w:r>
          </w:p>
        </w:tc>
        <w:tc>
          <w:tcPr>
            <w:tcW w:w="839" w:type="pct"/>
            <w:vAlign w:val="center"/>
          </w:tcPr>
          <w:p w14:paraId="54935115">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50</w:t>
            </w:r>
          </w:p>
        </w:tc>
        <w:tc>
          <w:tcPr>
            <w:tcW w:w="839" w:type="pct"/>
            <w:vAlign w:val="center"/>
          </w:tcPr>
          <w:p w14:paraId="2B63F223">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24</w:t>
            </w:r>
          </w:p>
        </w:tc>
        <w:tc>
          <w:tcPr>
            <w:tcW w:w="805" w:type="pct"/>
            <w:vAlign w:val="center"/>
          </w:tcPr>
          <w:p w14:paraId="62F80C69">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25</w:t>
            </w:r>
          </w:p>
        </w:tc>
      </w:tr>
      <w:tr w14:paraId="54AD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7" w:type="pct"/>
            <w:vAlign w:val="center"/>
          </w:tcPr>
          <w:p w14:paraId="16B69D07">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9</w:t>
            </w:r>
          </w:p>
        </w:tc>
        <w:tc>
          <w:tcPr>
            <w:tcW w:w="1212" w:type="pct"/>
            <w:vAlign w:val="center"/>
          </w:tcPr>
          <w:p w14:paraId="7447E55D">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行政办公用地</w:t>
            </w:r>
          </w:p>
        </w:tc>
        <w:tc>
          <w:tcPr>
            <w:tcW w:w="839" w:type="pct"/>
            <w:vAlign w:val="center"/>
          </w:tcPr>
          <w:p w14:paraId="7875427C">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1.5</w:t>
            </w:r>
          </w:p>
        </w:tc>
        <w:tc>
          <w:tcPr>
            <w:tcW w:w="839" w:type="pct"/>
            <w:vAlign w:val="center"/>
          </w:tcPr>
          <w:p w14:paraId="425DD437">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35</w:t>
            </w:r>
          </w:p>
        </w:tc>
        <w:tc>
          <w:tcPr>
            <w:tcW w:w="839" w:type="pct"/>
            <w:vAlign w:val="center"/>
          </w:tcPr>
          <w:p w14:paraId="773F13C7">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24</w:t>
            </w:r>
          </w:p>
        </w:tc>
        <w:tc>
          <w:tcPr>
            <w:tcW w:w="805" w:type="pct"/>
            <w:vAlign w:val="center"/>
          </w:tcPr>
          <w:p w14:paraId="210745A4">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90</w:t>
            </w:r>
          </w:p>
        </w:tc>
      </w:tr>
      <w:tr w14:paraId="263E2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7" w:type="pct"/>
            <w:vAlign w:val="center"/>
          </w:tcPr>
          <w:p w14:paraId="2AFE318A">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10</w:t>
            </w:r>
          </w:p>
        </w:tc>
        <w:tc>
          <w:tcPr>
            <w:tcW w:w="1212" w:type="pct"/>
            <w:vAlign w:val="center"/>
          </w:tcPr>
          <w:p w14:paraId="35E5374F">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供热用地</w:t>
            </w:r>
          </w:p>
        </w:tc>
        <w:tc>
          <w:tcPr>
            <w:tcW w:w="839" w:type="pct"/>
            <w:vAlign w:val="center"/>
          </w:tcPr>
          <w:p w14:paraId="426AC27F">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0.6</w:t>
            </w:r>
          </w:p>
        </w:tc>
        <w:tc>
          <w:tcPr>
            <w:tcW w:w="839" w:type="pct"/>
            <w:vAlign w:val="center"/>
          </w:tcPr>
          <w:p w14:paraId="52A0F48F">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35</w:t>
            </w:r>
          </w:p>
        </w:tc>
        <w:tc>
          <w:tcPr>
            <w:tcW w:w="839" w:type="pct"/>
            <w:vAlign w:val="center"/>
          </w:tcPr>
          <w:p w14:paraId="2392DDCB">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12</w:t>
            </w:r>
          </w:p>
        </w:tc>
        <w:tc>
          <w:tcPr>
            <w:tcW w:w="805" w:type="pct"/>
            <w:vAlign w:val="center"/>
          </w:tcPr>
          <w:p w14:paraId="15FB5006">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35</w:t>
            </w:r>
          </w:p>
        </w:tc>
      </w:tr>
      <w:tr w14:paraId="5F03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7" w:type="pct"/>
            <w:vAlign w:val="center"/>
          </w:tcPr>
          <w:p w14:paraId="33B35B7C">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11</w:t>
            </w:r>
          </w:p>
        </w:tc>
        <w:tc>
          <w:tcPr>
            <w:tcW w:w="1212" w:type="pct"/>
            <w:vAlign w:val="center"/>
          </w:tcPr>
          <w:p w14:paraId="4B6ED6A0">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消防用地</w:t>
            </w:r>
          </w:p>
        </w:tc>
        <w:tc>
          <w:tcPr>
            <w:tcW w:w="839" w:type="pct"/>
            <w:vAlign w:val="center"/>
          </w:tcPr>
          <w:p w14:paraId="783AAE90">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0.6</w:t>
            </w:r>
          </w:p>
        </w:tc>
        <w:tc>
          <w:tcPr>
            <w:tcW w:w="839" w:type="pct"/>
            <w:vAlign w:val="center"/>
          </w:tcPr>
          <w:p w14:paraId="69FAC556">
            <w:pPr>
              <w:widowControl w:val="0"/>
              <w:spacing w:line="240" w:lineRule="auto"/>
              <w:ind w:firstLine="0" w:firstLineChars="0"/>
              <w:jc w:val="center"/>
              <w:rPr>
                <w:rFonts w:cs="Times New Roman"/>
                <w:color w:val="000000" w:themeColor="text1"/>
                <w14:textFill>
                  <w14:solidFill>
                    <w14:schemeClr w14:val="tx1"/>
                  </w14:solidFill>
                </w14:textFill>
              </w:rPr>
            </w:pPr>
          </w:p>
        </w:tc>
        <w:tc>
          <w:tcPr>
            <w:tcW w:w="839" w:type="pct"/>
            <w:vAlign w:val="center"/>
          </w:tcPr>
          <w:p w14:paraId="46979D11">
            <w:pPr>
              <w:widowControl w:val="0"/>
              <w:spacing w:line="240" w:lineRule="auto"/>
              <w:ind w:firstLine="0" w:firstLineChars="0"/>
              <w:jc w:val="center"/>
              <w:rPr>
                <w:rFonts w:cs="Times New Roman"/>
                <w:color w:val="000000" w:themeColor="text1"/>
                <w14:textFill>
                  <w14:solidFill>
                    <w14:schemeClr w14:val="tx1"/>
                  </w14:solidFill>
                </w14:textFill>
              </w:rPr>
            </w:pPr>
          </w:p>
        </w:tc>
        <w:tc>
          <w:tcPr>
            <w:tcW w:w="805" w:type="pct"/>
            <w:vAlign w:val="center"/>
          </w:tcPr>
          <w:p w14:paraId="16EF686D">
            <w:pPr>
              <w:widowControl w:val="0"/>
              <w:spacing w:line="240" w:lineRule="auto"/>
              <w:ind w:firstLine="0" w:firstLineChars="0"/>
              <w:jc w:val="center"/>
              <w:rPr>
                <w:rFonts w:cs="Times New Roman"/>
                <w:color w:val="000000" w:themeColor="text1"/>
                <w14:textFill>
                  <w14:solidFill>
                    <w14:schemeClr w14:val="tx1"/>
                  </w14:solidFill>
                </w14:textFill>
              </w:rPr>
            </w:pPr>
          </w:p>
        </w:tc>
      </w:tr>
      <w:tr w14:paraId="4237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7" w:type="pct"/>
            <w:vAlign w:val="center"/>
          </w:tcPr>
          <w:p w14:paraId="7E89C2DD">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12</w:t>
            </w:r>
          </w:p>
        </w:tc>
        <w:tc>
          <w:tcPr>
            <w:tcW w:w="1212" w:type="pct"/>
            <w:vAlign w:val="center"/>
          </w:tcPr>
          <w:p w14:paraId="5D4E8EB7">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供燃气用地</w:t>
            </w:r>
          </w:p>
        </w:tc>
        <w:tc>
          <w:tcPr>
            <w:tcW w:w="839" w:type="pct"/>
            <w:vAlign w:val="center"/>
          </w:tcPr>
          <w:p w14:paraId="1984F3C2">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0.6</w:t>
            </w:r>
          </w:p>
        </w:tc>
        <w:tc>
          <w:tcPr>
            <w:tcW w:w="839" w:type="pct"/>
            <w:vAlign w:val="center"/>
          </w:tcPr>
          <w:p w14:paraId="7872960D">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35</w:t>
            </w:r>
          </w:p>
        </w:tc>
        <w:tc>
          <w:tcPr>
            <w:tcW w:w="839" w:type="pct"/>
            <w:vAlign w:val="center"/>
          </w:tcPr>
          <w:p w14:paraId="64210347">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12</w:t>
            </w:r>
          </w:p>
        </w:tc>
        <w:tc>
          <w:tcPr>
            <w:tcW w:w="805" w:type="pct"/>
            <w:vAlign w:val="center"/>
          </w:tcPr>
          <w:p w14:paraId="6B5D3C87">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25</w:t>
            </w:r>
          </w:p>
        </w:tc>
      </w:tr>
      <w:tr w14:paraId="2866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7" w:type="pct"/>
            <w:vAlign w:val="center"/>
          </w:tcPr>
          <w:p w14:paraId="023BD54C">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13</w:t>
            </w:r>
          </w:p>
        </w:tc>
        <w:tc>
          <w:tcPr>
            <w:tcW w:w="1212" w:type="pct"/>
            <w:vAlign w:val="center"/>
          </w:tcPr>
          <w:p w14:paraId="327CEDF1">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供电用地</w:t>
            </w:r>
          </w:p>
        </w:tc>
        <w:tc>
          <w:tcPr>
            <w:tcW w:w="839" w:type="pct"/>
            <w:vAlign w:val="center"/>
          </w:tcPr>
          <w:p w14:paraId="47B269F6">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0.6</w:t>
            </w:r>
          </w:p>
        </w:tc>
        <w:tc>
          <w:tcPr>
            <w:tcW w:w="839" w:type="pct"/>
            <w:vAlign w:val="center"/>
          </w:tcPr>
          <w:p w14:paraId="43F6B714">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35</w:t>
            </w:r>
          </w:p>
        </w:tc>
        <w:tc>
          <w:tcPr>
            <w:tcW w:w="839" w:type="pct"/>
            <w:vAlign w:val="center"/>
          </w:tcPr>
          <w:p w14:paraId="3A195538">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12</w:t>
            </w:r>
          </w:p>
        </w:tc>
        <w:tc>
          <w:tcPr>
            <w:tcW w:w="805" w:type="pct"/>
            <w:vAlign w:val="center"/>
          </w:tcPr>
          <w:p w14:paraId="0098E634">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25</w:t>
            </w:r>
          </w:p>
        </w:tc>
      </w:tr>
      <w:tr w14:paraId="5779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7" w:type="pct"/>
            <w:vAlign w:val="center"/>
          </w:tcPr>
          <w:p w14:paraId="332E0004">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14</w:t>
            </w:r>
          </w:p>
        </w:tc>
        <w:tc>
          <w:tcPr>
            <w:tcW w:w="1212" w:type="pct"/>
            <w:vAlign w:val="center"/>
          </w:tcPr>
          <w:p w14:paraId="5E735303">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供水用地</w:t>
            </w:r>
          </w:p>
        </w:tc>
        <w:tc>
          <w:tcPr>
            <w:tcW w:w="839" w:type="pct"/>
            <w:vAlign w:val="center"/>
          </w:tcPr>
          <w:p w14:paraId="2039D942">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0.6</w:t>
            </w:r>
          </w:p>
        </w:tc>
        <w:tc>
          <w:tcPr>
            <w:tcW w:w="839" w:type="pct"/>
            <w:vAlign w:val="center"/>
          </w:tcPr>
          <w:p w14:paraId="65888EBD">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35</w:t>
            </w:r>
          </w:p>
        </w:tc>
        <w:tc>
          <w:tcPr>
            <w:tcW w:w="839" w:type="pct"/>
            <w:vAlign w:val="center"/>
          </w:tcPr>
          <w:p w14:paraId="6C253F5B">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12</w:t>
            </w:r>
          </w:p>
        </w:tc>
        <w:tc>
          <w:tcPr>
            <w:tcW w:w="805" w:type="pct"/>
            <w:vAlign w:val="center"/>
          </w:tcPr>
          <w:p w14:paraId="78ACEF1A">
            <w:pPr>
              <w:widowControl w:val="0"/>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30</w:t>
            </w:r>
          </w:p>
        </w:tc>
      </w:tr>
    </w:tbl>
    <w:p w14:paraId="4BF620A1">
      <w:pPr>
        <w:widowControl w:val="0"/>
        <w:ind w:firstLine="480"/>
        <w:rPr>
          <w:rFonts w:cs="Times New Roman"/>
          <w:color w:val="000000" w:themeColor="text1"/>
          <w14:textFill>
            <w14:solidFill>
              <w14:schemeClr w14:val="tx1"/>
            </w14:solidFill>
          </w14:textFill>
        </w:rPr>
      </w:pPr>
    </w:p>
    <w:p w14:paraId="7C612A39">
      <w:pPr>
        <w:widowControl w:val="0"/>
        <w:ind w:firstLine="480"/>
        <w:rPr>
          <w:rFonts w:cs="Times New Roman"/>
          <w:color w:val="000000" w:themeColor="text1"/>
          <w14:textFill>
            <w14:solidFill>
              <w14:schemeClr w14:val="tx1"/>
            </w14:solidFill>
          </w14:textFill>
        </w:rPr>
      </w:pPr>
    </w:p>
    <w:p w14:paraId="4F0E32A1">
      <w:pPr>
        <w:widowControl w:val="0"/>
        <w:ind w:firstLine="480"/>
        <w:rPr>
          <w:rFonts w:cs="Times New Roman"/>
          <w:color w:val="000000" w:themeColor="text1"/>
          <w14:textFill>
            <w14:solidFill>
              <w14:schemeClr w14:val="tx1"/>
            </w14:solidFill>
          </w14:textFill>
        </w:rPr>
      </w:pPr>
    </w:p>
    <w:p w14:paraId="643E6CBF">
      <w:pPr>
        <w:widowControl w:val="0"/>
        <w:ind w:firstLine="480"/>
        <w:rPr>
          <w:rFonts w:cs="Times New Roman"/>
          <w:color w:val="000000" w:themeColor="text1"/>
          <w14:textFill>
            <w14:solidFill>
              <w14:schemeClr w14:val="tx1"/>
            </w14:solidFill>
          </w14:textFill>
        </w:rPr>
        <w:sectPr>
          <w:pgSz w:w="11907" w:h="16839"/>
          <w:pgMar w:top="1418" w:right="1418" w:bottom="1418" w:left="1418" w:header="850" w:footer="850" w:gutter="0"/>
          <w:cols w:space="720" w:num="1"/>
          <w:docGrid w:linePitch="326" w:charSpace="0"/>
        </w:sectPr>
      </w:pPr>
    </w:p>
    <w:p w14:paraId="041621AF">
      <w:pPr>
        <w:pStyle w:val="3"/>
        <w:spacing w:before="120" w:after="120"/>
        <w:rPr>
          <w:lang w:eastAsia="zh-CN"/>
        </w:rPr>
      </w:pPr>
      <w:bookmarkStart w:id="113" w:name="_Toc85444715"/>
      <w:bookmarkStart w:id="114" w:name="_Toc85444439"/>
      <w:bookmarkStart w:id="115" w:name="_Toc85444545"/>
      <w:bookmarkStart w:id="116" w:name="_Toc88821210"/>
      <w:bookmarkStart w:id="117" w:name="_Toc88833971"/>
      <w:bookmarkStart w:id="118" w:name="_Toc152535467"/>
      <w:r>
        <w:rPr>
          <w:lang w:eastAsia="zh-CN"/>
        </w:rPr>
        <w:t>园区竖向布置</w:t>
      </w:r>
      <w:bookmarkEnd w:id="113"/>
      <w:bookmarkEnd w:id="114"/>
      <w:bookmarkEnd w:id="115"/>
      <w:r>
        <w:rPr>
          <w:lang w:eastAsia="zh-CN"/>
        </w:rPr>
        <w:t>与土石方调配</w:t>
      </w:r>
      <w:bookmarkEnd w:id="116"/>
      <w:bookmarkEnd w:id="117"/>
      <w:bookmarkEnd w:id="118"/>
    </w:p>
    <w:p w14:paraId="74DB3E18">
      <w:pPr>
        <w:pStyle w:val="4"/>
        <w:spacing w:before="120" w:after="120"/>
      </w:pPr>
      <w:r>
        <w:t>园区竖向布置</w:t>
      </w:r>
    </w:p>
    <w:p w14:paraId="1EA2F91F">
      <w:pPr>
        <w:pStyle w:val="46"/>
        <w:numPr>
          <w:ilvl w:val="0"/>
          <w:numId w:val="3"/>
        </w:numPr>
        <w:ind w:firstLineChars="0"/>
        <w:rPr>
          <w:rFonts w:cs="Times New Roman"/>
        </w:rPr>
      </w:pPr>
      <w:r>
        <w:rPr>
          <w:rFonts w:cs="Times New Roman"/>
        </w:rPr>
        <w:t>竖向设计原则</w:t>
      </w:r>
    </w:p>
    <w:p w14:paraId="542534BA">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竖向设计首先必须保证园区的防洪排涝安全、用地地面排水安全、相关工程建设与使用安全，并保护水系，防止水土流失；同时竖向规划也必须结合园区的现状地形地貌、相关规划定位与空间安排，确保竖向规划方案在园区建设中的适用性。</w:t>
      </w:r>
    </w:p>
    <w:p w14:paraId="190FD1E9">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针对各片区空间布局，在满足安全适用的前提下，根据所在片区地形特点分别制定各自适用的竖向规划策略，真正做到因地制宜，最大程度地减少填挖方。</w:t>
      </w:r>
    </w:p>
    <w:p w14:paraId="248CB114">
      <w:pPr>
        <w:pStyle w:val="46"/>
        <w:numPr>
          <w:ilvl w:val="0"/>
          <w:numId w:val="3"/>
        </w:numPr>
        <w:ind w:firstLineChars="0"/>
        <w:rPr>
          <w:rFonts w:cs="Times New Roman"/>
        </w:rPr>
      </w:pPr>
      <w:r>
        <w:rPr>
          <w:rFonts w:cs="Times New Roman"/>
        </w:rPr>
        <w:t>场地竖向布置</w:t>
      </w:r>
    </w:p>
    <w:p w14:paraId="0A5C4D56">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地块1（金山产业园北区）规划范围内大的地貌单元属低山丘陵，地貌单一，微地貌单元属于山间冲洪积扇。地形比较平缓，整体地势东高西低，北高南低，坡度小于20‰，地面高程在1334.69-1435.07m之间，最大高差为100.38m，规划高程为1336.05-1436.00m，整体呈平坡式布置。</w:t>
      </w:r>
      <w:r>
        <w:rPr>
          <w:rFonts w:hint="eastAsia" w:cs="Times New Roman"/>
          <w:color w:val="000000" w:themeColor="text1"/>
          <w14:textFill>
            <w14:solidFill>
              <w14:schemeClr w14:val="tx1"/>
            </w14:solidFill>
          </w14:textFill>
        </w:rPr>
        <w:t>地块1（金山产业园北区）</w:t>
      </w:r>
      <w:r>
        <w:rPr>
          <w:rFonts w:cs="Times New Roman"/>
          <w:color w:val="000000" w:themeColor="text1"/>
          <w14:textFill>
            <w14:solidFill>
              <w14:schemeClr w14:val="tx1"/>
            </w14:solidFill>
          </w14:textFill>
        </w:rPr>
        <w:t>地形分析见</w:t>
      </w:r>
      <w:r>
        <w:rPr>
          <w:rFonts w:hint="eastAsia" w:cs="Times New Roman"/>
          <w:color w:val="000000" w:themeColor="text1"/>
          <w14:textFill>
            <w14:solidFill>
              <w14:schemeClr w14:val="tx1"/>
            </w14:solidFill>
          </w14:textFill>
        </w:rPr>
        <w:t>附图3</w:t>
      </w:r>
      <w:r>
        <w:rPr>
          <w:rFonts w:cs="Times New Roman"/>
          <w:color w:val="000000" w:themeColor="text1"/>
          <w14:textFill>
            <w14:solidFill>
              <w14:schemeClr w14:val="tx1"/>
            </w14:solidFill>
          </w14:textFill>
        </w:rPr>
        <w:t>5。</w:t>
      </w:r>
    </w:p>
    <w:p w14:paraId="05BD8618">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地块2（下湿壕片区）规划范围内大的地貌单元属低山丘陵，地貌单一，微地貌单元属于山间冲洪积扇。地形比较平缓，整体地势东高西低，南高北低，坡度小于20‰，地面高程在1485.59-1538.52m之间，最大高差为52.93m，规划高程为1487.20-1536.50m，整体呈平坡式布置。</w:t>
      </w:r>
      <w:r>
        <w:rPr>
          <w:rFonts w:hint="eastAsia" w:cs="Times New Roman"/>
          <w:color w:val="000000" w:themeColor="text1"/>
          <w14:textFill>
            <w14:solidFill>
              <w14:schemeClr w14:val="tx1"/>
            </w14:solidFill>
          </w14:textFill>
        </w:rPr>
        <w:t>地块</w:t>
      </w:r>
      <w:r>
        <w:rPr>
          <w:rFonts w:cs="Times New Roman"/>
          <w:color w:val="000000" w:themeColor="text1"/>
          <w14:textFill>
            <w14:solidFill>
              <w14:schemeClr w14:val="tx1"/>
            </w14:solidFill>
          </w14:textFill>
        </w:rPr>
        <w:t>2</w:t>
      </w:r>
      <w:r>
        <w:rPr>
          <w:rFonts w:hint="eastAsia" w:cs="Times New Roman"/>
          <w:color w:val="000000" w:themeColor="text1"/>
          <w14:textFill>
            <w14:solidFill>
              <w14:schemeClr w14:val="tx1"/>
            </w14:solidFill>
          </w14:textFill>
        </w:rPr>
        <w:t>（下湿壕）</w:t>
      </w:r>
      <w:r>
        <w:rPr>
          <w:rFonts w:cs="Times New Roman"/>
          <w:color w:val="000000" w:themeColor="text1"/>
          <w14:textFill>
            <w14:solidFill>
              <w14:schemeClr w14:val="tx1"/>
            </w14:solidFill>
          </w14:textFill>
        </w:rPr>
        <w:t>地形分析见</w:t>
      </w:r>
      <w:r>
        <w:rPr>
          <w:rFonts w:hint="eastAsia" w:cs="Times New Roman"/>
          <w:color w:val="000000" w:themeColor="text1"/>
          <w14:textFill>
            <w14:solidFill>
              <w14:schemeClr w14:val="tx1"/>
            </w14:solidFill>
          </w14:textFill>
        </w:rPr>
        <w:t>附图3</w:t>
      </w:r>
      <w:r>
        <w:rPr>
          <w:rFonts w:cs="Times New Roman"/>
          <w:color w:val="000000" w:themeColor="text1"/>
          <w14:textFill>
            <w14:solidFill>
              <w14:schemeClr w14:val="tx1"/>
            </w14:solidFill>
          </w14:textFill>
        </w:rPr>
        <w:t>6。</w:t>
      </w:r>
    </w:p>
    <w:p w14:paraId="165BD7D8">
      <w:pPr>
        <w:widowControl w:val="0"/>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地块竖向布置总体采用平坡式，通过合理利用自然地形、以高填低、移挖作填。场平后各建设地块坡度小于2</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。规划各建设地块均采用平坡式地面形式，地面一般坡度控制在0.3%—</w:t>
      </w:r>
      <w:r>
        <w:rPr>
          <w:rFonts w:cs="Times New Roman"/>
          <w:color w:val="000000" w:themeColor="text1"/>
          <w14:textFill>
            <w14:solidFill>
              <w14:schemeClr w14:val="tx1"/>
            </w14:solidFill>
          </w14:textFill>
        </w:rPr>
        <w:t>2</w:t>
      </w:r>
      <w:r>
        <w:rPr>
          <w:rFonts w:hint="eastAsia" w:cs="Times New Roman"/>
          <w:color w:val="000000" w:themeColor="text1"/>
          <w14:textFill>
            <w14:solidFill>
              <w14:schemeClr w14:val="tx1"/>
            </w14:solidFill>
          </w14:textFill>
        </w:rPr>
        <w:t>%并与周边道路顺坡衔接以便于地块排水及地块出入口的设置。</w:t>
      </w:r>
    </w:p>
    <w:p w14:paraId="0AEFF42D">
      <w:pPr>
        <w:widowControl w:val="0"/>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道路设计时纵坡一般应控制不小于0.3%以利于排水，对于纵坡小于0.3%的区域，道路两侧应设置锯齿形偏沟或加密雨水收集口，适当加大该路段处道路横坡及雨水干管纵坡来满足排水要求，道路最大纵坡小于</w:t>
      </w:r>
      <w:r>
        <w:rPr>
          <w:rFonts w:cs="Times New Roman"/>
          <w:color w:val="000000" w:themeColor="text1"/>
          <w14:textFill>
            <w14:solidFill>
              <w14:schemeClr w14:val="tx1"/>
            </w14:solidFill>
          </w14:textFill>
        </w:rPr>
        <w:t>2.0</w:t>
      </w:r>
      <w:r>
        <w:rPr>
          <w:rFonts w:hint="eastAsia" w:cs="Times New Roman"/>
          <w:color w:val="000000" w:themeColor="text1"/>
          <w14:textFill>
            <w14:solidFill>
              <w14:schemeClr w14:val="tx1"/>
            </w14:solidFill>
          </w14:textFill>
        </w:rPr>
        <w:t>%。各类建设用地最大坡度均能满足《城乡建设用地竖向规划规范》（CJJ83-2016）的规定。</w:t>
      </w:r>
    </w:p>
    <w:p w14:paraId="67AA26C3">
      <w:pPr>
        <w:widowControl w:val="0"/>
        <w:ind w:firstLine="480"/>
        <w:rPr>
          <w:rFonts w:cs="Times New Roman"/>
          <w:color w:val="000000" w:themeColor="text1"/>
          <w14:textFill>
            <w14:solidFill>
              <w14:schemeClr w14:val="tx1"/>
            </w14:solidFill>
          </w14:textFill>
        </w:rPr>
      </w:pPr>
      <w:bookmarkStart w:id="119" w:name="_Hlk153350464"/>
      <w:r>
        <w:rPr>
          <w:rFonts w:hint="eastAsia" w:cs="Times New Roman"/>
          <w:color w:val="000000" w:themeColor="text1"/>
          <w14:textFill>
            <w14:solidFill>
              <w14:schemeClr w14:val="tx1"/>
            </w14:solidFill>
          </w14:textFill>
        </w:rPr>
        <w:t>结合包头金山经济开发区的排水实际情况，充分利用其南侧的河渠作为雨水收集湿地，建议通过雨水截流和渗透系统，生态功能区雨水利用系统来建设海绵城市。具体来说，道路雨水可以通过排水明沟或暗管排入沿途的大型蓄水池或通过渗透方式补充地下水。同时，各个功能区可以沿着排水道修建可渗透的浅沟，表面植有草皮，供雨水径流时下渗。对于超过渗透能力的雨水，我们可以将其引入南排沟雨水湿地，既可以作为水景，也可以继续下渗，达到雨水的有效利用和生态保护的目的。</w:t>
      </w:r>
    </w:p>
    <w:bookmarkEnd w:id="119"/>
    <w:p w14:paraId="34A9316E">
      <w:pPr>
        <w:pStyle w:val="46"/>
        <w:numPr>
          <w:ilvl w:val="0"/>
          <w:numId w:val="3"/>
        </w:numPr>
        <w:ind w:firstLineChars="0"/>
        <w:rPr>
          <w:rFonts w:cs="Times New Roman"/>
        </w:rPr>
      </w:pPr>
      <w:r>
        <w:fldChar w:fldCharType="begin"/>
      </w:r>
      <w:r>
        <w:instrText xml:space="preserve">HYPERLINK \l "_top"</w:instrText>
      </w:r>
      <w:r>
        <w:fldChar w:fldCharType="separate"/>
      </w:r>
      <w:r>
        <w:rPr>
          <w:rFonts w:cs="Times New Roman"/>
        </w:rPr>
        <w:t>道路竖向布置</w:t>
      </w:r>
      <w:r>
        <w:rPr>
          <w:rFonts w:cs="Times New Roman"/>
        </w:rPr>
        <w:fldChar w:fldCharType="end"/>
      </w:r>
    </w:p>
    <w:p w14:paraId="3F894B2C">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地块1（金山产业园北区）内道路高程整体为东部高、西部低，北部高，南部低，依据园区的道路系统规划，本区内的道路依托西侧的包白公路（S210）、北侧的一级公路及东侧至石拐区的三条主要对外交通道路，形成较为完善对外交通网络。建立与园区布局与土地利用相适应、由主干道、次干道组成的结构合理的园区内部道路网络系统。园区已建及在建道路长25.98km，初步形成“三横五纵四出口”路网结构。</w:t>
      </w:r>
    </w:p>
    <w:p w14:paraId="1C144241">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区内道路总体沿现状地势布置，地块周边道路高程略低于区内地块。</w:t>
      </w:r>
    </w:p>
    <w:p w14:paraId="2DAE48C5">
      <w:pPr>
        <w:widowControl w:val="0"/>
        <w:ind w:firstLine="48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道路土石方设计在满足防洪标准、排水纵坡、道路纵坡、综合管线敷设及尽量利用原有地形等要求的基础上，进行优化调整，做到道路与地块的高程衔接合理，尽量避免大量填挖土石方。</w:t>
      </w:r>
    </w:p>
    <w:p w14:paraId="6081787C">
      <w:pPr>
        <w:pStyle w:val="4"/>
        <w:spacing w:before="120" w:after="120"/>
      </w:pPr>
      <w:bookmarkStart w:id="120" w:name="_Toc55920600"/>
      <w:bookmarkStart w:id="121" w:name="_Toc85444440"/>
      <w:bookmarkStart w:id="122" w:name="_Toc85444716"/>
      <w:bookmarkStart w:id="123" w:name="_Toc85444547"/>
      <w:bookmarkStart w:id="124" w:name="_Toc5480381"/>
      <w:r>
        <w:t>防洪规划</w:t>
      </w:r>
    </w:p>
    <w:p w14:paraId="40FD5D5D">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（1）规划目标及原则</w:t>
      </w:r>
    </w:p>
    <w:p w14:paraId="551D3B7B">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防洪治水，防御、减轻洪涝灾害，维护职工的生命安全和企业财产安全，保障产业园区生产正常进行。</w:t>
      </w:r>
    </w:p>
    <w:p w14:paraId="62EF0309">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防洪工作坚持贯彻“以防为主、防排结合”的总原则。实行全面规划、统筹兼顾、预防为主、综合治理、局部利益服从全局利益的原则，确保园区不受洪水的威胁。</w:t>
      </w:r>
    </w:p>
    <w:p w14:paraId="1DEA0AFE">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（2）设防地区范围</w:t>
      </w:r>
    </w:p>
    <w:p w14:paraId="3F2DBB5F">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规划园区位于固阳县金山镇镇区的东南侧，现状南排沟由东向西从园区东南角穿过，本次规划的设防地区范围主要为河沟及沿线两侧用地。</w:t>
      </w:r>
    </w:p>
    <w:p w14:paraId="56F6B00F">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（3）防洪标准</w:t>
      </w:r>
    </w:p>
    <w:p w14:paraId="3DDF6E17">
      <w:pPr>
        <w:spacing w:before="120" w:beforeLines="5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根据《防洪标准》（GB50201-94)、《城市防洪设计规范》（CJJ50-92)及《固阳县总体规划》，园区内的防洪标准为20年一遇。</w:t>
      </w:r>
    </w:p>
    <w:p w14:paraId="2DD8540A">
      <w:pPr>
        <w:spacing w:before="120" w:beforeLines="5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（4）防洪系统</w:t>
      </w:r>
    </w:p>
    <w:p w14:paraId="4B1F8928">
      <w:pPr>
        <w:spacing w:before="120" w:beforeLines="5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根据园区的自然条件，城市防洪应在现有防洪体系的基础上，采用以泄为主的方针，加强与上游地区的协调，在区域内形成完善的防洪体系。</w:t>
      </w:r>
    </w:p>
    <w:p w14:paraId="682E5BF4">
      <w:pPr>
        <w:spacing w:before="120" w:beforeLines="5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对淤塞严重影响排洪的重点河段进行疏浚清挖，确保行洪河道的畅通。</w:t>
      </w:r>
    </w:p>
    <w:p w14:paraId="3D6D83C2">
      <w:pPr>
        <w:spacing w:before="120" w:beforeLines="5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严格控制河道两岸的开发建设，避免人类活动对河道防洪能力造成不利影响。河道整治除考虑防洪要求外，也要考虑河道两岸城市景观和生态环境的要求。</w:t>
      </w:r>
    </w:p>
    <w:p w14:paraId="647B7C86">
      <w:pPr>
        <w:spacing w:before="120" w:beforeLines="50"/>
        <w:ind w:firstLine="480" w:firstLineChars="0"/>
        <w:rPr>
          <w:rFonts w:cs="Times New Roman"/>
        </w:rPr>
      </w:pPr>
      <w:r>
        <w:rPr>
          <w:rFonts w:hint="eastAsia" w:cs="Times New Roman"/>
        </w:rPr>
        <w:t>（5）</w:t>
      </w:r>
      <w:r>
        <w:rPr>
          <w:rFonts w:cs="Times New Roman"/>
        </w:rPr>
        <w:t>防洪排涝措施</w:t>
      </w:r>
    </w:p>
    <w:p w14:paraId="6ED15E7C">
      <w:pPr>
        <w:pStyle w:val="66"/>
      </w:pPr>
      <w:r>
        <w:rPr>
          <w:rFonts w:hint="eastAsia"/>
        </w:rPr>
        <w:t>园区附近无大的河流，因此园区主要应防止内涝。在主汛期由于强降雨有可能使园区形成局部内涝。因此，园区在开发建设过程中，一定要按照雨水排除规划的要求同步建设雨水排除管网，避免因内涝对园区生产装置造成不利影响。</w:t>
      </w:r>
    </w:p>
    <w:p w14:paraId="0CF086AD">
      <w:pPr>
        <w:pStyle w:val="66"/>
      </w:pPr>
      <w:r>
        <w:rPr>
          <w:rFonts w:hint="eastAsia"/>
        </w:rPr>
        <w:t>1）防洪与排水系统规划</w:t>
      </w:r>
    </w:p>
    <w:p w14:paraId="614B13C2">
      <w:pPr>
        <w:pStyle w:val="66"/>
      </w:pPr>
      <w:r>
        <w:rPr>
          <w:rFonts w:hint="eastAsia"/>
        </w:rPr>
        <w:t>结合金山产业园区排水实际情况，考虑到充分利用规划中位于金山工业园区南侧的河渠作为雨水收集湿地。</w:t>
      </w:r>
    </w:p>
    <w:p w14:paraId="4082000A">
      <w:pPr>
        <w:pStyle w:val="66"/>
      </w:pPr>
      <w:r>
        <w:rPr>
          <w:rFonts w:hint="eastAsia"/>
        </w:rPr>
        <w:t>对此，可通过实施雨水截污与渗透系统和生态小区雨水利用系统来建设海绵城市。</w:t>
      </w:r>
    </w:p>
    <w:p w14:paraId="4E222A1D">
      <w:pPr>
        <w:pStyle w:val="66"/>
      </w:pPr>
      <w:r>
        <w:rPr>
          <w:rFonts w:hint="eastAsia"/>
        </w:rPr>
        <w:t>2）具体举措</w:t>
      </w:r>
    </w:p>
    <w:p w14:paraId="2E31A998">
      <w:pPr>
        <w:pStyle w:val="66"/>
      </w:pP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道路雨水处理</w:t>
      </w:r>
    </w:p>
    <w:p w14:paraId="2C941026">
      <w:pPr>
        <w:pStyle w:val="66"/>
      </w:pPr>
      <w:r>
        <w:rPr>
          <w:rFonts w:hint="eastAsia"/>
        </w:rPr>
        <w:t>道路雨水通过排水明沟或暗管排入沿途的大型蓄水池或通过渗透补充地下水。道路设计时纵坡一般应控制不小于0.3%以利于排水。对于纵坡小于0.3%的区域，道路两侧应设置锯齿形偏沟或加密雨水收集口。</w:t>
      </w:r>
    </w:p>
    <w:p w14:paraId="2E45A7CA">
      <w:pPr>
        <w:pStyle w:val="66"/>
      </w:pPr>
      <w:r>
        <w:rPr>
          <w:rFonts w:hint="eastAsia"/>
        </w:rPr>
        <w:t>地块1地势在南排沟以北为北高南低，南排沟以南为南高北低，南排沟以北的区域总体规划设计在包百公路和纬三路交叉口、经三路与纬三路交叉口，经四路与纬三路交叉口设计三个雨水排放口，排水去向为南排沟，在南排沟以北的地块设置两处雨水排放口，排水去向也为南排沟。</w:t>
      </w:r>
    </w:p>
    <w:p w14:paraId="006B14D0">
      <w:pPr>
        <w:pStyle w:val="66"/>
      </w:pPr>
      <w:r>
        <w:rPr>
          <w:rFonts w:hint="eastAsia"/>
        </w:rPr>
        <w:t>地块2地势南高北低，主体设计在沿两条外出道路与沟渠交叉口地方设计两处雨水排放口，排水去向为北侧沟渠。</w:t>
      </w:r>
    </w:p>
    <w:p w14:paraId="6B69816F">
      <w:pPr>
        <w:pStyle w:val="66"/>
      </w:pP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园区内渗透浅沟与湿地</w:t>
      </w:r>
    </w:p>
    <w:p w14:paraId="5D6845BA">
      <w:pPr>
        <w:pStyle w:val="66"/>
      </w:pPr>
      <w:r>
        <w:rPr>
          <w:rFonts w:hint="eastAsia"/>
        </w:rPr>
        <w:t>在园区内沿着排水道修建可渗透浅沟，并在浅沟表面种植草皮。</w:t>
      </w:r>
    </w:p>
    <w:p w14:paraId="50A8E3E8">
      <w:pPr>
        <w:pStyle w:val="66"/>
      </w:pPr>
      <w:r>
        <w:rPr>
          <w:rFonts w:hint="eastAsia"/>
        </w:rPr>
        <w:t>如果雨水超过浅沟的渗透能力，多余的雨水则进入雨水湿地，作为水景或继续下渗。</w:t>
      </w:r>
    </w:p>
    <w:p w14:paraId="2D60E09D">
      <w:pPr>
        <w:pStyle w:val="66"/>
      </w:pPr>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rPr>
        <w:t>道路设计与坡度控制</w:t>
      </w:r>
    </w:p>
    <w:p w14:paraId="3173EBA6">
      <w:pPr>
        <w:pStyle w:val="66"/>
      </w:pPr>
      <w:r>
        <w:rPr>
          <w:rFonts w:hint="eastAsia"/>
        </w:rPr>
        <w:t>道路最大纵坡小于2.0%。各类建设用地最大坡度均能满足《城乡建设用地竖向规划规范》（CJJ83-2016）的规定。</w:t>
      </w:r>
    </w:p>
    <w:p w14:paraId="1BECD2CC">
      <w:pPr>
        <w:pStyle w:val="66"/>
      </w:pPr>
      <w:r>
        <w:fldChar w:fldCharType="begin"/>
      </w:r>
      <w:r>
        <w:instrText xml:space="preserve"> </w:instrText>
      </w:r>
      <w:r>
        <w:rPr>
          <w:rFonts w:hint="eastAsia"/>
        </w:rPr>
        <w:instrText xml:space="preserve">= 4 \* GB3</w:instrText>
      </w:r>
      <w:r>
        <w:instrText xml:space="preserve"> </w:instrText>
      </w:r>
      <w:r>
        <w:fldChar w:fldCharType="separate"/>
      </w:r>
      <w:r>
        <w:rPr>
          <w:rFonts w:hint="eastAsia"/>
        </w:rPr>
        <w:t>④</w:t>
      </w:r>
      <w:r>
        <w:fldChar w:fldCharType="end"/>
      </w:r>
      <w:r>
        <w:rPr>
          <w:rFonts w:hint="eastAsia"/>
        </w:rPr>
        <w:t>河道整治与防洪措施</w:t>
      </w:r>
    </w:p>
    <w:p w14:paraId="5ACC4873">
      <w:pPr>
        <w:pStyle w:val="66"/>
      </w:pPr>
      <w:r>
        <w:rPr>
          <w:rFonts w:hint="eastAsia"/>
        </w:rPr>
        <w:t>园区南侧河道采取裁弯取直、清挖整治。积极疏通河道，增加河道过流能力，确保行洪安全。结合河道绿带建设，提高园区防洪安全性。</w:t>
      </w:r>
    </w:p>
    <w:p w14:paraId="70655E68">
      <w:pPr>
        <w:pStyle w:val="66"/>
      </w:pPr>
      <w:r>
        <w:rPr>
          <w:rFonts w:hint="eastAsia"/>
        </w:rPr>
        <w:t>3）防洪影响区域评估</w:t>
      </w:r>
    </w:p>
    <w:p w14:paraId="40BBEE4A">
      <w:pPr>
        <w:pStyle w:val="66"/>
      </w:pPr>
      <w:r>
        <w:rPr>
          <w:rFonts w:hint="eastAsia"/>
        </w:rPr>
        <w:t>目前，经过与内蒙古包头钢铁冶金开发区金山产业园管理办公室的沟通了解，得知该园区不需要编制防洪影响区域评估报告。建议园区管理办公室加强与当地水利、气象等部门的沟通和合作，及时了解最新的防洪信息和技术，确保园区的防洪工作得到有效保障。同时，也需要在园区规划和建设中充分考虑防洪因素，确保园区的安全和可持续发展。</w:t>
      </w:r>
    </w:p>
    <w:bookmarkEnd w:id="120"/>
    <w:bookmarkEnd w:id="121"/>
    <w:bookmarkEnd w:id="122"/>
    <w:bookmarkEnd w:id="123"/>
    <w:bookmarkEnd w:id="124"/>
    <w:p w14:paraId="6ADF954F">
      <w:pPr>
        <w:pStyle w:val="4"/>
        <w:spacing w:before="120" w:after="120"/>
      </w:pPr>
      <w:bookmarkStart w:id="125" w:name="_Toc85444442"/>
      <w:bookmarkStart w:id="126" w:name="_Toc85444553"/>
      <w:bookmarkStart w:id="127" w:name="_Toc55920601"/>
      <w:bookmarkStart w:id="128" w:name="_Toc85444718"/>
      <w:bookmarkStart w:id="129" w:name="_Toc5480382"/>
      <w:r>
        <w:t>土石方平衡</w:t>
      </w:r>
      <w:bookmarkEnd w:id="125"/>
      <w:bookmarkEnd w:id="126"/>
      <w:bookmarkEnd w:id="127"/>
      <w:bookmarkEnd w:id="128"/>
      <w:bookmarkEnd w:id="129"/>
    </w:p>
    <w:p w14:paraId="2B83DABF">
      <w:pPr>
        <w:pStyle w:val="5"/>
        <w:rPr>
          <w:color w:val="000000" w:themeColor="text1"/>
          <w14:textFill>
            <w14:solidFill>
              <w14:schemeClr w14:val="tx1"/>
            </w14:solidFill>
          </w14:textFill>
        </w:rPr>
      </w:pPr>
      <w:bookmarkStart w:id="130" w:name="_Toc85444554"/>
      <w:r>
        <w:rPr>
          <w:color w:val="000000" w:themeColor="text1"/>
          <w14:textFill>
            <w14:solidFill>
              <w14:schemeClr w14:val="tx1"/>
            </w14:solidFill>
          </w14:textFill>
        </w:rPr>
        <w:t>土石方平衡原则</w:t>
      </w:r>
      <w:bookmarkEnd w:id="130"/>
    </w:p>
    <w:p w14:paraId="44508B40">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可操作性和综合利用原则：土石方平衡充分考虑施工组织、土石方材质和数量等因素；土石方调运遵循挖填同时、就近回填的原则，尽量综合利用土石方。</w:t>
      </w:r>
    </w:p>
    <w:p w14:paraId="1B840766">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环境保护原则：保护表土，用于后期绿化覆土，施工期间在临时堆土场设置单独设置表土堆存区集中堆置。</w:t>
      </w:r>
    </w:p>
    <w:p w14:paraId="17A33A21">
      <w:pPr>
        <w:pStyle w:val="5"/>
        <w:rPr>
          <w:color w:val="000000" w:themeColor="text1"/>
          <w14:textFill>
            <w14:solidFill>
              <w14:schemeClr w14:val="tx1"/>
            </w14:solidFill>
          </w14:textFill>
        </w:rPr>
      </w:pPr>
      <w:bookmarkStart w:id="131" w:name="_Toc85444555"/>
      <w:r>
        <w:rPr>
          <w:color w:val="000000" w:themeColor="text1"/>
          <w14:textFill>
            <w14:solidFill>
              <w14:schemeClr w14:val="tx1"/>
            </w14:solidFill>
          </w14:textFill>
        </w:rPr>
        <w:t>土石方平衡分析</w:t>
      </w:r>
      <w:bookmarkEnd w:id="131"/>
    </w:p>
    <w:p w14:paraId="05C6AE9E">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本评估报告土石方平衡分析如下：</w:t>
      </w:r>
    </w:p>
    <w:p w14:paraId="0E8EF38A">
      <w:pPr>
        <w:widowControl w:val="0"/>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①</w:t>
      </w:r>
      <w:r>
        <w:rPr>
          <w:rFonts w:cs="Times New Roman"/>
          <w:color w:val="000000" w:themeColor="text1"/>
          <w14:textFill>
            <w14:solidFill>
              <w14:schemeClr w14:val="tx1"/>
            </w14:solidFill>
          </w14:textFill>
        </w:rPr>
        <w:t>园区各建筑区域绿地工程绿化覆土厚度按25～30cm考虑，道路两侧绿地及防护绿地绿化覆土厚度按25-30cm，局部加厚至80cm（适用于深根性乔木种植）；</w:t>
      </w:r>
    </w:p>
    <w:p w14:paraId="52C2FE5A">
      <w:pPr>
        <w:widowControl w:val="0"/>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②</w:t>
      </w:r>
      <w:r>
        <w:rPr>
          <w:rFonts w:cs="Times New Roman"/>
          <w:color w:val="000000" w:themeColor="text1"/>
          <w14:textFill>
            <w14:solidFill>
              <w14:schemeClr w14:val="tx1"/>
            </w14:solidFill>
          </w14:textFill>
        </w:rPr>
        <w:t>园区各地块挖填合理，无借方，无弃方，不设取土场和弃渣场，满足工程本身以及水土保持的要求；</w:t>
      </w:r>
    </w:p>
    <w:p w14:paraId="6F7E7EA9">
      <w:pPr>
        <w:widowControl w:val="0"/>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③</w:t>
      </w:r>
      <w:r>
        <w:rPr>
          <w:rFonts w:cs="Times New Roman"/>
          <w:color w:val="000000" w:themeColor="text1"/>
          <w14:textFill>
            <w14:solidFill>
              <w14:schemeClr w14:val="tx1"/>
            </w14:solidFill>
          </w14:textFill>
        </w:rPr>
        <w:t>园区内地块场地平整产生的土方可调运至各地块利用；</w:t>
      </w:r>
    </w:p>
    <w:p w14:paraId="3AF02447">
      <w:pPr>
        <w:widowControl w:val="0"/>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④</w:t>
      </w:r>
      <w:r>
        <w:rPr>
          <w:rFonts w:cs="Times New Roman"/>
          <w:color w:val="000000" w:themeColor="text1"/>
          <w14:textFill>
            <w14:solidFill>
              <w14:schemeClr w14:val="tx1"/>
            </w14:solidFill>
          </w14:textFill>
        </w:rPr>
        <w:t>园区内已建，在建、未建区域产生的建筑垃圾可考虑用于道路及市政配套设施工程路基回填以及园区内场地凹地回填；</w:t>
      </w:r>
    </w:p>
    <w:p w14:paraId="54BF6CB9">
      <w:pPr>
        <w:widowControl w:val="0"/>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⑤</w:t>
      </w:r>
      <w:r>
        <w:rPr>
          <w:rFonts w:cs="Times New Roman"/>
          <w:color w:val="000000" w:themeColor="text1"/>
          <w14:textFill>
            <w14:solidFill>
              <w14:schemeClr w14:val="tx1"/>
            </w14:solidFill>
          </w14:textFill>
        </w:rPr>
        <w:t>园区内占用的林地、草地及耕地等区域均需按要求进行表土剥离，剥离厚度按</w:t>
      </w:r>
      <w:r>
        <w:rPr>
          <w:rFonts w:hint="eastAsia" w:cs="Times New Roman"/>
          <w:color w:val="000000" w:themeColor="text1"/>
          <w14:textFill>
            <w14:solidFill>
              <w14:schemeClr w14:val="tx1"/>
            </w14:solidFill>
          </w14:textFill>
        </w:rPr>
        <w:t>耕地0</w:t>
      </w:r>
      <w:r>
        <w:rPr>
          <w:rFonts w:cs="Times New Roman"/>
          <w:color w:val="000000" w:themeColor="text1"/>
          <w14:textFill>
            <w14:solidFill>
              <w14:schemeClr w14:val="tx1"/>
            </w14:solidFill>
          </w14:textFill>
        </w:rPr>
        <w:t>.30cm</w:t>
      </w:r>
      <w:r>
        <w:rPr>
          <w:rFonts w:hint="eastAsia" w:cs="Times New Roman"/>
          <w:color w:val="000000" w:themeColor="text1"/>
          <w14:textFill>
            <w14:solidFill>
              <w14:schemeClr w14:val="tx1"/>
            </w14:solidFill>
          </w14:textFill>
        </w:rPr>
        <w:t>，林地和草地0</w:t>
      </w:r>
      <w:r>
        <w:rPr>
          <w:rFonts w:cs="Times New Roman"/>
          <w:color w:val="000000" w:themeColor="text1"/>
          <w14:textFill>
            <w14:solidFill>
              <w14:schemeClr w14:val="tx1"/>
            </w14:solidFill>
          </w14:textFill>
        </w:rPr>
        <w:t>.15</w:t>
      </w:r>
      <w:r>
        <w:rPr>
          <w:rFonts w:hint="eastAsia" w:cs="Times New Roman"/>
          <w:color w:val="000000" w:themeColor="text1"/>
          <w14:textFill>
            <w14:solidFill>
              <w14:schemeClr w14:val="tx1"/>
            </w14:solidFill>
          </w14:textFill>
        </w:rPr>
        <w:t>m</w:t>
      </w:r>
      <w:r>
        <w:rPr>
          <w:rFonts w:cs="Times New Roman"/>
          <w:color w:val="000000" w:themeColor="text1"/>
          <w14:textFill>
            <w14:solidFill>
              <w14:schemeClr w14:val="tx1"/>
            </w14:solidFill>
          </w14:textFill>
        </w:rPr>
        <w:t>考虑，剥离的表土后期用作绿化覆土；</w:t>
      </w:r>
    </w:p>
    <w:p w14:paraId="3E7E593B">
      <w:pPr>
        <w:widowControl w:val="0"/>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⑥</w:t>
      </w:r>
      <w:r>
        <w:rPr>
          <w:rFonts w:cs="Times New Roman"/>
          <w:color w:val="000000" w:themeColor="text1"/>
          <w14:textFill>
            <w14:solidFill>
              <w14:schemeClr w14:val="tx1"/>
            </w14:solidFill>
          </w14:textFill>
        </w:rPr>
        <w:t>园区内各类砌筑块石、砂砾料、筑路沥青等建筑用料不列入土石方平衡计算中；</w:t>
      </w:r>
    </w:p>
    <w:p w14:paraId="30E53A29">
      <w:pPr>
        <w:widowControl w:val="0"/>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⑦</w:t>
      </w:r>
      <w:r>
        <w:rPr>
          <w:rFonts w:cs="Times New Roman"/>
          <w:color w:val="000000" w:themeColor="text1"/>
          <w14:textFill>
            <w14:solidFill>
              <w14:schemeClr w14:val="tx1"/>
            </w14:solidFill>
          </w14:textFill>
        </w:rPr>
        <w:t>园区土石方平衡计算均按自然方进行计算。</w:t>
      </w:r>
    </w:p>
    <w:p w14:paraId="012497AF">
      <w:pPr>
        <w:pStyle w:val="5"/>
        <w:rPr>
          <w:color w:val="000000" w:themeColor="text1"/>
          <w14:textFill>
            <w14:solidFill>
              <w14:schemeClr w14:val="tx1"/>
            </w14:solidFill>
          </w14:textFill>
        </w:rPr>
      </w:pPr>
      <w:r>
        <w:rPr>
          <w:color w:val="000000" w:themeColor="text1"/>
          <w14:textFill>
            <w14:solidFill>
              <w14:schemeClr w14:val="tx1"/>
            </w14:solidFill>
          </w14:textFill>
        </w:rPr>
        <w:t>分项工程土石方平衡</w:t>
      </w:r>
    </w:p>
    <w:p w14:paraId="47C1506C">
      <w:pPr>
        <w:pStyle w:val="46"/>
        <w:numPr>
          <w:ilvl w:val="0"/>
          <w:numId w:val="4"/>
        </w:numPr>
        <w:ind w:firstLineChars="0"/>
        <w:rPr>
          <w:bCs/>
        </w:rPr>
      </w:pPr>
      <w:r>
        <w:rPr>
          <w:bCs/>
        </w:rPr>
        <w:t>已编报水土保持方案项目土石方工程</w:t>
      </w:r>
    </w:p>
    <w:p w14:paraId="643441A3">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由前表1-8可知，园区内已编报水土保持方案的项目有32个，其中地块1（金山产业园北区）31个，地块2（下湿壕片区）1个。涉及区域面积为691.27hm²，总挖方量326.71万m³，总填方量326.71万m³，无借方，无弃方。其土石方开挖及回填主要有表土剥离及利用、土地整治、主体建筑土石方工程。</w:t>
      </w:r>
    </w:p>
    <w:p w14:paraId="20F04E2A">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根据上述已实施项目土方实际产生量，平均</w:t>
      </w:r>
      <w:r>
        <w:rPr>
          <w:rFonts w:hint="eastAsia" w:cs="Times New Roman"/>
          <w:color w:val="000000" w:themeColor="text1"/>
          <w14:textFill>
            <w14:solidFill>
              <w14:schemeClr w14:val="tx1"/>
            </w14:solidFill>
          </w14:textFill>
        </w:rPr>
        <w:t>每公顷</w:t>
      </w:r>
      <w:r>
        <w:rPr>
          <w:rFonts w:cs="Times New Roman"/>
          <w:color w:val="000000" w:themeColor="text1"/>
          <w14:textFill>
            <w14:solidFill>
              <w14:schemeClr w14:val="tx1"/>
            </w14:solidFill>
          </w14:textFill>
        </w:rPr>
        <w:t>挖方0.47万m³，平均</w:t>
      </w:r>
      <w:r>
        <w:rPr>
          <w:rFonts w:hint="eastAsia" w:cs="Times New Roman"/>
          <w:color w:val="000000" w:themeColor="text1"/>
          <w14:textFill>
            <w14:solidFill>
              <w14:schemeClr w14:val="tx1"/>
            </w14:solidFill>
          </w14:textFill>
        </w:rPr>
        <w:t>每公顷</w:t>
      </w:r>
      <w:r>
        <w:rPr>
          <w:rFonts w:cs="Times New Roman"/>
          <w:color w:val="000000" w:themeColor="text1"/>
          <w14:textFill>
            <w14:solidFill>
              <w14:schemeClr w14:val="tx1"/>
            </w14:solidFill>
          </w14:textFill>
        </w:rPr>
        <w:t>填方0.47万m³，</w:t>
      </w:r>
      <w:r>
        <w:rPr>
          <w:rFonts w:hint="eastAsia" w:cs="Times New Roman"/>
          <w:color w:val="000000" w:themeColor="text1"/>
          <w14:textFill>
            <w14:solidFill>
              <w14:schemeClr w14:val="tx1"/>
            </w14:solidFill>
          </w14:textFill>
        </w:rPr>
        <w:t>本次评估根据已编报水保方案项目土石方情况，</w:t>
      </w:r>
      <w:r>
        <w:rPr>
          <w:rFonts w:cs="Times New Roman"/>
          <w:color w:val="000000" w:themeColor="text1"/>
          <w14:textFill>
            <w14:solidFill>
              <w14:schemeClr w14:val="tx1"/>
            </w14:solidFill>
          </w14:textFill>
        </w:rPr>
        <w:t>按面积比例推算</w:t>
      </w:r>
      <w:r>
        <w:rPr>
          <w:rFonts w:hint="eastAsia" w:cs="Times New Roman"/>
          <w:color w:val="000000" w:themeColor="text1"/>
          <w14:textFill>
            <w14:solidFill>
              <w14:schemeClr w14:val="tx1"/>
            </w14:solidFill>
          </w14:textFill>
        </w:rPr>
        <w:t>园区</w:t>
      </w:r>
      <w:r>
        <w:rPr>
          <w:rFonts w:cs="Times New Roman"/>
          <w:color w:val="000000" w:themeColor="text1"/>
          <w14:textFill>
            <w14:solidFill>
              <w14:schemeClr w14:val="tx1"/>
            </w14:solidFill>
          </w14:textFill>
        </w:rPr>
        <w:t>已建区域</w:t>
      </w:r>
      <w:r>
        <w:rPr>
          <w:rFonts w:hint="eastAsia" w:cs="Times New Roman"/>
          <w:color w:val="000000" w:themeColor="text1"/>
          <w14:textFill>
            <w14:solidFill>
              <w14:schemeClr w14:val="tx1"/>
            </w14:solidFill>
          </w14:textFill>
        </w:rPr>
        <w:t>和未建区域</w:t>
      </w:r>
      <w:r>
        <w:rPr>
          <w:rFonts w:cs="Times New Roman"/>
          <w:color w:val="000000" w:themeColor="text1"/>
          <w14:textFill>
            <w14:solidFill>
              <w14:schemeClr w14:val="tx1"/>
            </w14:solidFill>
          </w14:textFill>
        </w:rPr>
        <w:t>同类型项目</w:t>
      </w:r>
      <w:r>
        <w:rPr>
          <w:rFonts w:hint="eastAsia" w:cs="Times New Roman"/>
          <w:color w:val="000000" w:themeColor="text1"/>
          <w14:textFill>
            <w14:solidFill>
              <w14:schemeClr w14:val="tx1"/>
            </w14:solidFill>
          </w14:textFill>
        </w:rPr>
        <w:t>的</w:t>
      </w:r>
      <w:r>
        <w:rPr>
          <w:rFonts w:cs="Times New Roman"/>
          <w:color w:val="000000" w:themeColor="text1"/>
          <w14:textFill>
            <w14:solidFill>
              <w14:schemeClr w14:val="tx1"/>
            </w14:solidFill>
          </w14:textFill>
        </w:rPr>
        <w:t>土方挖填量。</w:t>
      </w:r>
    </w:p>
    <w:p w14:paraId="564E57CC">
      <w:pPr>
        <w:widowControl w:val="0"/>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园区</w:t>
      </w:r>
      <w:r>
        <w:rPr>
          <w:rFonts w:cs="Times New Roman"/>
          <w:color w:val="000000" w:themeColor="text1"/>
          <w14:textFill>
            <w14:solidFill>
              <w14:schemeClr w14:val="tx1"/>
            </w14:solidFill>
          </w14:textFill>
        </w:rPr>
        <w:t>已编报的水土保持方案</w:t>
      </w:r>
      <w:r>
        <w:rPr>
          <w:rFonts w:hint="eastAsia" w:cs="Times New Roman"/>
          <w:color w:val="000000" w:themeColor="text1"/>
          <w14:textFill>
            <w14:solidFill>
              <w14:schemeClr w14:val="tx1"/>
            </w14:solidFill>
          </w14:textFill>
        </w:rPr>
        <w:t>项目土石方</w:t>
      </w:r>
      <w:r>
        <w:rPr>
          <w:rFonts w:cs="Times New Roman"/>
          <w:color w:val="000000" w:themeColor="text1"/>
          <w14:textFill>
            <w14:solidFill>
              <w14:schemeClr w14:val="tx1"/>
            </w14:solidFill>
          </w14:textFill>
        </w:rPr>
        <w:t>统计</w:t>
      </w:r>
      <w:r>
        <w:rPr>
          <w:rFonts w:hint="eastAsia" w:cs="Times New Roman"/>
          <w:color w:val="000000" w:themeColor="text1"/>
          <w14:textFill>
            <w14:solidFill>
              <w14:schemeClr w14:val="tx1"/>
            </w14:solidFill>
          </w14:textFill>
        </w:rPr>
        <w:t>情况</w:t>
      </w:r>
      <w:r>
        <w:rPr>
          <w:rFonts w:cs="Times New Roman"/>
          <w:color w:val="000000" w:themeColor="text1"/>
          <w14:textFill>
            <w14:solidFill>
              <w14:schemeClr w14:val="tx1"/>
            </w14:solidFill>
          </w14:textFill>
        </w:rPr>
        <w:t>，详见下表1-14。</w:t>
      </w:r>
    </w:p>
    <w:p w14:paraId="3143E444">
      <w:pPr>
        <w:widowControl w:val="0"/>
        <w:ind w:firstLine="480"/>
        <w:rPr>
          <w:rFonts w:cs="Times New Roman"/>
          <w:color w:val="000000" w:themeColor="text1"/>
          <w14:textFill>
            <w14:solidFill>
              <w14:schemeClr w14:val="tx1"/>
            </w14:solidFill>
          </w14:textFill>
        </w:rPr>
        <w:sectPr>
          <w:headerReference r:id="rId24" w:type="default"/>
          <w:footerReference r:id="rId25" w:type="default"/>
          <w:pgSz w:w="11907" w:h="16839"/>
          <w:pgMar w:top="1418" w:right="1418" w:bottom="1418" w:left="1418" w:header="850" w:footer="850" w:gutter="0"/>
          <w:cols w:space="720" w:num="1"/>
          <w:docGrid w:linePitch="326" w:charSpace="0"/>
        </w:sectPr>
      </w:pPr>
    </w:p>
    <w:p w14:paraId="36A98BB2">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表1-14                                                              已编报水土保持方案</w:t>
      </w:r>
      <w:r>
        <w:rPr>
          <w:rFonts w:hint="eastAsia"/>
          <w:color w:val="000000" w:themeColor="text1"/>
          <w:lang w:eastAsia="zh-CN"/>
          <w14:textFill>
            <w14:solidFill>
              <w14:schemeClr w14:val="tx1"/>
            </w14:solidFill>
          </w14:textFill>
        </w:rPr>
        <w:t>项目</w:t>
      </w:r>
      <w:r>
        <w:rPr>
          <w:color w:val="000000" w:themeColor="text1"/>
          <w:lang w:eastAsia="zh-CN"/>
          <w14:textFill>
            <w14:solidFill>
              <w14:schemeClr w14:val="tx1"/>
            </w14:solidFill>
          </w14:textFill>
        </w:rPr>
        <w:t>土石方工程                                           （单位：万m³）</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726"/>
        <w:gridCol w:w="3544"/>
        <w:gridCol w:w="5222"/>
        <w:gridCol w:w="1169"/>
        <w:gridCol w:w="1073"/>
        <w:gridCol w:w="1005"/>
      </w:tblGrid>
      <w:tr w14:paraId="2D99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254" w:type="dxa"/>
            <w:tcBorders>
              <w:bottom w:val="double" w:color="auto" w:sz="4" w:space="0"/>
            </w:tcBorders>
            <w:shd w:val="clear" w:color="auto" w:fill="auto"/>
            <w:noWrap/>
            <w:vAlign w:val="center"/>
          </w:tcPr>
          <w:p w14:paraId="39FAAFB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分区</w:t>
            </w:r>
          </w:p>
        </w:tc>
        <w:tc>
          <w:tcPr>
            <w:tcW w:w="726" w:type="dxa"/>
            <w:tcBorders>
              <w:bottom w:val="double" w:color="auto" w:sz="4" w:space="0"/>
            </w:tcBorders>
            <w:shd w:val="clear" w:color="auto" w:fill="auto"/>
            <w:noWrap/>
            <w:vAlign w:val="center"/>
          </w:tcPr>
          <w:p w14:paraId="7D74015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序号</w:t>
            </w:r>
          </w:p>
        </w:tc>
        <w:tc>
          <w:tcPr>
            <w:tcW w:w="3544" w:type="dxa"/>
            <w:tcBorders>
              <w:bottom w:val="double" w:color="auto" w:sz="4" w:space="0"/>
            </w:tcBorders>
            <w:shd w:val="clear" w:color="auto" w:fill="auto"/>
            <w:noWrap/>
            <w:vAlign w:val="center"/>
          </w:tcPr>
          <w:p w14:paraId="7E68739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企业名称</w:t>
            </w:r>
          </w:p>
        </w:tc>
        <w:tc>
          <w:tcPr>
            <w:tcW w:w="5222" w:type="dxa"/>
            <w:tcBorders>
              <w:bottom w:val="double" w:color="auto" w:sz="4" w:space="0"/>
            </w:tcBorders>
            <w:shd w:val="clear" w:color="auto" w:fill="auto"/>
            <w:noWrap/>
            <w:vAlign w:val="center"/>
          </w:tcPr>
          <w:p w14:paraId="7ADA78D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项目名称</w:t>
            </w:r>
          </w:p>
        </w:tc>
        <w:tc>
          <w:tcPr>
            <w:tcW w:w="1169" w:type="dxa"/>
            <w:tcBorders>
              <w:bottom w:val="double" w:color="auto" w:sz="4" w:space="0"/>
            </w:tcBorders>
            <w:shd w:val="clear" w:color="auto" w:fill="auto"/>
            <w:noWrap/>
            <w:vAlign w:val="center"/>
          </w:tcPr>
          <w:p w14:paraId="4E50867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防治责任范围（hm²）</w:t>
            </w:r>
          </w:p>
        </w:tc>
        <w:tc>
          <w:tcPr>
            <w:tcW w:w="1073" w:type="dxa"/>
            <w:tcBorders>
              <w:bottom w:val="double" w:color="auto" w:sz="4" w:space="0"/>
            </w:tcBorders>
            <w:shd w:val="clear" w:color="auto" w:fill="auto"/>
            <w:noWrap/>
            <w:vAlign w:val="center"/>
          </w:tcPr>
          <w:p w14:paraId="07D2779D">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土方开挖（万m³）</w:t>
            </w:r>
          </w:p>
        </w:tc>
        <w:tc>
          <w:tcPr>
            <w:tcW w:w="1005" w:type="dxa"/>
            <w:tcBorders>
              <w:bottom w:val="double" w:color="auto" w:sz="4" w:space="0"/>
            </w:tcBorders>
            <w:shd w:val="clear" w:color="auto" w:fill="auto"/>
            <w:noWrap/>
            <w:vAlign w:val="center"/>
          </w:tcPr>
          <w:p w14:paraId="1D46D4E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土方回填（万m³）</w:t>
            </w:r>
          </w:p>
        </w:tc>
      </w:tr>
      <w:tr w14:paraId="4C74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restart"/>
            <w:tcBorders>
              <w:top w:val="double" w:color="auto" w:sz="4" w:space="0"/>
            </w:tcBorders>
            <w:shd w:val="clear" w:color="auto" w:fill="auto"/>
            <w:noWrap/>
            <w:vAlign w:val="center"/>
          </w:tcPr>
          <w:p w14:paraId="204CEEFB">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地块1（金山产业园北区）</w:t>
            </w:r>
          </w:p>
        </w:tc>
        <w:tc>
          <w:tcPr>
            <w:tcW w:w="726" w:type="dxa"/>
            <w:tcBorders>
              <w:top w:val="double" w:color="auto" w:sz="4" w:space="0"/>
            </w:tcBorders>
            <w:shd w:val="clear" w:color="auto" w:fill="auto"/>
            <w:noWrap/>
            <w:vAlign w:val="center"/>
          </w:tcPr>
          <w:p w14:paraId="74FE8FC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1</w:t>
            </w:r>
          </w:p>
        </w:tc>
        <w:tc>
          <w:tcPr>
            <w:tcW w:w="3544" w:type="dxa"/>
            <w:tcBorders>
              <w:top w:val="double" w:color="auto" w:sz="4" w:space="0"/>
            </w:tcBorders>
            <w:shd w:val="clear" w:color="auto" w:fill="auto"/>
            <w:noWrap/>
            <w:vAlign w:val="center"/>
          </w:tcPr>
          <w:p w14:paraId="3B23628B">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包头市新恒丰能源有限公司</w:t>
            </w:r>
          </w:p>
        </w:tc>
        <w:tc>
          <w:tcPr>
            <w:tcW w:w="5222" w:type="dxa"/>
            <w:tcBorders>
              <w:top w:val="double" w:color="auto" w:sz="4" w:space="0"/>
            </w:tcBorders>
            <w:shd w:val="clear" w:color="auto" w:fill="auto"/>
            <w:noWrap/>
            <w:vAlign w:val="center"/>
          </w:tcPr>
          <w:p w14:paraId="1C5BADD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包头市新恒丰能源有限公司年产50万吨轻金属材料加工项目</w:t>
            </w:r>
          </w:p>
        </w:tc>
        <w:tc>
          <w:tcPr>
            <w:tcW w:w="1169" w:type="dxa"/>
            <w:tcBorders>
              <w:top w:val="double" w:color="auto" w:sz="4" w:space="0"/>
            </w:tcBorders>
            <w:shd w:val="clear" w:color="auto" w:fill="auto"/>
            <w:noWrap/>
            <w:vAlign w:val="center"/>
          </w:tcPr>
          <w:p w14:paraId="30C698B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52.23 </w:t>
            </w:r>
          </w:p>
        </w:tc>
        <w:tc>
          <w:tcPr>
            <w:tcW w:w="1073" w:type="dxa"/>
            <w:tcBorders>
              <w:top w:val="double" w:color="auto" w:sz="4" w:space="0"/>
            </w:tcBorders>
            <w:shd w:val="clear" w:color="auto" w:fill="auto"/>
            <w:noWrap/>
            <w:vAlign w:val="center"/>
          </w:tcPr>
          <w:p w14:paraId="3028EF09">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14.25 </w:t>
            </w:r>
          </w:p>
        </w:tc>
        <w:tc>
          <w:tcPr>
            <w:tcW w:w="1005" w:type="dxa"/>
            <w:tcBorders>
              <w:top w:val="double" w:color="auto" w:sz="4" w:space="0"/>
            </w:tcBorders>
            <w:shd w:val="clear" w:color="auto" w:fill="auto"/>
            <w:noWrap/>
            <w:vAlign w:val="center"/>
          </w:tcPr>
          <w:p w14:paraId="32FAE6A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14.25 </w:t>
            </w:r>
          </w:p>
        </w:tc>
      </w:tr>
      <w:tr w14:paraId="6F8B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54A4B429">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12338F4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2</w:t>
            </w:r>
          </w:p>
        </w:tc>
        <w:tc>
          <w:tcPr>
            <w:tcW w:w="3544" w:type="dxa"/>
            <w:shd w:val="clear" w:color="auto" w:fill="auto"/>
            <w:noWrap/>
            <w:vAlign w:val="center"/>
          </w:tcPr>
          <w:p w14:paraId="4D0D400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固阳义正诚碳素有限公司</w:t>
            </w:r>
          </w:p>
        </w:tc>
        <w:tc>
          <w:tcPr>
            <w:tcW w:w="5222" w:type="dxa"/>
            <w:shd w:val="clear" w:color="auto" w:fill="auto"/>
            <w:noWrap/>
            <w:vAlign w:val="center"/>
          </w:tcPr>
          <w:p w14:paraId="7AE319E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固阳义正诚碳素有限公司25万吨/年碳素项目</w:t>
            </w:r>
          </w:p>
        </w:tc>
        <w:tc>
          <w:tcPr>
            <w:tcW w:w="1169" w:type="dxa"/>
            <w:shd w:val="clear" w:color="auto" w:fill="auto"/>
            <w:noWrap/>
            <w:vAlign w:val="center"/>
          </w:tcPr>
          <w:p w14:paraId="75D000C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18.27 </w:t>
            </w:r>
          </w:p>
        </w:tc>
        <w:tc>
          <w:tcPr>
            <w:tcW w:w="1073" w:type="dxa"/>
            <w:shd w:val="clear" w:color="auto" w:fill="auto"/>
            <w:noWrap/>
            <w:vAlign w:val="center"/>
          </w:tcPr>
          <w:p w14:paraId="1287142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1.66 </w:t>
            </w:r>
          </w:p>
        </w:tc>
        <w:tc>
          <w:tcPr>
            <w:tcW w:w="1005" w:type="dxa"/>
            <w:shd w:val="clear" w:color="auto" w:fill="auto"/>
            <w:noWrap/>
            <w:vAlign w:val="center"/>
          </w:tcPr>
          <w:p w14:paraId="17D21987">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1.66 </w:t>
            </w:r>
          </w:p>
        </w:tc>
      </w:tr>
      <w:tr w14:paraId="6F4F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11C3260F">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5731CC5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3</w:t>
            </w:r>
          </w:p>
        </w:tc>
        <w:tc>
          <w:tcPr>
            <w:tcW w:w="3544" w:type="dxa"/>
            <w:shd w:val="clear" w:color="auto" w:fill="auto"/>
            <w:noWrap/>
            <w:vAlign w:val="center"/>
          </w:tcPr>
          <w:p w14:paraId="204BF407">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包头市新恒丰能源有限公司</w:t>
            </w:r>
          </w:p>
        </w:tc>
        <w:tc>
          <w:tcPr>
            <w:tcW w:w="5222" w:type="dxa"/>
            <w:shd w:val="clear" w:color="auto" w:fill="auto"/>
            <w:noWrap/>
            <w:vAlign w:val="center"/>
          </w:tcPr>
          <w:p w14:paraId="42708B4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包头市新恒丰能源有限公司铝厂供电工程</w:t>
            </w:r>
          </w:p>
        </w:tc>
        <w:tc>
          <w:tcPr>
            <w:tcW w:w="1169" w:type="dxa"/>
            <w:shd w:val="clear" w:color="auto" w:fill="auto"/>
            <w:noWrap/>
            <w:vAlign w:val="center"/>
          </w:tcPr>
          <w:p w14:paraId="0CD974D3">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2.04 </w:t>
            </w:r>
          </w:p>
        </w:tc>
        <w:tc>
          <w:tcPr>
            <w:tcW w:w="1073" w:type="dxa"/>
            <w:shd w:val="clear" w:color="auto" w:fill="auto"/>
            <w:noWrap/>
            <w:vAlign w:val="center"/>
          </w:tcPr>
          <w:p w14:paraId="70126EE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0.89 </w:t>
            </w:r>
          </w:p>
        </w:tc>
        <w:tc>
          <w:tcPr>
            <w:tcW w:w="1005" w:type="dxa"/>
            <w:shd w:val="clear" w:color="auto" w:fill="auto"/>
            <w:noWrap/>
            <w:vAlign w:val="center"/>
          </w:tcPr>
          <w:p w14:paraId="12CB9098">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0.89 </w:t>
            </w:r>
          </w:p>
        </w:tc>
      </w:tr>
      <w:tr w14:paraId="7BF7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30A964D5">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6963EAD3">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4</w:t>
            </w:r>
          </w:p>
        </w:tc>
        <w:tc>
          <w:tcPr>
            <w:tcW w:w="3544" w:type="dxa"/>
            <w:shd w:val="clear" w:color="auto" w:fill="auto"/>
            <w:noWrap/>
            <w:vAlign w:val="center"/>
          </w:tcPr>
          <w:p w14:paraId="7C604D18">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包钢集团固阳矿山有限公司</w:t>
            </w:r>
          </w:p>
        </w:tc>
        <w:tc>
          <w:tcPr>
            <w:tcW w:w="5222" w:type="dxa"/>
            <w:shd w:val="clear" w:color="auto" w:fill="auto"/>
            <w:noWrap/>
            <w:vAlign w:val="center"/>
          </w:tcPr>
          <w:p w14:paraId="153FA82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包钢集团固阳矿山有限公司240万吨/年链回环球团项目</w:t>
            </w:r>
          </w:p>
        </w:tc>
        <w:tc>
          <w:tcPr>
            <w:tcW w:w="1169" w:type="dxa"/>
            <w:shd w:val="clear" w:color="auto" w:fill="auto"/>
            <w:noWrap/>
            <w:vAlign w:val="center"/>
          </w:tcPr>
          <w:p w14:paraId="26DD6A33">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37.99 </w:t>
            </w:r>
          </w:p>
        </w:tc>
        <w:tc>
          <w:tcPr>
            <w:tcW w:w="1073" w:type="dxa"/>
            <w:shd w:val="clear" w:color="auto" w:fill="auto"/>
            <w:noWrap/>
            <w:vAlign w:val="center"/>
          </w:tcPr>
          <w:p w14:paraId="42EEA319">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8.30 </w:t>
            </w:r>
          </w:p>
        </w:tc>
        <w:tc>
          <w:tcPr>
            <w:tcW w:w="1005" w:type="dxa"/>
            <w:shd w:val="clear" w:color="auto" w:fill="auto"/>
            <w:noWrap/>
            <w:vAlign w:val="center"/>
          </w:tcPr>
          <w:p w14:paraId="1412E5A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8.30 </w:t>
            </w:r>
          </w:p>
        </w:tc>
      </w:tr>
      <w:tr w14:paraId="4FB5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67FFA70D">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25D962E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5</w:t>
            </w:r>
          </w:p>
        </w:tc>
        <w:tc>
          <w:tcPr>
            <w:tcW w:w="3544" w:type="dxa"/>
            <w:shd w:val="clear" w:color="auto" w:fill="auto"/>
            <w:noWrap/>
            <w:vAlign w:val="center"/>
          </w:tcPr>
          <w:p w14:paraId="35183883">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内蒙古奥原新材料有限公司</w:t>
            </w:r>
          </w:p>
        </w:tc>
        <w:tc>
          <w:tcPr>
            <w:tcW w:w="5222" w:type="dxa"/>
            <w:shd w:val="clear" w:color="auto" w:fill="auto"/>
            <w:noWrap/>
            <w:vAlign w:val="center"/>
          </w:tcPr>
          <w:p w14:paraId="0351CB0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内蒙古奥原新材料有限公司10000吨/年锂离子电池负极材料项目</w:t>
            </w:r>
          </w:p>
        </w:tc>
        <w:tc>
          <w:tcPr>
            <w:tcW w:w="1169" w:type="dxa"/>
            <w:shd w:val="clear" w:color="auto" w:fill="auto"/>
            <w:noWrap/>
            <w:vAlign w:val="center"/>
          </w:tcPr>
          <w:p w14:paraId="3FC7835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5.45 </w:t>
            </w:r>
          </w:p>
        </w:tc>
        <w:tc>
          <w:tcPr>
            <w:tcW w:w="1073" w:type="dxa"/>
            <w:shd w:val="clear" w:color="auto" w:fill="auto"/>
            <w:noWrap/>
            <w:vAlign w:val="center"/>
          </w:tcPr>
          <w:p w14:paraId="6573580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2.09 </w:t>
            </w:r>
          </w:p>
        </w:tc>
        <w:tc>
          <w:tcPr>
            <w:tcW w:w="1005" w:type="dxa"/>
            <w:shd w:val="clear" w:color="auto" w:fill="auto"/>
            <w:noWrap/>
            <w:vAlign w:val="center"/>
          </w:tcPr>
          <w:p w14:paraId="65C39C0B">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2.09 </w:t>
            </w:r>
          </w:p>
        </w:tc>
      </w:tr>
      <w:tr w14:paraId="2D3C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6193F467">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196BA1A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6</w:t>
            </w:r>
          </w:p>
        </w:tc>
        <w:tc>
          <w:tcPr>
            <w:tcW w:w="3544" w:type="dxa"/>
            <w:shd w:val="clear" w:color="auto" w:fill="auto"/>
            <w:noWrap/>
            <w:vAlign w:val="center"/>
          </w:tcPr>
          <w:p w14:paraId="2F7E92B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内蒙古能源发电投资集团有限公司</w:t>
            </w:r>
          </w:p>
        </w:tc>
        <w:tc>
          <w:tcPr>
            <w:tcW w:w="5222" w:type="dxa"/>
            <w:shd w:val="clear" w:color="auto" w:fill="auto"/>
            <w:noWrap/>
            <w:vAlign w:val="center"/>
          </w:tcPr>
          <w:p w14:paraId="0F7F995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内蒙古能源发电投资集团有限公司包头固阳包头金山经济开发区热电厂2*350MW发电机组工程</w:t>
            </w:r>
          </w:p>
        </w:tc>
        <w:tc>
          <w:tcPr>
            <w:tcW w:w="1169" w:type="dxa"/>
            <w:shd w:val="clear" w:color="auto" w:fill="auto"/>
            <w:noWrap/>
            <w:vAlign w:val="center"/>
          </w:tcPr>
          <w:p w14:paraId="1F89C34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53.40 </w:t>
            </w:r>
          </w:p>
        </w:tc>
        <w:tc>
          <w:tcPr>
            <w:tcW w:w="1073" w:type="dxa"/>
            <w:shd w:val="clear" w:color="auto" w:fill="auto"/>
            <w:noWrap/>
            <w:vAlign w:val="center"/>
          </w:tcPr>
          <w:p w14:paraId="2FBC231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37.77 </w:t>
            </w:r>
          </w:p>
        </w:tc>
        <w:tc>
          <w:tcPr>
            <w:tcW w:w="1005" w:type="dxa"/>
            <w:shd w:val="clear" w:color="auto" w:fill="auto"/>
            <w:noWrap/>
            <w:vAlign w:val="center"/>
          </w:tcPr>
          <w:p w14:paraId="343A6617">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37.77 </w:t>
            </w:r>
          </w:p>
        </w:tc>
      </w:tr>
      <w:tr w14:paraId="19EE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3D2C534C">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5E84436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7</w:t>
            </w:r>
          </w:p>
        </w:tc>
        <w:tc>
          <w:tcPr>
            <w:tcW w:w="3544" w:type="dxa"/>
            <w:shd w:val="clear" w:color="auto" w:fill="auto"/>
            <w:noWrap/>
            <w:vAlign w:val="center"/>
          </w:tcPr>
          <w:p w14:paraId="6CFA0571">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包头市港亿隆能源服务有限公司</w:t>
            </w:r>
          </w:p>
        </w:tc>
        <w:tc>
          <w:tcPr>
            <w:tcW w:w="5222" w:type="dxa"/>
            <w:shd w:val="clear" w:color="auto" w:fill="auto"/>
            <w:noWrap/>
            <w:vAlign w:val="center"/>
          </w:tcPr>
          <w:p w14:paraId="185B9142">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包头市港亿隆能源服务有限公司输供气项目</w:t>
            </w:r>
          </w:p>
        </w:tc>
        <w:tc>
          <w:tcPr>
            <w:tcW w:w="1169" w:type="dxa"/>
            <w:shd w:val="clear" w:color="auto" w:fill="auto"/>
            <w:noWrap/>
            <w:vAlign w:val="center"/>
          </w:tcPr>
          <w:p w14:paraId="67EBCE5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0.39 </w:t>
            </w:r>
          </w:p>
        </w:tc>
        <w:tc>
          <w:tcPr>
            <w:tcW w:w="1073" w:type="dxa"/>
            <w:shd w:val="clear" w:color="auto" w:fill="auto"/>
            <w:noWrap/>
            <w:vAlign w:val="center"/>
          </w:tcPr>
          <w:p w14:paraId="0BFE9F3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0.23 </w:t>
            </w:r>
          </w:p>
        </w:tc>
        <w:tc>
          <w:tcPr>
            <w:tcW w:w="1005" w:type="dxa"/>
            <w:shd w:val="clear" w:color="auto" w:fill="auto"/>
            <w:noWrap/>
            <w:vAlign w:val="center"/>
          </w:tcPr>
          <w:p w14:paraId="180A79F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0.23 </w:t>
            </w:r>
          </w:p>
        </w:tc>
      </w:tr>
      <w:tr w14:paraId="476B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2AA5F896">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1BFD8D7B">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8</w:t>
            </w:r>
          </w:p>
        </w:tc>
        <w:tc>
          <w:tcPr>
            <w:tcW w:w="3544" w:type="dxa"/>
            <w:shd w:val="clear" w:color="auto" w:fill="auto"/>
            <w:noWrap/>
            <w:vAlign w:val="center"/>
          </w:tcPr>
          <w:p w14:paraId="6D788D1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包头海平面金属科技有限公司</w:t>
            </w:r>
          </w:p>
        </w:tc>
        <w:tc>
          <w:tcPr>
            <w:tcW w:w="5222" w:type="dxa"/>
            <w:shd w:val="clear" w:color="auto" w:fill="auto"/>
            <w:noWrap/>
            <w:vAlign w:val="center"/>
          </w:tcPr>
          <w:p w14:paraId="1F40DE6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包头海平面金属科技有限公司年产200万吨水泥、熟料项目</w:t>
            </w:r>
          </w:p>
        </w:tc>
        <w:tc>
          <w:tcPr>
            <w:tcW w:w="1169" w:type="dxa"/>
            <w:shd w:val="clear" w:color="auto" w:fill="auto"/>
            <w:noWrap/>
            <w:vAlign w:val="center"/>
          </w:tcPr>
          <w:p w14:paraId="251D3E8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69.35 </w:t>
            </w:r>
          </w:p>
        </w:tc>
        <w:tc>
          <w:tcPr>
            <w:tcW w:w="1073" w:type="dxa"/>
            <w:shd w:val="clear" w:color="auto" w:fill="auto"/>
            <w:noWrap/>
            <w:vAlign w:val="center"/>
          </w:tcPr>
          <w:p w14:paraId="0043728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18.72 </w:t>
            </w:r>
          </w:p>
        </w:tc>
        <w:tc>
          <w:tcPr>
            <w:tcW w:w="1005" w:type="dxa"/>
            <w:shd w:val="clear" w:color="auto" w:fill="auto"/>
            <w:noWrap/>
            <w:vAlign w:val="center"/>
          </w:tcPr>
          <w:p w14:paraId="6460DD2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18.72 </w:t>
            </w:r>
          </w:p>
        </w:tc>
      </w:tr>
      <w:tr w14:paraId="3696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5EAEA8D4">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2B2036F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9</w:t>
            </w:r>
          </w:p>
        </w:tc>
        <w:tc>
          <w:tcPr>
            <w:tcW w:w="3544" w:type="dxa"/>
            <w:shd w:val="clear" w:color="auto" w:fill="auto"/>
            <w:noWrap/>
            <w:vAlign w:val="center"/>
          </w:tcPr>
          <w:p w14:paraId="67721E47">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包头市维尔佳机电修造有限公司</w:t>
            </w:r>
          </w:p>
        </w:tc>
        <w:tc>
          <w:tcPr>
            <w:tcW w:w="5222" w:type="dxa"/>
            <w:shd w:val="clear" w:color="auto" w:fill="auto"/>
            <w:noWrap/>
            <w:vAlign w:val="center"/>
          </w:tcPr>
          <w:p w14:paraId="029A2D3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包头市维尔佳机电修造有限公司机电设备</w:t>
            </w:r>
          </w:p>
        </w:tc>
        <w:tc>
          <w:tcPr>
            <w:tcW w:w="1169" w:type="dxa"/>
            <w:shd w:val="clear" w:color="auto" w:fill="auto"/>
            <w:noWrap/>
            <w:vAlign w:val="center"/>
          </w:tcPr>
          <w:p w14:paraId="4112C009">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1.09 </w:t>
            </w:r>
          </w:p>
        </w:tc>
        <w:tc>
          <w:tcPr>
            <w:tcW w:w="1073" w:type="dxa"/>
            <w:shd w:val="clear" w:color="auto" w:fill="auto"/>
            <w:noWrap/>
            <w:vAlign w:val="center"/>
          </w:tcPr>
          <w:p w14:paraId="46520FE3">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0.31 </w:t>
            </w:r>
          </w:p>
        </w:tc>
        <w:tc>
          <w:tcPr>
            <w:tcW w:w="1005" w:type="dxa"/>
            <w:shd w:val="clear" w:color="auto" w:fill="auto"/>
            <w:noWrap/>
            <w:vAlign w:val="center"/>
          </w:tcPr>
          <w:p w14:paraId="4A1DEC3B">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0.31 </w:t>
            </w:r>
          </w:p>
        </w:tc>
      </w:tr>
      <w:tr w14:paraId="38004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1E118314">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3F769F99">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10</w:t>
            </w:r>
          </w:p>
        </w:tc>
        <w:tc>
          <w:tcPr>
            <w:tcW w:w="3544" w:type="dxa"/>
            <w:shd w:val="clear" w:color="auto" w:fill="auto"/>
            <w:noWrap/>
            <w:vAlign w:val="center"/>
          </w:tcPr>
          <w:p w14:paraId="71AD811B">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包头市西贝建筑机械有限公司</w:t>
            </w:r>
          </w:p>
        </w:tc>
        <w:tc>
          <w:tcPr>
            <w:tcW w:w="5222" w:type="dxa"/>
            <w:shd w:val="clear" w:color="auto" w:fill="auto"/>
            <w:noWrap/>
            <w:vAlign w:val="center"/>
          </w:tcPr>
          <w:p w14:paraId="64A53AFB">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包头市西贝建筑机械有限公司施工升降机、塔机建筑机械设备智能化生产制造建设项目</w:t>
            </w:r>
          </w:p>
        </w:tc>
        <w:tc>
          <w:tcPr>
            <w:tcW w:w="1169" w:type="dxa"/>
            <w:shd w:val="clear" w:color="auto" w:fill="auto"/>
            <w:noWrap/>
            <w:vAlign w:val="center"/>
          </w:tcPr>
          <w:p w14:paraId="1A84687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2.33 </w:t>
            </w:r>
          </w:p>
        </w:tc>
        <w:tc>
          <w:tcPr>
            <w:tcW w:w="1073" w:type="dxa"/>
            <w:shd w:val="clear" w:color="auto" w:fill="auto"/>
            <w:noWrap/>
            <w:vAlign w:val="center"/>
          </w:tcPr>
          <w:p w14:paraId="0145960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1.38 </w:t>
            </w:r>
          </w:p>
        </w:tc>
        <w:tc>
          <w:tcPr>
            <w:tcW w:w="1005" w:type="dxa"/>
            <w:shd w:val="clear" w:color="auto" w:fill="auto"/>
            <w:noWrap/>
            <w:vAlign w:val="center"/>
          </w:tcPr>
          <w:p w14:paraId="2ED42F2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1.38 </w:t>
            </w:r>
          </w:p>
        </w:tc>
      </w:tr>
      <w:tr w14:paraId="6703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4F695D81">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6F20145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11</w:t>
            </w:r>
          </w:p>
        </w:tc>
        <w:tc>
          <w:tcPr>
            <w:tcW w:w="3544" w:type="dxa"/>
            <w:shd w:val="clear" w:color="auto" w:fill="auto"/>
            <w:noWrap/>
            <w:vAlign w:val="center"/>
          </w:tcPr>
          <w:p w14:paraId="1D7F27BD">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固阳县华茂机动车检测有限责任公司</w:t>
            </w:r>
          </w:p>
        </w:tc>
        <w:tc>
          <w:tcPr>
            <w:tcW w:w="5222" w:type="dxa"/>
            <w:shd w:val="clear" w:color="auto" w:fill="auto"/>
            <w:noWrap/>
            <w:vAlign w:val="center"/>
          </w:tcPr>
          <w:p w14:paraId="2E36598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固阳县华茂机动车监测中心机动车检测项目</w:t>
            </w:r>
          </w:p>
        </w:tc>
        <w:tc>
          <w:tcPr>
            <w:tcW w:w="1169" w:type="dxa"/>
            <w:shd w:val="clear" w:color="auto" w:fill="auto"/>
            <w:noWrap/>
            <w:vAlign w:val="center"/>
          </w:tcPr>
          <w:p w14:paraId="40377CA7">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5.75 </w:t>
            </w:r>
          </w:p>
        </w:tc>
        <w:tc>
          <w:tcPr>
            <w:tcW w:w="1073" w:type="dxa"/>
            <w:shd w:val="clear" w:color="auto" w:fill="auto"/>
            <w:noWrap/>
            <w:vAlign w:val="center"/>
          </w:tcPr>
          <w:p w14:paraId="7396D6B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0.76 </w:t>
            </w:r>
          </w:p>
        </w:tc>
        <w:tc>
          <w:tcPr>
            <w:tcW w:w="1005" w:type="dxa"/>
            <w:shd w:val="clear" w:color="auto" w:fill="auto"/>
            <w:noWrap/>
            <w:vAlign w:val="center"/>
          </w:tcPr>
          <w:p w14:paraId="12A4D43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0.76 </w:t>
            </w:r>
          </w:p>
        </w:tc>
      </w:tr>
      <w:tr w14:paraId="1E1C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3558224E">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2E941AD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12</w:t>
            </w:r>
          </w:p>
        </w:tc>
        <w:tc>
          <w:tcPr>
            <w:tcW w:w="3544" w:type="dxa"/>
            <w:shd w:val="clear" w:color="auto" w:fill="auto"/>
            <w:noWrap/>
            <w:vAlign w:val="center"/>
          </w:tcPr>
          <w:p w14:paraId="24FF0CA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华维农装智谷（内蒙古）有限公司</w:t>
            </w:r>
          </w:p>
        </w:tc>
        <w:tc>
          <w:tcPr>
            <w:tcW w:w="5222" w:type="dxa"/>
            <w:shd w:val="clear" w:color="auto" w:fill="auto"/>
            <w:noWrap/>
            <w:vAlign w:val="center"/>
          </w:tcPr>
          <w:p w14:paraId="674E55B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华维农装智谷滴管新材料项目</w:t>
            </w:r>
          </w:p>
        </w:tc>
        <w:tc>
          <w:tcPr>
            <w:tcW w:w="1169" w:type="dxa"/>
            <w:shd w:val="clear" w:color="auto" w:fill="auto"/>
            <w:noWrap/>
            <w:vAlign w:val="center"/>
          </w:tcPr>
          <w:p w14:paraId="04541FC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2.07 </w:t>
            </w:r>
          </w:p>
        </w:tc>
        <w:tc>
          <w:tcPr>
            <w:tcW w:w="1073" w:type="dxa"/>
            <w:shd w:val="clear" w:color="auto" w:fill="auto"/>
            <w:noWrap/>
            <w:vAlign w:val="center"/>
          </w:tcPr>
          <w:p w14:paraId="666EDA52">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0.31 </w:t>
            </w:r>
          </w:p>
        </w:tc>
        <w:tc>
          <w:tcPr>
            <w:tcW w:w="1005" w:type="dxa"/>
            <w:shd w:val="clear" w:color="auto" w:fill="auto"/>
            <w:noWrap/>
            <w:vAlign w:val="center"/>
          </w:tcPr>
          <w:p w14:paraId="68716D69">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0.31 </w:t>
            </w:r>
          </w:p>
        </w:tc>
      </w:tr>
      <w:tr w14:paraId="7A45C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5FCD22C7">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46EAE4B8">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13</w:t>
            </w:r>
          </w:p>
        </w:tc>
        <w:tc>
          <w:tcPr>
            <w:tcW w:w="3544" w:type="dxa"/>
            <w:shd w:val="clear" w:color="auto" w:fill="auto"/>
            <w:noWrap/>
            <w:vAlign w:val="center"/>
          </w:tcPr>
          <w:p w14:paraId="6F1CE83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内蒙古港亿天然气有限公司</w:t>
            </w:r>
          </w:p>
        </w:tc>
        <w:tc>
          <w:tcPr>
            <w:tcW w:w="5222" w:type="dxa"/>
            <w:shd w:val="clear" w:color="auto" w:fill="auto"/>
            <w:noWrap/>
            <w:vAlign w:val="center"/>
          </w:tcPr>
          <w:p w14:paraId="7BEE4A0B">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土右旗·至固阳金山工业园区天然气工程</w:t>
            </w:r>
          </w:p>
        </w:tc>
        <w:tc>
          <w:tcPr>
            <w:tcW w:w="1169" w:type="dxa"/>
            <w:shd w:val="clear" w:color="auto" w:fill="auto"/>
            <w:noWrap/>
            <w:vAlign w:val="center"/>
          </w:tcPr>
          <w:p w14:paraId="01E80462">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0.77 </w:t>
            </w:r>
          </w:p>
        </w:tc>
        <w:tc>
          <w:tcPr>
            <w:tcW w:w="1073" w:type="dxa"/>
            <w:shd w:val="clear" w:color="auto" w:fill="auto"/>
            <w:noWrap/>
            <w:vAlign w:val="center"/>
          </w:tcPr>
          <w:p w14:paraId="1747785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0.45 </w:t>
            </w:r>
          </w:p>
        </w:tc>
        <w:tc>
          <w:tcPr>
            <w:tcW w:w="1005" w:type="dxa"/>
            <w:shd w:val="clear" w:color="auto" w:fill="auto"/>
            <w:noWrap/>
            <w:vAlign w:val="center"/>
          </w:tcPr>
          <w:p w14:paraId="1E0D9022">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0.45 </w:t>
            </w:r>
          </w:p>
        </w:tc>
      </w:tr>
      <w:tr w14:paraId="09E3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5891DFA7">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403070B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14</w:t>
            </w:r>
          </w:p>
        </w:tc>
        <w:tc>
          <w:tcPr>
            <w:tcW w:w="3544" w:type="dxa"/>
            <w:shd w:val="clear" w:color="auto" w:fill="auto"/>
            <w:noWrap/>
            <w:vAlign w:val="center"/>
          </w:tcPr>
          <w:p w14:paraId="7EF7163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内蒙古宏盛美亚科技环保设备有限公司</w:t>
            </w:r>
          </w:p>
        </w:tc>
        <w:tc>
          <w:tcPr>
            <w:tcW w:w="5222" w:type="dxa"/>
            <w:shd w:val="clear" w:color="auto" w:fill="auto"/>
            <w:noWrap/>
            <w:vAlign w:val="center"/>
          </w:tcPr>
          <w:p w14:paraId="2452CCF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内蒙古宏盛美亚环保设备有限公司年产50台尾矿干排设备生产项目</w:t>
            </w:r>
          </w:p>
        </w:tc>
        <w:tc>
          <w:tcPr>
            <w:tcW w:w="1169" w:type="dxa"/>
            <w:shd w:val="clear" w:color="auto" w:fill="auto"/>
            <w:noWrap/>
            <w:vAlign w:val="center"/>
          </w:tcPr>
          <w:p w14:paraId="59D21E6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1.99 </w:t>
            </w:r>
          </w:p>
        </w:tc>
        <w:tc>
          <w:tcPr>
            <w:tcW w:w="1073" w:type="dxa"/>
            <w:shd w:val="clear" w:color="auto" w:fill="auto"/>
            <w:noWrap/>
            <w:vAlign w:val="center"/>
          </w:tcPr>
          <w:p w14:paraId="06996982">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1.88 </w:t>
            </w:r>
          </w:p>
        </w:tc>
        <w:tc>
          <w:tcPr>
            <w:tcW w:w="1005" w:type="dxa"/>
            <w:shd w:val="clear" w:color="auto" w:fill="auto"/>
            <w:noWrap/>
            <w:vAlign w:val="center"/>
          </w:tcPr>
          <w:p w14:paraId="03D2E59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1.88 </w:t>
            </w:r>
          </w:p>
        </w:tc>
      </w:tr>
      <w:tr w14:paraId="0B1A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19330058">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1FED2C13">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15</w:t>
            </w:r>
          </w:p>
        </w:tc>
        <w:tc>
          <w:tcPr>
            <w:tcW w:w="3544" w:type="dxa"/>
            <w:shd w:val="clear" w:color="auto" w:fill="auto"/>
            <w:noWrap/>
            <w:vAlign w:val="center"/>
          </w:tcPr>
          <w:p w14:paraId="5AB2F67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内蒙古特变电工能源装备有限公司</w:t>
            </w:r>
          </w:p>
        </w:tc>
        <w:tc>
          <w:tcPr>
            <w:tcW w:w="5222" w:type="dxa"/>
            <w:shd w:val="clear" w:color="auto" w:fill="auto"/>
            <w:noWrap/>
            <w:vAlign w:val="center"/>
          </w:tcPr>
          <w:p w14:paraId="5274A41D">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内蒙古特变电工能源装备有限公司特变电工风电塔筒项目</w:t>
            </w:r>
          </w:p>
        </w:tc>
        <w:tc>
          <w:tcPr>
            <w:tcW w:w="1169" w:type="dxa"/>
            <w:shd w:val="clear" w:color="auto" w:fill="auto"/>
            <w:noWrap/>
            <w:vAlign w:val="center"/>
          </w:tcPr>
          <w:p w14:paraId="3D3D584B">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6.50 </w:t>
            </w:r>
          </w:p>
        </w:tc>
        <w:tc>
          <w:tcPr>
            <w:tcW w:w="1073" w:type="dxa"/>
            <w:shd w:val="clear" w:color="auto" w:fill="auto"/>
            <w:noWrap/>
            <w:vAlign w:val="center"/>
          </w:tcPr>
          <w:p w14:paraId="1F1F284D">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2.28 </w:t>
            </w:r>
          </w:p>
        </w:tc>
        <w:tc>
          <w:tcPr>
            <w:tcW w:w="1005" w:type="dxa"/>
            <w:shd w:val="clear" w:color="auto" w:fill="auto"/>
            <w:noWrap/>
            <w:vAlign w:val="center"/>
          </w:tcPr>
          <w:p w14:paraId="697A6A8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2.28 </w:t>
            </w:r>
          </w:p>
        </w:tc>
      </w:tr>
      <w:tr w14:paraId="6EBA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74F7EAC8">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41A9157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16</w:t>
            </w:r>
          </w:p>
        </w:tc>
        <w:tc>
          <w:tcPr>
            <w:tcW w:w="3544" w:type="dxa"/>
            <w:shd w:val="clear" w:color="auto" w:fill="auto"/>
            <w:noWrap/>
            <w:vAlign w:val="center"/>
          </w:tcPr>
          <w:p w14:paraId="3856BC02">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包头市扩疆物流有限公司</w:t>
            </w:r>
          </w:p>
        </w:tc>
        <w:tc>
          <w:tcPr>
            <w:tcW w:w="5222" w:type="dxa"/>
            <w:shd w:val="clear" w:color="auto" w:fill="auto"/>
            <w:noWrap/>
            <w:vAlign w:val="center"/>
          </w:tcPr>
          <w:p w14:paraId="3E8ED8ED">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包头市扩疆物流有限公司物流配送项目</w:t>
            </w:r>
          </w:p>
        </w:tc>
        <w:tc>
          <w:tcPr>
            <w:tcW w:w="1169" w:type="dxa"/>
            <w:shd w:val="clear" w:color="auto" w:fill="auto"/>
            <w:noWrap/>
            <w:vAlign w:val="center"/>
          </w:tcPr>
          <w:p w14:paraId="6AA8175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2.41 </w:t>
            </w:r>
          </w:p>
        </w:tc>
        <w:tc>
          <w:tcPr>
            <w:tcW w:w="1073" w:type="dxa"/>
            <w:shd w:val="clear" w:color="auto" w:fill="auto"/>
            <w:noWrap/>
            <w:vAlign w:val="center"/>
          </w:tcPr>
          <w:p w14:paraId="156018C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0.50 </w:t>
            </w:r>
          </w:p>
        </w:tc>
        <w:tc>
          <w:tcPr>
            <w:tcW w:w="1005" w:type="dxa"/>
            <w:shd w:val="clear" w:color="auto" w:fill="auto"/>
            <w:noWrap/>
            <w:vAlign w:val="center"/>
          </w:tcPr>
          <w:p w14:paraId="7E35CFAD">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0.50 </w:t>
            </w:r>
          </w:p>
        </w:tc>
      </w:tr>
      <w:tr w14:paraId="2595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27C6B173">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59EF9B98">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17</w:t>
            </w:r>
          </w:p>
        </w:tc>
        <w:tc>
          <w:tcPr>
            <w:tcW w:w="3544" w:type="dxa"/>
            <w:shd w:val="clear" w:color="auto" w:fill="auto"/>
            <w:noWrap/>
            <w:vAlign w:val="center"/>
          </w:tcPr>
          <w:p w14:paraId="1C2354F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固阳县泰恒贸易有限责任公司</w:t>
            </w:r>
          </w:p>
        </w:tc>
        <w:tc>
          <w:tcPr>
            <w:tcW w:w="5222" w:type="dxa"/>
            <w:shd w:val="clear" w:color="auto" w:fill="auto"/>
            <w:noWrap/>
            <w:vAlign w:val="center"/>
          </w:tcPr>
          <w:p w14:paraId="137984D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固阳县泰恒贸易有限责任公司年产120万吨铁矿粉精选造块技术改造项目</w:t>
            </w:r>
          </w:p>
        </w:tc>
        <w:tc>
          <w:tcPr>
            <w:tcW w:w="1169" w:type="dxa"/>
            <w:shd w:val="clear" w:color="auto" w:fill="auto"/>
            <w:noWrap/>
            <w:vAlign w:val="center"/>
          </w:tcPr>
          <w:p w14:paraId="2A8D9873">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34.63 </w:t>
            </w:r>
          </w:p>
        </w:tc>
        <w:tc>
          <w:tcPr>
            <w:tcW w:w="1073" w:type="dxa"/>
            <w:shd w:val="clear" w:color="auto" w:fill="auto"/>
            <w:noWrap/>
            <w:vAlign w:val="center"/>
          </w:tcPr>
          <w:p w14:paraId="082577E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10.04 </w:t>
            </w:r>
          </w:p>
        </w:tc>
        <w:tc>
          <w:tcPr>
            <w:tcW w:w="1005" w:type="dxa"/>
            <w:shd w:val="clear" w:color="auto" w:fill="auto"/>
            <w:noWrap/>
            <w:vAlign w:val="center"/>
          </w:tcPr>
          <w:p w14:paraId="0D7B48B2">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10.04 </w:t>
            </w:r>
          </w:p>
        </w:tc>
      </w:tr>
      <w:tr w14:paraId="3E1C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55F9885D">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6F93C2D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18</w:t>
            </w:r>
          </w:p>
        </w:tc>
        <w:tc>
          <w:tcPr>
            <w:tcW w:w="3544" w:type="dxa"/>
            <w:shd w:val="clear" w:color="auto" w:fill="auto"/>
            <w:noWrap/>
            <w:vAlign w:val="center"/>
          </w:tcPr>
          <w:p w14:paraId="33D51E0B">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新恒丰能源有限公司</w:t>
            </w:r>
          </w:p>
        </w:tc>
        <w:tc>
          <w:tcPr>
            <w:tcW w:w="5222" w:type="dxa"/>
            <w:shd w:val="clear" w:color="auto" w:fill="auto"/>
            <w:noWrap/>
            <w:vAlign w:val="center"/>
          </w:tcPr>
          <w:p w14:paraId="5BBEDB51">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新恒丰能源有限公司一般工业固体废物渣场建设项目（一期）</w:t>
            </w:r>
          </w:p>
        </w:tc>
        <w:tc>
          <w:tcPr>
            <w:tcW w:w="1169" w:type="dxa"/>
            <w:shd w:val="clear" w:color="auto" w:fill="auto"/>
            <w:noWrap/>
            <w:vAlign w:val="center"/>
          </w:tcPr>
          <w:p w14:paraId="7C8D367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10.91 </w:t>
            </w:r>
          </w:p>
        </w:tc>
        <w:tc>
          <w:tcPr>
            <w:tcW w:w="1073" w:type="dxa"/>
            <w:shd w:val="clear" w:color="auto" w:fill="auto"/>
            <w:noWrap/>
            <w:vAlign w:val="center"/>
          </w:tcPr>
          <w:p w14:paraId="3C6B177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3.49 </w:t>
            </w:r>
          </w:p>
        </w:tc>
        <w:tc>
          <w:tcPr>
            <w:tcW w:w="1005" w:type="dxa"/>
            <w:shd w:val="clear" w:color="auto" w:fill="auto"/>
            <w:noWrap/>
            <w:vAlign w:val="center"/>
          </w:tcPr>
          <w:p w14:paraId="2E27270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3.49 </w:t>
            </w:r>
          </w:p>
        </w:tc>
      </w:tr>
      <w:tr w14:paraId="0FA9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74269B45">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7FFE32A8">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19</w:t>
            </w:r>
          </w:p>
        </w:tc>
        <w:tc>
          <w:tcPr>
            <w:tcW w:w="3544" w:type="dxa"/>
            <w:shd w:val="clear" w:color="auto" w:fill="auto"/>
            <w:noWrap/>
            <w:vAlign w:val="center"/>
          </w:tcPr>
          <w:p w14:paraId="7CAD1E07">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包头市腾领新材料科技有限公司</w:t>
            </w:r>
          </w:p>
        </w:tc>
        <w:tc>
          <w:tcPr>
            <w:tcW w:w="5222" w:type="dxa"/>
            <w:shd w:val="clear" w:color="auto" w:fill="auto"/>
            <w:noWrap/>
            <w:vAlign w:val="center"/>
          </w:tcPr>
          <w:p w14:paraId="09E10F9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包头市腾领新材料科技有限公司年产10万吨环保型自焙电极项目</w:t>
            </w:r>
          </w:p>
        </w:tc>
        <w:tc>
          <w:tcPr>
            <w:tcW w:w="1169" w:type="dxa"/>
            <w:shd w:val="clear" w:color="auto" w:fill="auto"/>
            <w:noWrap/>
            <w:vAlign w:val="center"/>
          </w:tcPr>
          <w:p w14:paraId="441BC0D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3.79 </w:t>
            </w:r>
          </w:p>
        </w:tc>
        <w:tc>
          <w:tcPr>
            <w:tcW w:w="1073" w:type="dxa"/>
            <w:shd w:val="clear" w:color="auto" w:fill="auto"/>
            <w:noWrap/>
            <w:vAlign w:val="center"/>
          </w:tcPr>
          <w:p w14:paraId="33FA9FC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0.64 </w:t>
            </w:r>
          </w:p>
        </w:tc>
        <w:tc>
          <w:tcPr>
            <w:tcW w:w="1005" w:type="dxa"/>
            <w:shd w:val="clear" w:color="auto" w:fill="auto"/>
            <w:noWrap/>
            <w:vAlign w:val="center"/>
          </w:tcPr>
          <w:p w14:paraId="43128D3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0.64 </w:t>
            </w:r>
          </w:p>
        </w:tc>
      </w:tr>
      <w:tr w14:paraId="413E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06CAF3FE">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19CB500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20</w:t>
            </w:r>
          </w:p>
        </w:tc>
        <w:tc>
          <w:tcPr>
            <w:tcW w:w="3544" w:type="dxa"/>
            <w:shd w:val="clear" w:color="auto" w:fill="auto"/>
            <w:noWrap/>
            <w:vAlign w:val="center"/>
          </w:tcPr>
          <w:p w14:paraId="737A6CE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内蒙古铭都管理有限公司</w:t>
            </w:r>
          </w:p>
        </w:tc>
        <w:tc>
          <w:tcPr>
            <w:tcW w:w="5222" w:type="dxa"/>
            <w:shd w:val="clear" w:color="auto" w:fill="auto"/>
            <w:noWrap/>
            <w:vAlign w:val="center"/>
          </w:tcPr>
          <w:p w14:paraId="2FB49F1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内蒙古铭都管理有限公司风力发电装备制造标准化厂房建设项目</w:t>
            </w:r>
          </w:p>
        </w:tc>
        <w:tc>
          <w:tcPr>
            <w:tcW w:w="1169" w:type="dxa"/>
            <w:shd w:val="clear" w:color="auto" w:fill="auto"/>
            <w:noWrap/>
            <w:vAlign w:val="center"/>
          </w:tcPr>
          <w:p w14:paraId="6C9B297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4.69 </w:t>
            </w:r>
          </w:p>
        </w:tc>
        <w:tc>
          <w:tcPr>
            <w:tcW w:w="1073" w:type="dxa"/>
            <w:shd w:val="clear" w:color="auto" w:fill="auto"/>
            <w:noWrap/>
            <w:vAlign w:val="center"/>
          </w:tcPr>
          <w:p w14:paraId="318F7A0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2.32 </w:t>
            </w:r>
          </w:p>
        </w:tc>
        <w:tc>
          <w:tcPr>
            <w:tcW w:w="1005" w:type="dxa"/>
            <w:shd w:val="clear" w:color="auto" w:fill="auto"/>
            <w:noWrap/>
            <w:vAlign w:val="center"/>
          </w:tcPr>
          <w:p w14:paraId="656588D8">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2.32 </w:t>
            </w:r>
          </w:p>
        </w:tc>
      </w:tr>
      <w:tr w14:paraId="6A85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3F94041E">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73DD8C1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21</w:t>
            </w:r>
          </w:p>
        </w:tc>
        <w:tc>
          <w:tcPr>
            <w:tcW w:w="3544" w:type="dxa"/>
            <w:shd w:val="clear" w:color="auto" w:fill="auto"/>
            <w:noWrap/>
            <w:vAlign w:val="center"/>
          </w:tcPr>
          <w:p w14:paraId="6ADEF053">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固阳县中晟环保科技有限公司</w:t>
            </w:r>
          </w:p>
        </w:tc>
        <w:tc>
          <w:tcPr>
            <w:tcW w:w="5222" w:type="dxa"/>
            <w:shd w:val="clear" w:color="auto" w:fill="auto"/>
            <w:noWrap/>
            <w:vAlign w:val="center"/>
          </w:tcPr>
          <w:p w14:paraId="7B108AA2">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固阳县中晟环保科技有限公司年无害化处理4万吨大修渣及年产5万吨精炼渣项目</w:t>
            </w:r>
          </w:p>
        </w:tc>
        <w:tc>
          <w:tcPr>
            <w:tcW w:w="1169" w:type="dxa"/>
            <w:shd w:val="clear" w:color="auto" w:fill="auto"/>
            <w:noWrap/>
            <w:vAlign w:val="center"/>
          </w:tcPr>
          <w:p w14:paraId="32F57632">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3.41 </w:t>
            </w:r>
          </w:p>
        </w:tc>
        <w:tc>
          <w:tcPr>
            <w:tcW w:w="1073" w:type="dxa"/>
            <w:shd w:val="clear" w:color="auto" w:fill="auto"/>
            <w:noWrap/>
            <w:vAlign w:val="center"/>
          </w:tcPr>
          <w:p w14:paraId="0B92186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1.33 </w:t>
            </w:r>
          </w:p>
        </w:tc>
        <w:tc>
          <w:tcPr>
            <w:tcW w:w="1005" w:type="dxa"/>
            <w:shd w:val="clear" w:color="auto" w:fill="auto"/>
            <w:noWrap/>
            <w:vAlign w:val="center"/>
          </w:tcPr>
          <w:p w14:paraId="4FD76FE8">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1.33 </w:t>
            </w:r>
          </w:p>
        </w:tc>
      </w:tr>
      <w:tr w14:paraId="29B2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0FC1DBD9">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1DD7C80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22</w:t>
            </w:r>
          </w:p>
        </w:tc>
        <w:tc>
          <w:tcPr>
            <w:tcW w:w="3544" w:type="dxa"/>
            <w:shd w:val="clear" w:color="auto" w:fill="auto"/>
            <w:noWrap/>
            <w:vAlign w:val="center"/>
          </w:tcPr>
          <w:p w14:paraId="165E240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内蒙古大全新材料有限公司</w:t>
            </w:r>
          </w:p>
        </w:tc>
        <w:tc>
          <w:tcPr>
            <w:tcW w:w="5222" w:type="dxa"/>
            <w:shd w:val="clear" w:color="auto" w:fill="auto"/>
            <w:noWrap/>
            <w:vAlign w:val="center"/>
          </w:tcPr>
          <w:p w14:paraId="084C676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年产30万吨高纯工业硅加20万吨有机硅项目（一期）年产15万吨工业硅</w:t>
            </w:r>
          </w:p>
        </w:tc>
        <w:tc>
          <w:tcPr>
            <w:tcW w:w="1169" w:type="dxa"/>
            <w:shd w:val="clear" w:color="auto" w:fill="auto"/>
            <w:noWrap/>
            <w:vAlign w:val="center"/>
          </w:tcPr>
          <w:p w14:paraId="10CED78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38.48 </w:t>
            </w:r>
          </w:p>
        </w:tc>
        <w:tc>
          <w:tcPr>
            <w:tcW w:w="1073" w:type="dxa"/>
            <w:shd w:val="clear" w:color="auto" w:fill="auto"/>
            <w:noWrap/>
            <w:vAlign w:val="center"/>
          </w:tcPr>
          <w:p w14:paraId="1B6DB68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54.89 </w:t>
            </w:r>
          </w:p>
        </w:tc>
        <w:tc>
          <w:tcPr>
            <w:tcW w:w="1005" w:type="dxa"/>
            <w:shd w:val="clear" w:color="auto" w:fill="auto"/>
            <w:noWrap/>
            <w:vAlign w:val="center"/>
          </w:tcPr>
          <w:p w14:paraId="0C8DABD8">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54.89 </w:t>
            </w:r>
          </w:p>
        </w:tc>
      </w:tr>
      <w:tr w14:paraId="57F4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692D9D5E">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41C204C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23</w:t>
            </w:r>
          </w:p>
        </w:tc>
        <w:tc>
          <w:tcPr>
            <w:tcW w:w="3544" w:type="dxa"/>
            <w:shd w:val="clear" w:color="auto" w:fill="auto"/>
            <w:noWrap/>
            <w:vAlign w:val="center"/>
          </w:tcPr>
          <w:p w14:paraId="46B3ECA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东方日升（包头）硅业有限公司</w:t>
            </w:r>
          </w:p>
        </w:tc>
        <w:tc>
          <w:tcPr>
            <w:tcW w:w="5222" w:type="dxa"/>
            <w:shd w:val="clear" w:color="auto" w:fill="auto"/>
            <w:noWrap/>
            <w:vAlign w:val="center"/>
          </w:tcPr>
          <w:p w14:paraId="71A37829">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东方日升源网荷储一体化10GW拉晶硅项目</w:t>
            </w:r>
          </w:p>
        </w:tc>
        <w:tc>
          <w:tcPr>
            <w:tcW w:w="1169" w:type="dxa"/>
            <w:shd w:val="clear" w:color="auto" w:fill="auto"/>
            <w:noWrap/>
            <w:vAlign w:val="center"/>
          </w:tcPr>
          <w:p w14:paraId="50261EC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13.21 </w:t>
            </w:r>
          </w:p>
        </w:tc>
        <w:tc>
          <w:tcPr>
            <w:tcW w:w="1073" w:type="dxa"/>
            <w:shd w:val="clear" w:color="auto" w:fill="auto"/>
            <w:noWrap/>
            <w:vAlign w:val="center"/>
          </w:tcPr>
          <w:p w14:paraId="75E8DAC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10.45 </w:t>
            </w:r>
          </w:p>
        </w:tc>
        <w:tc>
          <w:tcPr>
            <w:tcW w:w="1005" w:type="dxa"/>
            <w:shd w:val="clear" w:color="auto" w:fill="auto"/>
            <w:noWrap/>
            <w:vAlign w:val="center"/>
          </w:tcPr>
          <w:p w14:paraId="7FA23BB1">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10.45 </w:t>
            </w:r>
          </w:p>
        </w:tc>
      </w:tr>
      <w:tr w14:paraId="63F1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7B1F7127">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40418657">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24</w:t>
            </w:r>
          </w:p>
        </w:tc>
        <w:tc>
          <w:tcPr>
            <w:tcW w:w="3544" w:type="dxa"/>
            <w:shd w:val="clear" w:color="auto" w:fill="auto"/>
            <w:noWrap/>
            <w:vAlign w:val="center"/>
          </w:tcPr>
          <w:p w14:paraId="1C05EB1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内蒙古江美环保科技有限公司</w:t>
            </w:r>
          </w:p>
        </w:tc>
        <w:tc>
          <w:tcPr>
            <w:tcW w:w="5222" w:type="dxa"/>
            <w:shd w:val="clear" w:color="auto" w:fill="auto"/>
            <w:noWrap/>
            <w:vAlign w:val="center"/>
          </w:tcPr>
          <w:p w14:paraId="7D67468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包头市年处理3万t铜砷滤料综合回收利用项目（一期）（报告表）</w:t>
            </w:r>
          </w:p>
        </w:tc>
        <w:tc>
          <w:tcPr>
            <w:tcW w:w="1169" w:type="dxa"/>
            <w:shd w:val="clear" w:color="auto" w:fill="auto"/>
            <w:noWrap/>
            <w:vAlign w:val="center"/>
          </w:tcPr>
          <w:p w14:paraId="1A26D94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5.56 </w:t>
            </w:r>
          </w:p>
        </w:tc>
        <w:tc>
          <w:tcPr>
            <w:tcW w:w="1073" w:type="dxa"/>
            <w:shd w:val="clear" w:color="auto" w:fill="auto"/>
            <w:noWrap/>
            <w:vAlign w:val="center"/>
          </w:tcPr>
          <w:p w14:paraId="1C35AB2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3.89 </w:t>
            </w:r>
          </w:p>
        </w:tc>
        <w:tc>
          <w:tcPr>
            <w:tcW w:w="1005" w:type="dxa"/>
            <w:shd w:val="clear" w:color="auto" w:fill="auto"/>
            <w:noWrap/>
            <w:vAlign w:val="center"/>
          </w:tcPr>
          <w:p w14:paraId="207FF5B9">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3.89 </w:t>
            </w:r>
          </w:p>
        </w:tc>
      </w:tr>
      <w:tr w14:paraId="635E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51914298">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0D46073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25</w:t>
            </w:r>
          </w:p>
        </w:tc>
        <w:tc>
          <w:tcPr>
            <w:tcW w:w="3544" w:type="dxa"/>
            <w:shd w:val="clear" w:color="auto" w:fill="auto"/>
            <w:noWrap/>
            <w:vAlign w:val="center"/>
          </w:tcPr>
          <w:p w14:paraId="1F39935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东方日升（包头）新能源有限公司</w:t>
            </w:r>
          </w:p>
        </w:tc>
        <w:tc>
          <w:tcPr>
            <w:tcW w:w="5222" w:type="dxa"/>
            <w:shd w:val="clear" w:color="auto" w:fill="auto"/>
            <w:noWrap/>
            <w:vAlign w:val="center"/>
          </w:tcPr>
          <w:p w14:paraId="09EB1749">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东方日升源网荷储一体化3GW组件项目</w:t>
            </w:r>
          </w:p>
        </w:tc>
        <w:tc>
          <w:tcPr>
            <w:tcW w:w="1169" w:type="dxa"/>
            <w:shd w:val="clear" w:color="auto" w:fill="auto"/>
            <w:noWrap/>
            <w:vAlign w:val="center"/>
          </w:tcPr>
          <w:p w14:paraId="7C0007F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18.81 </w:t>
            </w:r>
          </w:p>
        </w:tc>
        <w:tc>
          <w:tcPr>
            <w:tcW w:w="1073" w:type="dxa"/>
            <w:shd w:val="clear" w:color="auto" w:fill="auto"/>
            <w:noWrap/>
            <w:vAlign w:val="center"/>
          </w:tcPr>
          <w:p w14:paraId="50EBD8E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14.58 </w:t>
            </w:r>
          </w:p>
        </w:tc>
        <w:tc>
          <w:tcPr>
            <w:tcW w:w="1005" w:type="dxa"/>
            <w:shd w:val="clear" w:color="auto" w:fill="auto"/>
            <w:noWrap/>
            <w:vAlign w:val="center"/>
          </w:tcPr>
          <w:p w14:paraId="65E4112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14.58 </w:t>
            </w:r>
          </w:p>
        </w:tc>
      </w:tr>
      <w:tr w14:paraId="5F9D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765EA5A1">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566341F8">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26</w:t>
            </w:r>
          </w:p>
        </w:tc>
        <w:tc>
          <w:tcPr>
            <w:tcW w:w="3544" w:type="dxa"/>
            <w:shd w:val="clear" w:color="auto" w:fill="auto"/>
            <w:noWrap/>
            <w:vAlign w:val="center"/>
          </w:tcPr>
          <w:p w14:paraId="246FDF97">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内蒙古立阳环保科技有限公司</w:t>
            </w:r>
          </w:p>
        </w:tc>
        <w:tc>
          <w:tcPr>
            <w:tcW w:w="5222" w:type="dxa"/>
            <w:shd w:val="clear" w:color="auto" w:fill="auto"/>
            <w:noWrap/>
            <w:vAlign w:val="center"/>
          </w:tcPr>
          <w:p w14:paraId="795D6B41">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内蒙古立阳环保科技有限公司年处理5万吨铝灰、铝渣综合利用项目</w:t>
            </w:r>
          </w:p>
        </w:tc>
        <w:tc>
          <w:tcPr>
            <w:tcW w:w="1169" w:type="dxa"/>
            <w:shd w:val="clear" w:color="auto" w:fill="auto"/>
            <w:noWrap/>
            <w:vAlign w:val="center"/>
          </w:tcPr>
          <w:p w14:paraId="278A576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2.66 </w:t>
            </w:r>
          </w:p>
        </w:tc>
        <w:tc>
          <w:tcPr>
            <w:tcW w:w="1073" w:type="dxa"/>
            <w:shd w:val="clear" w:color="auto" w:fill="auto"/>
            <w:noWrap/>
            <w:vAlign w:val="center"/>
          </w:tcPr>
          <w:p w14:paraId="186A7C5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0.33 </w:t>
            </w:r>
          </w:p>
        </w:tc>
        <w:tc>
          <w:tcPr>
            <w:tcW w:w="1005" w:type="dxa"/>
            <w:shd w:val="clear" w:color="auto" w:fill="auto"/>
            <w:noWrap/>
            <w:vAlign w:val="center"/>
          </w:tcPr>
          <w:p w14:paraId="1B6DC7C3">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0.33 </w:t>
            </w:r>
          </w:p>
        </w:tc>
      </w:tr>
      <w:tr w14:paraId="5972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76BF115A">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2835859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27</w:t>
            </w:r>
          </w:p>
        </w:tc>
        <w:tc>
          <w:tcPr>
            <w:tcW w:w="3544" w:type="dxa"/>
            <w:shd w:val="clear" w:color="auto" w:fill="auto"/>
            <w:noWrap/>
            <w:vAlign w:val="center"/>
          </w:tcPr>
          <w:p w14:paraId="2661C57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弘元能源科技（包头）有限公司</w:t>
            </w:r>
          </w:p>
        </w:tc>
        <w:tc>
          <w:tcPr>
            <w:tcW w:w="5222" w:type="dxa"/>
            <w:shd w:val="clear" w:color="auto" w:fill="auto"/>
            <w:noWrap/>
            <w:vAlign w:val="center"/>
          </w:tcPr>
          <w:p w14:paraId="581033D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弘元能源科技（包头）有限公司10万吨高纯晶硅项目</w:t>
            </w:r>
          </w:p>
        </w:tc>
        <w:tc>
          <w:tcPr>
            <w:tcW w:w="1169" w:type="dxa"/>
            <w:shd w:val="clear" w:color="auto" w:fill="auto"/>
            <w:noWrap/>
            <w:vAlign w:val="center"/>
          </w:tcPr>
          <w:p w14:paraId="3620103B">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84.83 </w:t>
            </w:r>
          </w:p>
        </w:tc>
        <w:tc>
          <w:tcPr>
            <w:tcW w:w="1073" w:type="dxa"/>
            <w:shd w:val="clear" w:color="auto" w:fill="auto"/>
            <w:noWrap/>
            <w:vAlign w:val="center"/>
          </w:tcPr>
          <w:p w14:paraId="16D2CFF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74.34 </w:t>
            </w:r>
          </w:p>
        </w:tc>
        <w:tc>
          <w:tcPr>
            <w:tcW w:w="1005" w:type="dxa"/>
            <w:shd w:val="clear" w:color="auto" w:fill="auto"/>
            <w:noWrap/>
            <w:vAlign w:val="center"/>
          </w:tcPr>
          <w:p w14:paraId="5167401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74.34 </w:t>
            </w:r>
          </w:p>
        </w:tc>
      </w:tr>
      <w:tr w14:paraId="16790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1F1A43FC">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47572C08">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28</w:t>
            </w:r>
          </w:p>
        </w:tc>
        <w:tc>
          <w:tcPr>
            <w:tcW w:w="3544" w:type="dxa"/>
            <w:shd w:val="clear" w:color="auto" w:fill="auto"/>
            <w:noWrap/>
            <w:vAlign w:val="center"/>
          </w:tcPr>
          <w:p w14:paraId="1871C1A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弘元能源科技（包头）有限公司</w:t>
            </w:r>
          </w:p>
        </w:tc>
        <w:tc>
          <w:tcPr>
            <w:tcW w:w="5222" w:type="dxa"/>
            <w:shd w:val="clear" w:color="auto" w:fill="auto"/>
            <w:noWrap/>
            <w:vAlign w:val="center"/>
          </w:tcPr>
          <w:p w14:paraId="33A925B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弘元能源科技（包头）有限公司15万吨高纯工业硅余热发电项目</w:t>
            </w:r>
          </w:p>
        </w:tc>
        <w:tc>
          <w:tcPr>
            <w:tcW w:w="1169" w:type="dxa"/>
            <w:vMerge w:val="restart"/>
            <w:shd w:val="clear" w:color="auto" w:fill="auto"/>
            <w:noWrap/>
            <w:vAlign w:val="center"/>
          </w:tcPr>
          <w:p w14:paraId="24D50AB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37.67 </w:t>
            </w:r>
          </w:p>
        </w:tc>
        <w:tc>
          <w:tcPr>
            <w:tcW w:w="1073" w:type="dxa"/>
            <w:vMerge w:val="restart"/>
            <w:shd w:val="clear" w:color="auto" w:fill="auto"/>
            <w:noWrap/>
            <w:vAlign w:val="center"/>
          </w:tcPr>
          <w:p w14:paraId="3082211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24.78 </w:t>
            </w:r>
          </w:p>
        </w:tc>
        <w:tc>
          <w:tcPr>
            <w:tcW w:w="1005" w:type="dxa"/>
            <w:vMerge w:val="restart"/>
            <w:shd w:val="clear" w:color="auto" w:fill="auto"/>
            <w:noWrap/>
            <w:vAlign w:val="center"/>
          </w:tcPr>
          <w:p w14:paraId="03E1F122">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24.78 </w:t>
            </w:r>
          </w:p>
        </w:tc>
      </w:tr>
      <w:tr w14:paraId="7E53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1E8BC58D">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54F1A3F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29</w:t>
            </w:r>
          </w:p>
        </w:tc>
        <w:tc>
          <w:tcPr>
            <w:tcW w:w="3544" w:type="dxa"/>
            <w:shd w:val="clear" w:color="auto" w:fill="auto"/>
            <w:noWrap/>
            <w:vAlign w:val="center"/>
          </w:tcPr>
          <w:p w14:paraId="1F887BF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弘元能源科技（包头）有限公司</w:t>
            </w:r>
          </w:p>
        </w:tc>
        <w:tc>
          <w:tcPr>
            <w:tcW w:w="5222" w:type="dxa"/>
            <w:shd w:val="clear" w:color="auto" w:fill="auto"/>
            <w:noWrap/>
            <w:vAlign w:val="center"/>
          </w:tcPr>
          <w:p w14:paraId="73C2FB8B">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弘元能源科技（包头）有限公司15万吨高纯工业硅项目</w:t>
            </w:r>
          </w:p>
        </w:tc>
        <w:tc>
          <w:tcPr>
            <w:tcW w:w="1169" w:type="dxa"/>
            <w:vMerge w:val="continue"/>
            <w:vAlign w:val="center"/>
          </w:tcPr>
          <w:p w14:paraId="60C8DA23">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1073" w:type="dxa"/>
            <w:vMerge w:val="continue"/>
            <w:vAlign w:val="center"/>
          </w:tcPr>
          <w:p w14:paraId="468C32B8">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1005" w:type="dxa"/>
            <w:vMerge w:val="continue"/>
            <w:vAlign w:val="center"/>
          </w:tcPr>
          <w:p w14:paraId="67CA10F5">
            <w:pPr>
              <w:spacing w:line="240" w:lineRule="auto"/>
              <w:ind w:firstLine="0" w:firstLineChars="0"/>
              <w:jc w:val="center"/>
              <w:rPr>
                <w:rFonts w:cs="Times New Roman"/>
                <w:color w:val="000000" w:themeColor="text1"/>
                <w:sz w:val="22"/>
                <w:szCs w:val="22"/>
                <w14:textFill>
                  <w14:solidFill>
                    <w14:schemeClr w14:val="tx1"/>
                  </w14:solidFill>
                </w14:textFill>
              </w:rPr>
            </w:pPr>
          </w:p>
        </w:tc>
      </w:tr>
      <w:tr w14:paraId="222F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13382637">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0DC9151D">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30</w:t>
            </w:r>
          </w:p>
        </w:tc>
        <w:tc>
          <w:tcPr>
            <w:tcW w:w="3544" w:type="dxa"/>
            <w:shd w:val="clear" w:color="auto" w:fill="auto"/>
            <w:noWrap/>
            <w:vAlign w:val="center"/>
          </w:tcPr>
          <w:p w14:paraId="2CBB2E61">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东方日升（包头）硅业有限公司</w:t>
            </w:r>
          </w:p>
        </w:tc>
        <w:tc>
          <w:tcPr>
            <w:tcW w:w="5222" w:type="dxa"/>
            <w:shd w:val="clear" w:color="auto" w:fill="auto"/>
            <w:noWrap/>
            <w:vAlign w:val="center"/>
          </w:tcPr>
          <w:p w14:paraId="35ACBA43">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东方日升源网荷储一体化20万吨（一期10万吨）金属硅项目</w:t>
            </w:r>
          </w:p>
        </w:tc>
        <w:tc>
          <w:tcPr>
            <w:tcW w:w="1169" w:type="dxa"/>
            <w:vMerge w:val="restart"/>
            <w:shd w:val="clear" w:color="auto" w:fill="auto"/>
            <w:noWrap/>
            <w:vAlign w:val="center"/>
          </w:tcPr>
          <w:p w14:paraId="14CE21A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55.24 </w:t>
            </w:r>
          </w:p>
        </w:tc>
        <w:tc>
          <w:tcPr>
            <w:tcW w:w="1073" w:type="dxa"/>
            <w:vMerge w:val="restart"/>
            <w:shd w:val="clear" w:color="auto" w:fill="auto"/>
            <w:noWrap/>
            <w:vAlign w:val="center"/>
          </w:tcPr>
          <w:p w14:paraId="0359BC97">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20.10 </w:t>
            </w:r>
          </w:p>
        </w:tc>
        <w:tc>
          <w:tcPr>
            <w:tcW w:w="1005" w:type="dxa"/>
            <w:vMerge w:val="restart"/>
            <w:shd w:val="clear" w:color="auto" w:fill="auto"/>
            <w:noWrap/>
            <w:vAlign w:val="center"/>
          </w:tcPr>
          <w:p w14:paraId="2B4A675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20.10 </w:t>
            </w:r>
          </w:p>
        </w:tc>
      </w:tr>
      <w:tr w14:paraId="1BD9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vMerge w:val="continue"/>
            <w:vAlign w:val="center"/>
          </w:tcPr>
          <w:p w14:paraId="2418601E">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726" w:type="dxa"/>
            <w:shd w:val="clear" w:color="auto" w:fill="auto"/>
            <w:noWrap/>
            <w:vAlign w:val="center"/>
          </w:tcPr>
          <w:p w14:paraId="6D8EC767">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31</w:t>
            </w:r>
          </w:p>
        </w:tc>
        <w:tc>
          <w:tcPr>
            <w:tcW w:w="3544" w:type="dxa"/>
            <w:shd w:val="clear" w:color="auto" w:fill="auto"/>
            <w:noWrap/>
            <w:vAlign w:val="center"/>
          </w:tcPr>
          <w:p w14:paraId="783B72E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东方日升（包头）硅业有限公司</w:t>
            </w:r>
          </w:p>
        </w:tc>
        <w:tc>
          <w:tcPr>
            <w:tcW w:w="5222" w:type="dxa"/>
            <w:shd w:val="clear" w:color="auto" w:fill="auto"/>
            <w:noWrap/>
            <w:vAlign w:val="center"/>
          </w:tcPr>
          <w:p w14:paraId="200E4CF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东方日升源网荷储一体化20万吨（二期10万吨）金属硅项目</w:t>
            </w:r>
          </w:p>
        </w:tc>
        <w:tc>
          <w:tcPr>
            <w:tcW w:w="1169" w:type="dxa"/>
            <w:vMerge w:val="continue"/>
            <w:vAlign w:val="center"/>
          </w:tcPr>
          <w:p w14:paraId="42232D93">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1073" w:type="dxa"/>
            <w:vMerge w:val="continue"/>
            <w:vAlign w:val="center"/>
          </w:tcPr>
          <w:p w14:paraId="6410183F">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1005" w:type="dxa"/>
            <w:vMerge w:val="continue"/>
            <w:vAlign w:val="center"/>
          </w:tcPr>
          <w:p w14:paraId="13F305D8">
            <w:pPr>
              <w:spacing w:line="240" w:lineRule="auto"/>
              <w:ind w:firstLine="0" w:firstLineChars="0"/>
              <w:jc w:val="center"/>
              <w:rPr>
                <w:rFonts w:cs="Times New Roman"/>
                <w:color w:val="000000" w:themeColor="text1"/>
                <w:sz w:val="22"/>
                <w:szCs w:val="22"/>
                <w14:textFill>
                  <w14:solidFill>
                    <w14:schemeClr w14:val="tx1"/>
                  </w14:solidFill>
                </w14:textFill>
              </w:rPr>
            </w:pPr>
          </w:p>
        </w:tc>
      </w:tr>
      <w:tr w14:paraId="2ACAF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4" w:type="dxa"/>
            <w:shd w:val="clear" w:color="auto" w:fill="auto"/>
            <w:noWrap/>
            <w:vAlign w:val="center"/>
          </w:tcPr>
          <w:p w14:paraId="318A13A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地块2（下湿壕片区）</w:t>
            </w:r>
          </w:p>
        </w:tc>
        <w:tc>
          <w:tcPr>
            <w:tcW w:w="726" w:type="dxa"/>
            <w:shd w:val="clear" w:color="auto" w:fill="auto"/>
            <w:noWrap/>
            <w:vAlign w:val="center"/>
          </w:tcPr>
          <w:p w14:paraId="7BE0B34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32</w:t>
            </w:r>
          </w:p>
        </w:tc>
        <w:tc>
          <w:tcPr>
            <w:tcW w:w="3544" w:type="dxa"/>
            <w:shd w:val="clear" w:color="auto" w:fill="auto"/>
            <w:noWrap/>
            <w:vAlign w:val="center"/>
          </w:tcPr>
          <w:p w14:paraId="6CE4044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包头市吉宇钢铁有限责任公司</w:t>
            </w:r>
          </w:p>
        </w:tc>
        <w:tc>
          <w:tcPr>
            <w:tcW w:w="5222" w:type="dxa"/>
            <w:shd w:val="clear" w:color="auto" w:fill="auto"/>
            <w:noWrap/>
            <w:vAlign w:val="center"/>
          </w:tcPr>
          <w:p w14:paraId="3A0B8573">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包头市吉宇钢铁有限责任公司整合搬迁绿色升级改造项目</w:t>
            </w:r>
          </w:p>
        </w:tc>
        <w:tc>
          <w:tcPr>
            <w:tcW w:w="1169" w:type="dxa"/>
            <w:shd w:val="clear" w:color="auto" w:fill="auto"/>
            <w:noWrap/>
            <w:vAlign w:val="center"/>
          </w:tcPr>
          <w:p w14:paraId="798282B3">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115.35 </w:t>
            </w:r>
          </w:p>
        </w:tc>
        <w:tc>
          <w:tcPr>
            <w:tcW w:w="1073" w:type="dxa"/>
            <w:shd w:val="clear" w:color="auto" w:fill="auto"/>
            <w:noWrap/>
            <w:vAlign w:val="center"/>
          </w:tcPr>
          <w:p w14:paraId="4D7D254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13.74 </w:t>
            </w:r>
          </w:p>
        </w:tc>
        <w:tc>
          <w:tcPr>
            <w:tcW w:w="1005" w:type="dxa"/>
            <w:shd w:val="clear" w:color="auto" w:fill="auto"/>
            <w:noWrap/>
            <w:vAlign w:val="center"/>
          </w:tcPr>
          <w:p w14:paraId="53E8DD9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13.74 </w:t>
            </w:r>
          </w:p>
        </w:tc>
      </w:tr>
      <w:tr w14:paraId="2572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24" w:type="dxa"/>
            <w:gridSpan w:val="3"/>
            <w:shd w:val="clear" w:color="auto" w:fill="auto"/>
            <w:noWrap/>
            <w:vAlign w:val="center"/>
          </w:tcPr>
          <w:p w14:paraId="6183FE31">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合计</w:t>
            </w:r>
          </w:p>
        </w:tc>
        <w:tc>
          <w:tcPr>
            <w:tcW w:w="5222" w:type="dxa"/>
            <w:shd w:val="clear" w:color="auto" w:fill="auto"/>
            <w:noWrap/>
            <w:vAlign w:val="center"/>
          </w:tcPr>
          <w:p w14:paraId="1D597A02">
            <w:pPr>
              <w:spacing w:line="240" w:lineRule="auto"/>
              <w:ind w:firstLine="0" w:firstLineChars="0"/>
              <w:jc w:val="center"/>
              <w:rPr>
                <w:rFonts w:cs="Times New Roman"/>
                <w:color w:val="000000" w:themeColor="text1"/>
                <w:sz w:val="22"/>
                <w:szCs w:val="22"/>
                <w14:textFill>
                  <w14:solidFill>
                    <w14:schemeClr w14:val="tx1"/>
                  </w14:solidFill>
                </w14:textFill>
              </w:rPr>
            </w:pPr>
          </w:p>
        </w:tc>
        <w:tc>
          <w:tcPr>
            <w:tcW w:w="1169" w:type="dxa"/>
            <w:shd w:val="clear" w:color="auto" w:fill="auto"/>
            <w:noWrap/>
            <w:vAlign w:val="center"/>
          </w:tcPr>
          <w:p w14:paraId="45A0824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691.27 </w:t>
            </w:r>
          </w:p>
        </w:tc>
        <w:tc>
          <w:tcPr>
            <w:tcW w:w="1073" w:type="dxa"/>
            <w:shd w:val="clear" w:color="auto" w:fill="auto"/>
            <w:noWrap/>
            <w:vAlign w:val="center"/>
          </w:tcPr>
          <w:p w14:paraId="7E04E583">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326.71 </w:t>
            </w:r>
          </w:p>
        </w:tc>
        <w:tc>
          <w:tcPr>
            <w:tcW w:w="1005" w:type="dxa"/>
            <w:shd w:val="clear" w:color="auto" w:fill="auto"/>
            <w:noWrap/>
            <w:vAlign w:val="center"/>
          </w:tcPr>
          <w:p w14:paraId="1C2A1A4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326.71 </w:t>
            </w:r>
          </w:p>
        </w:tc>
      </w:tr>
    </w:tbl>
    <w:p w14:paraId="41C15008">
      <w:pPr>
        <w:widowControl w:val="0"/>
        <w:ind w:firstLine="480"/>
        <w:rPr>
          <w:rFonts w:cs="Times New Roman"/>
          <w:color w:val="000000" w:themeColor="text1"/>
          <w14:textFill>
            <w14:solidFill>
              <w14:schemeClr w14:val="tx1"/>
            </w14:solidFill>
          </w14:textFill>
        </w:rPr>
        <w:sectPr>
          <w:headerReference r:id="rId26" w:type="default"/>
          <w:footerReference r:id="rId27" w:type="default"/>
          <w:pgSz w:w="16839" w:h="11907" w:orient="landscape"/>
          <w:pgMar w:top="1418" w:right="1418" w:bottom="1418" w:left="1418" w:header="850" w:footer="850" w:gutter="0"/>
          <w:cols w:space="720" w:num="1"/>
          <w:docGrid w:linePitch="326" w:charSpace="0"/>
        </w:sectPr>
      </w:pPr>
    </w:p>
    <w:p w14:paraId="32878520">
      <w:pPr>
        <w:pStyle w:val="46"/>
        <w:numPr>
          <w:ilvl w:val="0"/>
          <w:numId w:val="4"/>
        </w:numPr>
        <w:spacing w:line="460" w:lineRule="exact"/>
        <w:ind w:firstLineChars="0"/>
        <w:rPr>
          <w:rFonts w:cs="Times New Roman"/>
          <w:bCs/>
        </w:rPr>
      </w:pPr>
      <w:bookmarkStart w:id="132" w:name="_Hlk85491739"/>
      <w:bookmarkStart w:id="133" w:name="_Hlk88059381"/>
      <w:r>
        <w:rPr>
          <w:rFonts w:cs="Times New Roman"/>
          <w:bCs/>
        </w:rPr>
        <w:t>已建区域土石方平衡</w:t>
      </w:r>
    </w:p>
    <w:p w14:paraId="095A0FC1">
      <w:pPr>
        <w:pStyle w:val="46"/>
        <w:spacing w:line="460" w:lineRule="exact"/>
        <w:ind w:left="840" w:firstLine="0" w:firstLineChars="0"/>
        <w:rPr>
          <w:rFonts w:cs="Times New Roman"/>
        </w:rPr>
      </w:pPr>
      <w:r>
        <w:rPr>
          <w:rFonts w:cs="Times New Roman"/>
        </w:rPr>
        <w:t>1） 地块1（金山产业园北区）已建区土石方平衡</w:t>
      </w:r>
    </w:p>
    <w:bookmarkEnd w:id="132"/>
    <w:p w14:paraId="068C5508">
      <w:pPr>
        <w:spacing w:line="460" w:lineRule="exact"/>
        <w:ind w:firstLine="480"/>
        <w:rPr>
          <w:rFonts w:cs="Times New Roman"/>
          <w:color w:val="000000" w:themeColor="text1"/>
          <w14:textFill>
            <w14:solidFill>
              <w14:schemeClr w14:val="tx1"/>
            </w14:solidFill>
          </w14:textFill>
        </w:rPr>
      </w:pPr>
      <w:bookmarkStart w:id="134" w:name="_Hlk140760326"/>
      <w:r>
        <w:rPr>
          <w:rFonts w:cs="Times New Roman"/>
          <w:color w:val="000000" w:themeColor="text1"/>
          <w14:textFill>
            <w14:solidFill>
              <w14:schemeClr w14:val="tx1"/>
            </w14:solidFill>
          </w14:textFill>
        </w:rPr>
        <w:t>公共管理与公共服务用地占地面积1.07hm²，已全部建成，经计算，挖方0.51万m³（包含表土0.11万m³），填方0.51万m³</w:t>
      </w:r>
      <w:bookmarkStart w:id="135" w:name="_Hlk141260833"/>
      <w:r>
        <w:rPr>
          <w:rFonts w:cs="Times New Roman"/>
          <w:color w:val="000000" w:themeColor="text1"/>
          <w14:textFill>
            <w14:solidFill>
              <w14:schemeClr w14:val="tx1"/>
            </w14:solidFill>
          </w14:textFill>
        </w:rPr>
        <w:t>（包含表土0.11万m³）</w:t>
      </w:r>
      <w:bookmarkEnd w:id="135"/>
      <w:r>
        <w:rPr>
          <w:rFonts w:cs="Times New Roman"/>
          <w:color w:val="000000" w:themeColor="text1"/>
          <w14:textFill>
            <w14:solidFill>
              <w14:schemeClr w14:val="tx1"/>
            </w14:solidFill>
          </w14:textFill>
        </w:rPr>
        <w:t>；</w:t>
      </w:r>
    </w:p>
    <w:p w14:paraId="6009DEAB">
      <w:pPr>
        <w:spacing w:line="46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商业服务业用地占地面积2.38hm²，挖方2.07万m³（包含表土0.33万m³），填方2.07万m³（包含表土0.33万m³）；</w:t>
      </w:r>
    </w:p>
    <w:p w14:paraId="5CF613EC">
      <w:pPr>
        <w:spacing w:line="46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工矿用地已建区占地面积696.08hm²，挖方369.76万m³（包含表土20.89万m³），填方369.76万m³（包含表土20.89万m³）；</w:t>
      </w:r>
    </w:p>
    <w:p w14:paraId="269C0533">
      <w:pPr>
        <w:spacing w:line="46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交通运输用地已建道路长度25.98km，已建区面积71.01hm²，已建区挖方79.45万m³（包含表土14.42万m³），填方79.45万m³（包含表土14.42万m³）。道路土石方量计算见表1-16。</w:t>
      </w:r>
    </w:p>
    <w:p w14:paraId="58BA00E3">
      <w:pPr>
        <w:spacing w:line="46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公用设施设施用地已建供热站两座，污水处理厂一座，变电站2座，已建面积10.66hm²，挖方5.04万m³（包含表土0.80万m³），填方5.04万m³（包含表土0.80万m³）；</w:t>
      </w:r>
    </w:p>
    <w:bookmarkEnd w:id="133"/>
    <w:bookmarkEnd w:id="134"/>
    <w:p w14:paraId="6187AE91">
      <w:pPr>
        <w:spacing w:line="46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根据推算结果，地块1（金山产业园北区）已建区域开挖土石方总量462.53万m³（其中表土36.54万m³，土石方425.99万m³），回填土石方总量462.53万m³（其中表土36.54万m³，土石方425.99万m³），无借方，无余方。</w:t>
      </w:r>
    </w:p>
    <w:p w14:paraId="7E4A2C65">
      <w:pPr>
        <w:spacing w:line="460" w:lineRule="exact"/>
        <w:ind w:firstLine="480" w:firstLineChars="0"/>
        <w:rPr>
          <w:rFonts w:cs="Times New Roman"/>
          <w:b/>
          <w:color w:val="000000" w:themeColor="text1"/>
          <w14:textFill>
            <w14:solidFill>
              <w14:schemeClr w14:val="tx1"/>
            </w14:solidFill>
          </w14:textFill>
        </w:rPr>
      </w:pPr>
      <w:r>
        <w:rPr>
          <w:rFonts w:cs="Times New Roman"/>
          <w:b/>
          <w:color w:val="000000" w:themeColor="text1"/>
          <w14:textFill>
            <w14:solidFill>
              <w14:schemeClr w14:val="tx1"/>
            </w14:solidFill>
          </w14:textFill>
        </w:rPr>
        <w:t>2）地块2（下湿壕片区）已建区土石方平衡</w:t>
      </w:r>
    </w:p>
    <w:p w14:paraId="66A0648B">
      <w:pPr>
        <w:pStyle w:val="46"/>
        <w:spacing w:line="460" w:lineRule="exact"/>
        <w:ind w:firstLine="480"/>
        <w:rPr>
          <w:rFonts w:cs="Times New Roman"/>
          <w:b w:val="0"/>
          <w:bCs/>
        </w:rPr>
      </w:pPr>
      <w:r>
        <w:rPr>
          <w:rFonts w:cs="Times New Roman"/>
          <w:b w:val="0"/>
          <w:bCs/>
        </w:rPr>
        <w:t>工矿用地已建入驻项目有3家（见表1-9），占地面积147.08hm²，挖方28.74万m³（包含表土4.32万m³），填方28.74万m³（包含表土4.32万m³）；</w:t>
      </w:r>
    </w:p>
    <w:p w14:paraId="2D96D7A4">
      <w:pPr>
        <w:pStyle w:val="46"/>
        <w:spacing w:line="460" w:lineRule="exact"/>
        <w:ind w:firstLine="480"/>
        <w:rPr>
          <w:rFonts w:cs="Times New Roman"/>
          <w:b w:val="0"/>
          <w:bCs/>
        </w:rPr>
      </w:pPr>
      <w:r>
        <w:rPr>
          <w:rFonts w:cs="Times New Roman"/>
          <w:b w:val="0"/>
          <w:bCs/>
        </w:rPr>
        <w:t>交通运输用地已建道路长度1.2km，道路挖方1.46万m³（包含表土0.30万m³），填方1.46万m³（包含表土0.3万m³）。</w:t>
      </w:r>
    </w:p>
    <w:p w14:paraId="1ADEDC32">
      <w:pPr>
        <w:pStyle w:val="46"/>
        <w:spacing w:line="460" w:lineRule="exact"/>
        <w:ind w:firstLine="480"/>
        <w:rPr>
          <w:rFonts w:cs="Times New Roman"/>
          <w:b w:val="0"/>
          <w:bCs/>
        </w:rPr>
      </w:pPr>
      <w:r>
        <w:rPr>
          <w:rFonts w:cs="Times New Roman"/>
          <w:b w:val="0"/>
          <w:bCs/>
        </w:rPr>
        <w:t>根据推算结果，地块2（下湿壕片区）已建区域开挖土石方总量30.20万m³（其中表土4.62万m³，土石方25.58万m³），填筑土石方总量30.20万m³（其中表土4.62万m³，土石方25.58万m³），无借方，无余方。</w:t>
      </w:r>
    </w:p>
    <w:p w14:paraId="3A1C7574">
      <w:pPr>
        <w:pStyle w:val="46"/>
        <w:spacing w:line="460" w:lineRule="exact"/>
        <w:ind w:firstLine="480"/>
        <w:rPr>
          <w:rFonts w:cs="Times New Roman"/>
          <w:b w:val="0"/>
          <w:bCs/>
        </w:rPr>
      </w:pPr>
      <w:r>
        <w:rPr>
          <w:rFonts w:cs="Times New Roman"/>
          <w:b w:val="0"/>
          <w:bCs/>
        </w:rPr>
        <w:t>综上所述，园区已建区域开挖土石方总量492.72万m³（其中表土41.17万m³，土石方451.55万m³），填筑土石方总量492.72万m³（其中表土41.17万m³，土石方451.55万m³），无借方，无余方。</w:t>
      </w:r>
    </w:p>
    <w:p w14:paraId="4714D062">
      <w:pPr>
        <w:spacing w:line="460" w:lineRule="exact"/>
        <w:ind w:firstLine="480"/>
        <w:jc w:val="left"/>
        <w:rPr>
          <w:rFonts w:cs="Times New Roman"/>
          <w:color w:val="000000" w:themeColor="text1"/>
          <w14:textFill>
            <w14:solidFill>
              <w14:schemeClr w14:val="tx1"/>
            </w14:solidFill>
          </w14:textFill>
        </w:rPr>
        <w:sectPr>
          <w:headerReference r:id="rId28" w:type="default"/>
          <w:footerReference r:id="rId29" w:type="default"/>
          <w:pgSz w:w="11907" w:h="16839"/>
          <w:pgMar w:top="1418" w:right="1418" w:bottom="1418" w:left="1418" w:header="850" w:footer="850" w:gutter="0"/>
          <w:cols w:space="720" w:num="1"/>
          <w:docGrid w:linePitch="326" w:charSpace="0"/>
        </w:sectPr>
      </w:pPr>
      <w:r>
        <w:rPr>
          <w:rFonts w:cs="Times New Roman"/>
          <w:color w:val="000000" w:themeColor="text1"/>
          <w14:textFill>
            <w14:solidFill>
              <w14:schemeClr w14:val="tx1"/>
            </w14:solidFill>
          </w14:textFill>
        </w:rPr>
        <w:t>园区已建区土石方平衡见表1-15，园区道路土方汇总见表1-16。</w:t>
      </w:r>
    </w:p>
    <w:p w14:paraId="59B9E59C">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表1-15                                                                      园区已建区土石方平衡表                                                        （单位：万m³）</w:t>
      </w:r>
    </w:p>
    <w:tbl>
      <w:tblPr>
        <w:tblStyle w:val="27"/>
        <w:tblW w:w="5000" w:type="pct"/>
        <w:jc w:val="center"/>
        <w:tblLayout w:type="autofit"/>
        <w:tblCellMar>
          <w:top w:w="0" w:type="dxa"/>
          <w:left w:w="108" w:type="dxa"/>
          <w:bottom w:w="0" w:type="dxa"/>
          <w:right w:w="108" w:type="dxa"/>
        </w:tblCellMar>
      </w:tblPr>
      <w:tblGrid>
        <w:gridCol w:w="2511"/>
        <w:gridCol w:w="2010"/>
        <w:gridCol w:w="3011"/>
        <w:gridCol w:w="1760"/>
        <w:gridCol w:w="947"/>
        <w:gridCol w:w="947"/>
        <w:gridCol w:w="759"/>
        <w:gridCol w:w="759"/>
        <w:gridCol w:w="759"/>
        <w:gridCol w:w="755"/>
      </w:tblGrid>
      <w:tr w14:paraId="5E541B88">
        <w:tblPrEx>
          <w:tblCellMar>
            <w:top w:w="0" w:type="dxa"/>
            <w:left w:w="108" w:type="dxa"/>
            <w:bottom w:w="0" w:type="dxa"/>
            <w:right w:w="108" w:type="dxa"/>
          </w:tblCellMar>
        </w:tblPrEx>
        <w:trPr>
          <w:trHeight w:val="397" w:hRule="atLeast"/>
          <w:jc w:val="center"/>
        </w:trPr>
        <w:tc>
          <w:tcPr>
            <w:tcW w:w="2649"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0ED2CE">
            <w:pPr>
              <w:pStyle w:val="149"/>
            </w:pPr>
            <w:r>
              <w:t>分区名称</w:t>
            </w:r>
          </w:p>
        </w:tc>
        <w:tc>
          <w:tcPr>
            <w:tcW w:w="6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F51E04">
            <w:pPr>
              <w:pStyle w:val="149"/>
            </w:pPr>
            <w:r>
              <w:t>用地性质</w:t>
            </w:r>
          </w:p>
        </w:tc>
        <w:tc>
          <w:tcPr>
            <w:tcW w:w="1732" w:type="pct"/>
            <w:gridSpan w:val="6"/>
            <w:tcBorders>
              <w:top w:val="single" w:color="auto" w:sz="4" w:space="0"/>
              <w:left w:val="nil"/>
              <w:bottom w:val="single" w:color="auto" w:sz="4" w:space="0"/>
              <w:right w:val="single" w:color="auto" w:sz="4" w:space="0"/>
            </w:tcBorders>
            <w:shd w:val="clear" w:color="auto" w:fill="auto"/>
            <w:vAlign w:val="center"/>
          </w:tcPr>
          <w:p w14:paraId="1E8964F8">
            <w:pPr>
              <w:pStyle w:val="149"/>
            </w:pPr>
            <w:r>
              <w:t>土石方量（万m³）</w:t>
            </w:r>
          </w:p>
        </w:tc>
      </w:tr>
      <w:tr w14:paraId="112A7019">
        <w:tblPrEx>
          <w:tblCellMar>
            <w:top w:w="0" w:type="dxa"/>
            <w:left w:w="108" w:type="dxa"/>
            <w:bottom w:w="0" w:type="dxa"/>
            <w:right w:w="108" w:type="dxa"/>
          </w:tblCellMar>
        </w:tblPrEx>
        <w:trPr>
          <w:trHeight w:val="397" w:hRule="atLeast"/>
          <w:jc w:val="center"/>
        </w:trPr>
        <w:tc>
          <w:tcPr>
            <w:tcW w:w="2649" w:type="pct"/>
            <w:gridSpan w:val="3"/>
            <w:vMerge w:val="continue"/>
            <w:tcBorders>
              <w:top w:val="single" w:color="auto" w:sz="4" w:space="0"/>
              <w:left w:val="single" w:color="auto" w:sz="4" w:space="0"/>
              <w:bottom w:val="double" w:color="auto" w:sz="4" w:space="0"/>
              <w:right w:val="single" w:color="auto" w:sz="4" w:space="0"/>
            </w:tcBorders>
            <w:vAlign w:val="center"/>
          </w:tcPr>
          <w:p w14:paraId="1DDCFAF3">
            <w:pPr>
              <w:pStyle w:val="149"/>
            </w:pPr>
          </w:p>
        </w:tc>
        <w:tc>
          <w:tcPr>
            <w:tcW w:w="619" w:type="pct"/>
            <w:vMerge w:val="continue"/>
            <w:tcBorders>
              <w:top w:val="single" w:color="auto" w:sz="4" w:space="0"/>
              <w:left w:val="single" w:color="auto" w:sz="4" w:space="0"/>
              <w:bottom w:val="double" w:color="auto" w:sz="4" w:space="0"/>
              <w:right w:val="single" w:color="auto" w:sz="4" w:space="0"/>
            </w:tcBorders>
            <w:vAlign w:val="center"/>
          </w:tcPr>
          <w:p w14:paraId="60E9B05E">
            <w:pPr>
              <w:pStyle w:val="149"/>
            </w:pPr>
          </w:p>
        </w:tc>
        <w:tc>
          <w:tcPr>
            <w:tcW w:w="333" w:type="pct"/>
            <w:tcBorders>
              <w:top w:val="nil"/>
              <w:left w:val="nil"/>
              <w:bottom w:val="double" w:color="auto" w:sz="4" w:space="0"/>
              <w:right w:val="single" w:color="auto" w:sz="4" w:space="0"/>
            </w:tcBorders>
            <w:shd w:val="clear" w:color="auto" w:fill="auto"/>
            <w:vAlign w:val="center"/>
          </w:tcPr>
          <w:p w14:paraId="5709661C">
            <w:pPr>
              <w:pStyle w:val="149"/>
            </w:pPr>
            <w:r>
              <w:t>挖方</w:t>
            </w:r>
          </w:p>
        </w:tc>
        <w:tc>
          <w:tcPr>
            <w:tcW w:w="333" w:type="pct"/>
            <w:tcBorders>
              <w:top w:val="nil"/>
              <w:left w:val="nil"/>
              <w:bottom w:val="double" w:color="auto" w:sz="4" w:space="0"/>
              <w:right w:val="single" w:color="auto" w:sz="4" w:space="0"/>
            </w:tcBorders>
            <w:shd w:val="clear" w:color="auto" w:fill="auto"/>
            <w:vAlign w:val="center"/>
          </w:tcPr>
          <w:p w14:paraId="1A1EFDD0">
            <w:pPr>
              <w:pStyle w:val="149"/>
            </w:pPr>
            <w:r>
              <w:t>填方</w:t>
            </w:r>
          </w:p>
        </w:tc>
        <w:tc>
          <w:tcPr>
            <w:tcW w:w="267" w:type="pct"/>
            <w:tcBorders>
              <w:top w:val="nil"/>
              <w:left w:val="nil"/>
              <w:bottom w:val="double" w:color="auto" w:sz="4" w:space="0"/>
              <w:right w:val="single" w:color="auto" w:sz="4" w:space="0"/>
            </w:tcBorders>
            <w:shd w:val="clear" w:color="auto" w:fill="auto"/>
            <w:vAlign w:val="center"/>
          </w:tcPr>
          <w:p w14:paraId="7699745A">
            <w:pPr>
              <w:pStyle w:val="149"/>
            </w:pPr>
            <w:r>
              <w:t>调入</w:t>
            </w:r>
          </w:p>
        </w:tc>
        <w:tc>
          <w:tcPr>
            <w:tcW w:w="267" w:type="pct"/>
            <w:tcBorders>
              <w:top w:val="nil"/>
              <w:left w:val="nil"/>
              <w:bottom w:val="double" w:color="auto" w:sz="4" w:space="0"/>
              <w:right w:val="single" w:color="auto" w:sz="4" w:space="0"/>
            </w:tcBorders>
            <w:shd w:val="clear" w:color="auto" w:fill="auto"/>
            <w:vAlign w:val="center"/>
          </w:tcPr>
          <w:p w14:paraId="06ACBEB2">
            <w:pPr>
              <w:pStyle w:val="149"/>
            </w:pPr>
            <w:r>
              <w:t>调出</w:t>
            </w:r>
          </w:p>
        </w:tc>
        <w:tc>
          <w:tcPr>
            <w:tcW w:w="267" w:type="pct"/>
            <w:tcBorders>
              <w:top w:val="nil"/>
              <w:left w:val="nil"/>
              <w:bottom w:val="double" w:color="auto" w:sz="4" w:space="0"/>
              <w:right w:val="single" w:color="auto" w:sz="4" w:space="0"/>
            </w:tcBorders>
            <w:shd w:val="clear" w:color="auto" w:fill="auto"/>
            <w:vAlign w:val="center"/>
          </w:tcPr>
          <w:p w14:paraId="7A0465FC">
            <w:pPr>
              <w:pStyle w:val="149"/>
            </w:pPr>
            <w:r>
              <w:t>借方</w:t>
            </w:r>
          </w:p>
        </w:tc>
        <w:tc>
          <w:tcPr>
            <w:tcW w:w="267" w:type="pct"/>
            <w:tcBorders>
              <w:top w:val="nil"/>
              <w:left w:val="nil"/>
              <w:bottom w:val="double" w:color="auto" w:sz="4" w:space="0"/>
              <w:right w:val="single" w:color="auto" w:sz="4" w:space="0"/>
            </w:tcBorders>
            <w:shd w:val="clear" w:color="auto" w:fill="auto"/>
            <w:vAlign w:val="center"/>
          </w:tcPr>
          <w:p w14:paraId="5B1A856B">
            <w:pPr>
              <w:pStyle w:val="149"/>
            </w:pPr>
            <w:r>
              <w:t>弃方</w:t>
            </w:r>
          </w:p>
        </w:tc>
      </w:tr>
      <w:tr w14:paraId="7B002CD5">
        <w:tblPrEx>
          <w:tblCellMar>
            <w:top w:w="0" w:type="dxa"/>
            <w:left w:w="108" w:type="dxa"/>
            <w:bottom w:w="0" w:type="dxa"/>
            <w:right w:w="108" w:type="dxa"/>
          </w:tblCellMar>
        </w:tblPrEx>
        <w:trPr>
          <w:trHeight w:val="397" w:hRule="atLeast"/>
          <w:jc w:val="center"/>
        </w:trPr>
        <w:tc>
          <w:tcPr>
            <w:tcW w:w="883" w:type="pct"/>
            <w:vMerge w:val="restart"/>
            <w:tcBorders>
              <w:top w:val="double" w:color="auto" w:sz="4" w:space="0"/>
              <w:left w:val="single" w:color="auto" w:sz="4" w:space="0"/>
              <w:bottom w:val="single" w:color="000000" w:sz="4" w:space="0"/>
              <w:right w:val="single" w:color="auto" w:sz="4" w:space="0"/>
            </w:tcBorders>
            <w:shd w:val="clear" w:color="auto" w:fill="auto"/>
            <w:vAlign w:val="center"/>
          </w:tcPr>
          <w:p w14:paraId="5C90A968">
            <w:pPr>
              <w:pStyle w:val="149"/>
            </w:pPr>
            <w:r>
              <w:t>包头金山经济开发区</w:t>
            </w:r>
          </w:p>
        </w:tc>
        <w:tc>
          <w:tcPr>
            <w:tcW w:w="707" w:type="pct"/>
            <w:vMerge w:val="restart"/>
            <w:tcBorders>
              <w:top w:val="double" w:color="auto" w:sz="4" w:space="0"/>
              <w:left w:val="single" w:color="auto" w:sz="4" w:space="0"/>
              <w:bottom w:val="single" w:color="000000" w:sz="4" w:space="0"/>
              <w:right w:val="single" w:color="auto" w:sz="4" w:space="0"/>
            </w:tcBorders>
            <w:shd w:val="clear" w:color="auto" w:fill="auto"/>
            <w:vAlign w:val="center"/>
          </w:tcPr>
          <w:p w14:paraId="2079F330">
            <w:pPr>
              <w:pStyle w:val="149"/>
            </w:pPr>
            <w:r>
              <w:t>金山产业园北区</w:t>
            </w:r>
          </w:p>
        </w:tc>
        <w:tc>
          <w:tcPr>
            <w:tcW w:w="1059" w:type="pct"/>
            <w:tcBorders>
              <w:top w:val="double" w:color="auto" w:sz="4" w:space="0"/>
              <w:left w:val="nil"/>
              <w:bottom w:val="single" w:color="auto" w:sz="4" w:space="0"/>
              <w:right w:val="single" w:color="auto" w:sz="4" w:space="0"/>
            </w:tcBorders>
            <w:shd w:val="clear" w:color="auto" w:fill="auto"/>
            <w:noWrap/>
            <w:vAlign w:val="center"/>
          </w:tcPr>
          <w:p w14:paraId="2AF18779">
            <w:pPr>
              <w:pStyle w:val="149"/>
            </w:pPr>
            <w:r>
              <w:t>公共管理与公共服务用地</w:t>
            </w:r>
          </w:p>
        </w:tc>
        <w:tc>
          <w:tcPr>
            <w:tcW w:w="619" w:type="pct"/>
            <w:tcBorders>
              <w:top w:val="double" w:color="auto" w:sz="4" w:space="0"/>
              <w:left w:val="nil"/>
              <w:bottom w:val="single" w:color="auto" w:sz="4" w:space="0"/>
              <w:right w:val="single" w:color="auto" w:sz="4" w:space="0"/>
            </w:tcBorders>
            <w:shd w:val="clear" w:color="auto" w:fill="auto"/>
            <w:noWrap/>
            <w:vAlign w:val="center"/>
          </w:tcPr>
          <w:p w14:paraId="64E23F7F">
            <w:pPr>
              <w:pStyle w:val="149"/>
            </w:pPr>
            <w:r>
              <w:t>机关团体用地</w:t>
            </w:r>
          </w:p>
        </w:tc>
        <w:tc>
          <w:tcPr>
            <w:tcW w:w="333" w:type="pct"/>
            <w:tcBorders>
              <w:top w:val="double" w:color="auto" w:sz="4" w:space="0"/>
              <w:left w:val="nil"/>
              <w:bottom w:val="single" w:color="auto" w:sz="4" w:space="0"/>
              <w:right w:val="single" w:color="auto" w:sz="4" w:space="0"/>
            </w:tcBorders>
            <w:shd w:val="clear" w:color="auto" w:fill="auto"/>
            <w:vAlign w:val="center"/>
          </w:tcPr>
          <w:p w14:paraId="5546F9D6">
            <w:pPr>
              <w:pStyle w:val="149"/>
            </w:pPr>
            <w:r>
              <w:t xml:space="preserve">0.51 </w:t>
            </w:r>
          </w:p>
        </w:tc>
        <w:tc>
          <w:tcPr>
            <w:tcW w:w="333" w:type="pct"/>
            <w:tcBorders>
              <w:top w:val="double" w:color="auto" w:sz="4" w:space="0"/>
              <w:left w:val="nil"/>
              <w:bottom w:val="single" w:color="auto" w:sz="4" w:space="0"/>
              <w:right w:val="single" w:color="auto" w:sz="4" w:space="0"/>
            </w:tcBorders>
            <w:shd w:val="clear" w:color="auto" w:fill="auto"/>
            <w:vAlign w:val="center"/>
          </w:tcPr>
          <w:p w14:paraId="30F8F7F4">
            <w:pPr>
              <w:pStyle w:val="149"/>
            </w:pPr>
            <w:r>
              <w:t xml:space="preserve">0.51 </w:t>
            </w:r>
          </w:p>
        </w:tc>
        <w:tc>
          <w:tcPr>
            <w:tcW w:w="267" w:type="pct"/>
            <w:tcBorders>
              <w:top w:val="double" w:color="auto" w:sz="4" w:space="0"/>
              <w:left w:val="nil"/>
              <w:bottom w:val="single" w:color="auto" w:sz="4" w:space="0"/>
              <w:right w:val="single" w:color="auto" w:sz="4" w:space="0"/>
            </w:tcBorders>
            <w:shd w:val="clear" w:color="auto" w:fill="auto"/>
            <w:vAlign w:val="center"/>
          </w:tcPr>
          <w:p w14:paraId="12EEFCD9">
            <w:pPr>
              <w:pStyle w:val="149"/>
            </w:pPr>
            <w:r>
              <w:t>　</w:t>
            </w:r>
          </w:p>
        </w:tc>
        <w:tc>
          <w:tcPr>
            <w:tcW w:w="267" w:type="pct"/>
            <w:tcBorders>
              <w:top w:val="double" w:color="auto" w:sz="4" w:space="0"/>
              <w:left w:val="nil"/>
              <w:bottom w:val="single" w:color="auto" w:sz="4" w:space="0"/>
              <w:right w:val="single" w:color="auto" w:sz="4" w:space="0"/>
            </w:tcBorders>
            <w:shd w:val="clear" w:color="auto" w:fill="auto"/>
            <w:vAlign w:val="center"/>
          </w:tcPr>
          <w:p w14:paraId="78936E76">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7F97DA9F">
            <w:pPr>
              <w:pStyle w:val="149"/>
            </w:pPr>
            <w:r>
              <w:t>　</w:t>
            </w:r>
          </w:p>
        </w:tc>
        <w:tc>
          <w:tcPr>
            <w:tcW w:w="267" w:type="pct"/>
            <w:tcBorders>
              <w:top w:val="double" w:color="auto" w:sz="4" w:space="0"/>
              <w:left w:val="nil"/>
              <w:bottom w:val="single" w:color="auto" w:sz="4" w:space="0"/>
              <w:right w:val="single" w:color="auto" w:sz="4" w:space="0"/>
            </w:tcBorders>
            <w:shd w:val="clear" w:color="auto" w:fill="auto"/>
            <w:vAlign w:val="center"/>
          </w:tcPr>
          <w:p w14:paraId="4D0F2151">
            <w:pPr>
              <w:pStyle w:val="149"/>
            </w:pPr>
            <w:r>
              <w:t>　</w:t>
            </w:r>
          </w:p>
        </w:tc>
      </w:tr>
      <w:tr w14:paraId="4B4FC3A5">
        <w:tblPrEx>
          <w:tblCellMar>
            <w:top w:w="0" w:type="dxa"/>
            <w:left w:w="108" w:type="dxa"/>
            <w:bottom w:w="0" w:type="dxa"/>
            <w:right w:w="108" w:type="dxa"/>
          </w:tblCellMar>
        </w:tblPrEx>
        <w:trPr>
          <w:trHeight w:val="397" w:hRule="atLeast"/>
          <w:jc w:val="center"/>
        </w:trPr>
        <w:tc>
          <w:tcPr>
            <w:tcW w:w="883" w:type="pct"/>
            <w:vMerge w:val="continue"/>
            <w:tcBorders>
              <w:top w:val="nil"/>
              <w:left w:val="single" w:color="auto" w:sz="4" w:space="0"/>
              <w:bottom w:val="single" w:color="000000" w:sz="4" w:space="0"/>
              <w:right w:val="single" w:color="auto" w:sz="4" w:space="0"/>
            </w:tcBorders>
            <w:vAlign w:val="center"/>
          </w:tcPr>
          <w:p w14:paraId="4680568A">
            <w:pPr>
              <w:pStyle w:val="149"/>
            </w:pPr>
          </w:p>
        </w:tc>
        <w:tc>
          <w:tcPr>
            <w:tcW w:w="707" w:type="pct"/>
            <w:vMerge w:val="continue"/>
            <w:tcBorders>
              <w:top w:val="nil"/>
              <w:left w:val="single" w:color="auto" w:sz="4" w:space="0"/>
              <w:bottom w:val="single" w:color="000000" w:sz="4" w:space="0"/>
              <w:right w:val="single" w:color="auto" w:sz="4" w:space="0"/>
            </w:tcBorders>
            <w:vAlign w:val="center"/>
          </w:tcPr>
          <w:p w14:paraId="564B9417">
            <w:pPr>
              <w:pStyle w:val="149"/>
            </w:pPr>
          </w:p>
        </w:tc>
        <w:tc>
          <w:tcPr>
            <w:tcW w:w="1059" w:type="pct"/>
            <w:tcBorders>
              <w:top w:val="nil"/>
              <w:left w:val="nil"/>
              <w:bottom w:val="single" w:color="auto" w:sz="4" w:space="0"/>
              <w:right w:val="single" w:color="auto" w:sz="4" w:space="0"/>
            </w:tcBorders>
            <w:shd w:val="clear" w:color="auto" w:fill="auto"/>
            <w:vAlign w:val="center"/>
          </w:tcPr>
          <w:p w14:paraId="7703D519">
            <w:pPr>
              <w:pStyle w:val="149"/>
            </w:pPr>
            <w:r>
              <w:t>商业服务业用地</w:t>
            </w:r>
          </w:p>
        </w:tc>
        <w:tc>
          <w:tcPr>
            <w:tcW w:w="619" w:type="pct"/>
            <w:tcBorders>
              <w:top w:val="nil"/>
              <w:left w:val="nil"/>
              <w:bottom w:val="single" w:color="auto" w:sz="4" w:space="0"/>
              <w:right w:val="single" w:color="auto" w:sz="4" w:space="0"/>
            </w:tcBorders>
            <w:shd w:val="clear" w:color="auto" w:fill="auto"/>
            <w:noWrap/>
            <w:vAlign w:val="center"/>
          </w:tcPr>
          <w:p w14:paraId="03F438EE">
            <w:pPr>
              <w:pStyle w:val="149"/>
            </w:pPr>
            <w:r>
              <w:t>商业用地</w:t>
            </w:r>
          </w:p>
        </w:tc>
        <w:tc>
          <w:tcPr>
            <w:tcW w:w="333" w:type="pct"/>
            <w:tcBorders>
              <w:top w:val="nil"/>
              <w:left w:val="nil"/>
              <w:bottom w:val="single" w:color="auto" w:sz="4" w:space="0"/>
              <w:right w:val="single" w:color="auto" w:sz="4" w:space="0"/>
            </w:tcBorders>
            <w:shd w:val="clear" w:color="auto" w:fill="auto"/>
            <w:vAlign w:val="center"/>
          </w:tcPr>
          <w:p w14:paraId="2BC97783">
            <w:pPr>
              <w:pStyle w:val="149"/>
            </w:pPr>
            <w:r>
              <w:t xml:space="preserve">2.07 </w:t>
            </w:r>
          </w:p>
        </w:tc>
        <w:tc>
          <w:tcPr>
            <w:tcW w:w="333" w:type="pct"/>
            <w:tcBorders>
              <w:top w:val="nil"/>
              <w:left w:val="nil"/>
              <w:bottom w:val="single" w:color="auto" w:sz="4" w:space="0"/>
              <w:right w:val="single" w:color="auto" w:sz="4" w:space="0"/>
            </w:tcBorders>
            <w:shd w:val="clear" w:color="auto" w:fill="auto"/>
            <w:vAlign w:val="center"/>
          </w:tcPr>
          <w:p w14:paraId="50F3DEDE">
            <w:pPr>
              <w:pStyle w:val="149"/>
            </w:pPr>
            <w:r>
              <w:t xml:space="preserve">2.07 </w:t>
            </w:r>
          </w:p>
        </w:tc>
        <w:tc>
          <w:tcPr>
            <w:tcW w:w="267" w:type="pct"/>
            <w:tcBorders>
              <w:top w:val="nil"/>
              <w:left w:val="nil"/>
              <w:bottom w:val="single" w:color="auto" w:sz="4" w:space="0"/>
              <w:right w:val="single" w:color="auto" w:sz="4" w:space="0"/>
            </w:tcBorders>
            <w:shd w:val="clear" w:color="auto" w:fill="auto"/>
            <w:vAlign w:val="center"/>
          </w:tcPr>
          <w:p w14:paraId="36DE4FDA">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7DC37CBF">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1D85498C">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65E3BE70">
            <w:pPr>
              <w:pStyle w:val="149"/>
            </w:pPr>
            <w:r>
              <w:t>　</w:t>
            </w:r>
          </w:p>
        </w:tc>
      </w:tr>
      <w:tr w14:paraId="21C7FEAD">
        <w:tblPrEx>
          <w:tblCellMar>
            <w:top w:w="0" w:type="dxa"/>
            <w:left w:w="108" w:type="dxa"/>
            <w:bottom w:w="0" w:type="dxa"/>
            <w:right w:w="108" w:type="dxa"/>
          </w:tblCellMar>
        </w:tblPrEx>
        <w:trPr>
          <w:trHeight w:val="397" w:hRule="atLeast"/>
          <w:jc w:val="center"/>
        </w:trPr>
        <w:tc>
          <w:tcPr>
            <w:tcW w:w="883" w:type="pct"/>
            <w:vMerge w:val="continue"/>
            <w:tcBorders>
              <w:top w:val="nil"/>
              <w:left w:val="single" w:color="auto" w:sz="4" w:space="0"/>
              <w:bottom w:val="single" w:color="000000" w:sz="4" w:space="0"/>
              <w:right w:val="single" w:color="auto" w:sz="4" w:space="0"/>
            </w:tcBorders>
            <w:vAlign w:val="center"/>
          </w:tcPr>
          <w:p w14:paraId="7462EDEC">
            <w:pPr>
              <w:pStyle w:val="149"/>
            </w:pPr>
          </w:p>
        </w:tc>
        <w:tc>
          <w:tcPr>
            <w:tcW w:w="707" w:type="pct"/>
            <w:vMerge w:val="continue"/>
            <w:tcBorders>
              <w:top w:val="nil"/>
              <w:left w:val="single" w:color="auto" w:sz="4" w:space="0"/>
              <w:bottom w:val="single" w:color="000000" w:sz="4" w:space="0"/>
              <w:right w:val="single" w:color="auto" w:sz="4" w:space="0"/>
            </w:tcBorders>
            <w:vAlign w:val="center"/>
          </w:tcPr>
          <w:p w14:paraId="32F25349">
            <w:pPr>
              <w:pStyle w:val="149"/>
            </w:pPr>
          </w:p>
        </w:tc>
        <w:tc>
          <w:tcPr>
            <w:tcW w:w="1059" w:type="pct"/>
            <w:tcBorders>
              <w:top w:val="nil"/>
              <w:left w:val="nil"/>
              <w:bottom w:val="single" w:color="auto" w:sz="4" w:space="0"/>
              <w:right w:val="single" w:color="auto" w:sz="4" w:space="0"/>
            </w:tcBorders>
            <w:shd w:val="clear" w:color="auto" w:fill="auto"/>
            <w:vAlign w:val="center"/>
          </w:tcPr>
          <w:p w14:paraId="313B253C">
            <w:pPr>
              <w:pStyle w:val="149"/>
            </w:pPr>
            <w:r>
              <w:t>工矿用地</w:t>
            </w:r>
          </w:p>
        </w:tc>
        <w:tc>
          <w:tcPr>
            <w:tcW w:w="619" w:type="pct"/>
            <w:tcBorders>
              <w:top w:val="nil"/>
              <w:left w:val="nil"/>
              <w:bottom w:val="single" w:color="auto" w:sz="4" w:space="0"/>
              <w:right w:val="single" w:color="auto" w:sz="4" w:space="0"/>
            </w:tcBorders>
            <w:shd w:val="clear" w:color="auto" w:fill="auto"/>
            <w:noWrap/>
            <w:vAlign w:val="center"/>
          </w:tcPr>
          <w:p w14:paraId="34457EBC">
            <w:pPr>
              <w:pStyle w:val="149"/>
            </w:pPr>
            <w:r>
              <w:t>工业用地</w:t>
            </w:r>
          </w:p>
        </w:tc>
        <w:tc>
          <w:tcPr>
            <w:tcW w:w="333" w:type="pct"/>
            <w:tcBorders>
              <w:top w:val="nil"/>
              <w:left w:val="nil"/>
              <w:bottom w:val="single" w:color="auto" w:sz="4" w:space="0"/>
              <w:right w:val="single" w:color="auto" w:sz="4" w:space="0"/>
            </w:tcBorders>
            <w:shd w:val="clear" w:color="auto" w:fill="auto"/>
            <w:vAlign w:val="center"/>
          </w:tcPr>
          <w:p w14:paraId="21C9144C">
            <w:pPr>
              <w:pStyle w:val="149"/>
            </w:pPr>
            <w:r>
              <w:t xml:space="preserve">369.76 </w:t>
            </w:r>
          </w:p>
        </w:tc>
        <w:tc>
          <w:tcPr>
            <w:tcW w:w="333" w:type="pct"/>
            <w:tcBorders>
              <w:top w:val="nil"/>
              <w:left w:val="nil"/>
              <w:bottom w:val="single" w:color="auto" w:sz="4" w:space="0"/>
              <w:right w:val="single" w:color="auto" w:sz="4" w:space="0"/>
            </w:tcBorders>
            <w:shd w:val="clear" w:color="auto" w:fill="auto"/>
            <w:vAlign w:val="center"/>
          </w:tcPr>
          <w:p w14:paraId="2C1A4179">
            <w:pPr>
              <w:pStyle w:val="149"/>
            </w:pPr>
            <w:r>
              <w:t xml:space="preserve">369.76 </w:t>
            </w:r>
          </w:p>
        </w:tc>
        <w:tc>
          <w:tcPr>
            <w:tcW w:w="267" w:type="pct"/>
            <w:tcBorders>
              <w:top w:val="nil"/>
              <w:left w:val="nil"/>
              <w:bottom w:val="single" w:color="auto" w:sz="4" w:space="0"/>
              <w:right w:val="single" w:color="auto" w:sz="4" w:space="0"/>
            </w:tcBorders>
            <w:shd w:val="clear" w:color="auto" w:fill="auto"/>
            <w:vAlign w:val="center"/>
          </w:tcPr>
          <w:p w14:paraId="7B138E03">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45994C1C">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574A3C42">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0AD7D825">
            <w:pPr>
              <w:pStyle w:val="149"/>
            </w:pPr>
            <w:r>
              <w:t>　</w:t>
            </w:r>
          </w:p>
        </w:tc>
      </w:tr>
      <w:tr w14:paraId="45CAF46F">
        <w:tblPrEx>
          <w:tblCellMar>
            <w:top w:w="0" w:type="dxa"/>
            <w:left w:w="108" w:type="dxa"/>
            <w:bottom w:w="0" w:type="dxa"/>
            <w:right w:w="108" w:type="dxa"/>
          </w:tblCellMar>
        </w:tblPrEx>
        <w:trPr>
          <w:trHeight w:val="397" w:hRule="atLeast"/>
          <w:jc w:val="center"/>
        </w:trPr>
        <w:tc>
          <w:tcPr>
            <w:tcW w:w="883" w:type="pct"/>
            <w:vMerge w:val="continue"/>
            <w:tcBorders>
              <w:top w:val="nil"/>
              <w:left w:val="single" w:color="auto" w:sz="4" w:space="0"/>
              <w:bottom w:val="single" w:color="000000" w:sz="4" w:space="0"/>
              <w:right w:val="single" w:color="auto" w:sz="4" w:space="0"/>
            </w:tcBorders>
            <w:vAlign w:val="center"/>
          </w:tcPr>
          <w:p w14:paraId="45EE0E8A">
            <w:pPr>
              <w:pStyle w:val="149"/>
            </w:pPr>
          </w:p>
        </w:tc>
        <w:tc>
          <w:tcPr>
            <w:tcW w:w="707" w:type="pct"/>
            <w:vMerge w:val="continue"/>
            <w:tcBorders>
              <w:top w:val="nil"/>
              <w:left w:val="single" w:color="auto" w:sz="4" w:space="0"/>
              <w:bottom w:val="single" w:color="000000" w:sz="4" w:space="0"/>
              <w:right w:val="single" w:color="auto" w:sz="4" w:space="0"/>
            </w:tcBorders>
            <w:vAlign w:val="center"/>
          </w:tcPr>
          <w:p w14:paraId="29A03B74">
            <w:pPr>
              <w:pStyle w:val="149"/>
            </w:pPr>
          </w:p>
        </w:tc>
        <w:tc>
          <w:tcPr>
            <w:tcW w:w="1059" w:type="pct"/>
            <w:vMerge w:val="restart"/>
            <w:tcBorders>
              <w:top w:val="nil"/>
              <w:left w:val="single" w:color="auto" w:sz="4" w:space="0"/>
              <w:bottom w:val="single" w:color="auto" w:sz="4" w:space="0"/>
              <w:right w:val="single" w:color="auto" w:sz="4" w:space="0"/>
            </w:tcBorders>
            <w:shd w:val="clear" w:color="auto" w:fill="auto"/>
            <w:vAlign w:val="center"/>
          </w:tcPr>
          <w:p w14:paraId="2E44C00E">
            <w:pPr>
              <w:pStyle w:val="149"/>
            </w:pPr>
            <w:r>
              <w:t>交通运输用地</w:t>
            </w:r>
          </w:p>
        </w:tc>
        <w:tc>
          <w:tcPr>
            <w:tcW w:w="619" w:type="pct"/>
            <w:tcBorders>
              <w:top w:val="nil"/>
              <w:left w:val="nil"/>
              <w:bottom w:val="single" w:color="auto" w:sz="4" w:space="0"/>
              <w:right w:val="single" w:color="auto" w:sz="4" w:space="0"/>
            </w:tcBorders>
            <w:shd w:val="clear" w:color="auto" w:fill="auto"/>
            <w:noWrap/>
            <w:vAlign w:val="center"/>
          </w:tcPr>
          <w:p w14:paraId="63366095">
            <w:pPr>
              <w:pStyle w:val="149"/>
            </w:pPr>
            <w:r>
              <w:t>城镇道路用地</w:t>
            </w:r>
          </w:p>
        </w:tc>
        <w:tc>
          <w:tcPr>
            <w:tcW w:w="333" w:type="pct"/>
            <w:tcBorders>
              <w:top w:val="nil"/>
              <w:left w:val="nil"/>
              <w:bottom w:val="single" w:color="auto" w:sz="4" w:space="0"/>
              <w:right w:val="single" w:color="auto" w:sz="4" w:space="0"/>
            </w:tcBorders>
            <w:shd w:val="clear" w:color="auto" w:fill="auto"/>
            <w:vAlign w:val="center"/>
          </w:tcPr>
          <w:p w14:paraId="40014E4B">
            <w:pPr>
              <w:pStyle w:val="149"/>
            </w:pPr>
            <w:r>
              <w:t xml:space="preserve">79.45 </w:t>
            </w:r>
          </w:p>
        </w:tc>
        <w:tc>
          <w:tcPr>
            <w:tcW w:w="333" w:type="pct"/>
            <w:tcBorders>
              <w:top w:val="nil"/>
              <w:left w:val="nil"/>
              <w:bottom w:val="single" w:color="auto" w:sz="4" w:space="0"/>
              <w:right w:val="single" w:color="auto" w:sz="4" w:space="0"/>
            </w:tcBorders>
            <w:shd w:val="clear" w:color="auto" w:fill="auto"/>
            <w:vAlign w:val="center"/>
          </w:tcPr>
          <w:p w14:paraId="4EDAEFE2">
            <w:pPr>
              <w:pStyle w:val="149"/>
            </w:pPr>
            <w:r>
              <w:t xml:space="preserve">79.45 </w:t>
            </w:r>
          </w:p>
        </w:tc>
        <w:tc>
          <w:tcPr>
            <w:tcW w:w="267" w:type="pct"/>
            <w:tcBorders>
              <w:top w:val="nil"/>
              <w:left w:val="nil"/>
              <w:bottom w:val="single" w:color="auto" w:sz="4" w:space="0"/>
              <w:right w:val="single" w:color="auto" w:sz="4" w:space="0"/>
            </w:tcBorders>
            <w:shd w:val="clear" w:color="auto" w:fill="auto"/>
            <w:vAlign w:val="center"/>
          </w:tcPr>
          <w:p w14:paraId="744C6130">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007B9FD8">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3B5E4634">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4406028D">
            <w:pPr>
              <w:pStyle w:val="149"/>
            </w:pPr>
            <w:r>
              <w:t>　</w:t>
            </w:r>
          </w:p>
        </w:tc>
      </w:tr>
      <w:tr w14:paraId="694DB8C6">
        <w:tblPrEx>
          <w:tblCellMar>
            <w:top w:w="0" w:type="dxa"/>
            <w:left w:w="108" w:type="dxa"/>
            <w:bottom w:w="0" w:type="dxa"/>
            <w:right w:w="108" w:type="dxa"/>
          </w:tblCellMar>
        </w:tblPrEx>
        <w:trPr>
          <w:trHeight w:val="397" w:hRule="atLeast"/>
          <w:jc w:val="center"/>
        </w:trPr>
        <w:tc>
          <w:tcPr>
            <w:tcW w:w="883" w:type="pct"/>
            <w:vMerge w:val="continue"/>
            <w:tcBorders>
              <w:top w:val="nil"/>
              <w:left w:val="single" w:color="auto" w:sz="4" w:space="0"/>
              <w:bottom w:val="single" w:color="000000" w:sz="4" w:space="0"/>
              <w:right w:val="single" w:color="auto" w:sz="4" w:space="0"/>
            </w:tcBorders>
            <w:vAlign w:val="center"/>
          </w:tcPr>
          <w:p w14:paraId="00E96754">
            <w:pPr>
              <w:pStyle w:val="149"/>
            </w:pPr>
          </w:p>
        </w:tc>
        <w:tc>
          <w:tcPr>
            <w:tcW w:w="707" w:type="pct"/>
            <w:vMerge w:val="continue"/>
            <w:tcBorders>
              <w:top w:val="nil"/>
              <w:left w:val="single" w:color="auto" w:sz="4" w:space="0"/>
              <w:bottom w:val="single" w:color="000000" w:sz="4" w:space="0"/>
              <w:right w:val="single" w:color="auto" w:sz="4" w:space="0"/>
            </w:tcBorders>
            <w:vAlign w:val="center"/>
          </w:tcPr>
          <w:p w14:paraId="06FFF991">
            <w:pPr>
              <w:pStyle w:val="149"/>
            </w:pPr>
          </w:p>
        </w:tc>
        <w:tc>
          <w:tcPr>
            <w:tcW w:w="1059" w:type="pct"/>
            <w:vMerge w:val="continue"/>
            <w:tcBorders>
              <w:top w:val="nil"/>
              <w:left w:val="single" w:color="auto" w:sz="4" w:space="0"/>
              <w:bottom w:val="single" w:color="auto" w:sz="4" w:space="0"/>
              <w:right w:val="single" w:color="auto" w:sz="4" w:space="0"/>
            </w:tcBorders>
            <w:vAlign w:val="center"/>
          </w:tcPr>
          <w:p w14:paraId="345CB7BA">
            <w:pPr>
              <w:pStyle w:val="149"/>
            </w:pPr>
          </w:p>
        </w:tc>
        <w:tc>
          <w:tcPr>
            <w:tcW w:w="619" w:type="pct"/>
            <w:tcBorders>
              <w:top w:val="nil"/>
              <w:left w:val="nil"/>
              <w:bottom w:val="single" w:color="auto" w:sz="4" w:space="0"/>
              <w:right w:val="single" w:color="auto" w:sz="4" w:space="0"/>
            </w:tcBorders>
            <w:shd w:val="clear" w:color="auto" w:fill="auto"/>
            <w:noWrap/>
            <w:vAlign w:val="center"/>
          </w:tcPr>
          <w:p w14:paraId="32E6201C">
            <w:pPr>
              <w:pStyle w:val="149"/>
            </w:pPr>
            <w:r>
              <w:t>交通场站用地</w:t>
            </w:r>
          </w:p>
        </w:tc>
        <w:tc>
          <w:tcPr>
            <w:tcW w:w="333" w:type="pct"/>
            <w:tcBorders>
              <w:top w:val="nil"/>
              <w:left w:val="nil"/>
              <w:bottom w:val="single" w:color="auto" w:sz="4" w:space="0"/>
              <w:right w:val="single" w:color="auto" w:sz="4" w:space="0"/>
            </w:tcBorders>
            <w:shd w:val="clear" w:color="auto" w:fill="auto"/>
            <w:vAlign w:val="center"/>
          </w:tcPr>
          <w:p w14:paraId="76B98323">
            <w:pPr>
              <w:pStyle w:val="149"/>
            </w:pPr>
            <w:r>
              <w:t xml:space="preserve">5.71 </w:t>
            </w:r>
          </w:p>
        </w:tc>
        <w:tc>
          <w:tcPr>
            <w:tcW w:w="333" w:type="pct"/>
            <w:tcBorders>
              <w:top w:val="nil"/>
              <w:left w:val="nil"/>
              <w:bottom w:val="single" w:color="auto" w:sz="4" w:space="0"/>
              <w:right w:val="single" w:color="auto" w:sz="4" w:space="0"/>
            </w:tcBorders>
            <w:shd w:val="clear" w:color="auto" w:fill="auto"/>
            <w:vAlign w:val="center"/>
          </w:tcPr>
          <w:p w14:paraId="753BC126">
            <w:pPr>
              <w:pStyle w:val="149"/>
            </w:pPr>
            <w:r>
              <w:t xml:space="preserve">5.71 </w:t>
            </w:r>
          </w:p>
        </w:tc>
        <w:tc>
          <w:tcPr>
            <w:tcW w:w="267" w:type="pct"/>
            <w:tcBorders>
              <w:top w:val="nil"/>
              <w:left w:val="nil"/>
              <w:bottom w:val="single" w:color="auto" w:sz="4" w:space="0"/>
              <w:right w:val="single" w:color="auto" w:sz="4" w:space="0"/>
            </w:tcBorders>
            <w:shd w:val="clear" w:color="auto" w:fill="auto"/>
            <w:vAlign w:val="center"/>
          </w:tcPr>
          <w:p w14:paraId="4BCE307A">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06340A4C">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25B2FD3D">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03CC78FD">
            <w:pPr>
              <w:pStyle w:val="149"/>
            </w:pPr>
            <w:r>
              <w:t>　</w:t>
            </w:r>
          </w:p>
        </w:tc>
      </w:tr>
      <w:tr w14:paraId="3CFA5DBD">
        <w:tblPrEx>
          <w:tblCellMar>
            <w:top w:w="0" w:type="dxa"/>
            <w:left w:w="108" w:type="dxa"/>
            <w:bottom w:w="0" w:type="dxa"/>
            <w:right w:w="108" w:type="dxa"/>
          </w:tblCellMar>
        </w:tblPrEx>
        <w:trPr>
          <w:trHeight w:val="397" w:hRule="atLeast"/>
          <w:jc w:val="center"/>
        </w:trPr>
        <w:tc>
          <w:tcPr>
            <w:tcW w:w="883" w:type="pct"/>
            <w:vMerge w:val="continue"/>
            <w:tcBorders>
              <w:top w:val="nil"/>
              <w:left w:val="single" w:color="auto" w:sz="4" w:space="0"/>
              <w:bottom w:val="single" w:color="000000" w:sz="4" w:space="0"/>
              <w:right w:val="single" w:color="auto" w:sz="4" w:space="0"/>
            </w:tcBorders>
            <w:vAlign w:val="center"/>
          </w:tcPr>
          <w:p w14:paraId="54AD4327">
            <w:pPr>
              <w:pStyle w:val="149"/>
            </w:pPr>
          </w:p>
        </w:tc>
        <w:tc>
          <w:tcPr>
            <w:tcW w:w="707" w:type="pct"/>
            <w:vMerge w:val="continue"/>
            <w:tcBorders>
              <w:top w:val="nil"/>
              <w:left w:val="single" w:color="auto" w:sz="4" w:space="0"/>
              <w:bottom w:val="single" w:color="000000" w:sz="4" w:space="0"/>
              <w:right w:val="single" w:color="auto" w:sz="4" w:space="0"/>
            </w:tcBorders>
            <w:vAlign w:val="center"/>
          </w:tcPr>
          <w:p w14:paraId="48409C27">
            <w:pPr>
              <w:pStyle w:val="149"/>
            </w:pPr>
          </w:p>
        </w:tc>
        <w:tc>
          <w:tcPr>
            <w:tcW w:w="1059" w:type="pct"/>
            <w:vMerge w:val="restart"/>
            <w:tcBorders>
              <w:top w:val="nil"/>
              <w:left w:val="single" w:color="auto" w:sz="4" w:space="0"/>
              <w:bottom w:val="single" w:color="auto" w:sz="4" w:space="0"/>
              <w:right w:val="single" w:color="auto" w:sz="4" w:space="0"/>
            </w:tcBorders>
            <w:shd w:val="clear" w:color="auto" w:fill="auto"/>
            <w:vAlign w:val="center"/>
          </w:tcPr>
          <w:p w14:paraId="34CBAFC3">
            <w:pPr>
              <w:pStyle w:val="149"/>
            </w:pPr>
            <w:r>
              <w:t>公用设施用地</w:t>
            </w:r>
          </w:p>
        </w:tc>
        <w:tc>
          <w:tcPr>
            <w:tcW w:w="619" w:type="pct"/>
            <w:tcBorders>
              <w:top w:val="nil"/>
              <w:left w:val="nil"/>
              <w:bottom w:val="single" w:color="auto" w:sz="4" w:space="0"/>
              <w:right w:val="single" w:color="auto" w:sz="4" w:space="0"/>
            </w:tcBorders>
            <w:shd w:val="clear" w:color="auto" w:fill="auto"/>
            <w:noWrap/>
            <w:vAlign w:val="center"/>
          </w:tcPr>
          <w:p w14:paraId="7784424A">
            <w:pPr>
              <w:pStyle w:val="149"/>
            </w:pPr>
            <w:r>
              <w:t>排水用地</w:t>
            </w:r>
          </w:p>
        </w:tc>
        <w:tc>
          <w:tcPr>
            <w:tcW w:w="333" w:type="pct"/>
            <w:tcBorders>
              <w:top w:val="nil"/>
              <w:left w:val="nil"/>
              <w:bottom w:val="single" w:color="auto" w:sz="4" w:space="0"/>
              <w:right w:val="single" w:color="auto" w:sz="4" w:space="0"/>
            </w:tcBorders>
            <w:shd w:val="clear" w:color="auto" w:fill="auto"/>
            <w:vAlign w:val="center"/>
          </w:tcPr>
          <w:p w14:paraId="18BF232C">
            <w:pPr>
              <w:pStyle w:val="149"/>
            </w:pPr>
            <w:r>
              <w:t xml:space="preserve">0.96 </w:t>
            </w:r>
          </w:p>
        </w:tc>
        <w:tc>
          <w:tcPr>
            <w:tcW w:w="333" w:type="pct"/>
            <w:tcBorders>
              <w:top w:val="nil"/>
              <w:left w:val="nil"/>
              <w:bottom w:val="single" w:color="auto" w:sz="4" w:space="0"/>
              <w:right w:val="single" w:color="auto" w:sz="4" w:space="0"/>
            </w:tcBorders>
            <w:shd w:val="clear" w:color="auto" w:fill="auto"/>
            <w:vAlign w:val="center"/>
          </w:tcPr>
          <w:p w14:paraId="6305935A">
            <w:pPr>
              <w:pStyle w:val="149"/>
            </w:pPr>
            <w:r>
              <w:t xml:space="preserve">0.96 </w:t>
            </w:r>
          </w:p>
        </w:tc>
        <w:tc>
          <w:tcPr>
            <w:tcW w:w="267" w:type="pct"/>
            <w:tcBorders>
              <w:top w:val="nil"/>
              <w:left w:val="nil"/>
              <w:bottom w:val="single" w:color="auto" w:sz="4" w:space="0"/>
              <w:right w:val="single" w:color="auto" w:sz="4" w:space="0"/>
            </w:tcBorders>
            <w:shd w:val="clear" w:color="auto" w:fill="auto"/>
            <w:vAlign w:val="center"/>
          </w:tcPr>
          <w:p w14:paraId="12813677">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783DC313">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6D731A4C">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3215EFD5">
            <w:pPr>
              <w:pStyle w:val="149"/>
            </w:pPr>
            <w:r>
              <w:t>　</w:t>
            </w:r>
          </w:p>
        </w:tc>
      </w:tr>
      <w:tr w14:paraId="7F94CC8B">
        <w:tblPrEx>
          <w:tblCellMar>
            <w:top w:w="0" w:type="dxa"/>
            <w:left w:w="108" w:type="dxa"/>
            <w:bottom w:w="0" w:type="dxa"/>
            <w:right w:w="108" w:type="dxa"/>
          </w:tblCellMar>
        </w:tblPrEx>
        <w:trPr>
          <w:trHeight w:val="397" w:hRule="atLeast"/>
          <w:jc w:val="center"/>
        </w:trPr>
        <w:tc>
          <w:tcPr>
            <w:tcW w:w="883" w:type="pct"/>
            <w:vMerge w:val="continue"/>
            <w:tcBorders>
              <w:top w:val="nil"/>
              <w:left w:val="single" w:color="auto" w:sz="4" w:space="0"/>
              <w:bottom w:val="single" w:color="000000" w:sz="4" w:space="0"/>
              <w:right w:val="single" w:color="auto" w:sz="4" w:space="0"/>
            </w:tcBorders>
            <w:vAlign w:val="center"/>
          </w:tcPr>
          <w:p w14:paraId="3C91368B">
            <w:pPr>
              <w:pStyle w:val="149"/>
            </w:pPr>
          </w:p>
        </w:tc>
        <w:tc>
          <w:tcPr>
            <w:tcW w:w="707" w:type="pct"/>
            <w:vMerge w:val="continue"/>
            <w:tcBorders>
              <w:top w:val="nil"/>
              <w:left w:val="single" w:color="auto" w:sz="4" w:space="0"/>
              <w:bottom w:val="single" w:color="000000" w:sz="4" w:space="0"/>
              <w:right w:val="single" w:color="auto" w:sz="4" w:space="0"/>
            </w:tcBorders>
            <w:vAlign w:val="center"/>
          </w:tcPr>
          <w:p w14:paraId="17C0B90F">
            <w:pPr>
              <w:pStyle w:val="149"/>
            </w:pPr>
          </w:p>
        </w:tc>
        <w:tc>
          <w:tcPr>
            <w:tcW w:w="1059" w:type="pct"/>
            <w:vMerge w:val="continue"/>
            <w:tcBorders>
              <w:top w:val="nil"/>
              <w:left w:val="single" w:color="auto" w:sz="4" w:space="0"/>
              <w:bottom w:val="single" w:color="auto" w:sz="4" w:space="0"/>
              <w:right w:val="single" w:color="auto" w:sz="4" w:space="0"/>
            </w:tcBorders>
            <w:vAlign w:val="center"/>
          </w:tcPr>
          <w:p w14:paraId="6B0D53F0">
            <w:pPr>
              <w:pStyle w:val="149"/>
            </w:pPr>
          </w:p>
        </w:tc>
        <w:tc>
          <w:tcPr>
            <w:tcW w:w="619" w:type="pct"/>
            <w:tcBorders>
              <w:top w:val="nil"/>
              <w:left w:val="nil"/>
              <w:bottom w:val="single" w:color="auto" w:sz="4" w:space="0"/>
              <w:right w:val="single" w:color="auto" w:sz="4" w:space="0"/>
            </w:tcBorders>
            <w:shd w:val="clear" w:color="auto" w:fill="auto"/>
            <w:noWrap/>
            <w:vAlign w:val="center"/>
          </w:tcPr>
          <w:p w14:paraId="7973D2D0">
            <w:pPr>
              <w:pStyle w:val="149"/>
            </w:pPr>
            <w:r>
              <w:t>供电用地</w:t>
            </w:r>
          </w:p>
        </w:tc>
        <w:tc>
          <w:tcPr>
            <w:tcW w:w="333" w:type="pct"/>
            <w:tcBorders>
              <w:top w:val="nil"/>
              <w:left w:val="nil"/>
              <w:bottom w:val="single" w:color="auto" w:sz="4" w:space="0"/>
              <w:right w:val="single" w:color="auto" w:sz="4" w:space="0"/>
            </w:tcBorders>
            <w:shd w:val="clear" w:color="auto" w:fill="auto"/>
            <w:vAlign w:val="center"/>
          </w:tcPr>
          <w:p w14:paraId="329C45EB">
            <w:pPr>
              <w:pStyle w:val="149"/>
            </w:pPr>
            <w:r>
              <w:t xml:space="preserve">1.36 </w:t>
            </w:r>
          </w:p>
        </w:tc>
        <w:tc>
          <w:tcPr>
            <w:tcW w:w="333" w:type="pct"/>
            <w:tcBorders>
              <w:top w:val="nil"/>
              <w:left w:val="nil"/>
              <w:bottom w:val="single" w:color="auto" w:sz="4" w:space="0"/>
              <w:right w:val="single" w:color="auto" w:sz="4" w:space="0"/>
            </w:tcBorders>
            <w:shd w:val="clear" w:color="auto" w:fill="auto"/>
            <w:vAlign w:val="center"/>
          </w:tcPr>
          <w:p w14:paraId="5992A527">
            <w:pPr>
              <w:pStyle w:val="149"/>
            </w:pPr>
            <w:r>
              <w:t xml:space="preserve">1.36 </w:t>
            </w:r>
          </w:p>
        </w:tc>
        <w:tc>
          <w:tcPr>
            <w:tcW w:w="267" w:type="pct"/>
            <w:tcBorders>
              <w:top w:val="nil"/>
              <w:left w:val="nil"/>
              <w:bottom w:val="single" w:color="auto" w:sz="4" w:space="0"/>
              <w:right w:val="single" w:color="auto" w:sz="4" w:space="0"/>
            </w:tcBorders>
            <w:shd w:val="clear" w:color="auto" w:fill="auto"/>
            <w:vAlign w:val="center"/>
          </w:tcPr>
          <w:p w14:paraId="38C92590">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4B96E6C9">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3590E0F1">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5164A350">
            <w:pPr>
              <w:pStyle w:val="149"/>
            </w:pPr>
            <w:r>
              <w:t>　</w:t>
            </w:r>
          </w:p>
        </w:tc>
      </w:tr>
      <w:tr w14:paraId="55CE7E86">
        <w:tblPrEx>
          <w:tblCellMar>
            <w:top w:w="0" w:type="dxa"/>
            <w:left w:w="108" w:type="dxa"/>
            <w:bottom w:w="0" w:type="dxa"/>
            <w:right w:w="108" w:type="dxa"/>
          </w:tblCellMar>
        </w:tblPrEx>
        <w:trPr>
          <w:trHeight w:val="397" w:hRule="atLeast"/>
          <w:jc w:val="center"/>
        </w:trPr>
        <w:tc>
          <w:tcPr>
            <w:tcW w:w="883" w:type="pct"/>
            <w:vMerge w:val="continue"/>
            <w:tcBorders>
              <w:top w:val="nil"/>
              <w:left w:val="single" w:color="auto" w:sz="4" w:space="0"/>
              <w:bottom w:val="single" w:color="000000" w:sz="4" w:space="0"/>
              <w:right w:val="single" w:color="auto" w:sz="4" w:space="0"/>
            </w:tcBorders>
            <w:vAlign w:val="center"/>
          </w:tcPr>
          <w:p w14:paraId="35B4C96C">
            <w:pPr>
              <w:pStyle w:val="149"/>
            </w:pPr>
          </w:p>
        </w:tc>
        <w:tc>
          <w:tcPr>
            <w:tcW w:w="707" w:type="pct"/>
            <w:vMerge w:val="continue"/>
            <w:tcBorders>
              <w:top w:val="nil"/>
              <w:left w:val="single" w:color="auto" w:sz="4" w:space="0"/>
              <w:bottom w:val="single" w:color="000000" w:sz="4" w:space="0"/>
              <w:right w:val="single" w:color="auto" w:sz="4" w:space="0"/>
            </w:tcBorders>
            <w:vAlign w:val="center"/>
          </w:tcPr>
          <w:p w14:paraId="38E4321A">
            <w:pPr>
              <w:pStyle w:val="149"/>
            </w:pPr>
          </w:p>
        </w:tc>
        <w:tc>
          <w:tcPr>
            <w:tcW w:w="1059" w:type="pct"/>
            <w:vMerge w:val="continue"/>
            <w:tcBorders>
              <w:top w:val="nil"/>
              <w:left w:val="single" w:color="auto" w:sz="4" w:space="0"/>
              <w:bottom w:val="single" w:color="auto" w:sz="4" w:space="0"/>
              <w:right w:val="single" w:color="auto" w:sz="4" w:space="0"/>
            </w:tcBorders>
            <w:vAlign w:val="center"/>
          </w:tcPr>
          <w:p w14:paraId="70F9215E">
            <w:pPr>
              <w:pStyle w:val="149"/>
            </w:pPr>
          </w:p>
        </w:tc>
        <w:tc>
          <w:tcPr>
            <w:tcW w:w="619" w:type="pct"/>
            <w:tcBorders>
              <w:top w:val="nil"/>
              <w:left w:val="nil"/>
              <w:bottom w:val="single" w:color="auto" w:sz="4" w:space="0"/>
              <w:right w:val="single" w:color="auto" w:sz="4" w:space="0"/>
            </w:tcBorders>
            <w:shd w:val="clear" w:color="auto" w:fill="auto"/>
            <w:noWrap/>
            <w:vAlign w:val="center"/>
          </w:tcPr>
          <w:p w14:paraId="1E939832">
            <w:pPr>
              <w:pStyle w:val="149"/>
            </w:pPr>
            <w:r>
              <w:t>供燃气用地</w:t>
            </w:r>
          </w:p>
        </w:tc>
        <w:tc>
          <w:tcPr>
            <w:tcW w:w="333" w:type="pct"/>
            <w:tcBorders>
              <w:top w:val="nil"/>
              <w:left w:val="nil"/>
              <w:bottom w:val="single" w:color="auto" w:sz="4" w:space="0"/>
              <w:right w:val="single" w:color="auto" w:sz="4" w:space="0"/>
            </w:tcBorders>
            <w:shd w:val="clear" w:color="auto" w:fill="auto"/>
            <w:vAlign w:val="center"/>
          </w:tcPr>
          <w:p w14:paraId="55294193">
            <w:pPr>
              <w:pStyle w:val="149"/>
            </w:pPr>
            <w:r>
              <w:t xml:space="preserve">1.45 </w:t>
            </w:r>
          </w:p>
        </w:tc>
        <w:tc>
          <w:tcPr>
            <w:tcW w:w="333" w:type="pct"/>
            <w:tcBorders>
              <w:top w:val="nil"/>
              <w:left w:val="nil"/>
              <w:bottom w:val="single" w:color="auto" w:sz="4" w:space="0"/>
              <w:right w:val="single" w:color="auto" w:sz="4" w:space="0"/>
            </w:tcBorders>
            <w:shd w:val="clear" w:color="auto" w:fill="auto"/>
            <w:vAlign w:val="center"/>
          </w:tcPr>
          <w:p w14:paraId="750B320F">
            <w:pPr>
              <w:pStyle w:val="149"/>
            </w:pPr>
            <w:r>
              <w:t xml:space="preserve">1.45 </w:t>
            </w:r>
          </w:p>
        </w:tc>
        <w:tc>
          <w:tcPr>
            <w:tcW w:w="267" w:type="pct"/>
            <w:tcBorders>
              <w:top w:val="nil"/>
              <w:left w:val="nil"/>
              <w:bottom w:val="single" w:color="auto" w:sz="4" w:space="0"/>
              <w:right w:val="single" w:color="auto" w:sz="4" w:space="0"/>
            </w:tcBorders>
            <w:shd w:val="clear" w:color="auto" w:fill="auto"/>
            <w:vAlign w:val="center"/>
          </w:tcPr>
          <w:p w14:paraId="16F0B1D9">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303E2600">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706F5739">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33C48537">
            <w:pPr>
              <w:pStyle w:val="149"/>
            </w:pPr>
            <w:r>
              <w:t>　</w:t>
            </w:r>
          </w:p>
        </w:tc>
      </w:tr>
      <w:tr w14:paraId="542E1B2A">
        <w:tblPrEx>
          <w:tblCellMar>
            <w:top w:w="0" w:type="dxa"/>
            <w:left w:w="108" w:type="dxa"/>
            <w:bottom w:w="0" w:type="dxa"/>
            <w:right w:w="108" w:type="dxa"/>
          </w:tblCellMar>
        </w:tblPrEx>
        <w:trPr>
          <w:trHeight w:val="397" w:hRule="atLeast"/>
          <w:jc w:val="center"/>
        </w:trPr>
        <w:tc>
          <w:tcPr>
            <w:tcW w:w="883" w:type="pct"/>
            <w:vMerge w:val="continue"/>
            <w:tcBorders>
              <w:top w:val="nil"/>
              <w:left w:val="single" w:color="auto" w:sz="4" w:space="0"/>
              <w:bottom w:val="single" w:color="000000" w:sz="4" w:space="0"/>
              <w:right w:val="single" w:color="auto" w:sz="4" w:space="0"/>
            </w:tcBorders>
            <w:vAlign w:val="center"/>
          </w:tcPr>
          <w:p w14:paraId="15937C25">
            <w:pPr>
              <w:pStyle w:val="149"/>
            </w:pPr>
          </w:p>
        </w:tc>
        <w:tc>
          <w:tcPr>
            <w:tcW w:w="707" w:type="pct"/>
            <w:vMerge w:val="continue"/>
            <w:tcBorders>
              <w:top w:val="nil"/>
              <w:left w:val="single" w:color="auto" w:sz="4" w:space="0"/>
              <w:bottom w:val="single" w:color="000000" w:sz="4" w:space="0"/>
              <w:right w:val="single" w:color="auto" w:sz="4" w:space="0"/>
            </w:tcBorders>
            <w:vAlign w:val="center"/>
          </w:tcPr>
          <w:p w14:paraId="23E0E575">
            <w:pPr>
              <w:pStyle w:val="149"/>
            </w:pPr>
          </w:p>
        </w:tc>
        <w:tc>
          <w:tcPr>
            <w:tcW w:w="1059" w:type="pct"/>
            <w:vMerge w:val="continue"/>
            <w:tcBorders>
              <w:top w:val="nil"/>
              <w:left w:val="single" w:color="auto" w:sz="4" w:space="0"/>
              <w:bottom w:val="single" w:color="auto" w:sz="4" w:space="0"/>
              <w:right w:val="single" w:color="auto" w:sz="4" w:space="0"/>
            </w:tcBorders>
            <w:vAlign w:val="center"/>
          </w:tcPr>
          <w:p w14:paraId="56FDDBE7">
            <w:pPr>
              <w:pStyle w:val="149"/>
            </w:pPr>
          </w:p>
        </w:tc>
        <w:tc>
          <w:tcPr>
            <w:tcW w:w="619" w:type="pct"/>
            <w:tcBorders>
              <w:top w:val="nil"/>
              <w:left w:val="nil"/>
              <w:bottom w:val="single" w:color="auto" w:sz="4" w:space="0"/>
              <w:right w:val="single" w:color="auto" w:sz="4" w:space="0"/>
            </w:tcBorders>
            <w:shd w:val="clear" w:color="auto" w:fill="auto"/>
            <w:noWrap/>
            <w:vAlign w:val="center"/>
          </w:tcPr>
          <w:p w14:paraId="2807A259">
            <w:pPr>
              <w:pStyle w:val="149"/>
            </w:pPr>
            <w:r>
              <w:t>环卫用地</w:t>
            </w:r>
          </w:p>
        </w:tc>
        <w:tc>
          <w:tcPr>
            <w:tcW w:w="333" w:type="pct"/>
            <w:tcBorders>
              <w:top w:val="nil"/>
              <w:left w:val="nil"/>
              <w:bottom w:val="single" w:color="auto" w:sz="4" w:space="0"/>
              <w:right w:val="single" w:color="auto" w:sz="4" w:space="0"/>
            </w:tcBorders>
            <w:shd w:val="clear" w:color="auto" w:fill="auto"/>
            <w:vAlign w:val="center"/>
          </w:tcPr>
          <w:p w14:paraId="20B72A3E">
            <w:pPr>
              <w:pStyle w:val="149"/>
            </w:pPr>
            <w:r>
              <w:t xml:space="preserve">0.96 </w:t>
            </w:r>
          </w:p>
        </w:tc>
        <w:tc>
          <w:tcPr>
            <w:tcW w:w="333" w:type="pct"/>
            <w:tcBorders>
              <w:top w:val="nil"/>
              <w:left w:val="nil"/>
              <w:bottom w:val="single" w:color="auto" w:sz="4" w:space="0"/>
              <w:right w:val="single" w:color="auto" w:sz="4" w:space="0"/>
            </w:tcBorders>
            <w:shd w:val="clear" w:color="auto" w:fill="auto"/>
            <w:vAlign w:val="center"/>
          </w:tcPr>
          <w:p w14:paraId="764166AD">
            <w:pPr>
              <w:pStyle w:val="149"/>
            </w:pPr>
            <w:r>
              <w:t xml:space="preserve">0.96 </w:t>
            </w:r>
          </w:p>
        </w:tc>
        <w:tc>
          <w:tcPr>
            <w:tcW w:w="267" w:type="pct"/>
            <w:tcBorders>
              <w:top w:val="nil"/>
              <w:left w:val="nil"/>
              <w:bottom w:val="single" w:color="auto" w:sz="4" w:space="0"/>
              <w:right w:val="single" w:color="auto" w:sz="4" w:space="0"/>
            </w:tcBorders>
            <w:shd w:val="clear" w:color="auto" w:fill="auto"/>
            <w:vAlign w:val="center"/>
          </w:tcPr>
          <w:p w14:paraId="1B4E940F">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595B8324">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53339F32">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48F5BD78">
            <w:pPr>
              <w:pStyle w:val="149"/>
            </w:pPr>
            <w:r>
              <w:t>　</w:t>
            </w:r>
          </w:p>
        </w:tc>
      </w:tr>
      <w:tr w14:paraId="0AF8455E">
        <w:tblPrEx>
          <w:tblCellMar>
            <w:top w:w="0" w:type="dxa"/>
            <w:left w:w="108" w:type="dxa"/>
            <w:bottom w:w="0" w:type="dxa"/>
            <w:right w:w="108" w:type="dxa"/>
          </w:tblCellMar>
        </w:tblPrEx>
        <w:trPr>
          <w:trHeight w:val="397" w:hRule="atLeast"/>
          <w:jc w:val="center"/>
        </w:trPr>
        <w:tc>
          <w:tcPr>
            <w:tcW w:w="883" w:type="pct"/>
            <w:vMerge w:val="continue"/>
            <w:tcBorders>
              <w:top w:val="nil"/>
              <w:left w:val="single" w:color="auto" w:sz="4" w:space="0"/>
              <w:bottom w:val="single" w:color="000000" w:sz="4" w:space="0"/>
              <w:right w:val="single" w:color="auto" w:sz="4" w:space="0"/>
            </w:tcBorders>
            <w:vAlign w:val="center"/>
          </w:tcPr>
          <w:p w14:paraId="2A396495">
            <w:pPr>
              <w:pStyle w:val="149"/>
            </w:pPr>
          </w:p>
        </w:tc>
        <w:tc>
          <w:tcPr>
            <w:tcW w:w="707" w:type="pct"/>
            <w:vMerge w:val="continue"/>
            <w:tcBorders>
              <w:top w:val="nil"/>
              <w:left w:val="single" w:color="auto" w:sz="4" w:space="0"/>
              <w:bottom w:val="single" w:color="000000" w:sz="4" w:space="0"/>
              <w:right w:val="single" w:color="auto" w:sz="4" w:space="0"/>
            </w:tcBorders>
            <w:vAlign w:val="center"/>
          </w:tcPr>
          <w:p w14:paraId="259680A4">
            <w:pPr>
              <w:pStyle w:val="149"/>
            </w:pPr>
          </w:p>
        </w:tc>
        <w:tc>
          <w:tcPr>
            <w:tcW w:w="1059" w:type="pct"/>
            <w:vMerge w:val="continue"/>
            <w:tcBorders>
              <w:top w:val="nil"/>
              <w:left w:val="single" w:color="auto" w:sz="4" w:space="0"/>
              <w:bottom w:val="single" w:color="auto" w:sz="4" w:space="0"/>
              <w:right w:val="single" w:color="auto" w:sz="4" w:space="0"/>
            </w:tcBorders>
            <w:vAlign w:val="center"/>
          </w:tcPr>
          <w:p w14:paraId="6F2C84BD">
            <w:pPr>
              <w:pStyle w:val="149"/>
            </w:pPr>
          </w:p>
        </w:tc>
        <w:tc>
          <w:tcPr>
            <w:tcW w:w="619" w:type="pct"/>
            <w:tcBorders>
              <w:top w:val="nil"/>
              <w:left w:val="nil"/>
              <w:bottom w:val="single" w:color="auto" w:sz="4" w:space="0"/>
              <w:right w:val="single" w:color="auto" w:sz="4" w:space="0"/>
            </w:tcBorders>
            <w:shd w:val="clear" w:color="auto" w:fill="auto"/>
            <w:noWrap/>
            <w:vAlign w:val="center"/>
          </w:tcPr>
          <w:p w14:paraId="14866D9B">
            <w:pPr>
              <w:pStyle w:val="149"/>
            </w:pPr>
            <w:r>
              <w:t>消防用地</w:t>
            </w:r>
          </w:p>
        </w:tc>
        <w:tc>
          <w:tcPr>
            <w:tcW w:w="333" w:type="pct"/>
            <w:tcBorders>
              <w:top w:val="nil"/>
              <w:left w:val="nil"/>
              <w:bottom w:val="single" w:color="auto" w:sz="4" w:space="0"/>
              <w:right w:val="single" w:color="auto" w:sz="4" w:space="0"/>
            </w:tcBorders>
            <w:shd w:val="clear" w:color="auto" w:fill="auto"/>
            <w:vAlign w:val="center"/>
          </w:tcPr>
          <w:p w14:paraId="009CCC25">
            <w:pPr>
              <w:pStyle w:val="149"/>
            </w:pPr>
            <w:r>
              <w:t xml:space="preserve">0.31 </w:t>
            </w:r>
          </w:p>
        </w:tc>
        <w:tc>
          <w:tcPr>
            <w:tcW w:w="333" w:type="pct"/>
            <w:tcBorders>
              <w:top w:val="nil"/>
              <w:left w:val="nil"/>
              <w:bottom w:val="single" w:color="auto" w:sz="4" w:space="0"/>
              <w:right w:val="single" w:color="auto" w:sz="4" w:space="0"/>
            </w:tcBorders>
            <w:shd w:val="clear" w:color="auto" w:fill="auto"/>
            <w:vAlign w:val="center"/>
          </w:tcPr>
          <w:p w14:paraId="45D74B79">
            <w:pPr>
              <w:pStyle w:val="149"/>
            </w:pPr>
            <w:r>
              <w:t xml:space="preserve">0.31 </w:t>
            </w:r>
          </w:p>
        </w:tc>
        <w:tc>
          <w:tcPr>
            <w:tcW w:w="267" w:type="pct"/>
            <w:tcBorders>
              <w:top w:val="nil"/>
              <w:left w:val="nil"/>
              <w:bottom w:val="single" w:color="auto" w:sz="4" w:space="0"/>
              <w:right w:val="single" w:color="auto" w:sz="4" w:space="0"/>
            </w:tcBorders>
            <w:shd w:val="clear" w:color="auto" w:fill="auto"/>
            <w:vAlign w:val="center"/>
          </w:tcPr>
          <w:p w14:paraId="2758B58A">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50163F4C">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351469E4">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4A4FC2F8">
            <w:pPr>
              <w:pStyle w:val="149"/>
            </w:pPr>
            <w:r>
              <w:t>　</w:t>
            </w:r>
          </w:p>
        </w:tc>
      </w:tr>
      <w:tr w14:paraId="25D247BE">
        <w:tblPrEx>
          <w:tblCellMar>
            <w:top w:w="0" w:type="dxa"/>
            <w:left w:w="108" w:type="dxa"/>
            <w:bottom w:w="0" w:type="dxa"/>
            <w:right w:w="108" w:type="dxa"/>
          </w:tblCellMar>
        </w:tblPrEx>
        <w:trPr>
          <w:trHeight w:val="397" w:hRule="atLeast"/>
          <w:jc w:val="center"/>
        </w:trPr>
        <w:tc>
          <w:tcPr>
            <w:tcW w:w="883" w:type="pct"/>
            <w:vMerge w:val="continue"/>
            <w:tcBorders>
              <w:top w:val="nil"/>
              <w:left w:val="single" w:color="auto" w:sz="4" w:space="0"/>
              <w:bottom w:val="single" w:color="000000" w:sz="4" w:space="0"/>
              <w:right w:val="single" w:color="auto" w:sz="4" w:space="0"/>
            </w:tcBorders>
            <w:vAlign w:val="center"/>
          </w:tcPr>
          <w:p w14:paraId="631C4BFC">
            <w:pPr>
              <w:pStyle w:val="149"/>
            </w:pPr>
          </w:p>
        </w:tc>
        <w:tc>
          <w:tcPr>
            <w:tcW w:w="707" w:type="pct"/>
            <w:vMerge w:val="continue"/>
            <w:tcBorders>
              <w:top w:val="nil"/>
              <w:left w:val="single" w:color="auto" w:sz="4" w:space="0"/>
              <w:bottom w:val="single" w:color="000000" w:sz="4" w:space="0"/>
              <w:right w:val="single" w:color="auto" w:sz="4" w:space="0"/>
            </w:tcBorders>
            <w:vAlign w:val="center"/>
          </w:tcPr>
          <w:p w14:paraId="4A481580">
            <w:pPr>
              <w:pStyle w:val="149"/>
            </w:pPr>
          </w:p>
        </w:tc>
        <w:tc>
          <w:tcPr>
            <w:tcW w:w="1059" w:type="pct"/>
            <w:tcBorders>
              <w:top w:val="nil"/>
              <w:left w:val="nil"/>
              <w:bottom w:val="single" w:color="auto" w:sz="4" w:space="0"/>
              <w:right w:val="single" w:color="auto" w:sz="4" w:space="0"/>
            </w:tcBorders>
            <w:shd w:val="clear" w:color="auto" w:fill="auto"/>
            <w:vAlign w:val="center"/>
          </w:tcPr>
          <w:p w14:paraId="5B0A79B9">
            <w:pPr>
              <w:pStyle w:val="149"/>
            </w:pPr>
            <w:r>
              <w:t>绿地与开敞空间用地</w:t>
            </w:r>
          </w:p>
        </w:tc>
        <w:tc>
          <w:tcPr>
            <w:tcW w:w="619" w:type="pct"/>
            <w:tcBorders>
              <w:top w:val="nil"/>
              <w:left w:val="nil"/>
              <w:bottom w:val="single" w:color="auto" w:sz="4" w:space="0"/>
              <w:right w:val="single" w:color="auto" w:sz="4" w:space="0"/>
            </w:tcBorders>
            <w:shd w:val="clear" w:color="auto" w:fill="auto"/>
            <w:noWrap/>
            <w:vAlign w:val="center"/>
          </w:tcPr>
          <w:p w14:paraId="37A33CBB">
            <w:pPr>
              <w:pStyle w:val="149"/>
            </w:pPr>
            <w:r>
              <w:t>防护绿地</w:t>
            </w:r>
          </w:p>
        </w:tc>
        <w:tc>
          <w:tcPr>
            <w:tcW w:w="333" w:type="pct"/>
            <w:tcBorders>
              <w:top w:val="nil"/>
              <w:left w:val="nil"/>
              <w:bottom w:val="single" w:color="auto" w:sz="4" w:space="0"/>
              <w:right w:val="single" w:color="auto" w:sz="4" w:space="0"/>
            </w:tcBorders>
            <w:shd w:val="clear" w:color="auto" w:fill="auto"/>
            <w:vAlign w:val="center"/>
          </w:tcPr>
          <w:p w14:paraId="354CB2A9">
            <w:pPr>
              <w:pStyle w:val="149"/>
            </w:pPr>
            <w:r>
              <w:t>　</w:t>
            </w:r>
          </w:p>
        </w:tc>
        <w:tc>
          <w:tcPr>
            <w:tcW w:w="333" w:type="pct"/>
            <w:tcBorders>
              <w:top w:val="nil"/>
              <w:left w:val="nil"/>
              <w:bottom w:val="single" w:color="auto" w:sz="4" w:space="0"/>
              <w:right w:val="single" w:color="auto" w:sz="4" w:space="0"/>
            </w:tcBorders>
            <w:shd w:val="clear" w:color="auto" w:fill="auto"/>
            <w:vAlign w:val="center"/>
          </w:tcPr>
          <w:p w14:paraId="4B291893">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523590B1">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28533F97">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15EB7A51">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2EC999D1">
            <w:pPr>
              <w:pStyle w:val="149"/>
            </w:pPr>
            <w:r>
              <w:t>　</w:t>
            </w:r>
          </w:p>
        </w:tc>
      </w:tr>
      <w:tr w14:paraId="1167C139">
        <w:tblPrEx>
          <w:tblCellMar>
            <w:top w:w="0" w:type="dxa"/>
            <w:left w:w="108" w:type="dxa"/>
            <w:bottom w:w="0" w:type="dxa"/>
            <w:right w:w="108" w:type="dxa"/>
          </w:tblCellMar>
        </w:tblPrEx>
        <w:trPr>
          <w:trHeight w:val="397" w:hRule="atLeast"/>
          <w:jc w:val="center"/>
        </w:trPr>
        <w:tc>
          <w:tcPr>
            <w:tcW w:w="883" w:type="pct"/>
            <w:vMerge w:val="continue"/>
            <w:tcBorders>
              <w:top w:val="nil"/>
              <w:left w:val="single" w:color="auto" w:sz="4" w:space="0"/>
              <w:bottom w:val="single" w:color="000000" w:sz="4" w:space="0"/>
              <w:right w:val="single" w:color="auto" w:sz="4" w:space="0"/>
            </w:tcBorders>
            <w:vAlign w:val="center"/>
          </w:tcPr>
          <w:p w14:paraId="1ED4AEA6">
            <w:pPr>
              <w:pStyle w:val="149"/>
            </w:pPr>
          </w:p>
        </w:tc>
        <w:tc>
          <w:tcPr>
            <w:tcW w:w="707" w:type="pct"/>
            <w:tcBorders>
              <w:top w:val="nil"/>
              <w:left w:val="nil"/>
              <w:bottom w:val="single" w:color="auto" w:sz="4" w:space="0"/>
              <w:right w:val="single" w:color="auto" w:sz="4" w:space="0"/>
            </w:tcBorders>
            <w:shd w:val="clear" w:color="auto" w:fill="auto"/>
            <w:vAlign w:val="center"/>
          </w:tcPr>
          <w:p w14:paraId="54A22FF0">
            <w:pPr>
              <w:pStyle w:val="149"/>
            </w:pPr>
            <w:r>
              <w:t>小计</w:t>
            </w:r>
          </w:p>
        </w:tc>
        <w:tc>
          <w:tcPr>
            <w:tcW w:w="1059" w:type="pct"/>
            <w:tcBorders>
              <w:top w:val="nil"/>
              <w:left w:val="nil"/>
              <w:bottom w:val="single" w:color="auto" w:sz="4" w:space="0"/>
              <w:right w:val="single" w:color="auto" w:sz="4" w:space="0"/>
            </w:tcBorders>
            <w:shd w:val="clear" w:color="auto" w:fill="auto"/>
            <w:vAlign w:val="center"/>
          </w:tcPr>
          <w:p w14:paraId="71CB1CCC">
            <w:pPr>
              <w:pStyle w:val="149"/>
            </w:pPr>
            <w:r>
              <w:t>　</w:t>
            </w:r>
          </w:p>
        </w:tc>
        <w:tc>
          <w:tcPr>
            <w:tcW w:w="619" w:type="pct"/>
            <w:tcBorders>
              <w:top w:val="nil"/>
              <w:left w:val="nil"/>
              <w:bottom w:val="single" w:color="auto" w:sz="4" w:space="0"/>
              <w:right w:val="single" w:color="auto" w:sz="4" w:space="0"/>
            </w:tcBorders>
            <w:shd w:val="clear" w:color="auto" w:fill="auto"/>
            <w:noWrap/>
            <w:vAlign w:val="center"/>
          </w:tcPr>
          <w:p w14:paraId="5DCDF9BD">
            <w:pPr>
              <w:pStyle w:val="149"/>
            </w:pPr>
            <w:r>
              <w:t>　</w:t>
            </w:r>
          </w:p>
        </w:tc>
        <w:tc>
          <w:tcPr>
            <w:tcW w:w="333" w:type="pct"/>
            <w:tcBorders>
              <w:top w:val="nil"/>
              <w:left w:val="nil"/>
              <w:bottom w:val="single" w:color="auto" w:sz="4" w:space="0"/>
              <w:right w:val="single" w:color="auto" w:sz="4" w:space="0"/>
            </w:tcBorders>
            <w:shd w:val="clear" w:color="auto" w:fill="auto"/>
            <w:vAlign w:val="center"/>
          </w:tcPr>
          <w:p w14:paraId="0786CE0A">
            <w:pPr>
              <w:pStyle w:val="149"/>
            </w:pPr>
            <w:r>
              <w:t xml:space="preserve">462.53 </w:t>
            </w:r>
          </w:p>
        </w:tc>
        <w:tc>
          <w:tcPr>
            <w:tcW w:w="333" w:type="pct"/>
            <w:tcBorders>
              <w:top w:val="nil"/>
              <w:left w:val="nil"/>
              <w:bottom w:val="single" w:color="auto" w:sz="4" w:space="0"/>
              <w:right w:val="single" w:color="auto" w:sz="4" w:space="0"/>
            </w:tcBorders>
            <w:shd w:val="clear" w:color="auto" w:fill="auto"/>
            <w:vAlign w:val="center"/>
          </w:tcPr>
          <w:p w14:paraId="3EF73421">
            <w:pPr>
              <w:pStyle w:val="149"/>
            </w:pPr>
            <w:r>
              <w:t xml:space="preserve">462.53 </w:t>
            </w:r>
          </w:p>
        </w:tc>
        <w:tc>
          <w:tcPr>
            <w:tcW w:w="267" w:type="pct"/>
            <w:tcBorders>
              <w:top w:val="nil"/>
              <w:left w:val="nil"/>
              <w:bottom w:val="single" w:color="auto" w:sz="4" w:space="0"/>
              <w:right w:val="single" w:color="auto" w:sz="4" w:space="0"/>
            </w:tcBorders>
            <w:shd w:val="clear" w:color="auto" w:fill="auto"/>
            <w:vAlign w:val="center"/>
          </w:tcPr>
          <w:p w14:paraId="5C7E73AC">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1A737310">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4A602A0D">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203FE45E">
            <w:pPr>
              <w:pStyle w:val="149"/>
            </w:pPr>
            <w:r>
              <w:t>　</w:t>
            </w:r>
          </w:p>
        </w:tc>
      </w:tr>
      <w:tr w14:paraId="2C8EDB7E">
        <w:tblPrEx>
          <w:tblCellMar>
            <w:top w:w="0" w:type="dxa"/>
            <w:left w:w="108" w:type="dxa"/>
            <w:bottom w:w="0" w:type="dxa"/>
            <w:right w:w="108" w:type="dxa"/>
          </w:tblCellMar>
        </w:tblPrEx>
        <w:trPr>
          <w:trHeight w:val="397" w:hRule="atLeast"/>
          <w:jc w:val="center"/>
        </w:trPr>
        <w:tc>
          <w:tcPr>
            <w:tcW w:w="883" w:type="pct"/>
            <w:vMerge w:val="continue"/>
            <w:tcBorders>
              <w:top w:val="nil"/>
              <w:left w:val="single" w:color="auto" w:sz="4" w:space="0"/>
              <w:bottom w:val="single" w:color="000000" w:sz="4" w:space="0"/>
              <w:right w:val="single" w:color="auto" w:sz="4" w:space="0"/>
            </w:tcBorders>
            <w:vAlign w:val="center"/>
          </w:tcPr>
          <w:p w14:paraId="44E690D8">
            <w:pPr>
              <w:pStyle w:val="149"/>
            </w:pPr>
          </w:p>
        </w:tc>
        <w:tc>
          <w:tcPr>
            <w:tcW w:w="707" w:type="pct"/>
            <w:vMerge w:val="restart"/>
            <w:tcBorders>
              <w:top w:val="nil"/>
              <w:left w:val="single" w:color="auto" w:sz="4" w:space="0"/>
              <w:bottom w:val="single" w:color="000000" w:sz="4" w:space="0"/>
              <w:right w:val="single" w:color="auto" w:sz="4" w:space="0"/>
            </w:tcBorders>
            <w:shd w:val="clear" w:color="auto" w:fill="auto"/>
            <w:vAlign w:val="center"/>
          </w:tcPr>
          <w:p w14:paraId="4590A172">
            <w:pPr>
              <w:pStyle w:val="149"/>
            </w:pPr>
            <w:r>
              <w:t>下湿壕片区</w:t>
            </w:r>
          </w:p>
        </w:tc>
        <w:tc>
          <w:tcPr>
            <w:tcW w:w="1059" w:type="pct"/>
            <w:tcBorders>
              <w:top w:val="nil"/>
              <w:left w:val="nil"/>
              <w:bottom w:val="single" w:color="auto" w:sz="4" w:space="0"/>
              <w:right w:val="single" w:color="auto" w:sz="4" w:space="0"/>
            </w:tcBorders>
            <w:shd w:val="clear" w:color="auto" w:fill="auto"/>
            <w:vAlign w:val="center"/>
          </w:tcPr>
          <w:p w14:paraId="2BE18058">
            <w:pPr>
              <w:pStyle w:val="149"/>
            </w:pPr>
            <w:r>
              <w:t>工矿用地</w:t>
            </w:r>
          </w:p>
        </w:tc>
        <w:tc>
          <w:tcPr>
            <w:tcW w:w="619" w:type="pct"/>
            <w:tcBorders>
              <w:top w:val="nil"/>
              <w:left w:val="nil"/>
              <w:bottom w:val="single" w:color="auto" w:sz="4" w:space="0"/>
              <w:right w:val="single" w:color="auto" w:sz="4" w:space="0"/>
            </w:tcBorders>
            <w:shd w:val="clear" w:color="auto" w:fill="auto"/>
            <w:noWrap/>
            <w:vAlign w:val="center"/>
          </w:tcPr>
          <w:p w14:paraId="76B71C18">
            <w:pPr>
              <w:pStyle w:val="149"/>
            </w:pPr>
            <w:r>
              <w:t>工业用地</w:t>
            </w:r>
          </w:p>
        </w:tc>
        <w:tc>
          <w:tcPr>
            <w:tcW w:w="333" w:type="pct"/>
            <w:tcBorders>
              <w:top w:val="nil"/>
              <w:left w:val="nil"/>
              <w:bottom w:val="single" w:color="auto" w:sz="4" w:space="0"/>
              <w:right w:val="single" w:color="auto" w:sz="4" w:space="0"/>
            </w:tcBorders>
            <w:shd w:val="clear" w:color="auto" w:fill="auto"/>
            <w:vAlign w:val="center"/>
          </w:tcPr>
          <w:p w14:paraId="5C3FF0AD">
            <w:pPr>
              <w:pStyle w:val="149"/>
            </w:pPr>
            <w:r>
              <w:t xml:space="preserve">28.74 </w:t>
            </w:r>
          </w:p>
        </w:tc>
        <w:tc>
          <w:tcPr>
            <w:tcW w:w="333" w:type="pct"/>
            <w:tcBorders>
              <w:top w:val="nil"/>
              <w:left w:val="nil"/>
              <w:bottom w:val="single" w:color="auto" w:sz="4" w:space="0"/>
              <w:right w:val="single" w:color="auto" w:sz="4" w:space="0"/>
            </w:tcBorders>
            <w:shd w:val="clear" w:color="auto" w:fill="auto"/>
            <w:vAlign w:val="center"/>
          </w:tcPr>
          <w:p w14:paraId="0E8727DF">
            <w:pPr>
              <w:pStyle w:val="149"/>
            </w:pPr>
            <w:r>
              <w:t xml:space="preserve">28.74 </w:t>
            </w:r>
          </w:p>
        </w:tc>
        <w:tc>
          <w:tcPr>
            <w:tcW w:w="267" w:type="pct"/>
            <w:tcBorders>
              <w:top w:val="nil"/>
              <w:left w:val="nil"/>
              <w:bottom w:val="single" w:color="auto" w:sz="4" w:space="0"/>
              <w:right w:val="single" w:color="auto" w:sz="4" w:space="0"/>
            </w:tcBorders>
            <w:shd w:val="clear" w:color="auto" w:fill="auto"/>
            <w:vAlign w:val="center"/>
          </w:tcPr>
          <w:p w14:paraId="29D15AB7">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4D0AEF3F">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4FA9A71E">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13B494DE">
            <w:pPr>
              <w:pStyle w:val="149"/>
            </w:pPr>
            <w:r>
              <w:t>　</w:t>
            </w:r>
          </w:p>
        </w:tc>
      </w:tr>
      <w:tr w14:paraId="38A4CC65">
        <w:tblPrEx>
          <w:tblCellMar>
            <w:top w:w="0" w:type="dxa"/>
            <w:left w:w="108" w:type="dxa"/>
            <w:bottom w:w="0" w:type="dxa"/>
            <w:right w:w="108" w:type="dxa"/>
          </w:tblCellMar>
        </w:tblPrEx>
        <w:trPr>
          <w:trHeight w:val="397" w:hRule="atLeast"/>
          <w:jc w:val="center"/>
        </w:trPr>
        <w:tc>
          <w:tcPr>
            <w:tcW w:w="883" w:type="pct"/>
            <w:vMerge w:val="continue"/>
            <w:tcBorders>
              <w:top w:val="nil"/>
              <w:left w:val="single" w:color="auto" w:sz="4" w:space="0"/>
              <w:bottom w:val="single" w:color="000000" w:sz="4" w:space="0"/>
              <w:right w:val="single" w:color="auto" w:sz="4" w:space="0"/>
            </w:tcBorders>
            <w:vAlign w:val="center"/>
          </w:tcPr>
          <w:p w14:paraId="1ACB405A">
            <w:pPr>
              <w:pStyle w:val="149"/>
            </w:pPr>
          </w:p>
        </w:tc>
        <w:tc>
          <w:tcPr>
            <w:tcW w:w="707" w:type="pct"/>
            <w:vMerge w:val="continue"/>
            <w:tcBorders>
              <w:top w:val="nil"/>
              <w:left w:val="single" w:color="auto" w:sz="4" w:space="0"/>
              <w:bottom w:val="single" w:color="000000" w:sz="4" w:space="0"/>
              <w:right w:val="single" w:color="auto" w:sz="4" w:space="0"/>
            </w:tcBorders>
            <w:vAlign w:val="center"/>
          </w:tcPr>
          <w:p w14:paraId="699E5DA3">
            <w:pPr>
              <w:pStyle w:val="149"/>
            </w:pPr>
          </w:p>
        </w:tc>
        <w:tc>
          <w:tcPr>
            <w:tcW w:w="1059" w:type="pct"/>
            <w:tcBorders>
              <w:top w:val="nil"/>
              <w:left w:val="nil"/>
              <w:bottom w:val="single" w:color="auto" w:sz="4" w:space="0"/>
              <w:right w:val="single" w:color="auto" w:sz="4" w:space="0"/>
            </w:tcBorders>
            <w:shd w:val="clear" w:color="auto" w:fill="auto"/>
            <w:vAlign w:val="center"/>
          </w:tcPr>
          <w:p w14:paraId="4EA89931">
            <w:pPr>
              <w:pStyle w:val="149"/>
            </w:pPr>
            <w:r>
              <w:t>交通运输用地</w:t>
            </w:r>
          </w:p>
        </w:tc>
        <w:tc>
          <w:tcPr>
            <w:tcW w:w="619" w:type="pct"/>
            <w:tcBorders>
              <w:top w:val="nil"/>
              <w:left w:val="nil"/>
              <w:bottom w:val="single" w:color="auto" w:sz="4" w:space="0"/>
              <w:right w:val="single" w:color="auto" w:sz="4" w:space="0"/>
            </w:tcBorders>
            <w:shd w:val="clear" w:color="auto" w:fill="auto"/>
            <w:noWrap/>
            <w:vAlign w:val="center"/>
          </w:tcPr>
          <w:p w14:paraId="5BA1F5EC">
            <w:pPr>
              <w:pStyle w:val="149"/>
            </w:pPr>
            <w:r>
              <w:t>城镇道路用地</w:t>
            </w:r>
          </w:p>
        </w:tc>
        <w:tc>
          <w:tcPr>
            <w:tcW w:w="333" w:type="pct"/>
            <w:tcBorders>
              <w:top w:val="nil"/>
              <w:left w:val="nil"/>
              <w:bottom w:val="single" w:color="auto" w:sz="4" w:space="0"/>
              <w:right w:val="single" w:color="auto" w:sz="4" w:space="0"/>
            </w:tcBorders>
            <w:shd w:val="clear" w:color="auto" w:fill="auto"/>
            <w:vAlign w:val="center"/>
          </w:tcPr>
          <w:p w14:paraId="58073DF1">
            <w:pPr>
              <w:pStyle w:val="149"/>
            </w:pPr>
            <w:r>
              <w:t xml:space="preserve">1.46 </w:t>
            </w:r>
          </w:p>
        </w:tc>
        <w:tc>
          <w:tcPr>
            <w:tcW w:w="333" w:type="pct"/>
            <w:tcBorders>
              <w:top w:val="nil"/>
              <w:left w:val="nil"/>
              <w:bottom w:val="single" w:color="auto" w:sz="4" w:space="0"/>
              <w:right w:val="single" w:color="auto" w:sz="4" w:space="0"/>
            </w:tcBorders>
            <w:shd w:val="clear" w:color="auto" w:fill="auto"/>
            <w:vAlign w:val="center"/>
          </w:tcPr>
          <w:p w14:paraId="3AF74322">
            <w:pPr>
              <w:pStyle w:val="149"/>
            </w:pPr>
            <w:r>
              <w:t xml:space="preserve">1.46 </w:t>
            </w:r>
          </w:p>
        </w:tc>
        <w:tc>
          <w:tcPr>
            <w:tcW w:w="267" w:type="pct"/>
            <w:tcBorders>
              <w:top w:val="nil"/>
              <w:left w:val="nil"/>
              <w:bottom w:val="single" w:color="auto" w:sz="4" w:space="0"/>
              <w:right w:val="single" w:color="auto" w:sz="4" w:space="0"/>
            </w:tcBorders>
            <w:shd w:val="clear" w:color="auto" w:fill="auto"/>
            <w:vAlign w:val="center"/>
          </w:tcPr>
          <w:p w14:paraId="284CAE91">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5E3AB22F">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138FC4A9">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1B6EAE1E">
            <w:pPr>
              <w:pStyle w:val="149"/>
            </w:pPr>
            <w:r>
              <w:t>　</w:t>
            </w:r>
          </w:p>
        </w:tc>
      </w:tr>
      <w:tr w14:paraId="355803C2">
        <w:tblPrEx>
          <w:tblCellMar>
            <w:top w:w="0" w:type="dxa"/>
            <w:left w:w="108" w:type="dxa"/>
            <w:bottom w:w="0" w:type="dxa"/>
            <w:right w:w="108" w:type="dxa"/>
          </w:tblCellMar>
        </w:tblPrEx>
        <w:trPr>
          <w:trHeight w:val="397" w:hRule="atLeast"/>
          <w:jc w:val="center"/>
        </w:trPr>
        <w:tc>
          <w:tcPr>
            <w:tcW w:w="883" w:type="pct"/>
            <w:vMerge w:val="continue"/>
            <w:tcBorders>
              <w:top w:val="nil"/>
              <w:left w:val="single" w:color="auto" w:sz="4" w:space="0"/>
              <w:bottom w:val="single" w:color="000000" w:sz="4" w:space="0"/>
              <w:right w:val="single" w:color="auto" w:sz="4" w:space="0"/>
            </w:tcBorders>
            <w:vAlign w:val="center"/>
          </w:tcPr>
          <w:p w14:paraId="6F61BE03">
            <w:pPr>
              <w:pStyle w:val="149"/>
            </w:pPr>
          </w:p>
        </w:tc>
        <w:tc>
          <w:tcPr>
            <w:tcW w:w="707" w:type="pct"/>
            <w:vMerge w:val="continue"/>
            <w:tcBorders>
              <w:top w:val="nil"/>
              <w:left w:val="single" w:color="auto" w:sz="4" w:space="0"/>
              <w:bottom w:val="single" w:color="000000" w:sz="4" w:space="0"/>
              <w:right w:val="single" w:color="auto" w:sz="4" w:space="0"/>
            </w:tcBorders>
            <w:vAlign w:val="center"/>
          </w:tcPr>
          <w:p w14:paraId="0C1FD319">
            <w:pPr>
              <w:pStyle w:val="149"/>
            </w:pPr>
          </w:p>
        </w:tc>
        <w:tc>
          <w:tcPr>
            <w:tcW w:w="1059" w:type="pct"/>
            <w:tcBorders>
              <w:top w:val="nil"/>
              <w:left w:val="nil"/>
              <w:bottom w:val="single" w:color="auto" w:sz="4" w:space="0"/>
              <w:right w:val="single" w:color="auto" w:sz="4" w:space="0"/>
            </w:tcBorders>
            <w:shd w:val="clear" w:color="auto" w:fill="auto"/>
            <w:vAlign w:val="center"/>
          </w:tcPr>
          <w:p w14:paraId="66A956F5">
            <w:pPr>
              <w:pStyle w:val="149"/>
            </w:pPr>
            <w:r>
              <w:t>绿地与开敞空间用地</w:t>
            </w:r>
          </w:p>
        </w:tc>
        <w:tc>
          <w:tcPr>
            <w:tcW w:w="619" w:type="pct"/>
            <w:tcBorders>
              <w:top w:val="nil"/>
              <w:left w:val="nil"/>
              <w:bottom w:val="single" w:color="auto" w:sz="4" w:space="0"/>
              <w:right w:val="single" w:color="auto" w:sz="4" w:space="0"/>
            </w:tcBorders>
            <w:shd w:val="clear" w:color="auto" w:fill="auto"/>
            <w:noWrap/>
            <w:vAlign w:val="center"/>
          </w:tcPr>
          <w:p w14:paraId="10FE0512">
            <w:pPr>
              <w:pStyle w:val="149"/>
            </w:pPr>
            <w:r>
              <w:t>防护绿地</w:t>
            </w:r>
          </w:p>
        </w:tc>
        <w:tc>
          <w:tcPr>
            <w:tcW w:w="333" w:type="pct"/>
            <w:tcBorders>
              <w:top w:val="nil"/>
              <w:left w:val="nil"/>
              <w:bottom w:val="single" w:color="auto" w:sz="4" w:space="0"/>
              <w:right w:val="single" w:color="auto" w:sz="4" w:space="0"/>
            </w:tcBorders>
            <w:shd w:val="clear" w:color="auto" w:fill="auto"/>
            <w:vAlign w:val="center"/>
          </w:tcPr>
          <w:p w14:paraId="5B59726F">
            <w:pPr>
              <w:pStyle w:val="149"/>
            </w:pPr>
            <w:r>
              <w:t>　</w:t>
            </w:r>
          </w:p>
        </w:tc>
        <w:tc>
          <w:tcPr>
            <w:tcW w:w="333" w:type="pct"/>
            <w:tcBorders>
              <w:top w:val="nil"/>
              <w:left w:val="nil"/>
              <w:bottom w:val="single" w:color="auto" w:sz="4" w:space="0"/>
              <w:right w:val="single" w:color="auto" w:sz="4" w:space="0"/>
            </w:tcBorders>
            <w:shd w:val="clear" w:color="auto" w:fill="auto"/>
            <w:vAlign w:val="center"/>
          </w:tcPr>
          <w:p w14:paraId="2B42FEF3">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5B4C85C0">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262D349D">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63A16F03">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373B734B">
            <w:pPr>
              <w:pStyle w:val="149"/>
            </w:pPr>
            <w:r>
              <w:t>　</w:t>
            </w:r>
          </w:p>
        </w:tc>
      </w:tr>
      <w:tr w14:paraId="61A8A90A">
        <w:tblPrEx>
          <w:tblCellMar>
            <w:top w:w="0" w:type="dxa"/>
            <w:left w:w="108" w:type="dxa"/>
            <w:bottom w:w="0" w:type="dxa"/>
            <w:right w:w="108" w:type="dxa"/>
          </w:tblCellMar>
        </w:tblPrEx>
        <w:trPr>
          <w:trHeight w:val="397" w:hRule="atLeast"/>
          <w:jc w:val="center"/>
        </w:trPr>
        <w:tc>
          <w:tcPr>
            <w:tcW w:w="883" w:type="pct"/>
            <w:vMerge w:val="continue"/>
            <w:tcBorders>
              <w:top w:val="nil"/>
              <w:left w:val="single" w:color="auto" w:sz="4" w:space="0"/>
              <w:bottom w:val="single" w:color="000000" w:sz="4" w:space="0"/>
              <w:right w:val="single" w:color="auto" w:sz="4" w:space="0"/>
            </w:tcBorders>
            <w:vAlign w:val="center"/>
          </w:tcPr>
          <w:p w14:paraId="3C10CB85">
            <w:pPr>
              <w:pStyle w:val="149"/>
            </w:pPr>
          </w:p>
        </w:tc>
        <w:tc>
          <w:tcPr>
            <w:tcW w:w="707" w:type="pct"/>
            <w:vMerge w:val="continue"/>
            <w:tcBorders>
              <w:top w:val="nil"/>
              <w:left w:val="single" w:color="auto" w:sz="4" w:space="0"/>
              <w:bottom w:val="single" w:color="000000" w:sz="4" w:space="0"/>
              <w:right w:val="single" w:color="auto" w:sz="4" w:space="0"/>
            </w:tcBorders>
            <w:vAlign w:val="center"/>
          </w:tcPr>
          <w:p w14:paraId="442F85B3">
            <w:pPr>
              <w:pStyle w:val="149"/>
            </w:pPr>
          </w:p>
        </w:tc>
        <w:tc>
          <w:tcPr>
            <w:tcW w:w="1059" w:type="pct"/>
            <w:tcBorders>
              <w:top w:val="nil"/>
              <w:left w:val="nil"/>
              <w:bottom w:val="single" w:color="auto" w:sz="4" w:space="0"/>
              <w:right w:val="single" w:color="auto" w:sz="4" w:space="0"/>
            </w:tcBorders>
            <w:shd w:val="clear" w:color="auto" w:fill="auto"/>
            <w:noWrap/>
            <w:vAlign w:val="center"/>
          </w:tcPr>
          <w:p w14:paraId="586E7526">
            <w:pPr>
              <w:pStyle w:val="149"/>
            </w:pPr>
            <w:r>
              <w:t>陆地水域</w:t>
            </w:r>
          </w:p>
        </w:tc>
        <w:tc>
          <w:tcPr>
            <w:tcW w:w="619" w:type="pct"/>
            <w:tcBorders>
              <w:top w:val="nil"/>
              <w:left w:val="nil"/>
              <w:bottom w:val="single" w:color="auto" w:sz="4" w:space="0"/>
              <w:right w:val="single" w:color="auto" w:sz="4" w:space="0"/>
            </w:tcBorders>
            <w:shd w:val="clear" w:color="auto" w:fill="auto"/>
            <w:noWrap/>
            <w:vAlign w:val="center"/>
          </w:tcPr>
          <w:p w14:paraId="6F98124B">
            <w:pPr>
              <w:pStyle w:val="149"/>
            </w:pPr>
            <w:r>
              <w:t>陆地水域</w:t>
            </w:r>
          </w:p>
        </w:tc>
        <w:tc>
          <w:tcPr>
            <w:tcW w:w="333" w:type="pct"/>
            <w:tcBorders>
              <w:top w:val="nil"/>
              <w:left w:val="nil"/>
              <w:bottom w:val="single" w:color="auto" w:sz="4" w:space="0"/>
              <w:right w:val="single" w:color="auto" w:sz="4" w:space="0"/>
            </w:tcBorders>
            <w:shd w:val="clear" w:color="auto" w:fill="auto"/>
            <w:vAlign w:val="center"/>
          </w:tcPr>
          <w:p w14:paraId="4E9108EA">
            <w:pPr>
              <w:pStyle w:val="149"/>
            </w:pPr>
            <w:r>
              <w:t>　</w:t>
            </w:r>
          </w:p>
        </w:tc>
        <w:tc>
          <w:tcPr>
            <w:tcW w:w="333" w:type="pct"/>
            <w:tcBorders>
              <w:top w:val="nil"/>
              <w:left w:val="nil"/>
              <w:bottom w:val="single" w:color="auto" w:sz="4" w:space="0"/>
              <w:right w:val="single" w:color="auto" w:sz="4" w:space="0"/>
            </w:tcBorders>
            <w:shd w:val="clear" w:color="auto" w:fill="auto"/>
            <w:vAlign w:val="center"/>
          </w:tcPr>
          <w:p w14:paraId="28EE3CF5">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19B058F8">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7A7BA79A">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73505E3B">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36D8719B">
            <w:pPr>
              <w:pStyle w:val="149"/>
            </w:pPr>
            <w:r>
              <w:t>　</w:t>
            </w:r>
          </w:p>
        </w:tc>
      </w:tr>
      <w:tr w14:paraId="09A8A88B">
        <w:tblPrEx>
          <w:tblCellMar>
            <w:top w:w="0" w:type="dxa"/>
            <w:left w:w="108" w:type="dxa"/>
            <w:bottom w:w="0" w:type="dxa"/>
            <w:right w:w="108" w:type="dxa"/>
          </w:tblCellMar>
        </w:tblPrEx>
        <w:trPr>
          <w:trHeight w:val="397" w:hRule="atLeast"/>
          <w:jc w:val="center"/>
        </w:trPr>
        <w:tc>
          <w:tcPr>
            <w:tcW w:w="883" w:type="pct"/>
            <w:vMerge w:val="continue"/>
            <w:tcBorders>
              <w:top w:val="nil"/>
              <w:left w:val="single" w:color="auto" w:sz="4" w:space="0"/>
              <w:bottom w:val="single" w:color="000000" w:sz="4" w:space="0"/>
              <w:right w:val="single" w:color="auto" w:sz="4" w:space="0"/>
            </w:tcBorders>
            <w:vAlign w:val="center"/>
          </w:tcPr>
          <w:p w14:paraId="40196A08">
            <w:pPr>
              <w:pStyle w:val="149"/>
            </w:pPr>
          </w:p>
        </w:tc>
        <w:tc>
          <w:tcPr>
            <w:tcW w:w="707" w:type="pct"/>
            <w:tcBorders>
              <w:top w:val="nil"/>
              <w:left w:val="nil"/>
              <w:bottom w:val="single" w:color="auto" w:sz="4" w:space="0"/>
              <w:right w:val="single" w:color="auto" w:sz="4" w:space="0"/>
            </w:tcBorders>
            <w:shd w:val="clear" w:color="auto" w:fill="auto"/>
            <w:vAlign w:val="center"/>
          </w:tcPr>
          <w:p w14:paraId="3086B8A9">
            <w:pPr>
              <w:pStyle w:val="149"/>
            </w:pPr>
            <w:r>
              <w:t>小计</w:t>
            </w:r>
          </w:p>
        </w:tc>
        <w:tc>
          <w:tcPr>
            <w:tcW w:w="1059" w:type="pct"/>
            <w:tcBorders>
              <w:top w:val="nil"/>
              <w:left w:val="nil"/>
              <w:bottom w:val="single" w:color="auto" w:sz="4" w:space="0"/>
              <w:right w:val="single" w:color="auto" w:sz="4" w:space="0"/>
            </w:tcBorders>
            <w:shd w:val="clear" w:color="auto" w:fill="auto"/>
            <w:noWrap/>
            <w:vAlign w:val="center"/>
          </w:tcPr>
          <w:p w14:paraId="214FD34C">
            <w:pPr>
              <w:pStyle w:val="149"/>
            </w:pPr>
            <w:r>
              <w:t>　</w:t>
            </w:r>
          </w:p>
        </w:tc>
        <w:tc>
          <w:tcPr>
            <w:tcW w:w="619" w:type="pct"/>
            <w:tcBorders>
              <w:top w:val="nil"/>
              <w:left w:val="nil"/>
              <w:bottom w:val="single" w:color="auto" w:sz="4" w:space="0"/>
              <w:right w:val="single" w:color="auto" w:sz="4" w:space="0"/>
            </w:tcBorders>
            <w:shd w:val="clear" w:color="auto" w:fill="auto"/>
            <w:noWrap/>
            <w:vAlign w:val="center"/>
          </w:tcPr>
          <w:p w14:paraId="7AA5DACF">
            <w:pPr>
              <w:pStyle w:val="149"/>
            </w:pPr>
            <w:r>
              <w:t>　</w:t>
            </w:r>
          </w:p>
        </w:tc>
        <w:tc>
          <w:tcPr>
            <w:tcW w:w="333" w:type="pct"/>
            <w:tcBorders>
              <w:top w:val="nil"/>
              <w:left w:val="nil"/>
              <w:bottom w:val="single" w:color="auto" w:sz="4" w:space="0"/>
              <w:right w:val="single" w:color="auto" w:sz="4" w:space="0"/>
            </w:tcBorders>
            <w:shd w:val="clear" w:color="auto" w:fill="auto"/>
            <w:vAlign w:val="center"/>
          </w:tcPr>
          <w:p w14:paraId="700FD57C">
            <w:pPr>
              <w:pStyle w:val="149"/>
            </w:pPr>
            <w:r>
              <w:t xml:space="preserve">30.20 </w:t>
            </w:r>
          </w:p>
        </w:tc>
        <w:tc>
          <w:tcPr>
            <w:tcW w:w="333" w:type="pct"/>
            <w:tcBorders>
              <w:top w:val="nil"/>
              <w:left w:val="nil"/>
              <w:bottom w:val="single" w:color="auto" w:sz="4" w:space="0"/>
              <w:right w:val="single" w:color="auto" w:sz="4" w:space="0"/>
            </w:tcBorders>
            <w:shd w:val="clear" w:color="auto" w:fill="auto"/>
            <w:vAlign w:val="center"/>
          </w:tcPr>
          <w:p w14:paraId="14D643DC">
            <w:pPr>
              <w:pStyle w:val="149"/>
            </w:pPr>
            <w:r>
              <w:t xml:space="preserve">30.20 </w:t>
            </w:r>
          </w:p>
        </w:tc>
        <w:tc>
          <w:tcPr>
            <w:tcW w:w="267" w:type="pct"/>
            <w:tcBorders>
              <w:top w:val="nil"/>
              <w:left w:val="nil"/>
              <w:bottom w:val="single" w:color="auto" w:sz="4" w:space="0"/>
              <w:right w:val="single" w:color="auto" w:sz="4" w:space="0"/>
            </w:tcBorders>
            <w:shd w:val="clear" w:color="auto" w:fill="auto"/>
            <w:vAlign w:val="center"/>
          </w:tcPr>
          <w:p w14:paraId="32EC551A">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7279E51B">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35B5A8D3">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017F0BD7">
            <w:pPr>
              <w:pStyle w:val="149"/>
            </w:pPr>
            <w:r>
              <w:t>　</w:t>
            </w:r>
          </w:p>
        </w:tc>
      </w:tr>
      <w:tr w14:paraId="45A3394B">
        <w:tblPrEx>
          <w:tblCellMar>
            <w:top w:w="0" w:type="dxa"/>
            <w:left w:w="108" w:type="dxa"/>
            <w:bottom w:w="0" w:type="dxa"/>
            <w:right w:w="108" w:type="dxa"/>
          </w:tblCellMar>
        </w:tblPrEx>
        <w:trPr>
          <w:trHeight w:val="397" w:hRule="atLeast"/>
          <w:jc w:val="center"/>
        </w:trPr>
        <w:tc>
          <w:tcPr>
            <w:tcW w:w="883" w:type="pct"/>
            <w:vMerge w:val="continue"/>
            <w:tcBorders>
              <w:top w:val="nil"/>
              <w:left w:val="single" w:color="auto" w:sz="4" w:space="0"/>
              <w:bottom w:val="single" w:color="000000" w:sz="4" w:space="0"/>
              <w:right w:val="single" w:color="auto" w:sz="4" w:space="0"/>
            </w:tcBorders>
            <w:vAlign w:val="center"/>
          </w:tcPr>
          <w:p w14:paraId="0BFC9EBF">
            <w:pPr>
              <w:pStyle w:val="149"/>
            </w:pPr>
          </w:p>
        </w:tc>
        <w:tc>
          <w:tcPr>
            <w:tcW w:w="707" w:type="pct"/>
            <w:tcBorders>
              <w:top w:val="nil"/>
              <w:left w:val="nil"/>
              <w:bottom w:val="single" w:color="auto" w:sz="4" w:space="0"/>
              <w:right w:val="single" w:color="auto" w:sz="4" w:space="0"/>
            </w:tcBorders>
            <w:shd w:val="clear" w:color="auto" w:fill="auto"/>
            <w:vAlign w:val="center"/>
          </w:tcPr>
          <w:p w14:paraId="1148A636">
            <w:pPr>
              <w:pStyle w:val="149"/>
            </w:pPr>
            <w:r>
              <w:t>合计</w:t>
            </w:r>
          </w:p>
        </w:tc>
        <w:tc>
          <w:tcPr>
            <w:tcW w:w="1059" w:type="pct"/>
            <w:tcBorders>
              <w:top w:val="nil"/>
              <w:left w:val="nil"/>
              <w:bottom w:val="single" w:color="auto" w:sz="4" w:space="0"/>
              <w:right w:val="single" w:color="auto" w:sz="4" w:space="0"/>
            </w:tcBorders>
            <w:shd w:val="clear" w:color="auto" w:fill="auto"/>
            <w:noWrap/>
            <w:vAlign w:val="center"/>
          </w:tcPr>
          <w:p w14:paraId="60DFE6DF">
            <w:pPr>
              <w:pStyle w:val="149"/>
            </w:pPr>
            <w:r>
              <w:t>　</w:t>
            </w:r>
          </w:p>
        </w:tc>
        <w:tc>
          <w:tcPr>
            <w:tcW w:w="619" w:type="pct"/>
            <w:tcBorders>
              <w:top w:val="nil"/>
              <w:left w:val="nil"/>
              <w:bottom w:val="single" w:color="auto" w:sz="4" w:space="0"/>
              <w:right w:val="single" w:color="auto" w:sz="4" w:space="0"/>
            </w:tcBorders>
            <w:shd w:val="clear" w:color="auto" w:fill="auto"/>
            <w:noWrap/>
            <w:vAlign w:val="center"/>
          </w:tcPr>
          <w:p w14:paraId="28D79F5B">
            <w:pPr>
              <w:pStyle w:val="149"/>
            </w:pPr>
            <w:r>
              <w:t>　</w:t>
            </w:r>
          </w:p>
        </w:tc>
        <w:tc>
          <w:tcPr>
            <w:tcW w:w="333" w:type="pct"/>
            <w:tcBorders>
              <w:top w:val="nil"/>
              <w:left w:val="nil"/>
              <w:bottom w:val="single" w:color="auto" w:sz="4" w:space="0"/>
              <w:right w:val="single" w:color="auto" w:sz="4" w:space="0"/>
            </w:tcBorders>
            <w:shd w:val="clear" w:color="auto" w:fill="auto"/>
            <w:vAlign w:val="center"/>
          </w:tcPr>
          <w:p w14:paraId="6D4D3409">
            <w:pPr>
              <w:pStyle w:val="149"/>
            </w:pPr>
            <w:r>
              <w:t xml:space="preserve">492.72 </w:t>
            </w:r>
          </w:p>
        </w:tc>
        <w:tc>
          <w:tcPr>
            <w:tcW w:w="333" w:type="pct"/>
            <w:tcBorders>
              <w:top w:val="nil"/>
              <w:left w:val="nil"/>
              <w:bottom w:val="single" w:color="auto" w:sz="4" w:space="0"/>
              <w:right w:val="single" w:color="auto" w:sz="4" w:space="0"/>
            </w:tcBorders>
            <w:shd w:val="clear" w:color="auto" w:fill="auto"/>
            <w:vAlign w:val="center"/>
          </w:tcPr>
          <w:p w14:paraId="7E2E5F88">
            <w:pPr>
              <w:pStyle w:val="149"/>
            </w:pPr>
            <w:r>
              <w:t xml:space="preserve">492.72 </w:t>
            </w:r>
          </w:p>
        </w:tc>
        <w:tc>
          <w:tcPr>
            <w:tcW w:w="267" w:type="pct"/>
            <w:tcBorders>
              <w:top w:val="nil"/>
              <w:left w:val="nil"/>
              <w:bottom w:val="single" w:color="auto" w:sz="4" w:space="0"/>
              <w:right w:val="single" w:color="auto" w:sz="4" w:space="0"/>
            </w:tcBorders>
            <w:shd w:val="clear" w:color="auto" w:fill="auto"/>
            <w:vAlign w:val="center"/>
          </w:tcPr>
          <w:p w14:paraId="1DC26783">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08F85E4C">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298C083D">
            <w:pPr>
              <w:pStyle w:val="149"/>
            </w:pPr>
            <w:r>
              <w:t>　</w:t>
            </w:r>
          </w:p>
        </w:tc>
        <w:tc>
          <w:tcPr>
            <w:tcW w:w="267" w:type="pct"/>
            <w:tcBorders>
              <w:top w:val="nil"/>
              <w:left w:val="nil"/>
              <w:bottom w:val="single" w:color="auto" w:sz="4" w:space="0"/>
              <w:right w:val="single" w:color="auto" w:sz="4" w:space="0"/>
            </w:tcBorders>
            <w:shd w:val="clear" w:color="auto" w:fill="auto"/>
            <w:vAlign w:val="center"/>
          </w:tcPr>
          <w:p w14:paraId="70DFE81C">
            <w:pPr>
              <w:pStyle w:val="149"/>
            </w:pPr>
            <w:r>
              <w:t>　</w:t>
            </w:r>
          </w:p>
        </w:tc>
      </w:tr>
    </w:tbl>
    <w:p w14:paraId="4A5E0AD6">
      <w:pPr>
        <w:spacing w:line="240" w:lineRule="auto"/>
        <w:ind w:firstLine="0" w:firstLineChars="0"/>
        <w:jc w:val="left"/>
        <w:rPr>
          <w:rFonts w:eastAsia="宋体" w:cs="仿宋"/>
          <w:b/>
          <w:color w:val="000000" w:themeColor="text1"/>
          <w:spacing w:val="4"/>
          <w:szCs w:val="18"/>
          <w14:textFill>
            <w14:solidFill>
              <w14:schemeClr w14:val="tx1"/>
            </w14:solidFill>
          </w14:textFill>
        </w:rPr>
      </w:pPr>
    </w:p>
    <w:p w14:paraId="557EC8D1">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表1-16                                                                      园区道路土方汇总表                                                         </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581"/>
        <w:gridCol w:w="987"/>
        <w:gridCol w:w="1032"/>
        <w:gridCol w:w="1032"/>
        <w:gridCol w:w="1032"/>
        <w:gridCol w:w="1032"/>
        <w:gridCol w:w="1189"/>
        <w:gridCol w:w="1189"/>
        <w:gridCol w:w="1189"/>
        <w:gridCol w:w="1189"/>
        <w:gridCol w:w="1068"/>
        <w:gridCol w:w="1068"/>
      </w:tblGrid>
      <w:tr w14:paraId="17E7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pct"/>
            <w:tcBorders>
              <w:bottom w:val="double" w:color="auto" w:sz="4" w:space="0"/>
            </w:tcBorders>
            <w:shd w:val="clear" w:color="auto" w:fill="auto"/>
            <w:noWrap/>
            <w:vAlign w:val="center"/>
          </w:tcPr>
          <w:p w14:paraId="09B4F7D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道路名称</w:t>
            </w:r>
          </w:p>
        </w:tc>
        <w:tc>
          <w:tcPr>
            <w:tcW w:w="192" w:type="pct"/>
            <w:tcBorders>
              <w:bottom w:val="double" w:color="auto" w:sz="4" w:space="0"/>
            </w:tcBorders>
            <w:shd w:val="clear" w:color="auto" w:fill="auto"/>
            <w:noWrap/>
            <w:vAlign w:val="center"/>
          </w:tcPr>
          <w:p w14:paraId="533854F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长度m</w:t>
            </w:r>
          </w:p>
        </w:tc>
        <w:tc>
          <w:tcPr>
            <w:tcW w:w="344" w:type="pct"/>
            <w:tcBorders>
              <w:bottom w:val="double" w:color="auto" w:sz="4" w:space="0"/>
            </w:tcBorders>
            <w:shd w:val="clear" w:color="auto" w:fill="auto"/>
            <w:noWrap/>
            <w:vAlign w:val="center"/>
          </w:tcPr>
          <w:p w14:paraId="72FA613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红线（路宽）</w:t>
            </w:r>
          </w:p>
        </w:tc>
        <w:tc>
          <w:tcPr>
            <w:tcW w:w="362" w:type="pct"/>
            <w:tcBorders>
              <w:bottom w:val="double" w:color="auto" w:sz="4" w:space="0"/>
            </w:tcBorders>
            <w:shd w:val="clear" w:color="auto" w:fill="auto"/>
            <w:noWrap/>
            <w:vAlign w:val="center"/>
          </w:tcPr>
          <w:p w14:paraId="184E94E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已建长度（m）</w:t>
            </w:r>
          </w:p>
        </w:tc>
        <w:tc>
          <w:tcPr>
            <w:tcW w:w="362" w:type="pct"/>
            <w:tcBorders>
              <w:bottom w:val="double" w:color="auto" w:sz="4" w:space="0"/>
            </w:tcBorders>
            <w:shd w:val="clear" w:color="auto" w:fill="auto"/>
            <w:noWrap/>
            <w:vAlign w:val="center"/>
          </w:tcPr>
          <w:p w14:paraId="684636A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待建长度（m）</w:t>
            </w:r>
          </w:p>
        </w:tc>
        <w:tc>
          <w:tcPr>
            <w:tcW w:w="362" w:type="pct"/>
            <w:tcBorders>
              <w:bottom w:val="double" w:color="auto" w:sz="4" w:space="0"/>
            </w:tcBorders>
            <w:shd w:val="clear" w:color="auto" w:fill="auto"/>
            <w:noWrap/>
            <w:vAlign w:val="center"/>
          </w:tcPr>
          <w:p w14:paraId="7AEE773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原始高程（m）</w:t>
            </w:r>
          </w:p>
        </w:tc>
        <w:tc>
          <w:tcPr>
            <w:tcW w:w="362" w:type="pct"/>
            <w:tcBorders>
              <w:bottom w:val="double" w:color="auto" w:sz="4" w:space="0"/>
            </w:tcBorders>
            <w:shd w:val="clear" w:color="auto" w:fill="auto"/>
            <w:noWrap/>
            <w:vAlign w:val="center"/>
          </w:tcPr>
          <w:p w14:paraId="73C61E5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设计高程（m）</w:t>
            </w:r>
          </w:p>
        </w:tc>
        <w:tc>
          <w:tcPr>
            <w:tcW w:w="420" w:type="pct"/>
            <w:tcBorders>
              <w:bottom w:val="double" w:color="auto" w:sz="4" w:space="0"/>
            </w:tcBorders>
            <w:shd w:val="clear" w:color="auto" w:fill="auto"/>
            <w:noWrap/>
            <w:vAlign w:val="center"/>
          </w:tcPr>
          <w:p w14:paraId="2FBC5CB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已建填方量（m³）</w:t>
            </w:r>
          </w:p>
        </w:tc>
        <w:tc>
          <w:tcPr>
            <w:tcW w:w="420" w:type="pct"/>
            <w:tcBorders>
              <w:bottom w:val="double" w:color="auto" w:sz="4" w:space="0"/>
            </w:tcBorders>
            <w:shd w:val="clear" w:color="auto" w:fill="auto"/>
            <w:noWrap/>
            <w:vAlign w:val="center"/>
          </w:tcPr>
          <w:p w14:paraId="1E6AD1D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已建挖方量（m³）</w:t>
            </w:r>
          </w:p>
        </w:tc>
        <w:tc>
          <w:tcPr>
            <w:tcW w:w="420" w:type="pct"/>
            <w:tcBorders>
              <w:bottom w:val="double" w:color="auto" w:sz="4" w:space="0"/>
            </w:tcBorders>
            <w:shd w:val="clear" w:color="auto" w:fill="auto"/>
            <w:noWrap/>
            <w:vAlign w:val="center"/>
          </w:tcPr>
          <w:p w14:paraId="2EE69D0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未建填方量（m³）</w:t>
            </w:r>
          </w:p>
        </w:tc>
        <w:tc>
          <w:tcPr>
            <w:tcW w:w="420" w:type="pct"/>
            <w:tcBorders>
              <w:bottom w:val="double" w:color="auto" w:sz="4" w:space="0"/>
            </w:tcBorders>
            <w:shd w:val="clear" w:color="auto" w:fill="auto"/>
            <w:noWrap/>
            <w:vAlign w:val="center"/>
          </w:tcPr>
          <w:p w14:paraId="2D97ABA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未建挖方量（m³）</w:t>
            </w:r>
          </w:p>
        </w:tc>
        <w:tc>
          <w:tcPr>
            <w:tcW w:w="375" w:type="pct"/>
            <w:tcBorders>
              <w:bottom w:val="double" w:color="auto" w:sz="4" w:space="0"/>
            </w:tcBorders>
            <w:shd w:val="clear" w:color="auto" w:fill="auto"/>
            <w:noWrap/>
            <w:vAlign w:val="center"/>
          </w:tcPr>
          <w:p w14:paraId="61FDEA7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总填方量（m³）</w:t>
            </w:r>
          </w:p>
        </w:tc>
        <w:tc>
          <w:tcPr>
            <w:tcW w:w="375" w:type="pct"/>
            <w:tcBorders>
              <w:bottom w:val="double" w:color="auto" w:sz="4" w:space="0"/>
            </w:tcBorders>
            <w:shd w:val="clear" w:color="auto" w:fill="auto"/>
            <w:noWrap/>
            <w:vAlign w:val="center"/>
          </w:tcPr>
          <w:p w14:paraId="5A0936F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总挖方量（m³）</w:t>
            </w:r>
          </w:p>
        </w:tc>
      </w:tr>
      <w:tr w14:paraId="0F636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pct"/>
            <w:tcBorders>
              <w:top w:val="double" w:color="auto" w:sz="4" w:space="0"/>
            </w:tcBorders>
            <w:shd w:val="clear" w:color="auto" w:fill="auto"/>
            <w:vAlign w:val="center"/>
          </w:tcPr>
          <w:p w14:paraId="4830522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纬一路（辅道）</w:t>
            </w:r>
          </w:p>
        </w:tc>
        <w:tc>
          <w:tcPr>
            <w:tcW w:w="192" w:type="pct"/>
            <w:tcBorders>
              <w:top w:val="double" w:color="auto" w:sz="4" w:space="0"/>
            </w:tcBorders>
            <w:shd w:val="clear" w:color="auto" w:fill="auto"/>
            <w:noWrap/>
            <w:vAlign w:val="center"/>
          </w:tcPr>
          <w:p w14:paraId="1D629A0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4499</w:t>
            </w:r>
          </w:p>
        </w:tc>
        <w:tc>
          <w:tcPr>
            <w:tcW w:w="344" w:type="pct"/>
            <w:tcBorders>
              <w:top w:val="double" w:color="auto" w:sz="4" w:space="0"/>
            </w:tcBorders>
            <w:shd w:val="clear" w:color="auto" w:fill="auto"/>
            <w:noWrap/>
            <w:vAlign w:val="center"/>
          </w:tcPr>
          <w:p w14:paraId="51F72B6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50米（21米）</w:t>
            </w:r>
          </w:p>
        </w:tc>
        <w:tc>
          <w:tcPr>
            <w:tcW w:w="362" w:type="pct"/>
            <w:tcBorders>
              <w:top w:val="double" w:color="auto" w:sz="4" w:space="0"/>
            </w:tcBorders>
            <w:shd w:val="clear" w:color="auto" w:fill="auto"/>
            <w:noWrap/>
            <w:vAlign w:val="center"/>
          </w:tcPr>
          <w:p w14:paraId="532B874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4499 </w:t>
            </w:r>
          </w:p>
        </w:tc>
        <w:tc>
          <w:tcPr>
            <w:tcW w:w="362" w:type="pct"/>
            <w:tcBorders>
              <w:top w:val="double" w:color="auto" w:sz="4" w:space="0"/>
            </w:tcBorders>
            <w:shd w:val="clear" w:color="auto" w:fill="auto"/>
            <w:noWrap/>
            <w:vAlign w:val="center"/>
          </w:tcPr>
          <w:p w14:paraId="01B4915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62" w:type="pct"/>
            <w:tcBorders>
              <w:top w:val="double" w:color="auto" w:sz="4" w:space="0"/>
            </w:tcBorders>
            <w:shd w:val="clear" w:color="auto" w:fill="auto"/>
            <w:noWrap/>
            <w:vAlign w:val="center"/>
          </w:tcPr>
          <w:p w14:paraId="32E3277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1363-1395</w:t>
            </w:r>
          </w:p>
        </w:tc>
        <w:tc>
          <w:tcPr>
            <w:tcW w:w="362" w:type="pct"/>
            <w:tcBorders>
              <w:top w:val="double" w:color="auto" w:sz="4" w:space="0"/>
            </w:tcBorders>
            <w:shd w:val="clear" w:color="auto" w:fill="auto"/>
            <w:noWrap/>
            <w:vAlign w:val="center"/>
          </w:tcPr>
          <w:p w14:paraId="3230408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1353-1395</w:t>
            </w:r>
          </w:p>
        </w:tc>
        <w:tc>
          <w:tcPr>
            <w:tcW w:w="420" w:type="pct"/>
            <w:tcBorders>
              <w:top w:val="double" w:color="auto" w:sz="4" w:space="0"/>
            </w:tcBorders>
            <w:shd w:val="clear" w:color="auto" w:fill="auto"/>
            <w:noWrap/>
            <w:vAlign w:val="center"/>
          </w:tcPr>
          <w:p w14:paraId="1347A59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173198 </w:t>
            </w:r>
          </w:p>
        </w:tc>
        <w:tc>
          <w:tcPr>
            <w:tcW w:w="420" w:type="pct"/>
            <w:tcBorders>
              <w:top w:val="double" w:color="auto" w:sz="4" w:space="0"/>
            </w:tcBorders>
            <w:shd w:val="clear" w:color="auto" w:fill="auto"/>
            <w:noWrap/>
            <w:vAlign w:val="center"/>
          </w:tcPr>
          <w:p w14:paraId="454C236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173198 </w:t>
            </w:r>
          </w:p>
        </w:tc>
        <w:tc>
          <w:tcPr>
            <w:tcW w:w="420" w:type="pct"/>
            <w:tcBorders>
              <w:top w:val="double" w:color="auto" w:sz="4" w:space="0"/>
            </w:tcBorders>
            <w:shd w:val="clear" w:color="auto" w:fill="auto"/>
            <w:noWrap/>
            <w:vAlign w:val="center"/>
          </w:tcPr>
          <w:p w14:paraId="541282A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20" w:type="pct"/>
            <w:tcBorders>
              <w:top w:val="double" w:color="auto" w:sz="4" w:space="0"/>
            </w:tcBorders>
            <w:shd w:val="clear" w:color="auto" w:fill="auto"/>
            <w:noWrap/>
            <w:vAlign w:val="center"/>
          </w:tcPr>
          <w:p w14:paraId="21C0B73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75" w:type="pct"/>
            <w:tcBorders>
              <w:top w:val="double" w:color="auto" w:sz="4" w:space="0"/>
            </w:tcBorders>
            <w:shd w:val="clear" w:color="auto" w:fill="auto"/>
            <w:noWrap/>
            <w:vAlign w:val="center"/>
          </w:tcPr>
          <w:p w14:paraId="211C8DA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173198 </w:t>
            </w:r>
          </w:p>
        </w:tc>
        <w:tc>
          <w:tcPr>
            <w:tcW w:w="375" w:type="pct"/>
            <w:tcBorders>
              <w:top w:val="double" w:color="auto" w:sz="4" w:space="0"/>
            </w:tcBorders>
            <w:shd w:val="clear" w:color="auto" w:fill="auto"/>
            <w:noWrap/>
            <w:vAlign w:val="center"/>
          </w:tcPr>
          <w:p w14:paraId="1C518D9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173198 </w:t>
            </w:r>
          </w:p>
        </w:tc>
      </w:tr>
      <w:tr w14:paraId="52FB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pct"/>
            <w:shd w:val="clear" w:color="auto" w:fill="auto"/>
            <w:vAlign w:val="center"/>
          </w:tcPr>
          <w:p w14:paraId="45925E2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纬二路扩建段</w:t>
            </w:r>
          </w:p>
        </w:tc>
        <w:tc>
          <w:tcPr>
            <w:tcW w:w="192" w:type="pct"/>
            <w:shd w:val="clear" w:color="auto" w:fill="auto"/>
            <w:noWrap/>
            <w:vAlign w:val="center"/>
          </w:tcPr>
          <w:p w14:paraId="012E0CD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989</w:t>
            </w:r>
          </w:p>
        </w:tc>
        <w:tc>
          <w:tcPr>
            <w:tcW w:w="344" w:type="pct"/>
            <w:shd w:val="clear" w:color="auto" w:fill="auto"/>
            <w:vAlign w:val="center"/>
          </w:tcPr>
          <w:p w14:paraId="65325DD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50米（21米）</w:t>
            </w:r>
          </w:p>
        </w:tc>
        <w:tc>
          <w:tcPr>
            <w:tcW w:w="362" w:type="pct"/>
            <w:shd w:val="clear" w:color="auto" w:fill="auto"/>
            <w:noWrap/>
            <w:vAlign w:val="center"/>
          </w:tcPr>
          <w:p w14:paraId="661398A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989 </w:t>
            </w:r>
          </w:p>
        </w:tc>
        <w:tc>
          <w:tcPr>
            <w:tcW w:w="362" w:type="pct"/>
            <w:shd w:val="clear" w:color="auto" w:fill="auto"/>
            <w:noWrap/>
            <w:vAlign w:val="center"/>
          </w:tcPr>
          <w:p w14:paraId="02C8C60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62" w:type="pct"/>
            <w:shd w:val="clear" w:color="auto" w:fill="auto"/>
            <w:noWrap/>
            <w:vAlign w:val="center"/>
          </w:tcPr>
          <w:p w14:paraId="771A1A5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1341-1357</w:t>
            </w:r>
          </w:p>
        </w:tc>
        <w:tc>
          <w:tcPr>
            <w:tcW w:w="362" w:type="pct"/>
            <w:shd w:val="clear" w:color="auto" w:fill="auto"/>
            <w:noWrap/>
            <w:vAlign w:val="center"/>
          </w:tcPr>
          <w:p w14:paraId="2624090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1342-1355</w:t>
            </w:r>
          </w:p>
        </w:tc>
        <w:tc>
          <w:tcPr>
            <w:tcW w:w="420" w:type="pct"/>
            <w:shd w:val="clear" w:color="auto" w:fill="auto"/>
            <w:noWrap/>
            <w:vAlign w:val="center"/>
          </w:tcPr>
          <w:p w14:paraId="1C3D847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21607 </w:t>
            </w:r>
          </w:p>
        </w:tc>
        <w:tc>
          <w:tcPr>
            <w:tcW w:w="420" w:type="pct"/>
            <w:shd w:val="clear" w:color="auto" w:fill="auto"/>
            <w:noWrap/>
            <w:vAlign w:val="center"/>
          </w:tcPr>
          <w:p w14:paraId="1A2ECF0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21607 </w:t>
            </w:r>
          </w:p>
        </w:tc>
        <w:tc>
          <w:tcPr>
            <w:tcW w:w="420" w:type="pct"/>
            <w:shd w:val="clear" w:color="auto" w:fill="auto"/>
            <w:noWrap/>
            <w:vAlign w:val="center"/>
          </w:tcPr>
          <w:p w14:paraId="554404B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20" w:type="pct"/>
            <w:shd w:val="clear" w:color="auto" w:fill="auto"/>
            <w:noWrap/>
            <w:vAlign w:val="center"/>
          </w:tcPr>
          <w:p w14:paraId="6D965A0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75" w:type="pct"/>
            <w:shd w:val="clear" w:color="auto" w:fill="auto"/>
            <w:noWrap/>
            <w:vAlign w:val="center"/>
          </w:tcPr>
          <w:p w14:paraId="6C55CE3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21607 </w:t>
            </w:r>
          </w:p>
        </w:tc>
        <w:tc>
          <w:tcPr>
            <w:tcW w:w="375" w:type="pct"/>
            <w:shd w:val="clear" w:color="auto" w:fill="auto"/>
            <w:noWrap/>
            <w:vAlign w:val="center"/>
          </w:tcPr>
          <w:p w14:paraId="217F71E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21607 </w:t>
            </w:r>
          </w:p>
        </w:tc>
      </w:tr>
      <w:tr w14:paraId="6408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pct"/>
            <w:shd w:val="clear" w:color="auto" w:fill="auto"/>
            <w:vAlign w:val="center"/>
          </w:tcPr>
          <w:p w14:paraId="60AFBC9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纬二西路</w:t>
            </w:r>
          </w:p>
        </w:tc>
        <w:tc>
          <w:tcPr>
            <w:tcW w:w="192" w:type="pct"/>
            <w:shd w:val="clear" w:color="auto" w:fill="auto"/>
            <w:noWrap/>
            <w:vAlign w:val="center"/>
          </w:tcPr>
          <w:p w14:paraId="685C28C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2759</w:t>
            </w:r>
          </w:p>
        </w:tc>
        <w:tc>
          <w:tcPr>
            <w:tcW w:w="344" w:type="pct"/>
            <w:shd w:val="clear" w:color="auto" w:fill="auto"/>
            <w:vAlign w:val="center"/>
          </w:tcPr>
          <w:p w14:paraId="7B978E6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40米（16米）</w:t>
            </w:r>
          </w:p>
        </w:tc>
        <w:tc>
          <w:tcPr>
            <w:tcW w:w="362" w:type="pct"/>
            <w:shd w:val="clear" w:color="auto" w:fill="auto"/>
            <w:noWrap/>
            <w:vAlign w:val="center"/>
          </w:tcPr>
          <w:p w14:paraId="51DFE8B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2759 </w:t>
            </w:r>
          </w:p>
        </w:tc>
        <w:tc>
          <w:tcPr>
            <w:tcW w:w="362" w:type="pct"/>
            <w:shd w:val="clear" w:color="auto" w:fill="auto"/>
            <w:noWrap/>
            <w:vAlign w:val="center"/>
          </w:tcPr>
          <w:p w14:paraId="33F5BFB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62" w:type="pct"/>
            <w:shd w:val="clear" w:color="auto" w:fill="auto"/>
            <w:noWrap/>
            <w:vAlign w:val="center"/>
          </w:tcPr>
          <w:p w14:paraId="028FCE8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1357-1369</w:t>
            </w:r>
          </w:p>
        </w:tc>
        <w:tc>
          <w:tcPr>
            <w:tcW w:w="362" w:type="pct"/>
            <w:shd w:val="clear" w:color="auto" w:fill="auto"/>
            <w:noWrap/>
            <w:vAlign w:val="center"/>
          </w:tcPr>
          <w:p w14:paraId="5A8F323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1355-1369</w:t>
            </w:r>
          </w:p>
        </w:tc>
        <w:tc>
          <w:tcPr>
            <w:tcW w:w="420" w:type="pct"/>
            <w:shd w:val="clear" w:color="auto" w:fill="auto"/>
            <w:noWrap/>
            <w:vAlign w:val="center"/>
          </w:tcPr>
          <w:p w14:paraId="227E744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84970 </w:t>
            </w:r>
          </w:p>
        </w:tc>
        <w:tc>
          <w:tcPr>
            <w:tcW w:w="420" w:type="pct"/>
            <w:shd w:val="clear" w:color="auto" w:fill="auto"/>
            <w:noWrap/>
            <w:vAlign w:val="center"/>
          </w:tcPr>
          <w:p w14:paraId="2714989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84970 </w:t>
            </w:r>
          </w:p>
        </w:tc>
        <w:tc>
          <w:tcPr>
            <w:tcW w:w="420" w:type="pct"/>
            <w:shd w:val="clear" w:color="auto" w:fill="auto"/>
            <w:noWrap/>
            <w:vAlign w:val="center"/>
          </w:tcPr>
          <w:p w14:paraId="6B2D179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20" w:type="pct"/>
            <w:shd w:val="clear" w:color="auto" w:fill="auto"/>
            <w:noWrap/>
            <w:vAlign w:val="center"/>
          </w:tcPr>
          <w:p w14:paraId="69456B8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75" w:type="pct"/>
            <w:shd w:val="clear" w:color="auto" w:fill="auto"/>
            <w:noWrap/>
            <w:vAlign w:val="center"/>
          </w:tcPr>
          <w:p w14:paraId="7091317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84970 </w:t>
            </w:r>
          </w:p>
        </w:tc>
        <w:tc>
          <w:tcPr>
            <w:tcW w:w="375" w:type="pct"/>
            <w:shd w:val="clear" w:color="auto" w:fill="auto"/>
            <w:noWrap/>
            <w:vAlign w:val="center"/>
          </w:tcPr>
          <w:p w14:paraId="786C227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84970 </w:t>
            </w:r>
          </w:p>
        </w:tc>
      </w:tr>
      <w:tr w14:paraId="7983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pct"/>
            <w:shd w:val="clear" w:color="auto" w:fill="auto"/>
            <w:vAlign w:val="center"/>
          </w:tcPr>
          <w:p w14:paraId="4977EE8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纬二中路（电厂北侧）</w:t>
            </w:r>
          </w:p>
        </w:tc>
        <w:tc>
          <w:tcPr>
            <w:tcW w:w="192" w:type="pct"/>
            <w:shd w:val="clear" w:color="auto" w:fill="auto"/>
            <w:noWrap/>
            <w:vAlign w:val="center"/>
          </w:tcPr>
          <w:p w14:paraId="37718D3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1671</w:t>
            </w:r>
          </w:p>
        </w:tc>
        <w:tc>
          <w:tcPr>
            <w:tcW w:w="344" w:type="pct"/>
            <w:shd w:val="clear" w:color="auto" w:fill="auto"/>
            <w:vAlign w:val="center"/>
          </w:tcPr>
          <w:p w14:paraId="50CC86C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40米（16米）</w:t>
            </w:r>
          </w:p>
        </w:tc>
        <w:tc>
          <w:tcPr>
            <w:tcW w:w="362" w:type="pct"/>
            <w:shd w:val="clear" w:color="auto" w:fill="auto"/>
            <w:noWrap/>
            <w:vAlign w:val="center"/>
          </w:tcPr>
          <w:p w14:paraId="3B85B84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1671 </w:t>
            </w:r>
          </w:p>
        </w:tc>
        <w:tc>
          <w:tcPr>
            <w:tcW w:w="362" w:type="pct"/>
            <w:shd w:val="clear" w:color="auto" w:fill="auto"/>
            <w:noWrap/>
            <w:vAlign w:val="center"/>
          </w:tcPr>
          <w:p w14:paraId="6F0029A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62" w:type="pct"/>
            <w:shd w:val="clear" w:color="auto" w:fill="auto"/>
            <w:noWrap/>
            <w:vAlign w:val="center"/>
          </w:tcPr>
          <w:p w14:paraId="3EFC0AE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1370-1388</w:t>
            </w:r>
          </w:p>
        </w:tc>
        <w:tc>
          <w:tcPr>
            <w:tcW w:w="362" w:type="pct"/>
            <w:shd w:val="clear" w:color="auto" w:fill="auto"/>
            <w:noWrap/>
            <w:vAlign w:val="center"/>
          </w:tcPr>
          <w:p w14:paraId="55D66AA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1369-1395</w:t>
            </w:r>
          </w:p>
        </w:tc>
        <w:tc>
          <w:tcPr>
            <w:tcW w:w="420" w:type="pct"/>
            <w:shd w:val="clear" w:color="auto" w:fill="auto"/>
            <w:noWrap/>
            <w:vAlign w:val="center"/>
          </w:tcPr>
          <w:p w14:paraId="2C05312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28159 </w:t>
            </w:r>
          </w:p>
        </w:tc>
        <w:tc>
          <w:tcPr>
            <w:tcW w:w="420" w:type="pct"/>
            <w:shd w:val="clear" w:color="auto" w:fill="auto"/>
            <w:noWrap/>
            <w:vAlign w:val="center"/>
          </w:tcPr>
          <w:p w14:paraId="3C814FC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28159 </w:t>
            </w:r>
          </w:p>
        </w:tc>
        <w:tc>
          <w:tcPr>
            <w:tcW w:w="420" w:type="pct"/>
            <w:shd w:val="clear" w:color="auto" w:fill="auto"/>
            <w:noWrap/>
            <w:vAlign w:val="center"/>
          </w:tcPr>
          <w:p w14:paraId="5069127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20" w:type="pct"/>
            <w:shd w:val="clear" w:color="auto" w:fill="auto"/>
            <w:noWrap/>
            <w:vAlign w:val="center"/>
          </w:tcPr>
          <w:p w14:paraId="423D24B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75" w:type="pct"/>
            <w:shd w:val="clear" w:color="auto" w:fill="auto"/>
            <w:noWrap/>
            <w:vAlign w:val="center"/>
          </w:tcPr>
          <w:p w14:paraId="2D48303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28159 </w:t>
            </w:r>
          </w:p>
        </w:tc>
        <w:tc>
          <w:tcPr>
            <w:tcW w:w="375" w:type="pct"/>
            <w:shd w:val="clear" w:color="auto" w:fill="auto"/>
            <w:noWrap/>
            <w:vAlign w:val="center"/>
          </w:tcPr>
          <w:p w14:paraId="0D9CF58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28159 </w:t>
            </w:r>
          </w:p>
        </w:tc>
      </w:tr>
      <w:tr w14:paraId="14A2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pct"/>
            <w:shd w:val="clear" w:color="auto" w:fill="auto"/>
            <w:vAlign w:val="center"/>
          </w:tcPr>
          <w:p w14:paraId="7EA1CDF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纬二东路</w:t>
            </w:r>
          </w:p>
        </w:tc>
        <w:tc>
          <w:tcPr>
            <w:tcW w:w="192" w:type="pct"/>
            <w:shd w:val="clear" w:color="auto" w:fill="auto"/>
            <w:noWrap/>
            <w:vAlign w:val="center"/>
          </w:tcPr>
          <w:p w14:paraId="5427BE8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2055</w:t>
            </w:r>
          </w:p>
        </w:tc>
        <w:tc>
          <w:tcPr>
            <w:tcW w:w="344" w:type="pct"/>
            <w:shd w:val="clear" w:color="auto" w:fill="auto"/>
            <w:vAlign w:val="center"/>
          </w:tcPr>
          <w:p w14:paraId="721D9A3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40米（16米）</w:t>
            </w:r>
          </w:p>
        </w:tc>
        <w:tc>
          <w:tcPr>
            <w:tcW w:w="362" w:type="pct"/>
            <w:shd w:val="clear" w:color="auto" w:fill="auto"/>
            <w:noWrap/>
            <w:vAlign w:val="center"/>
          </w:tcPr>
          <w:p w14:paraId="08AF23C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2055 </w:t>
            </w:r>
          </w:p>
        </w:tc>
        <w:tc>
          <w:tcPr>
            <w:tcW w:w="362" w:type="pct"/>
            <w:shd w:val="clear" w:color="auto" w:fill="auto"/>
            <w:noWrap/>
            <w:vAlign w:val="center"/>
          </w:tcPr>
          <w:p w14:paraId="14C07ED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62" w:type="pct"/>
            <w:shd w:val="clear" w:color="auto" w:fill="auto"/>
            <w:noWrap/>
            <w:vAlign w:val="center"/>
          </w:tcPr>
          <w:p w14:paraId="1BCB3D1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1383-1430</w:t>
            </w:r>
          </w:p>
        </w:tc>
        <w:tc>
          <w:tcPr>
            <w:tcW w:w="362" w:type="pct"/>
            <w:shd w:val="clear" w:color="auto" w:fill="auto"/>
            <w:noWrap/>
            <w:vAlign w:val="center"/>
          </w:tcPr>
          <w:p w14:paraId="4ACA1F5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1395-1430</w:t>
            </w:r>
          </w:p>
        </w:tc>
        <w:tc>
          <w:tcPr>
            <w:tcW w:w="420" w:type="pct"/>
            <w:shd w:val="clear" w:color="auto" w:fill="auto"/>
            <w:noWrap/>
            <w:vAlign w:val="center"/>
          </w:tcPr>
          <w:p w14:paraId="657660C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68244 </w:t>
            </w:r>
          </w:p>
        </w:tc>
        <w:tc>
          <w:tcPr>
            <w:tcW w:w="420" w:type="pct"/>
            <w:shd w:val="clear" w:color="auto" w:fill="auto"/>
            <w:noWrap/>
            <w:vAlign w:val="center"/>
          </w:tcPr>
          <w:p w14:paraId="6484AFC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68244 </w:t>
            </w:r>
          </w:p>
        </w:tc>
        <w:tc>
          <w:tcPr>
            <w:tcW w:w="420" w:type="pct"/>
            <w:shd w:val="clear" w:color="auto" w:fill="auto"/>
            <w:noWrap/>
            <w:vAlign w:val="center"/>
          </w:tcPr>
          <w:p w14:paraId="7791185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20" w:type="pct"/>
            <w:shd w:val="clear" w:color="auto" w:fill="auto"/>
            <w:noWrap/>
            <w:vAlign w:val="center"/>
          </w:tcPr>
          <w:p w14:paraId="30F9944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75" w:type="pct"/>
            <w:shd w:val="clear" w:color="auto" w:fill="auto"/>
            <w:noWrap/>
            <w:vAlign w:val="center"/>
          </w:tcPr>
          <w:p w14:paraId="139C4BB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68244 </w:t>
            </w:r>
          </w:p>
        </w:tc>
        <w:tc>
          <w:tcPr>
            <w:tcW w:w="375" w:type="pct"/>
            <w:shd w:val="clear" w:color="auto" w:fill="auto"/>
            <w:noWrap/>
            <w:vAlign w:val="center"/>
          </w:tcPr>
          <w:p w14:paraId="225F09E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68244 </w:t>
            </w:r>
          </w:p>
        </w:tc>
      </w:tr>
      <w:tr w14:paraId="16253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pct"/>
            <w:shd w:val="clear" w:color="auto" w:fill="auto"/>
            <w:vAlign w:val="center"/>
          </w:tcPr>
          <w:p w14:paraId="0B0C1AA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纬三路（电厂南侧）</w:t>
            </w:r>
          </w:p>
        </w:tc>
        <w:tc>
          <w:tcPr>
            <w:tcW w:w="192" w:type="pct"/>
            <w:shd w:val="clear" w:color="auto" w:fill="auto"/>
            <w:noWrap/>
            <w:vAlign w:val="center"/>
          </w:tcPr>
          <w:p w14:paraId="37174BD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7667</w:t>
            </w:r>
          </w:p>
        </w:tc>
        <w:tc>
          <w:tcPr>
            <w:tcW w:w="344" w:type="pct"/>
            <w:shd w:val="clear" w:color="auto" w:fill="auto"/>
            <w:noWrap/>
            <w:vAlign w:val="center"/>
          </w:tcPr>
          <w:p w14:paraId="4CFB17C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30米（14米）</w:t>
            </w:r>
          </w:p>
        </w:tc>
        <w:tc>
          <w:tcPr>
            <w:tcW w:w="362" w:type="pct"/>
            <w:shd w:val="clear" w:color="auto" w:fill="auto"/>
            <w:noWrap/>
            <w:vAlign w:val="center"/>
          </w:tcPr>
          <w:p w14:paraId="4E8E3D0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7667 </w:t>
            </w:r>
          </w:p>
        </w:tc>
        <w:tc>
          <w:tcPr>
            <w:tcW w:w="362" w:type="pct"/>
            <w:shd w:val="clear" w:color="auto" w:fill="auto"/>
            <w:noWrap/>
            <w:vAlign w:val="center"/>
          </w:tcPr>
          <w:p w14:paraId="6DFBC72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62" w:type="pct"/>
            <w:shd w:val="clear" w:color="auto" w:fill="auto"/>
            <w:noWrap/>
            <w:vAlign w:val="center"/>
          </w:tcPr>
          <w:p w14:paraId="4FD7655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1334-1436</w:t>
            </w:r>
          </w:p>
        </w:tc>
        <w:tc>
          <w:tcPr>
            <w:tcW w:w="362" w:type="pct"/>
            <w:shd w:val="clear" w:color="auto" w:fill="auto"/>
            <w:noWrap/>
            <w:vAlign w:val="center"/>
          </w:tcPr>
          <w:p w14:paraId="11BDAD2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1337-1436</w:t>
            </w:r>
          </w:p>
        </w:tc>
        <w:tc>
          <w:tcPr>
            <w:tcW w:w="420" w:type="pct"/>
            <w:shd w:val="clear" w:color="auto" w:fill="auto"/>
            <w:noWrap/>
            <w:vAlign w:val="center"/>
          </w:tcPr>
          <w:p w14:paraId="2F561C9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83660 </w:t>
            </w:r>
          </w:p>
        </w:tc>
        <w:tc>
          <w:tcPr>
            <w:tcW w:w="420" w:type="pct"/>
            <w:shd w:val="clear" w:color="auto" w:fill="auto"/>
            <w:noWrap/>
            <w:vAlign w:val="center"/>
          </w:tcPr>
          <w:p w14:paraId="3D59E89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83660 </w:t>
            </w:r>
          </w:p>
        </w:tc>
        <w:tc>
          <w:tcPr>
            <w:tcW w:w="420" w:type="pct"/>
            <w:shd w:val="clear" w:color="auto" w:fill="auto"/>
            <w:noWrap/>
            <w:vAlign w:val="center"/>
          </w:tcPr>
          <w:p w14:paraId="738C9DC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20" w:type="pct"/>
            <w:shd w:val="clear" w:color="auto" w:fill="auto"/>
            <w:noWrap/>
            <w:vAlign w:val="center"/>
          </w:tcPr>
          <w:p w14:paraId="73B45ED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75" w:type="pct"/>
            <w:shd w:val="clear" w:color="auto" w:fill="auto"/>
            <w:noWrap/>
            <w:vAlign w:val="center"/>
          </w:tcPr>
          <w:p w14:paraId="64E09D6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83660 </w:t>
            </w:r>
          </w:p>
        </w:tc>
        <w:tc>
          <w:tcPr>
            <w:tcW w:w="375" w:type="pct"/>
            <w:shd w:val="clear" w:color="auto" w:fill="auto"/>
            <w:noWrap/>
            <w:vAlign w:val="center"/>
          </w:tcPr>
          <w:p w14:paraId="5279E52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83660 </w:t>
            </w:r>
          </w:p>
        </w:tc>
      </w:tr>
      <w:tr w14:paraId="62F1A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pct"/>
            <w:shd w:val="clear" w:color="auto" w:fill="auto"/>
            <w:vAlign w:val="center"/>
          </w:tcPr>
          <w:p w14:paraId="5CBD308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支一路北段（原经一路）</w:t>
            </w:r>
          </w:p>
        </w:tc>
        <w:tc>
          <w:tcPr>
            <w:tcW w:w="192" w:type="pct"/>
            <w:shd w:val="clear" w:color="auto" w:fill="auto"/>
            <w:noWrap/>
            <w:vAlign w:val="center"/>
          </w:tcPr>
          <w:p w14:paraId="30F748D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1200</w:t>
            </w:r>
          </w:p>
        </w:tc>
        <w:tc>
          <w:tcPr>
            <w:tcW w:w="344" w:type="pct"/>
            <w:shd w:val="clear" w:color="auto" w:fill="auto"/>
            <w:noWrap/>
            <w:vAlign w:val="center"/>
          </w:tcPr>
          <w:p w14:paraId="0E1A95A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30米（14米）</w:t>
            </w:r>
          </w:p>
        </w:tc>
        <w:tc>
          <w:tcPr>
            <w:tcW w:w="362" w:type="pct"/>
            <w:shd w:val="clear" w:color="auto" w:fill="auto"/>
            <w:noWrap/>
            <w:vAlign w:val="center"/>
          </w:tcPr>
          <w:p w14:paraId="7E2352A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300 </w:t>
            </w:r>
          </w:p>
        </w:tc>
        <w:tc>
          <w:tcPr>
            <w:tcW w:w="362" w:type="pct"/>
            <w:shd w:val="clear" w:color="auto" w:fill="auto"/>
            <w:noWrap/>
            <w:vAlign w:val="center"/>
          </w:tcPr>
          <w:p w14:paraId="0FAF266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900 </w:t>
            </w:r>
          </w:p>
        </w:tc>
        <w:tc>
          <w:tcPr>
            <w:tcW w:w="362" w:type="pct"/>
            <w:shd w:val="clear" w:color="auto" w:fill="auto"/>
            <w:noWrap/>
            <w:vAlign w:val="center"/>
          </w:tcPr>
          <w:p w14:paraId="40C81CC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1341-1343</w:t>
            </w:r>
          </w:p>
        </w:tc>
        <w:tc>
          <w:tcPr>
            <w:tcW w:w="362" w:type="pct"/>
            <w:shd w:val="clear" w:color="auto" w:fill="auto"/>
            <w:noWrap/>
            <w:vAlign w:val="center"/>
          </w:tcPr>
          <w:p w14:paraId="0BB4B57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1339-1340</w:t>
            </w:r>
          </w:p>
        </w:tc>
        <w:tc>
          <w:tcPr>
            <w:tcW w:w="420" w:type="pct"/>
            <w:shd w:val="clear" w:color="auto" w:fill="auto"/>
            <w:noWrap/>
            <w:vAlign w:val="center"/>
          </w:tcPr>
          <w:p w14:paraId="4BE5B4C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3792 </w:t>
            </w:r>
          </w:p>
        </w:tc>
        <w:tc>
          <w:tcPr>
            <w:tcW w:w="420" w:type="pct"/>
            <w:shd w:val="clear" w:color="auto" w:fill="auto"/>
            <w:noWrap/>
            <w:vAlign w:val="center"/>
          </w:tcPr>
          <w:p w14:paraId="35F7FA5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3792 </w:t>
            </w:r>
          </w:p>
        </w:tc>
        <w:tc>
          <w:tcPr>
            <w:tcW w:w="420" w:type="pct"/>
            <w:shd w:val="clear" w:color="auto" w:fill="auto"/>
            <w:noWrap/>
            <w:vAlign w:val="center"/>
          </w:tcPr>
          <w:p w14:paraId="1765979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11375 </w:t>
            </w:r>
          </w:p>
        </w:tc>
        <w:tc>
          <w:tcPr>
            <w:tcW w:w="420" w:type="pct"/>
            <w:shd w:val="clear" w:color="auto" w:fill="auto"/>
            <w:noWrap/>
            <w:vAlign w:val="center"/>
          </w:tcPr>
          <w:p w14:paraId="1CAC979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11375 </w:t>
            </w:r>
          </w:p>
        </w:tc>
        <w:tc>
          <w:tcPr>
            <w:tcW w:w="375" w:type="pct"/>
            <w:shd w:val="clear" w:color="auto" w:fill="auto"/>
            <w:noWrap/>
            <w:vAlign w:val="center"/>
          </w:tcPr>
          <w:p w14:paraId="78E7201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15166 </w:t>
            </w:r>
          </w:p>
        </w:tc>
        <w:tc>
          <w:tcPr>
            <w:tcW w:w="375" w:type="pct"/>
            <w:shd w:val="clear" w:color="auto" w:fill="auto"/>
            <w:noWrap/>
            <w:vAlign w:val="center"/>
          </w:tcPr>
          <w:p w14:paraId="31A57D0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15166 </w:t>
            </w:r>
          </w:p>
        </w:tc>
      </w:tr>
      <w:tr w14:paraId="15A7E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pct"/>
            <w:shd w:val="clear" w:color="auto" w:fill="auto"/>
            <w:vAlign w:val="center"/>
          </w:tcPr>
          <w:p w14:paraId="3CBB7F8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经二路</w:t>
            </w:r>
          </w:p>
        </w:tc>
        <w:tc>
          <w:tcPr>
            <w:tcW w:w="192" w:type="pct"/>
            <w:shd w:val="clear" w:color="auto" w:fill="auto"/>
            <w:noWrap/>
            <w:vAlign w:val="center"/>
          </w:tcPr>
          <w:p w14:paraId="10C7220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1586</w:t>
            </w:r>
          </w:p>
        </w:tc>
        <w:tc>
          <w:tcPr>
            <w:tcW w:w="344" w:type="pct"/>
            <w:shd w:val="clear" w:color="auto" w:fill="auto"/>
            <w:noWrap/>
            <w:vAlign w:val="center"/>
          </w:tcPr>
          <w:p w14:paraId="715A618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30米（14米）</w:t>
            </w:r>
          </w:p>
        </w:tc>
        <w:tc>
          <w:tcPr>
            <w:tcW w:w="362" w:type="pct"/>
            <w:shd w:val="clear" w:color="auto" w:fill="auto"/>
            <w:noWrap/>
            <w:vAlign w:val="center"/>
          </w:tcPr>
          <w:p w14:paraId="644FC09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1586 </w:t>
            </w:r>
          </w:p>
        </w:tc>
        <w:tc>
          <w:tcPr>
            <w:tcW w:w="362" w:type="pct"/>
            <w:shd w:val="clear" w:color="auto" w:fill="auto"/>
            <w:noWrap/>
            <w:vAlign w:val="center"/>
          </w:tcPr>
          <w:p w14:paraId="3D4ED17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62" w:type="pct"/>
            <w:shd w:val="clear" w:color="auto" w:fill="auto"/>
            <w:noWrap/>
            <w:vAlign w:val="center"/>
          </w:tcPr>
          <w:p w14:paraId="319B40E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1351-1370</w:t>
            </w:r>
          </w:p>
        </w:tc>
        <w:tc>
          <w:tcPr>
            <w:tcW w:w="362" w:type="pct"/>
            <w:shd w:val="clear" w:color="auto" w:fill="auto"/>
            <w:noWrap/>
            <w:vAlign w:val="center"/>
          </w:tcPr>
          <w:p w14:paraId="08BF50B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1351-1365</w:t>
            </w:r>
          </w:p>
        </w:tc>
        <w:tc>
          <w:tcPr>
            <w:tcW w:w="420" w:type="pct"/>
            <w:shd w:val="clear" w:color="auto" w:fill="auto"/>
            <w:noWrap/>
            <w:vAlign w:val="center"/>
          </w:tcPr>
          <w:p w14:paraId="2537320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56228 </w:t>
            </w:r>
          </w:p>
        </w:tc>
        <w:tc>
          <w:tcPr>
            <w:tcW w:w="420" w:type="pct"/>
            <w:shd w:val="clear" w:color="auto" w:fill="auto"/>
            <w:noWrap/>
            <w:vAlign w:val="center"/>
          </w:tcPr>
          <w:p w14:paraId="4B1A978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56228 </w:t>
            </w:r>
          </w:p>
        </w:tc>
        <w:tc>
          <w:tcPr>
            <w:tcW w:w="420" w:type="pct"/>
            <w:shd w:val="clear" w:color="auto" w:fill="auto"/>
            <w:noWrap/>
            <w:vAlign w:val="center"/>
          </w:tcPr>
          <w:p w14:paraId="3289FCF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20" w:type="pct"/>
            <w:shd w:val="clear" w:color="auto" w:fill="auto"/>
            <w:noWrap/>
            <w:vAlign w:val="center"/>
          </w:tcPr>
          <w:p w14:paraId="10016F6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75" w:type="pct"/>
            <w:shd w:val="clear" w:color="auto" w:fill="auto"/>
            <w:noWrap/>
            <w:vAlign w:val="center"/>
          </w:tcPr>
          <w:p w14:paraId="2117B6D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56228 </w:t>
            </w:r>
          </w:p>
        </w:tc>
        <w:tc>
          <w:tcPr>
            <w:tcW w:w="375" w:type="pct"/>
            <w:shd w:val="clear" w:color="auto" w:fill="auto"/>
            <w:noWrap/>
            <w:vAlign w:val="center"/>
          </w:tcPr>
          <w:p w14:paraId="4394B3A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56228 </w:t>
            </w:r>
          </w:p>
        </w:tc>
      </w:tr>
      <w:tr w14:paraId="7B170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pct"/>
            <w:shd w:val="clear" w:color="auto" w:fill="auto"/>
            <w:vAlign w:val="center"/>
          </w:tcPr>
          <w:p w14:paraId="145E585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经三路（电厂西侧）</w:t>
            </w:r>
          </w:p>
        </w:tc>
        <w:tc>
          <w:tcPr>
            <w:tcW w:w="192" w:type="pct"/>
            <w:shd w:val="clear" w:color="auto" w:fill="auto"/>
            <w:noWrap/>
            <w:vAlign w:val="center"/>
          </w:tcPr>
          <w:p w14:paraId="5BCCF25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1917</w:t>
            </w:r>
          </w:p>
        </w:tc>
        <w:tc>
          <w:tcPr>
            <w:tcW w:w="344" w:type="pct"/>
            <w:shd w:val="clear" w:color="auto" w:fill="auto"/>
            <w:noWrap/>
            <w:vAlign w:val="center"/>
          </w:tcPr>
          <w:p w14:paraId="2A2E09F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40米（16米）</w:t>
            </w:r>
          </w:p>
        </w:tc>
        <w:tc>
          <w:tcPr>
            <w:tcW w:w="362" w:type="pct"/>
            <w:shd w:val="clear" w:color="auto" w:fill="auto"/>
            <w:noWrap/>
            <w:vAlign w:val="center"/>
          </w:tcPr>
          <w:p w14:paraId="2478976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1917 </w:t>
            </w:r>
          </w:p>
        </w:tc>
        <w:tc>
          <w:tcPr>
            <w:tcW w:w="362" w:type="pct"/>
            <w:shd w:val="clear" w:color="auto" w:fill="auto"/>
            <w:noWrap/>
            <w:vAlign w:val="center"/>
          </w:tcPr>
          <w:p w14:paraId="634A2DD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62" w:type="pct"/>
            <w:shd w:val="clear" w:color="auto" w:fill="auto"/>
            <w:noWrap/>
            <w:vAlign w:val="center"/>
          </w:tcPr>
          <w:p w14:paraId="0DED2CE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1367-1377</w:t>
            </w:r>
          </w:p>
        </w:tc>
        <w:tc>
          <w:tcPr>
            <w:tcW w:w="362" w:type="pct"/>
            <w:shd w:val="clear" w:color="auto" w:fill="auto"/>
            <w:noWrap/>
            <w:vAlign w:val="center"/>
          </w:tcPr>
          <w:p w14:paraId="35E7C01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1368-1377</w:t>
            </w:r>
          </w:p>
        </w:tc>
        <w:tc>
          <w:tcPr>
            <w:tcW w:w="420" w:type="pct"/>
            <w:shd w:val="clear" w:color="auto" w:fill="auto"/>
            <w:noWrap/>
            <w:vAlign w:val="center"/>
          </w:tcPr>
          <w:p w14:paraId="33B6876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88544 </w:t>
            </w:r>
          </w:p>
        </w:tc>
        <w:tc>
          <w:tcPr>
            <w:tcW w:w="420" w:type="pct"/>
            <w:shd w:val="clear" w:color="auto" w:fill="auto"/>
            <w:noWrap/>
            <w:vAlign w:val="center"/>
          </w:tcPr>
          <w:p w14:paraId="0C69913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88544 </w:t>
            </w:r>
          </w:p>
        </w:tc>
        <w:tc>
          <w:tcPr>
            <w:tcW w:w="420" w:type="pct"/>
            <w:shd w:val="clear" w:color="auto" w:fill="auto"/>
            <w:noWrap/>
            <w:vAlign w:val="center"/>
          </w:tcPr>
          <w:p w14:paraId="1C7E018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20" w:type="pct"/>
            <w:shd w:val="clear" w:color="auto" w:fill="auto"/>
            <w:noWrap/>
            <w:vAlign w:val="center"/>
          </w:tcPr>
          <w:p w14:paraId="00AA022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75" w:type="pct"/>
            <w:shd w:val="clear" w:color="auto" w:fill="auto"/>
            <w:noWrap/>
            <w:vAlign w:val="center"/>
          </w:tcPr>
          <w:p w14:paraId="16831C9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88544 </w:t>
            </w:r>
          </w:p>
        </w:tc>
        <w:tc>
          <w:tcPr>
            <w:tcW w:w="375" w:type="pct"/>
            <w:shd w:val="clear" w:color="auto" w:fill="auto"/>
            <w:noWrap/>
            <w:vAlign w:val="center"/>
          </w:tcPr>
          <w:p w14:paraId="662407A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88544 </w:t>
            </w:r>
          </w:p>
        </w:tc>
      </w:tr>
      <w:tr w14:paraId="3EAA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pct"/>
            <w:shd w:val="clear" w:color="auto" w:fill="auto"/>
            <w:vAlign w:val="center"/>
          </w:tcPr>
          <w:p w14:paraId="3E89943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经一路</w:t>
            </w:r>
          </w:p>
        </w:tc>
        <w:tc>
          <w:tcPr>
            <w:tcW w:w="192" w:type="pct"/>
            <w:shd w:val="clear" w:color="auto" w:fill="auto"/>
            <w:noWrap/>
            <w:vAlign w:val="center"/>
          </w:tcPr>
          <w:p w14:paraId="548B890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1635</w:t>
            </w:r>
          </w:p>
        </w:tc>
        <w:tc>
          <w:tcPr>
            <w:tcW w:w="344" w:type="pct"/>
            <w:shd w:val="clear" w:color="auto" w:fill="auto"/>
            <w:vAlign w:val="center"/>
          </w:tcPr>
          <w:p w14:paraId="4DAF7A9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40米（16米）</w:t>
            </w:r>
          </w:p>
        </w:tc>
        <w:tc>
          <w:tcPr>
            <w:tcW w:w="362" w:type="pct"/>
            <w:shd w:val="clear" w:color="auto" w:fill="auto"/>
            <w:noWrap/>
            <w:vAlign w:val="center"/>
          </w:tcPr>
          <w:p w14:paraId="53DECA4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62" w:type="pct"/>
            <w:shd w:val="clear" w:color="auto" w:fill="auto"/>
            <w:noWrap/>
            <w:vAlign w:val="center"/>
          </w:tcPr>
          <w:p w14:paraId="33A7BA0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1635 </w:t>
            </w:r>
          </w:p>
        </w:tc>
        <w:tc>
          <w:tcPr>
            <w:tcW w:w="362" w:type="pct"/>
            <w:shd w:val="clear" w:color="auto" w:fill="auto"/>
            <w:noWrap/>
            <w:vAlign w:val="center"/>
          </w:tcPr>
          <w:p w14:paraId="0AAD14B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1342-1354</w:t>
            </w:r>
          </w:p>
        </w:tc>
        <w:tc>
          <w:tcPr>
            <w:tcW w:w="362" w:type="pct"/>
            <w:shd w:val="clear" w:color="auto" w:fill="auto"/>
            <w:noWrap/>
            <w:vAlign w:val="center"/>
          </w:tcPr>
          <w:p w14:paraId="380A489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1344-1353</w:t>
            </w:r>
          </w:p>
        </w:tc>
        <w:tc>
          <w:tcPr>
            <w:tcW w:w="420" w:type="pct"/>
            <w:shd w:val="clear" w:color="auto" w:fill="auto"/>
            <w:noWrap/>
            <w:vAlign w:val="center"/>
          </w:tcPr>
          <w:p w14:paraId="05B61FA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20" w:type="pct"/>
            <w:shd w:val="clear" w:color="auto" w:fill="auto"/>
            <w:noWrap/>
            <w:vAlign w:val="center"/>
          </w:tcPr>
          <w:p w14:paraId="79750DF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20" w:type="pct"/>
            <w:shd w:val="clear" w:color="auto" w:fill="auto"/>
            <w:noWrap/>
            <w:vAlign w:val="center"/>
          </w:tcPr>
          <w:p w14:paraId="32750CD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27552 </w:t>
            </w:r>
          </w:p>
        </w:tc>
        <w:tc>
          <w:tcPr>
            <w:tcW w:w="420" w:type="pct"/>
            <w:shd w:val="clear" w:color="auto" w:fill="auto"/>
            <w:noWrap/>
            <w:vAlign w:val="center"/>
          </w:tcPr>
          <w:p w14:paraId="2B2647A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27552 </w:t>
            </w:r>
          </w:p>
        </w:tc>
        <w:tc>
          <w:tcPr>
            <w:tcW w:w="375" w:type="pct"/>
            <w:shd w:val="clear" w:color="auto" w:fill="auto"/>
            <w:noWrap/>
            <w:vAlign w:val="center"/>
          </w:tcPr>
          <w:p w14:paraId="21318E5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27552 </w:t>
            </w:r>
          </w:p>
        </w:tc>
        <w:tc>
          <w:tcPr>
            <w:tcW w:w="375" w:type="pct"/>
            <w:shd w:val="clear" w:color="auto" w:fill="auto"/>
            <w:noWrap/>
            <w:vAlign w:val="center"/>
          </w:tcPr>
          <w:p w14:paraId="64E544C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27552 </w:t>
            </w:r>
          </w:p>
        </w:tc>
      </w:tr>
      <w:tr w14:paraId="6228D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pct"/>
            <w:shd w:val="clear" w:color="auto" w:fill="auto"/>
            <w:vAlign w:val="center"/>
          </w:tcPr>
          <w:p w14:paraId="2DB4427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经四路（电厂东侧）</w:t>
            </w:r>
          </w:p>
        </w:tc>
        <w:tc>
          <w:tcPr>
            <w:tcW w:w="192" w:type="pct"/>
            <w:shd w:val="clear" w:color="auto" w:fill="auto"/>
            <w:noWrap/>
            <w:vAlign w:val="center"/>
          </w:tcPr>
          <w:p w14:paraId="5140883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2564</w:t>
            </w:r>
          </w:p>
        </w:tc>
        <w:tc>
          <w:tcPr>
            <w:tcW w:w="344" w:type="pct"/>
            <w:shd w:val="clear" w:color="auto" w:fill="auto"/>
            <w:noWrap/>
            <w:vAlign w:val="center"/>
          </w:tcPr>
          <w:p w14:paraId="6903A1E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30米（14米）</w:t>
            </w:r>
          </w:p>
        </w:tc>
        <w:tc>
          <w:tcPr>
            <w:tcW w:w="362" w:type="pct"/>
            <w:shd w:val="clear" w:color="auto" w:fill="auto"/>
            <w:noWrap/>
            <w:vAlign w:val="center"/>
          </w:tcPr>
          <w:p w14:paraId="61CD6E6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2564 </w:t>
            </w:r>
          </w:p>
        </w:tc>
        <w:tc>
          <w:tcPr>
            <w:tcW w:w="362" w:type="pct"/>
            <w:shd w:val="clear" w:color="auto" w:fill="auto"/>
            <w:noWrap/>
            <w:vAlign w:val="center"/>
          </w:tcPr>
          <w:p w14:paraId="2D6B3B4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62" w:type="pct"/>
            <w:shd w:val="clear" w:color="auto" w:fill="auto"/>
            <w:noWrap/>
            <w:vAlign w:val="center"/>
          </w:tcPr>
          <w:p w14:paraId="191E8A5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1391-1397</w:t>
            </w:r>
          </w:p>
        </w:tc>
        <w:tc>
          <w:tcPr>
            <w:tcW w:w="362" w:type="pct"/>
            <w:shd w:val="clear" w:color="auto" w:fill="auto"/>
            <w:noWrap/>
            <w:vAlign w:val="center"/>
          </w:tcPr>
          <w:p w14:paraId="3E7802D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1383-1395</w:t>
            </w:r>
          </w:p>
        </w:tc>
        <w:tc>
          <w:tcPr>
            <w:tcW w:w="420" w:type="pct"/>
            <w:shd w:val="clear" w:color="auto" w:fill="auto"/>
            <w:noWrap/>
            <w:vAlign w:val="center"/>
          </w:tcPr>
          <w:p w14:paraId="3FC8F6A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71608 </w:t>
            </w:r>
          </w:p>
        </w:tc>
        <w:tc>
          <w:tcPr>
            <w:tcW w:w="420" w:type="pct"/>
            <w:shd w:val="clear" w:color="auto" w:fill="auto"/>
            <w:noWrap/>
            <w:vAlign w:val="center"/>
          </w:tcPr>
          <w:p w14:paraId="3DAA356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71608 </w:t>
            </w:r>
          </w:p>
        </w:tc>
        <w:tc>
          <w:tcPr>
            <w:tcW w:w="420" w:type="pct"/>
            <w:shd w:val="clear" w:color="auto" w:fill="auto"/>
            <w:noWrap/>
            <w:vAlign w:val="center"/>
          </w:tcPr>
          <w:p w14:paraId="6F0A373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20" w:type="pct"/>
            <w:shd w:val="clear" w:color="auto" w:fill="auto"/>
            <w:noWrap/>
            <w:vAlign w:val="center"/>
          </w:tcPr>
          <w:p w14:paraId="79D0A94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75" w:type="pct"/>
            <w:shd w:val="clear" w:color="auto" w:fill="auto"/>
            <w:noWrap/>
            <w:vAlign w:val="center"/>
          </w:tcPr>
          <w:p w14:paraId="6479A0C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71608 </w:t>
            </w:r>
          </w:p>
        </w:tc>
        <w:tc>
          <w:tcPr>
            <w:tcW w:w="375" w:type="pct"/>
            <w:shd w:val="clear" w:color="auto" w:fill="auto"/>
            <w:noWrap/>
            <w:vAlign w:val="center"/>
          </w:tcPr>
          <w:p w14:paraId="5239177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71608 </w:t>
            </w:r>
          </w:p>
        </w:tc>
      </w:tr>
      <w:tr w14:paraId="19E6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pct"/>
            <w:shd w:val="clear" w:color="auto" w:fill="auto"/>
            <w:vAlign w:val="center"/>
          </w:tcPr>
          <w:p w14:paraId="5ADE56D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纬一路西段（经1路-经2路段）</w:t>
            </w:r>
          </w:p>
        </w:tc>
        <w:tc>
          <w:tcPr>
            <w:tcW w:w="192" w:type="pct"/>
            <w:shd w:val="clear" w:color="auto" w:fill="auto"/>
            <w:noWrap/>
            <w:vAlign w:val="center"/>
          </w:tcPr>
          <w:p w14:paraId="5314B20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1031</w:t>
            </w:r>
          </w:p>
        </w:tc>
        <w:tc>
          <w:tcPr>
            <w:tcW w:w="344" w:type="pct"/>
            <w:shd w:val="clear" w:color="auto" w:fill="auto"/>
            <w:noWrap/>
            <w:vAlign w:val="center"/>
          </w:tcPr>
          <w:p w14:paraId="5970E4A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30米（14米）</w:t>
            </w:r>
          </w:p>
        </w:tc>
        <w:tc>
          <w:tcPr>
            <w:tcW w:w="362" w:type="pct"/>
            <w:shd w:val="clear" w:color="auto" w:fill="auto"/>
            <w:noWrap/>
            <w:vAlign w:val="center"/>
          </w:tcPr>
          <w:p w14:paraId="237E253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1031 </w:t>
            </w:r>
          </w:p>
        </w:tc>
        <w:tc>
          <w:tcPr>
            <w:tcW w:w="362" w:type="pct"/>
            <w:shd w:val="clear" w:color="auto" w:fill="auto"/>
            <w:noWrap/>
            <w:vAlign w:val="center"/>
          </w:tcPr>
          <w:p w14:paraId="35CB224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62" w:type="pct"/>
            <w:shd w:val="clear" w:color="auto" w:fill="auto"/>
            <w:noWrap/>
            <w:vAlign w:val="center"/>
          </w:tcPr>
          <w:p w14:paraId="76BBD9F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1346-1352</w:t>
            </w:r>
          </w:p>
        </w:tc>
        <w:tc>
          <w:tcPr>
            <w:tcW w:w="362" w:type="pct"/>
            <w:shd w:val="clear" w:color="auto" w:fill="auto"/>
            <w:noWrap/>
            <w:vAlign w:val="center"/>
          </w:tcPr>
          <w:p w14:paraId="689D2A4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1347-1353</w:t>
            </w:r>
          </w:p>
        </w:tc>
        <w:tc>
          <w:tcPr>
            <w:tcW w:w="420" w:type="pct"/>
            <w:shd w:val="clear" w:color="auto" w:fill="auto"/>
            <w:noWrap/>
            <w:vAlign w:val="center"/>
          </w:tcPr>
          <w:p w14:paraId="64510D5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20486 </w:t>
            </w:r>
          </w:p>
        </w:tc>
        <w:tc>
          <w:tcPr>
            <w:tcW w:w="420" w:type="pct"/>
            <w:shd w:val="clear" w:color="auto" w:fill="auto"/>
            <w:noWrap/>
            <w:vAlign w:val="center"/>
          </w:tcPr>
          <w:p w14:paraId="5E1E401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20486 </w:t>
            </w:r>
          </w:p>
        </w:tc>
        <w:tc>
          <w:tcPr>
            <w:tcW w:w="420" w:type="pct"/>
            <w:shd w:val="clear" w:color="auto" w:fill="auto"/>
            <w:noWrap/>
            <w:vAlign w:val="center"/>
          </w:tcPr>
          <w:p w14:paraId="092BF2E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20" w:type="pct"/>
            <w:shd w:val="clear" w:color="auto" w:fill="auto"/>
            <w:noWrap/>
            <w:vAlign w:val="center"/>
          </w:tcPr>
          <w:p w14:paraId="20E95AB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75" w:type="pct"/>
            <w:shd w:val="clear" w:color="auto" w:fill="auto"/>
            <w:noWrap/>
            <w:vAlign w:val="center"/>
          </w:tcPr>
          <w:p w14:paraId="0D21D58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20486 </w:t>
            </w:r>
          </w:p>
        </w:tc>
        <w:tc>
          <w:tcPr>
            <w:tcW w:w="375" w:type="pct"/>
            <w:shd w:val="clear" w:color="auto" w:fill="auto"/>
            <w:noWrap/>
            <w:vAlign w:val="center"/>
          </w:tcPr>
          <w:p w14:paraId="2425A43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20486 </w:t>
            </w:r>
          </w:p>
        </w:tc>
      </w:tr>
      <w:tr w14:paraId="67EE1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pct"/>
            <w:shd w:val="clear" w:color="auto" w:fill="auto"/>
            <w:noWrap/>
            <w:vAlign w:val="center"/>
          </w:tcPr>
          <w:p w14:paraId="792D957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小计</w:t>
            </w:r>
          </w:p>
        </w:tc>
        <w:tc>
          <w:tcPr>
            <w:tcW w:w="192" w:type="pct"/>
            <w:shd w:val="clear" w:color="auto" w:fill="auto"/>
            <w:noWrap/>
            <w:vAlign w:val="center"/>
          </w:tcPr>
          <w:p w14:paraId="3D7BFEB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29573</w:t>
            </w:r>
          </w:p>
        </w:tc>
        <w:tc>
          <w:tcPr>
            <w:tcW w:w="344" w:type="pct"/>
            <w:shd w:val="clear" w:color="auto" w:fill="auto"/>
            <w:noWrap/>
            <w:vAlign w:val="center"/>
          </w:tcPr>
          <w:p w14:paraId="7FA6C40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62" w:type="pct"/>
            <w:shd w:val="clear" w:color="auto" w:fill="auto"/>
            <w:noWrap/>
            <w:vAlign w:val="center"/>
          </w:tcPr>
          <w:p w14:paraId="71F3A7E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27038</w:t>
            </w:r>
          </w:p>
        </w:tc>
        <w:tc>
          <w:tcPr>
            <w:tcW w:w="362" w:type="pct"/>
            <w:shd w:val="clear" w:color="auto" w:fill="auto"/>
            <w:noWrap/>
            <w:vAlign w:val="center"/>
          </w:tcPr>
          <w:p w14:paraId="5FD47A2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2535 </w:t>
            </w:r>
          </w:p>
        </w:tc>
        <w:tc>
          <w:tcPr>
            <w:tcW w:w="362" w:type="pct"/>
            <w:shd w:val="clear" w:color="auto" w:fill="auto"/>
            <w:noWrap/>
            <w:vAlign w:val="center"/>
          </w:tcPr>
          <w:p w14:paraId="4684E33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62" w:type="pct"/>
            <w:shd w:val="clear" w:color="auto" w:fill="auto"/>
            <w:noWrap/>
            <w:vAlign w:val="center"/>
          </w:tcPr>
          <w:p w14:paraId="49CC5D1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20" w:type="pct"/>
            <w:shd w:val="clear" w:color="auto" w:fill="auto"/>
            <w:noWrap/>
            <w:vAlign w:val="center"/>
          </w:tcPr>
          <w:p w14:paraId="57D4F4E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781772 </w:t>
            </w:r>
          </w:p>
        </w:tc>
        <w:tc>
          <w:tcPr>
            <w:tcW w:w="420" w:type="pct"/>
            <w:shd w:val="clear" w:color="auto" w:fill="auto"/>
            <w:noWrap/>
            <w:vAlign w:val="center"/>
          </w:tcPr>
          <w:p w14:paraId="7E3765D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781772 </w:t>
            </w:r>
          </w:p>
        </w:tc>
        <w:tc>
          <w:tcPr>
            <w:tcW w:w="420" w:type="pct"/>
            <w:shd w:val="clear" w:color="auto" w:fill="auto"/>
            <w:noWrap/>
            <w:vAlign w:val="center"/>
          </w:tcPr>
          <w:p w14:paraId="79D8250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38927 </w:t>
            </w:r>
          </w:p>
        </w:tc>
        <w:tc>
          <w:tcPr>
            <w:tcW w:w="420" w:type="pct"/>
            <w:shd w:val="clear" w:color="auto" w:fill="auto"/>
            <w:noWrap/>
            <w:vAlign w:val="center"/>
          </w:tcPr>
          <w:p w14:paraId="49FA457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38927 </w:t>
            </w:r>
          </w:p>
        </w:tc>
        <w:tc>
          <w:tcPr>
            <w:tcW w:w="375" w:type="pct"/>
            <w:shd w:val="clear" w:color="auto" w:fill="auto"/>
            <w:noWrap/>
            <w:vAlign w:val="center"/>
          </w:tcPr>
          <w:p w14:paraId="651DBE7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820699 </w:t>
            </w:r>
          </w:p>
        </w:tc>
        <w:tc>
          <w:tcPr>
            <w:tcW w:w="375" w:type="pct"/>
            <w:shd w:val="clear" w:color="auto" w:fill="auto"/>
            <w:noWrap/>
            <w:vAlign w:val="center"/>
          </w:tcPr>
          <w:p w14:paraId="20608F5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820699 </w:t>
            </w:r>
          </w:p>
        </w:tc>
      </w:tr>
      <w:tr w14:paraId="765B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pct"/>
            <w:shd w:val="clear" w:color="auto" w:fill="auto"/>
            <w:noWrap/>
            <w:vAlign w:val="center"/>
          </w:tcPr>
          <w:p w14:paraId="452BE7C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地块2（下湿壕片区）道路</w:t>
            </w:r>
          </w:p>
        </w:tc>
        <w:tc>
          <w:tcPr>
            <w:tcW w:w="192" w:type="pct"/>
            <w:shd w:val="clear" w:color="auto" w:fill="auto"/>
            <w:noWrap/>
            <w:vAlign w:val="center"/>
          </w:tcPr>
          <w:p w14:paraId="47F4111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1210</w:t>
            </w:r>
          </w:p>
        </w:tc>
        <w:tc>
          <w:tcPr>
            <w:tcW w:w="344" w:type="pct"/>
            <w:shd w:val="clear" w:color="auto" w:fill="auto"/>
            <w:noWrap/>
            <w:vAlign w:val="center"/>
          </w:tcPr>
          <w:p w14:paraId="1194C0D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30米（14米）</w:t>
            </w:r>
          </w:p>
        </w:tc>
        <w:tc>
          <w:tcPr>
            <w:tcW w:w="362" w:type="pct"/>
            <w:shd w:val="clear" w:color="auto" w:fill="auto"/>
            <w:noWrap/>
            <w:vAlign w:val="center"/>
          </w:tcPr>
          <w:p w14:paraId="4A4B611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1210</w:t>
            </w:r>
          </w:p>
        </w:tc>
        <w:tc>
          <w:tcPr>
            <w:tcW w:w="362" w:type="pct"/>
            <w:shd w:val="clear" w:color="auto" w:fill="auto"/>
            <w:noWrap/>
            <w:vAlign w:val="center"/>
          </w:tcPr>
          <w:p w14:paraId="5C7DC19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62" w:type="pct"/>
            <w:shd w:val="clear" w:color="auto" w:fill="auto"/>
            <w:noWrap/>
            <w:vAlign w:val="center"/>
          </w:tcPr>
          <w:p w14:paraId="714DD72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1490-1508</w:t>
            </w:r>
          </w:p>
        </w:tc>
        <w:tc>
          <w:tcPr>
            <w:tcW w:w="362" w:type="pct"/>
            <w:shd w:val="clear" w:color="auto" w:fill="auto"/>
            <w:noWrap/>
            <w:vAlign w:val="center"/>
          </w:tcPr>
          <w:p w14:paraId="69EAF3B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1490-1507</w:t>
            </w:r>
          </w:p>
        </w:tc>
        <w:tc>
          <w:tcPr>
            <w:tcW w:w="420" w:type="pct"/>
            <w:shd w:val="clear" w:color="auto" w:fill="auto"/>
            <w:noWrap/>
            <w:vAlign w:val="center"/>
          </w:tcPr>
          <w:p w14:paraId="05AFDAD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12705 </w:t>
            </w:r>
          </w:p>
        </w:tc>
        <w:tc>
          <w:tcPr>
            <w:tcW w:w="420" w:type="pct"/>
            <w:shd w:val="clear" w:color="auto" w:fill="auto"/>
            <w:noWrap/>
            <w:vAlign w:val="center"/>
          </w:tcPr>
          <w:p w14:paraId="34182EE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12705 </w:t>
            </w:r>
          </w:p>
        </w:tc>
        <w:tc>
          <w:tcPr>
            <w:tcW w:w="420" w:type="pct"/>
            <w:shd w:val="clear" w:color="auto" w:fill="auto"/>
            <w:noWrap/>
            <w:vAlign w:val="center"/>
          </w:tcPr>
          <w:p w14:paraId="58A132E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 </w:t>
            </w:r>
          </w:p>
        </w:tc>
        <w:tc>
          <w:tcPr>
            <w:tcW w:w="420" w:type="pct"/>
            <w:shd w:val="clear" w:color="auto" w:fill="auto"/>
            <w:noWrap/>
            <w:vAlign w:val="center"/>
          </w:tcPr>
          <w:p w14:paraId="157C24E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 </w:t>
            </w:r>
          </w:p>
        </w:tc>
        <w:tc>
          <w:tcPr>
            <w:tcW w:w="375" w:type="pct"/>
            <w:shd w:val="clear" w:color="auto" w:fill="auto"/>
            <w:noWrap/>
            <w:vAlign w:val="center"/>
          </w:tcPr>
          <w:p w14:paraId="26A8BFA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12705 </w:t>
            </w:r>
          </w:p>
        </w:tc>
        <w:tc>
          <w:tcPr>
            <w:tcW w:w="375" w:type="pct"/>
            <w:shd w:val="clear" w:color="auto" w:fill="auto"/>
            <w:noWrap/>
            <w:vAlign w:val="center"/>
          </w:tcPr>
          <w:p w14:paraId="7DA2E6A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12705 </w:t>
            </w:r>
          </w:p>
        </w:tc>
      </w:tr>
      <w:tr w14:paraId="63A3E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7" w:type="pct"/>
            <w:shd w:val="clear" w:color="auto" w:fill="auto"/>
            <w:noWrap/>
            <w:vAlign w:val="center"/>
          </w:tcPr>
          <w:p w14:paraId="76D5394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合计</w:t>
            </w:r>
          </w:p>
        </w:tc>
        <w:tc>
          <w:tcPr>
            <w:tcW w:w="192" w:type="pct"/>
            <w:shd w:val="clear" w:color="auto" w:fill="auto"/>
            <w:noWrap/>
            <w:vAlign w:val="center"/>
          </w:tcPr>
          <w:p w14:paraId="44FC95B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30783</w:t>
            </w:r>
          </w:p>
        </w:tc>
        <w:tc>
          <w:tcPr>
            <w:tcW w:w="344" w:type="pct"/>
            <w:shd w:val="clear" w:color="auto" w:fill="auto"/>
            <w:noWrap/>
            <w:vAlign w:val="center"/>
          </w:tcPr>
          <w:p w14:paraId="2B399B4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62" w:type="pct"/>
            <w:shd w:val="clear" w:color="auto" w:fill="auto"/>
            <w:noWrap/>
            <w:vAlign w:val="center"/>
          </w:tcPr>
          <w:p w14:paraId="505EC7E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28248</w:t>
            </w:r>
          </w:p>
        </w:tc>
        <w:tc>
          <w:tcPr>
            <w:tcW w:w="362" w:type="pct"/>
            <w:shd w:val="clear" w:color="auto" w:fill="auto"/>
            <w:noWrap/>
            <w:vAlign w:val="center"/>
          </w:tcPr>
          <w:p w14:paraId="0BC136B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2535 </w:t>
            </w:r>
          </w:p>
        </w:tc>
        <w:tc>
          <w:tcPr>
            <w:tcW w:w="362" w:type="pct"/>
            <w:shd w:val="clear" w:color="auto" w:fill="auto"/>
            <w:noWrap/>
            <w:vAlign w:val="center"/>
          </w:tcPr>
          <w:p w14:paraId="1888662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62" w:type="pct"/>
            <w:shd w:val="clear" w:color="auto" w:fill="auto"/>
            <w:noWrap/>
            <w:vAlign w:val="center"/>
          </w:tcPr>
          <w:p w14:paraId="30A8E94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20" w:type="pct"/>
            <w:shd w:val="clear" w:color="auto" w:fill="auto"/>
            <w:noWrap/>
            <w:vAlign w:val="center"/>
          </w:tcPr>
          <w:p w14:paraId="1BE708C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794477 </w:t>
            </w:r>
          </w:p>
        </w:tc>
        <w:tc>
          <w:tcPr>
            <w:tcW w:w="420" w:type="pct"/>
            <w:shd w:val="clear" w:color="auto" w:fill="auto"/>
            <w:noWrap/>
            <w:vAlign w:val="center"/>
          </w:tcPr>
          <w:p w14:paraId="45FEAB7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794477 </w:t>
            </w:r>
          </w:p>
        </w:tc>
        <w:tc>
          <w:tcPr>
            <w:tcW w:w="420" w:type="pct"/>
            <w:shd w:val="clear" w:color="auto" w:fill="auto"/>
            <w:noWrap/>
            <w:vAlign w:val="center"/>
          </w:tcPr>
          <w:p w14:paraId="2BC3E2D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38927 </w:t>
            </w:r>
          </w:p>
        </w:tc>
        <w:tc>
          <w:tcPr>
            <w:tcW w:w="420" w:type="pct"/>
            <w:shd w:val="clear" w:color="auto" w:fill="auto"/>
            <w:noWrap/>
            <w:vAlign w:val="center"/>
          </w:tcPr>
          <w:p w14:paraId="7707F6D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38927 </w:t>
            </w:r>
          </w:p>
        </w:tc>
        <w:tc>
          <w:tcPr>
            <w:tcW w:w="375" w:type="pct"/>
            <w:shd w:val="clear" w:color="auto" w:fill="auto"/>
            <w:noWrap/>
            <w:vAlign w:val="center"/>
          </w:tcPr>
          <w:p w14:paraId="194C969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833404 </w:t>
            </w:r>
          </w:p>
        </w:tc>
        <w:tc>
          <w:tcPr>
            <w:tcW w:w="375" w:type="pct"/>
            <w:shd w:val="clear" w:color="auto" w:fill="auto"/>
            <w:noWrap/>
            <w:vAlign w:val="center"/>
          </w:tcPr>
          <w:p w14:paraId="291DBD5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833404 </w:t>
            </w:r>
          </w:p>
        </w:tc>
      </w:tr>
    </w:tbl>
    <w:p w14:paraId="103384DA">
      <w:pPr>
        <w:ind w:firstLine="480"/>
        <w:rPr>
          <w:rFonts w:cs="Times New Roman"/>
          <w:color w:val="000000" w:themeColor="text1"/>
          <w14:textFill>
            <w14:solidFill>
              <w14:schemeClr w14:val="tx1"/>
            </w14:solidFill>
          </w14:textFill>
        </w:rPr>
        <w:sectPr>
          <w:headerReference r:id="rId30" w:type="default"/>
          <w:footerReference r:id="rId31" w:type="default"/>
          <w:pgSz w:w="16838" w:h="11906" w:orient="landscape"/>
          <w:pgMar w:top="1418" w:right="1418" w:bottom="1418" w:left="1418" w:header="850" w:footer="850" w:gutter="0"/>
          <w:cols w:space="720" w:num="1"/>
          <w:docGrid w:linePitch="326" w:charSpace="0"/>
        </w:sectPr>
      </w:pPr>
    </w:p>
    <w:p w14:paraId="299B41D2">
      <w:pPr>
        <w:pStyle w:val="46"/>
        <w:widowControl w:val="0"/>
        <w:numPr>
          <w:ilvl w:val="0"/>
          <w:numId w:val="4"/>
        </w:numPr>
        <w:ind w:firstLineChars="0"/>
        <w:rPr>
          <w:rFonts w:cs="Times New Roman"/>
          <w:bCs/>
        </w:rPr>
      </w:pPr>
      <w:r>
        <w:rPr>
          <w:rFonts w:cs="Times New Roman"/>
          <w:bCs/>
        </w:rPr>
        <w:t>未建区域土石方平衡</w:t>
      </w:r>
    </w:p>
    <w:p w14:paraId="2950884E">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根据上述已</w:t>
      </w:r>
      <w:r>
        <w:rPr>
          <w:rFonts w:hint="eastAsia" w:cs="Times New Roman"/>
          <w:color w:val="000000" w:themeColor="text1"/>
          <w14:textFill>
            <w14:solidFill>
              <w14:schemeClr w14:val="tx1"/>
            </w14:solidFill>
          </w14:textFill>
        </w:rPr>
        <w:t>编报水土保持方案</w:t>
      </w:r>
      <w:r>
        <w:rPr>
          <w:rFonts w:cs="Times New Roman"/>
          <w:color w:val="000000" w:themeColor="text1"/>
          <w14:textFill>
            <w14:solidFill>
              <w14:schemeClr w14:val="tx1"/>
            </w14:solidFill>
          </w14:textFill>
        </w:rPr>
        <w:t>项目土方实际产生量，对本次金山产业园同类型项目按面积比例推算土方挖填量。</w:t>
      </w:r>
    </w:p>
    <w:p w14:paraId="023DB33C">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未建区占地面积为315.81hm²，均为地块1用地，其中，工业用地未建区占地面积308.20hm²，交通运输用地占地面积7.61hm²，未建区可剥离表土面积47.85hm²，表土剥离量为9.57万m³，均用于后期园区绿化。经计算，未建项目挖方172.23万m³（含表土9.57万m³），填方172.23万m³（含表土9.57万m³）。</w:t>
      </w:r>
    </w:p>
    <w:p w14:paraId="2A65E5E3">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园区南侧有部分村庄建设用地，用地面积约18.5hm²，村庄搬迁后，村庄进行拆除，产生建筑垃圾约3.51万m³，建筑垃圾经破碎后，用于在建区域场地低洼处回填使用。</w:t>
      </w:r>
    </w:p>
    <w:p w14:paraId="57F6AF80">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推算结果，园区未建区域开挖土石方总量175.74万m³（其中表土9.57万m³，建筑垃圾3.51万m³，土石方162.66万m³），填筑土石方总量175.74万m³（其中表土9.57万m³，建筑垃圾3.51万m³，土石方162.66万m³），无借方，无余方。</w:t>
      </w:r>
    </w:p>
    <w:p w14:paraId="6762BB2B">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园区未建区土石方平衡见表1-17。</w:t>
      </w:r>
    </w:p>
    <w:p w14:paraId="1D741F6B">
      <w:pPr>
        <w:widowControl w:val="0"/>
        <w:ind w:firstLine="480"/>
        <w:rPr>
          <w:rFonts w:cs="Times New Roman"/>
          <w:color w:val="000000" w:themeColor="text1"/>
          <w14:textFill>
            <w14:solidFill>
              <w14:schemeClr w14:val="tx1"/>
            </w14:solidFill>
          </w14:textFill>
        </w:rPr>
        <w:sectPr>
          <w:headerReference r:id="rId32" w:type="default"/>
          <w:footerReference r:id="rId33" w:type="default"/>
          <w:pgSz w:w="11907" w:h="16839"/>
          <w:pgMar w:top="1418" w:right="1418" w:bottom="1418" w:left="1418" w:header="850" w:footer="850" w:gutter="0"/>
          <w:cols w:space="720" w:num="1"/>
          <w:docGrid w:linePitch="326" w:charSpace="0"/>
        </w:sectPr>
      </w:pPr>
    </w:p>
    <w:p w14:paraId="7C665600">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表1-</w:t>
      </w:r>
      <w:bookmarkStart w:id="136" w:name="_Hlk88771055"/>
      <w:r>
        <w:rPr>
          <w:color w:val="000000" w:themeColor="text1"/>
          <w:lang w:eastAsia="zh-CN"/>
          <w14:textFill>
            <w14:solidFill>
              <w14:schemeClr w14:val="tx1"/>
            </w14:solidFill>
          </w14:textFill>
        </w:rPr>
        <w:t>17                                                                         园区</w:t>
      </w:r>
      <w:r>
        <w:rPr>
          <w:rFonts w:hint="eastAsia"/>
          <w:color w:val="000000" w:themeColor="text1"/>
          <w:lang w:eastAsia="zh-CN"/>
          <w14:textFill>
            <w14:solidFill>
              <w14:schemeClr w14:val="tx1"/>
            </w14:solidFill>
          </w14:textFill>
        </w:rPr>
        <w:t>未</w:t>
      </w:r>
      <w:r>
        <w:rPr>
          <w:color w:val="000000" w:themeColor="text1"/>
          <w:lang w:eastAsia="zh-CN"/>
          <w14:textFill>
            <w14:solidFill>
              <w14:schemeClr w14:val="tx1"/>
            </w14:solidFill>
          </w14:textFill>
        </w:rPr>
        <w:t>建区土石方平衡表</w:t>
      </w:r>
      <w:bookmarkEnd w:id="136"/>
      <w:r>
        <w:rPr>
          <w:color w:val="000000" w:themeColor="text1"/>
          <w:lang w:eastAsia="zh-CN"/>
          <w14:textFill>
            <w14:solidFill>
              <w14:schemeClr w14:val="tx1"/>
            </w14:solidFill>
          </w14:textFill>
        </w:rPr>
        <w:t xml:space="preserve">                                                    （单位：万m³）</w:t>
      </w:r>
    </w:p>
    <w:tbl>
      <w:tblPr>
        <w:tblStyle w:val="27"/>
        <w:tblW w:w="0" w:type="auto"/>
        <w:jc w:val="center"/>
        <w:tblLayout w:type="autofit"/>
        <w:tblCellMar>
          <w:top w:w="0" w:type="dxa"/>
          <w:left w:w="108" w:type="dxa"/>
          <w:bottom w:w="0" w:type="dxa"/>
          <w:right w:w="108" w:type="dxa"/>
        </w:tblCellMar>
      </w:tblPr>
      <w:tblGrid>
        <w:gridCol w:w="538"/>
        <w:gridCol w:w="511"/>
        <w:gridCol w:w="2526"/>
        <w:gridCol w:w="1476"/>
        <w:gridCol w:w="1053"/>
        <w:gridCol w:w="1053"/>
        <w:gridCol w:w="794"/>
        <w:gridCol w:w="794"/>
        <w:gridCol w:w="440"/>
        <w:gridCol w:w="440"/>
        <w:gridCol w:w="599"/>
        <w:gridCol w:w="599"/>
        <w:gridCol w:w="451"/>
        <w:gridCol w:w="451"/>
        <w:gridCol w:w="801"/>
        <w:gridCol w:w="801"/>
        <w:gridCol w:w="446"/>
        <w:gridCol w:w="446"/>
      </w:tblGrid>
      <w:tr w14:paraId="755F6678">
        <w:tblPrEx>
          <w:tblCellMar>
            <w:top w:w="0" w:type="dxa"/>
            <w:left w:w="108" w:type="dxa"/>
            <w:bottom w:w="0" w:type="dxa"/>
            <w:right w:w="108" w:type="dxa"/>
          </w:tblCellMar>
        </w:tblPrEx>
        <w:trPr>
          <w:trHeight w:val="369" w:hRule="atLeast"/>
          <w:jc w:val="center"/>
        </w:trPr>
        <w:tc>
          <w:tcPr>
            <w:tcW w:w="0" w:type="auto"/>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CE12F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分区名称</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5B0A7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用地性质</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EC3FF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已建区域面积（hm²）</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9DA35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未建区域面积（hm²）</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0358D8A8">
            <w:pPr>
              <w:spacing w:line="240" w:lineRule="auto"/>
              <w:ind w:firstLine="210" w:firstLineChars="10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已发生土石方量</w:t>
            </w:r>
          </w:p>
          <w:p w14:paraId="0DE52427">
            <w:pPr>
              <w:spacing w:line="240" w:lineRule="auto"/>
              <w:ind w:firstLine="210" w:firstLineChars="10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（万m³）</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3112F86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单位面积土石方量（万 m³/hm²）</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14A3B8C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按比例换算后土石方量（万 m³）</w:t>
            </w:r>
          </w:p>
        </w:tc>
      </w:tr>
      <w:tr w14:paraId="287352E3">
        <w:tblPrEx>
          <w:tblCellMar>
            <w:top w:w="0" w:type="dxa"/>
            <w:left w:w="108" w:type="dxa"/>
            <w:bottom w:w="0" w:type="dxa"/>
            <w:right w:w="108" w:type="dxa"/>
          </w:tblCellMar>
        </w:tblPrEx>
        <w:trPr>
          <w:trHeight w:val="369" w:hRule="atLeast"/>
          <w:jc w:val="center"/>
        </w:trPr>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14:paraId="2F1547E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single" w:color="auto" w:sz="4" w:space="0"/>
              <w:left w:val="single" w:color="auto" w:sz="4" w:space="0"/>
              <w:bottom w:val="double" w:color="auto" w:sz="4" w:space="0"/>
              <w:right w:val="single" w:color="auto" w:sz="4" w:space="0"/>
            </w:tcBorders>
            <w:vAlign w:val="center"/>
          </w:tcPr>
          <w:p w14:paraId="4E9D8F2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single" w:color="auto" w:sz="4" w:space="0"/>
              <w:left w:val="single" w:color="auto" w:sz="4" w:space="0"/>
              <w:bottom w:val="double" w:color="auto" w:sz="4" w:space="0"/>
              <w:right w:val="single" w:color="auto" w:sz="4" w:space="0"/>
            </w:tcBorders>
            <w:vAlign w:val="center"/>
          </w:tcPr>
          <w:p w14:paraId="2ED5CAD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single" w:color="auto" w:sz="4" w:space="0"/>
              <w:left w:val="single" w:color="auto" w:sz="4" w:space="0"/>
              <w:bottom w:val="double" w:color="auto" w:sz="4" w:space="0"/>
              <w:right w:val="single" w:color="auto" w:sz="4" w:space="0"/>
            </w:tcBorders>
            <w:vAlign w:val="center"/>
          </w:tcPr>
          <w:p w14:paraId="3D23044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tcBorders>
              <w:top w:val="nil"/>
              <w:left w:val="nil"/>
              <w:bottom w:val="double" w:color="auto" w:sz="4" w:space="0"/>
              <w:right w:val="single" w:color="auto" w:sz="4" w:space="0"/>
            </w:tcBorders>
            <w:shd w:val="clear" w:color="auto" w:fill="auto"/>
            <w:vAlign w:val="center"/>
          </w:tcPr>
          <w:p w14:paraId="12863F0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挖方</w:t>
            </w:r>
          </w:p>
        </w:tc>
        <w:tc>
          <w:tcPr>
            <w:tcW w:w="0" w:type="auto"/>
            <w:tcBorders>
              <w:top w:val="nil"/>
              <w:left w:val="nil"/>
              <w:bottom w:val="double" w:color="auto" w:sz="4" w:space="0"/>
              <w:right w:val="single" w:color="auto" w:sz="4" w:space="0"/>
            </w:tcBorders>
            <w:shd w:val="clear" w:color="auto" w:fill="auto"/>
            <w:vAlign w:val="center"/>
          </w:tcPr>
          <w:p w14:paraId="0FC91E5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填方</w:t>
            </w:r>
          </w:p>
        </w:tc>
        <w:tc>
          <w:tcPr>
            <w:tcW w:w="0" w:type="auto"/>
            <w:tcBorders>
              <w:top w:val="nil"/>
              <w:left w:val="nil"/>
              <w:bottom w:val="double" w:color="auto" w:sz="4" w:space="0"/>
              <w:right w:val="single" w:color="auto" w:sz="4" w:space="0"/>
            </w:tcBorders>
            <w:shd w:val="clear" w:color="auto" w:fill="auto"/>
            <w:vAlign w:val="center"/>
          </w:tcPr>
          <w:p w14:paraId="551E463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调入</w:t>
            </w:r>
          </w:p>
        </w:tc>
        <w:tc>
          <w:tcPr>
            <w:tcW w:w="0" w:type="auto"/>
            <w:tcBorders>
              <w:top w:val="nil"/>
              <w:left w:val="nil"/>
              <w:bottom w:val="double" w:color="auto" w:sz="4" w:space="0"/>
              <w:right w:val="single" w:color="auto" w:sz="4" w:space="0"/>
            </w:tcBorders>
            <w:shd w:val="clear" w:color="auto" w:fill="auto"/>
            <w:vAlign w:val="center"/>
          </w:tcPr>
          <w:p w14:paraId="62DF9BD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调出</w:t>
            </w:r>
          </w:p>
        </w:tc>
        <w:tc>
          <w:tcPr>
            <w:tcW w:w="0" w:type="auto"/>
            <w:tcBorders>
              <w:top w:val="nil"/>
              <w:left w:val="nil"/>
              <w:bottom w:val="double" w:color="auto" w:sz="4" w:space="0"/>
              <w:right w:val="single" w:color="auto" w:sz="4" w:space="0"/>
            </w:tcBorders>
            <w:shd w:val="clear" w:color="auto" w:fill="auto"/>
            <w:vAlign w:val="center"/>
          </w:tcPr>
          <w:p w14:paraId="7E584E5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挖方</w:t>
            </w:r>
          </w:p>
        </w:tc>
        <w:tc>
          <w:tcPr>
            <w:tcW w:w="0" w:type="auto"/>
            <w:tcBorders>
              <w:top w:val="nil"/>
              <w:left w:val="nil"/>
              <w:bottom w:val="double" w:color="auto" w:sz="4" w:space="0"/>
              <w:right w:val="single" w:color="auto" w:sz="4" w:space="0"/>
            </w:tcBorders>
            <w:shd w:val="clear" w:color="auto" w:fill="auto"/>
            <w:vAlign w:val="center"/>
          </w:tcPr>
          <w:p w14:paraId="235DE12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填方</w:t>
            </w:r>
          </w:p>
        </w:tc>
        <w:tc>
          <w:tcPr>
            <w:tcW w:w="0" w:type="auto"/>
            <w:tcBorders>
              <w:top w:val="nil"/>
              <w:left w:val="nil"/>
              <w:bottom w:val="double" w:color="auto" w:sz="4" w:space="0"/>
              <w:right w:val="single" w:color="auto" w:sz="4" w:space="0"/>
            </w:tcBorders>
            <w:shd w:val="clear" w:color="auto" w:fill="auto"/>
            <w:vAlign w:val="center"/>
          </w:tcPr>
          <w:p w14:paraId="34D2040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调入</w:t>
            </w:r>
          </w:p>
        </w:tc>
        <w:tc>
          <w:tcPr>
            <w:tcW w:w="0" w:type="auto"/>
            <w:tcBorders>
              <w:top w:val="nil"/>
              <w:left w:val="nil"/>
              <w:bottom w:val="double" w:color="auto" w:sz="4" w:space="0"/>
              <w:right w:val="single" w:color="auto" w:sz="4" w:space="0"/>
            </w:tcBorders>
            <w:shd w:val="clear" w:color="auto" w:fill="auto"/>
            <w:vAlign w:val="center"/>
          </w:tcPr>
          <w:p w14:paraId="7F641E9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调出</w:t>
            </w:r>
          </w:p>
        </w:tc>
        <w:tc>
          <w:tcPr>
            <w:tcW w:w="0" w:type="auto"/>
            <w:tcBorders>
              <w:top w:val="nil"/>
              <w:left w:val="nil"/>
              <w:bottom w:val="double" w:color="auto" w:sz="4" w:space="0"/>
              <w:right w:val="single" w:color="auto" w:sz="4" w:space="0"/>
            </w:tcBorders>
            <w:shd w:val="clear" w:color="auto" w:fill="auto"/>
            <w:vAlign w:val="center"/>
          </w:tcPr>
          <w:p w14:paraId="041AA8F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挖方</w:t>
            </w:r>
          </w:p>
        </w:tc>
        <w:tc>
          <w:tcPr>
            <w:tcW w:w="0" w:type="auto"/>
            <w:tcBorders>
              <w:top w:val="nil"/>
              <w:left w:val="nil"/>
              <w:bottom w:val="double" w:color="auto" w:sz="4" w:space="0"/>
              <w:right w:val="single" w:color="auto" w:sz="4" w:space="0"/>
            </w:tcBorders>
            <w:shd w:val="clear" w:color="auto" w:fill="auto"/>
            <w:vAlign w:val="center"/>
          </w:tcPr>
          <w:p w14:paraId="079D3B2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填方</w:t>
            </w:r>
          </w:p>
        </w:tc>
        <w:tc>
          <w:tcPr>
            <w:tcW w:w="0" w:type="auto"/>
            <w:tcBorders>
              <w:top w:val="nil"/>
              <w:left w:val="nil"/>
              <w:bottom w:val="double" w:color="auto" w:sz="4" w:space="0"/>
              <w:right w:val="single" w:color="auto" w:sz="4" w:space="0"/>
            </w:tcBorders>
            <w:shd w:val="clear" w:color="auto" w:fill="auto"/>
            <w:vAlign w:val="center"/>
          </w:tcPr>
          <w:p w14:paraId="1EC102D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借方</w:t>
            </w:r>
          </w:p>
        </w:tc>
        <w:tc>
          <w:tcPr>
            <w:tcW w:w="0" w:type="auto"/>
            <w:tcBorders>
              <w:top w:val="nil"/>
              <w:left w:val="nil"/>
              <w:bottom w:val="double" w:color="auto" w:sz="4" w:space="0"/>
              <w:right w:val="single" w:color="auto" w:sz="4" w:space="0"/>
            </w:tcBorders>
            <w:shd w:val="clear" w:color="auto" w:fill="auto"/>
            <w:vAlign w:val="center"/>
          </w:tcPr>
          <w:p w14:paraId="4287816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弃方</w:t>
            </w:r>
          </w:p>
        </w:tc>
      </w:tr>
      <w:tr w14:paraId="3F32E115">
        <w:tblPrEx>
          <w:tblCellMar>
            <w:top w:w="0" w:type="dxa"/>
            <w:left w:w="108" w:type="dxa"/>
            <w:bottom w:w="0" w:type="dxa"/>
            <w:right w:w="108" w:type="dxa"/>
          </w:tblCellMar>
        </w:tblPrEx>
        <w:trPr>
          <w:trHeight w:val="369" w:hRule="atLeast"/>
          <w:jc w:val="center"/>
        </w:trPr>
        <w:tc>
          <w:tcPr>
            <w:tcW w:w="0" w:type="auto"/>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1B99226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包头金山经济开发区</w:t>
            </w:r>
          </w:p>
        </w:tc>
        <w:tc>
          <w:tcPr>
            <w:tcW w:w="0" w:type="auto"/>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307AF96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金山产业园北区</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66505F4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公共管理与公共服务用地</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01F2E22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机关团体用地</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5913BBF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1.07 </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6343E61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416D4D2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0.51 </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549B820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0.51 </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222F9E9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7EEA90D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0166B9C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0.47 </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26F2BFA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0.47 </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56027CA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327D469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2747CB8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1D16A64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325761D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3260AE1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4F92A38C">
        <w:tblPrEx>
          <w:tblCellMar>
            <w:top w:w="0" w:type="dxa"/>
            <w:left w:w="108" w:type="dxa"/>
            <w:bottom w:w="0" w:type="dxa"/>
            <w:right w:w="108" w:type="dxa"/>
          </w:tblCellMar>
        </w:tblPrEx>
        <w:trPr>
          <w:trHeight w:val="369"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50AE545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263782B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vAlign w:val="center"/>
          </w:tcPr>
          <w:p w14:paraId="7FE8AF9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商业服务业用地</w:t>
            </w:r>
          </w:p>
        </w:tc>
        <w:tc>
          <w:tcPr>
            <w:tcW w:w="0" w:type="auto"/>
            <w:tcBorders>
              <w:top w:val="nil"/>
              <w:left w:val="nil"/>
              <w:bottom w:val="single" w:color="auto" w:sz="4" w:space="0"/>
              <w:right w:val="single" w:color="auto" w:sz="4" w:space="0"/>
            </w:tcBorders>
            <w:shd w:val="clear" w:color="auto" w:fill="auto"/>
            <w:noWrap/>
            <w:vAlign w:val="center"/>
          </w:tcPr>
          <w:p w14:paraId="3A27950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商业用地</w:t>
            </w:r>
          </w:p>
        </w:tc>
        <w:tc>
          <w:tcPr>
            <w:tcW w:w="0" w:type="auto"/>
            <w:tcBorders>
              <w:top w:val="nil"/>
              <w:left w:val="nil"/>
              <w:bottom w:val="single" w:color="auto" w:sz="4" w:space="0"/>
              <w:right w:val="single" w:color="auto" w:sz="4" w:space="0"/>
            </w:tcBorders>
            <w:shd w:val="clear" w:color="auto" w:fill="auto"/>
            <w:noWrap/>
            <w:vAlign w:val="center"/>
          </w:tcPr>
          <w:p w14:paraId="09C1EEC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4.37 </w:t>
            </w:r>
          </w:p>
        </w:tc>
        <w:tc>
          <w:tcPr>
            <w:tcW w:w="0" w:type="auto"/>
            <w:tcBorders>
              <w:top w:val="nil"/>
              <w:left w:val="nil"/>
              <w:bottom w:val="single" w:color="auto" w:sz="4" w:space="0"/>
              <w:right w:val="single" w:color="auto" w:sz="4" w:space="0"/>
            </w:tcBorders>
            <w:shd w:val="clear" w:color="auto" w:fill="auto"/>
            <w:noWrap/>
            <w:vAlign w:val="center"/>
          </w:tcPr>
          <w:p w14:paraId="23146F3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244698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2.07 </w:t>
            </w:r>
          </w:p>
        </w:tc>
        <w:tc>
          <w:tcPr>
            <w:tcW w:w="0" w:type="auto"/>
            <w:tcBorders>
              <w:top w:val="nil"/>
              <w:left w:val="nil"/>
              <w:bottom w:val="single" w:color="auto" w:sz="4" w:space="0"/>
              <w:right w:val="single" w:color="auto" w:sz="4" w:space="0"/>
            </w:tcBorders>
            <w:shd w:val="clear" w:color="auto" w:fill="auto"/>
            <w:noWrap/>
            <w:vAlign w:val="center"/>
          </w:tcPr>
          <w:p w14:paraId="0BE3F5F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2.07 </w:t>
            </w:r>
          </w:p>
        </w:tc>
        <w:tc>
          <w:tcPr>
            <w:tcW w:w="0" w:type="auto"/>
            <w:tcBorders>
              <w:top w:val="nil"/>
              <w:left w:val="nil"/>
              <w:bottom w:val="single" w:color="auto" w:sz="4" w:space="0"/>
              <w:right w:val="single" w:color="auto" w:sz="4" w:space="0"/>
            </w:tcBorders>
            <w:shd w:val="clear" w:color="auto" w:fill="auto"/>
            <w:noWrap/>
            <w:vAlign w:val="center"/>
          </w:tcPr>
          <w:p w14:paraId="1C1E372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6BC13A3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6F0494A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0.47 </w:t>
            </w:r>
          </w:p>
        </w:tc>
        <w:tc>
          <w:tcPr>
            <w:tcW w:w="0" w:type="auto"/>
            <w:tcBorders>
              <w:top w:val="nil"/>
              <w:left w:val="nil"/>
              <w:bottom w:val="single" w:color="auto" w:sz="4" w:space="0"/>
              <w:right w:val="single" w:color="auto" w:sz="4" w:space="0"/>
            </w:tcBorders>
            <w:shd w:val="clear" w:color="auto" w:fill="auto"/>
            <w:noWrap/>
            <w:vAlign w:val="center"/>
          </w:tcPr>
          <w:p w14:paraId="7FB2F77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0.47 </w:t>
            </w:r>
          </w:p>
        </w:tc>
        <w:tc>
          <w:tcPr>
            <w:tcW w:w="0" w:type="auto"/>
            <w:tcBorders>
              <w:top w:val="nil"/>
              <w:left w:val="nil"/>
              <w:bottom w:val="single" w:color="auto" w:sz="4" w:space="0"/>
              <w:right w:val="single" w:color="auto" w:sz="4" w:space="0"/>
            </w:tcBorders>
            <w:shd w:val="clear" w:color="auto" w:fill="auto"/>
            <w:noWrap/>
            <w:vAlign w:val="center"/>
          </w:tcPr>
          <w:p w14:paraId="7DD5E8D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B0E5BF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3AD4203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6B410E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E42DEF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5461E6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294C820A">
        <w:tblPrEx>
          <w:tblCellMar>
            <w:top w:w="0" w:type="dxa"/>
            <w:left w:w="108" w:type="dxa"/>
            <w:bottom w:w="0" w:type="dxa"/>
            <w:right w:w="108" w:type="dxa"/>
          </w:tblCellMar>
        </w:tblPrEx>
        <w:trPr>
          <w:trHeight w:val="369"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384CD2E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34487C0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vAlign w:val="center"/>
          </w:tcPr>
          <w:p w14:paraId="6ECF22F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0" w:type="auto"/>
            <w:tcBorders>
              <w:top w:val="nil"/>
              <w:left w:val="nil"/>
              <w:bottom w:val="single" w:color="auto" w:sz="4" w:space="0"/>
              <w:right w:val="single" w:color="auto" w:sz="4" w:space="0"/>
            </w:tcBorders>
            <w:shd w:val="clear" w:color="auto" w:fill="auto"/>
            <w:noWrap/>
            <w:vAlign w:val="center"/>
          </w:tcPr>
          <w:p w14:paraId="7A85339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工业用地</w:t>
            </w:r>
          </w:p>
        </w:tc>
        <w:tc>
          <w:tcPr>
            <w:tcW w:w="0" w:type="auto"/>
            <w:tcBorders>
              <w:top w:val="nil"/>
              <w:left w:val="nil"/>
              <w:bottom w:val="single" w:color="auto" w:sz="4" w:space="0"/>
              <w:right w:val="single" w:color="auto" w:sz="4" w:space="0"/>
            </w:tcBorders>
            <w:shd w:val="clear" w:color="auto" w:fill="auto"/>
            <w:noWrap/>
            <w:vAlign w:val="center"/>
          </w:tcPr>
          <w:p w14:paraId="1F345A1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696.08 </w:t>
            </w:r>
          </w:p>
        </w:tc>
        <w:tc>
          <w:tcPr>
            <w:tcW w:w="0" w:type="auto"/>
            <w:tcBorders>
              <w:top w:val="nil"/>
              <w:left w:val="nil"/>
              <w:bottom w:val="single" w:color="auto" w:sz="4" w:space="0"/>
              <w:right w:val="single" w:color="auto" w:sz="4" w:space="0"/>
            </w:tcBorders>
            <w:shd w:val="clear" w:color="auto" w:fill="auto"/>
            <w:noWrap/>
            <w:vAlign w:val="center"/>
          </w:tcPr>
          <w:p w14:paraId="4540F29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308.20 </w:t>
            </w:r>
          </w:p>
        </w:tc>
        <w:tc>
          <w:tcPr>
            <w:tcW w:w="0" w:type="auto"/>
            <w:tcBorders>
              <w:top w:val="nil"/>
              <w:left w:val="nil"/>
              <w:bottom w:val="single" w:color="auto" w:sz="4" w:space="0"/>
              <w:right w:val="single" w:color="auto" w:sz="4" w:space="0"/>
            </w:tcBorders>
            <w:shd w:val="clear" w:color="auto" w:fill="auto"/>
            <w:noWrap/>
            <w:vAlign w:val="center"/>
          </w:tcPr>
          <w:p w14:paraId="3B1EB8F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369.76 </w:t>
            </w:r>
          </w:p>
        </w:tc>
        <w:tc>
          <w:tcPr>
            <w:tcW w:w="0" w:type="auto"/>
            <w:tcBorders>
              <w:top w:val="nil"/>
              <w:left w:val="nil"/>
              <w:bottom w:val="single" w:color="auto" w:sz="4" w:space="0"/>
              <w:right w:val="single" w:color="auto" w:sz="4" w:space="0"/>
            </w:tcBorders>
            <w:shd w:val="clear" w:color="auto" w:fill="auto"/>
            <w:noWrap/>
            <w:vAlign w:val="center"/>
          </w:tcPr>
          <w:p w14:paraId="60E8E81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369.76 </w:t>
            </w:r>
          </w:p>
        </w:tc>
        <w:tc>
          <w:tcPr>
            <w:tcW w:w="0" w:type="auto"/>
            <w:tcBorders>
              <w:top w:val="nil"/>
              <w:left w:val="nil"/>
              <w:bottom w:val="single" w:color="auto" w:sz="4" w:space="0"/>
              <w:right w:val="single" w:color="auto" w:sz="4" w:space="0"/>
            </w:tcBorders>
            <w:shd w:val="clear" w:color="auto" w:fill="auto"/>
            <w:noWrap/>
            <w:vAlign w:val="center"/>
          </w:tcPr>
          <w:p w14:paraId="70313F1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018F82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22CCA6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0.53 </w:t>
            </w:r>
          </w:p>
        </w:tc>
        <w:tc>
          <w:tcPr>
            <w:tcW w:w="0" w:type="auto"/>
            <w:tcBorders>
              <w:top w:val="nil"/>
              <w:left w:val="nil"/>
              <w:bottom w:val="single" w:color="auto" w:sz="4" w:space="0"/>
              <w:right w:val="single" w:color="auto" w:sz="4" w:space="0"/>
            </w:tcBorders>
            <w:shd w:val="clear" w:color="auto" w:fill="auto"/>
            <w:noWrap/>
            <w:vAlign w:val="center"/>
          </w:tcPr>
          <w:p w14:paraId="19CFBFA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0.53 </w:t>
            </w:r>
          </w:p>
        </w:tc>
        <w:tc>
          <w:tcPr>
            <w:tcW w:w="0" w:type="auto"/>
            <w:tcBorders>
              <w:top w:val="nil"/>
              <w:left w:val="nil"/>
              <w:bottom w:val="single" w:color="auto" w:sz="4" w:space="0"/>
              <w:right w:val="single" w:color="auto" w:sz="4" w:space="0"/>
            </w:tcBorders>
            <w:shd w:val="clear" w:color="auto" w:fill="auto"/>
            <w:noWrap/>
            <w:vAlign w:val="center"/>
          </w:tcPr>
          <w:p w14:paraId="459B602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B0D50B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30E020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163.72 </w:t>
            </w:r>
          </w:p>
        </w:tc>
        <w:tc>
          <w:tcPr>
            <w:tcW w:w="0" w:type="auto"/>
            <w:tcBorders>
              <w:top w:val="nil"/>
              <w:left w:val="nil"/>
              <w:bottom w:val="single" w:color="auto" w:sz="4" w:space="0"/>
              <w:right w:val="single" w:color="auto" w:sz="4" w:space="0"/>
            </w:tcBorders>
            <w:shd w:val="clear" w:color="auto" w:fill="auto"/>
            <w:noWrap/>
            <w:vAlign w:val="center"/>
          </w:tcPr>
          <w:p w14:paraId="6C8573A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163.72 </w:t>
            </w:r>
          </w:p>
        </w:tc>
        <w:tc>
          <w:tcPr>
            <w:tcW w:w="0" w:type="auto"/>
            <w:tcBorders>
              <w:top w:val="nil"/>
              <w:left w:val="nil"/>
              <w:bottom w:val="single" w:color="auto" w:sz="4" w:space="0"/>
              <w:right w:val="single" w:color="auto" w:sz="4" w:space="0"/>
            </w:tcBorders>
            <w:shd w:val="clear" w:color="auto" w:fill="auto"/>
            <w:noWrap/>
            <w:vAlign w:val="center"/>
          </w:tcPr>
          <w:p w14:paraId="3E508FE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58C99D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32EE5378">
        <w:tblPrEx>
          <w:tblCellMar>
            <w:top w:w="0" w:type="dxa"/>
            <w:left w:w="108" w:type="dxa"/>
            <w:bottom w:w="0" w:type="dxa"/>
            <w:right w:w="108" w:type="dxa"/>
          </w:tblCellMar>
        </w:tblPrEx>
        <w:trPr>
          <w:trHeight w:val="369"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6418FF2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15F30D6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111804C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0" w:type="auto"/>
            <w:tcBorders>
              <w:top w:val="nil"/>
              <w:left w:val="nil"/>
              <w:bottom w:val="single" w:color="auto" w:sz="4" w:space="0"/>
              <w:right w:val="single" w:color="auto" w:sz="4" w:space="0"/>
            </w:tcBorders>
            <w:shd w:val="clear" w:color="auto" w:fill="auto"/>
            <w:noWrap/>
            <w:vAlign w:val="center"/>
          </w:tcPr>
          <w:p w14:paraId="7FDCCB1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城镇道路用地</w:t>
            </w:r>
          </w:p>
        </w:tc>
        <w:tc>
          <w:tcPr>
            <w:tcW w:w="0" w:type="auto"/>
            <w:tcBorders>
              <w:top w:val="nil"/>
              <w:left w:val="nil"/>
              <w:bottom w:val="single" w:color="auto" w:sz="4" w:space="0"/>
              <w:right w:val="single" w:color="auto" w:sz="4" w:space="0"/>
            </w:tcBorders>
            <w:shd w:val="clear" w:color="auto" w:fill="auto"/>
            <w:noWrap/>
            <w:vAlign w:val="center"/>
          </w:tcPr>
          <w:p w14:paraId="2FD3D61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71.01 </w:t>
            </w:r>
          </w:p>
        </w:tc>
        <w:tc>
          <w:tcPr>
            <w:tcW w:w="0" w:type="auto"/>
            <w:tcBorders>
              <w:top w:val="nil"/>
              <w:left w:val="nil"/>
              <w:bottom w:val="single" w:color="auto" w:sz="4" w:space="0"/>
              <w:right w:val="single" w:color="auto" w:sz="4" w:space="0"/>
            </w:tcBorders>
            <w:shd w:val="clear" w:color="auto" w:fill="auto"/>
            <w:noWrap/>
            <w:vAlign w:val="center"/>
          </w:tcPr>
          <w:p w14:paraId="0F652D6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7.61 </w:t>
            </w:r>
          </w:p>
        </w:tc>
        <w:tc>
          <w:tcPr>
            <w:tcW w:w="0" w:type="auto"/>
            <w:tcBorders>
              <w:top w:val="nil"/>
              <w:left w:val="nil"/>
              <w:bottom w:val="single" w:color="auto" w:sz="4" w:space="0"/>
              <w:right w:val="single" w:color="auto" w:sz="4" w:space="0"/>
            </w:tcBorders>
            <w:shd w:val="clear" w:color="auto" w:fill="auto"/>
            <w:noWrap/>
            <w:vAlign w:val="center"/>
          </w:tcPr>
          <w:p w14:paraId="2DA8B96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79.45 </w:t>
            </w:r>
          </w:p>
        </w:tc>
        <w:tc>
          <w:tcPr>
            <w:tcW w:w="0" w:type="auto"/>
            <w:tcBorders>
              <w:top w:val="nil"/>
              <w:left w:val="nil"/>
              <w:bottom w:val="single" w:color="auto" w:sz="4" w:space="0"/>
              <w:right w:val="single" w:color="auto" w:sz="4" w:space="0"/>
            </w:tcBorders>
            <w:shd w:val="clear" w:color="auto" w:fill="auto"/>
            <w:noWrap/>
            <w:vAlign w:val="center"/>
          </w:tcPr>
          <w:p w14:paraId="49568C3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79.45 </w:t>
            </w:r>
          </w:p>
        </w:tc>
        <w:tc>
          <w:tcPr>
            <w:tcW w:w="0" w:type="auto"/>
            <w:tcBorders>
              <w:top w:val="nil"/>
              <w:left w:val="nil"/>
              <w:bottom w:val="single" w:color="auto" w:sz="4" w:space="0"/>
              <w:right w:val="single" w:color="auto" w:sz="4" w:space="0"/>
            </w:tcBorders>
            <w:shd w:val="clear" w:color="auto" w:fill="auto"/>
            <w:noWrap/>
            <w:vAlign w:val="center"/>
          </w:tcPr>
          <w:p w14:paraId="0F5CA5B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357D43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CAC56C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1.12 </w:t>
            </w:r>
          </w:p>
        </w:tc>
        <w:tc>
          <w:tcPr>
            <w:tcW w:w="0" w:type="auto"/>
            <w:tcBorders>
              <w:top w:val="nil"/>
              <w:left w:val="nil"/>
              <w:bottom w:val="single" w:color="auto" w:sz="4" w:space="0"/>
              <w:right w:val="single" w:color="auto" w:sz="4" w:space="0"/>
            </w:tcBorders>
            <w:shd w:val="clear" w:color="auto" w:fill="auto"/>
            <w:noWrap/>
            <w:vAlign w:val="center"/>
          </w:tcPr>
          <w:p w14:paraId="0019E6A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1.12 </w:t>
            </w:r>
          </w:p>
        </w:tc>
        <w:tc>
          <w:tcPr>
            <w:tcW w:w="0" w:type="auto"/>
            <w:tcBorders>
              <w:top w:val="nil"/>
              <w:left w:val="nil"/>
              <w:bottom w:val="single" w:color="auto" w:sz="4" w:space="0"/>
              <w:right w:val="single" w:color="auto" w:sz="4" w:space="0"/>
            </w:tcBorders>
            <w:shd w:val="clear" w:color="auto" w:fill="auto"/>
            <w:noWrap/>
            <w:vAlign w:val="center"/>
          </w:tcPr>
          <w:p w14:paraId="1E4F6A5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648B267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9CCD03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8.51 </w:t>
            </w:r>
          </w:p>
        </w:tc>
        <w:tc>
          <w:tcPr>
            <w:tcW w:w="0" w:type="auto"/>
            <w:tcBorders>
              <w:top w:val="nil"/>
              <w:left w:val="nil"/>
              <w:bottom w:val="single" w:color="auto" w:sz="4" w:space="0"/>
              <w:right w:val="single" w:color="auto" w:sz="4" w:space="0"/>
            </w:tcBorders>
            <w:shd w:val="clear" w:color="auto" w:fill="auto"/>
            <w:noWrap/>
            <w:vAlign w:val="center"/>
          </w:tcPr>
          <w:p w14:paraId="7742087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8.51 </w:t>
            </w:r>
          </w:p>
        </w:tc>
        <w:tc>
          <w:tcPr>
            <w:tcW w:w="0" w:type="auto"/>
            <w:tcBorders>
              <w:top w:val="nil"/>
              <w:left w:val="nil"/>
              <w:bottom w:val="single" w:color="auto" w:sz="4" w:space="0"/>
              <w:right w:val="single" w:color="auto" w:sz="4" w:space="0"/>
            </w:tcBorders>
            <w:shd w:val="clear" w:color="auto" w:fill="auto"/>
            <w:noWrap/>
            <w:vAlign w:val="center"/>
          </w:tcPr>
          <w:p w14:paraId="1B9560D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60F4691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090809AB">
        <w:tblPrEx>
          <w:tblCellMar>
            <w:top w:w="0" w:type="dxa"/>
            <w:left w:w="108" w:type="dxa"/>
            <w:bottom w:w="0" w:type="dxa"/>
            <w:right w:w="108" w:type="dxa"/>
          </w:tblCellMar>
        </w:tblPrEx>
        <w:trPr>
          <w:trHeight w:val="369"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7B58E1A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11CEF7F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241E0B9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vAlign w:val="center"/>
          </w:tcPr>
          <w:p w14:paraId="50EFC9F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交通场站用地</w:t>
            </w:r>
          </w:p>
        </w:tc>
        <w:tc>
          <w:tcPr>
            <w:tcW w:w="0" w:type="auto"/>
            <w:tcBorders>
              <w:top w:val="nil"/>
              <w:left w:val="nil"/>
              <w:bottom w:val="single" w:color="auto" w:sz="4" w:space="0"/>
              <w:right w:val="single" w:color="auto" w:sz="4" w:space="0"/>
            </w:tcBorders>
            <w:shd w:val="clear" w:color="auto" w:fill="auto"/>
            <w:noWrap/>
            <w:vAlign w:val="center"/>
          </w:tcPr>
          <w:p w14:paraId="5633C5E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12.08 </w:t>
            </w:r>
          </w:p>
        </w:tc>
        <w:tc>
          <w:tcPr>
            <w:tcW w:w="0" w:type="auto"/>
            <w:tcBorders>
              <w:top w:val="nil"/>
              <w:left w:val="nil"/>
              <w:bottom w:val="single" w:color="auto" w:sz="4" w:space="0"/>
              <w:right w:val="single" w:color="auto" w:sz="4" w:space="0"/>
            </w:tcBorders>
            <w:shd w:val="clear" w:color="auto" w:fill="auto"/>
            <w:noWrap/>
            <w:vAlign w:val="center"/>
          </w:tcPr>
          <w:p w14:paraId="323CE3B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067B1D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5.71 </w:t>
            </w:r>
          </w:p>
        </w:tc>
        <w:tc>
          <w:tcPr>
            <w:tcW w:w="0" w:type="auto"/>
            <w:tcBorders>
              <w:top w:val="nil"/>
              <w:left w:val="nil"/>
              <w:bottom w:val="single" w:color="auto" w:sz="4" w:space="0"/>
              <w:right w:val="single" w:color="auto" w:sz="4" w:space="0"/>
            </w:tcBorders>
            <w:shd w:val="clear" w:color="auto" w:fill="auto"/>
            <w:noWrap/>
            <w:vAlign w:val="center"/>
          </w:tcPr>
          <w:p w14:paraId="404491A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5.71 </w:t>
            </w:r>
          </w:p>
        </w:tc>
        <w:tc>
          <w:tcPr>
            <w:tcW w:w="0" w:type="auto"/>
            <w:tcBorders>
              <w:top w:val="nil"/>
              <w:left w:val="nil"/>
              <w:bottom w:val="single" w:color="auto" w:sz="4" w:space="0"/>
              <w:right w:val="single" w:color="auto" w:sz="4" w:space="0"/>
            </w:tcBorders>
            <w:shd w:val="clear" w:color="auto" w:fill="auto"/>
            <w:noWrap/>
            <w:vAlign w:val="center"/>
          </w:tcPr>
          <w:p w14:paraId="354C455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394E75D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B9375F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0.47 </w:t>
            </w:r>
          </w:p>
        </w:tc>
        <w:tc>
          <w:tcPr>
            <w:tcW w:w="0" w:type="auto"/>
            <w:tcBorders>
              <w:top w:val="nil"/>
              <w:left w:val="nil"/>
              <w:bottom w:val="single" w:color="auto" w:sz="4" w:space="0"/>
              <w:right w:val="single" w:color="auto" w:sz="4" w:space="0"/>
            </w:tcBorders>
            <w:shd w:val="clear" w:color="auto" w:fill="auto"/>
            <w:noWrap/>
            <w:vAlign w:val="center"/>
          </w:tcPr>
          <w:p w14:paraId="22CB7B2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0.47 </w:t>
            </w:r>
          </w:p>
        </w:tc>
        <w:tc>
          <w:tcPr>
            <w:tcW w:w="0" w:type="auto"/>
            <w:tcBorders>
              <w:top w:val="nil"/>
              <w:left w:val="nil"/>
              <w:bottom w:val="single" w:color="auto" w:sz="4" w:space="0"/>
              <w:right w:val="single" w:color="auto" w:sz="4" w:space="0"/>
            </w:tcBorders>
            <w:shd w:val="clear" w:color="auto" w:fill="auto"/>
            <w:noWrap/>
            <w:vAlign w:val="center"/>
          </w:tcPr>
          <w:p w14:paraId="3FAF911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CCF13C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33C0F0C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397A94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3848B4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F4DE40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62D5F5BA">
        <w:tblPrEx>
          <w:tblCellMar>
            <w:top w:w="0" w:type="dxa"/>
            <w:left w:w="108" w:type="dxa"/>
            <w:bottom w:w="0" w:type="dxa"/>
            <w:right w:w="108" w:type="dxa"/>
          </w:tblCellMar>
        </w:tblPrEx>
        <w:trPr>
          <w:trHeight w:val="369"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306EE25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5FD189E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59C3417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公用设施用地</w:t>
            </w:r>
          </w:p>
        </w:tc>
        <w:tc>
          <w:tcPr>
            <w:tcW w:w="0" w:type="auto"/>
            <w:tcBorders>
              <w:top w:val="nil"/>
              <w:left w:val="nil"/>
              <w:bottom w:val="single" w:color="auto" w:sz="4" w:space="0"/>
              <w:right w:val="single" w:color="auto" w:sz="4" w:space="0"/>
            </w:tcBorders>
            <w:shd w:val="clear" w:color="auto" w:fill="auto"/>
            <w:noWrap/>
            <w:vAlign w:val="center"/>
          </w:tcPr>
          <w:p w14:paraId="0115084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排水用地</w:t>
            </w:r>
          </w:p>
        </w:tc>
        <w:tc>
          <w:tcPr>
            <w:tcW w:w="0" w:type="auto"/>
            <w:tcBorders>
              <w:top w:val="nil"/>
              <w:left w:val="nil"/>
              <w:bottom w:val="single" w:color="auto" w:sz="4" w:space="0"/>
              <w:right w:val="single" w:color="auto" w:sz="4" w:space="0"/>
            </w:tcBorders>
            <w:shd w:val="clear" w:color="auto" w:fill="auto"/>
            <w:noWrap/>
            <w:vAlign w:val="center"/>
          </w:tcPr>
          <w:p w14:paraId="6592B7D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2.04 </w:t>
            </w:r>
          </w:p>
        </w:tc>
        <w:tc>
          <w:tcPr>
            <w:tcW w:w="0" w:type="auto"/>
            <w:tcBorders>
              <w:top w:val="nil"/>
              <w:left w:val="nil"/>
              <w:bottom w:val="single" w:color="auto" w:sz="4" w:space="0"/>
              <w:right w:val="single" w:color="auto" w:sz="4" w:space="0"/>
            </w:tcBorders>
            <w:shd w:val="clear" w:color="auto" w:fill="auto"/>
            <w:noWrap/>
            <w:vAlign w:val="center"/>
          </w:tcPr>
          <w:p w14:paraId="7AEE505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6B127F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0.96 </w:t>
            </w:r>
          </w:p>
        </w:tc>
        <w:tc>
          <w:tcPr>
            <w:tcW w:w="0" w:type="auto"/>
            <w:tcBorders>
              <w:top w:val="nil"/>
              <w:left w:val="nil"/>
              <w:bottom w:val="single" w:color="auto" w:sz="4" w:space="0"/>
              <w:right w:val="single" w:color="auto" w:sz="4" w:space="0"/>
            </w:tcBorders>
            <w:shd w:val="clear" w:color="auto" w:fill="auto"/>
            <w:noWrap/>
            <w:vAlign w:val="center"/>
          </w:tcPr>
          <w:p w14:paraId="4C1AAA1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0.96 </w:t>
            </w:r>
          </w:p>
        </w:tc>
        <w:tc>
          <w:tcPr>
            <w:tcW w:w="0" w:type="auto"/>
            <w:tcBorders>
              <w:top w:val="nil"/>
              <w:left w:val="nil"/>
              <w:bottom w:val="single" w:color="auto" w:sz="4" w:space="0"/>
              <w:right w:val="single" w:color="auto" w:sz="4" w:space="0"/>
            </w:tcBorders>
            <w:shd w:val="clear" w:color="auto" w:fill="auto"/>
            <w:noWrap/>
            <w:vAlign w:val="center"/>
          </w:tcPr>
          <w:p w14:paraId="531D6D4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C6C8CC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6CD710B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0.47 </w:t>
            </w:r>
          </w:p>
        </w:tc>
        <w:tc>
          <w:tcPr>
            <w:tcW w:w="0" w:type="auto"/>
            <w:tcBorders>
              <w:top w:val="nil"/>
              <w:left w:val="nil"/>
              <w:bottom w:val="single" w:color="auto" w:sz="4" w:space="0"/>
              <w:right w:val="single" w:color="auto" w:sz="4" w:space="0"/>
            </w:tcBorders>
            <w:shd w:val="clear" w:color="auto" w:fill="auto"/>
            <w:noWrap/>
            <w:vAlign w:val="center"/>
          </w:tcPr>
          <w:p w14:paraId="30AE09F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0.47 </w:t>
            </w:r>
          </w:p>
        </w:tc>
        <w:tc>
          <w:tcPr>
            <w:tcW w:w="0" w:type="auto"/>
            <w:tcBorders>
              <w:top w:val="nil"/>
              <w:left w:val="nil"/>
              <w:bottom w:val="single" w:color="auto" w:sz="4" w:space="0"/>
              <w:right w:val="single" w:color="auto" w:sz="4" w:space="0"/>
            </w:tcBorders>
            <w:shd w:val="clear" w:color="auto" w:fill="auto"/>
            <w:noWrap/>
            <w:vAlign w:val="center"/>
          </w:tcPr>
          <w:p w14:paraId="2F76561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D646D8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67F79DB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3212077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18D082A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117E7A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5A773777">
        <w:tblPrEx>
          <w:tblCellMar>
            <w:top w:w="0" w:type="dxa"/>
            <w:left w:w="108" w:type="dxa"/>
            <w:bottom w:w="0" w:type="dxa"/>
            <w:right w:w="108" w:type="dxa"/>
          </w:tblCellMar>
        </w:tblPrEx>
        <w:trPr>
          <w:trHeight w:val="369"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6045B22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306D307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0663C6A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vAlign w:val="center"/>
          </w:tcPr>
          <w:p w14:paraId="522D65F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供电用地</w:t>
            </w:r>
          </w:p>
        </w:tc>
        <w:tc>
          <w:tcPr>
            <w:tcW w:w="0" w:type="auto"/>
            <w:tcBorders>
              <w:top w:val="nil"/>
              <w:left w:val="nil"/>
              <w:bottom w:val="single" w:color="auto" w:sz="4" w:space="0"/>
              <w:right w:val="single" w:color="auto" w:sz="4" w:space="0"/>
            </w:tcBorders>
            <w:shd w:val="clear" w:color="auto" w:fill="auto"/>
            <w:noWrap/>
            <w:vAlign w:val="center"/>
          </w:tcPr>
          <w:p w14:paraId="46EA221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2.87 </w:t>
            </w:r>
          </w:p>
        </w:tc>
        <w:tc>
          <w:tcPr>
            <w:tcW w:w="0" w:type="auto"/>
            <w:tcBorders>
              <w:top w:val="nil"/>
              <w:left w:val="nil"/>
              <w:bottom w:val="single" w:color="auto" w:sz="4" w:space="0"/>
              <w:right w:val="single" w:color="auto" w:sz="4" w:space="0"/>
            </w:tcBorders>
            <w:shd w:val="clear" w:color="auto" w:fill="auto"/>
            <w:noWrap/>
            <w:vAlign w:val="center"/>
          </w:tcPr>
          <w:p w14:paraId="4705C9F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7F30C9A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1.36 </w:t>
            </w:r>
          </w:p>
        </w:tc>
        <w:tc>
          <w:tcPr>
            <w:tcW w:w="0" w:type="auto"/>
            <w:tcBorders>
              <w:top w:val="nil"/>
              <w:left w:val="nil"/>
              <w:bottom w:val="single" w:color="auto" w:sz="4" w:space="0"/>
              <w:right w:val="single" w:color="auto" w:sz="4" w:space="0"/>
            </w:tcBorders>
            <w:shd w:val="clear" w:color="auto" w:fill="auto"/>
            <w:noWrap/>
            <w:vAlign w:val="center"/>
          </w:tcPr>
          <w:p w14:paraId="5EAE91E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1.36 </w:t>
            </w:r>
          </w:p>
        </w:tc>
        <w:tc>
          <w:tcPr>
            <w:tcW w:w="0" w:type="auto"/>
            <w:tcBorders>
              <w:top w:val="nil"/>
              <w:left w:val="nil"/>
              <w:bottom w:val="single" w:color="auto" w:sz="4" w:space="0"/>
              <w:right w:val="single" w:color="auto" w:sz="4" w:space="0"/>
            </w:tcBorders>
            <w:shd w:val="clear" w:color="auto" w:fill="auto"/>
            <w:noWrap/>
            <w:vAlign w:val="center"/>
          </w:tcPr>
          <w:p w14:paraId="53BDAD9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6B97180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6F7913C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0.47 </w:t>
            </w:r>
          </w:p>
        </w:tc>
        <w:tc>
          <w:tcPr>
            <w:tcW w:w="0" w:type="auto"/>
            <w:tcBorders>
              <w:top w:val="nil"/>
              <w:left w:val="nil"/>
              <w:bottom w:val="single" w:color="auto" w:sz="4" w:space="0"/>
              <w:right w:val="single" w:color="auto" w:sz="4" w:space="0"/>
            </w:tcBorders>
            <w:shd w:val="clear" w:color="auto" w:fill="auto"/>
            <w:noWrap/>
            <w:vAlign w:val="center"/>
          </w:tcPr>
          <w:p w14:paraId="0CA8A79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0.47 </w:t>
            </w:r>
          </w:p>
        </w:tc>
        <w:tc>
          <w:tcPr>
            <w:tcW w:w="0" w:type="auto"/>
            <w:tcBorders>
              <w:top w:val="nil"/>
              <w:left w:val="nil"/>
              <w:bottom w:val="single" w:color="auto" w:sz="4" w:space="0"/>
              <w:right w:val="single" w:color="auto" w:sz="4" w:space="0"/>
            </w:tcBorders>
            <w:shd w:val="clear" w:color="auto" w:fill="auto"/>
            <w:noWrap/>
            <w:vAlign w:val="center"/>
          </w:tcPr>
          <w:p w14:paraId="708E34B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707D9FA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4B2A7E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36DA32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7DB4CA1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1E1F18A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4548ED4E">
        <w:tblPrEx>
          <w:tblCellMar>
            <w:top w:w="0" w:type="dxa"/>
            <w:left w:w="108" w:type="dxa"/>
            <w:bottom w:w="0" w:type="dxa"/>
            <w:right w:w="108" w:type="dxa"/>
          </w:tblCellMar>
        </w:tblPrEx>
        <w:trPr>
          <w:trHeight w:val="369"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4E237CB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26F1431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102F306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vAlign w:val="center"/>
          </w:tcPr>
          <w:p w14:paraId="1476B83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供燃气用地</w:t>
            </w:r>
          </w:p>
        </w:tc>
        <w:tc>
          <w:tcPr>
            <w:tcW w:w="0" w:type="auto"/>
            <w:tcBorders>
              <w:top w:val="nil"/>
              <w:left w:val="nil"/>
              <w:bottom w:val="single" w:color="auto" w:sz="4" w:space="0"/>
              <w:right w:val="single" w:color="auto" w:sz="4" w:space="0"/>
            </w:tcBorders>
            <w:shd w:val="clear" w:color="auto" w:fill="auto"/>
            <w:noWrap/>
            <w:vAlign w:val="center"/>
          </w:tcPr>
          <w:p w14:paraId="5B629B2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3.06 </w:t>
            </w:r>
          </w:p>
        </w:tc>
        <w:tc>
          <w:tcPr>
            <w:tcW w:w="0" w:type="auto"/>
            <w:tcBorders>
              <w:top w:val="nil"/>
              <w:left w:val="nil"/>
              <w:bottom w:val="single" w:color="auto" w:sz="4" w:space="0"/>
              <w:right w:val="single" w:color="auto" w:sz="4" w:space="0"/>
            </w:tcBorders>
            <w:shd w:val="clear" w:color="auto" w:fill="auto"/>
            <w:noWrap/>
            <w:vAlign w:val="center"/>
          </w:tcPr>
          <w:p w14:paraId="30A0167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54B18C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1.45 </w:t>
            </w:r>
          </w:p>
        </w:tc>
        <w:tc>
          <w:tcPr>
            <w:tcW w:w="0" w:type="auto"/>
            <w:tcBorders>
              <w:top w:val="nil"/>
              <w:left w:val="nil"/>
              <w:bottom w:val="single" w:color="auto" w:sz="4" w:space="0"/>
              <w:right w:val="single" w:color="auto" w:sz="4" w:space="0"/>
            </w:tcBorders>
            <w:shd w:val="clear" w:color="auto" w:fill="auto"/>
            <w:noWrap/>
            <w:vAlign w:val="center"/>
          </w:tcPr>
          <w:p w14:paraId="248BF92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1.45 </w:t>
            </w:r>
          </w:p>
        </w:tc>
        <w:tc>
          <w:tcPr>
            <w:tcW w:w="0" w:type="auto"/>
            <w:tcBorders>
              <w:top w:val="nil"/>
              <w:left w:val="nil"/>
              <w:bottom w:val="single" w:color="auto" w:sz="4" w:space="0"/>
              <w:right w:val="single" w:color="auto" w:sz="4" w:space="0"/>
            </w:tcBorders>
            <w:shd w:val="clear" w:color="auto" w:fill="auto"/>
            <w:noWrap/>
            <w:vAlign w:val="center"/>
          </w:tcPr>
          <w:p w14:paraId="64B04F4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7571C50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0BE176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0.47 </w:t>
            </w:r>
          </w:p>
        </w:tc>
        <w:tc>
          <w:tcPr>
            <w:tcW w:w="0" w:type="auto"/>
            <w:tcBorders>
              <w:top w:val="nil"/>
              <w:left w:val="nil"/>
              <w:bottom w:val="single" w:color="auto" w:sz="4" w:space="0"/>
              <w:right w:val="single" w:color="auto" w:sz="4" w:space="0"/>
            </w:tcBorders>
            <w:shd w:val="clear" w:color="auto" w:fill="auto"/>
            <w:noWrap/>
            <w:vAlign w:val="center"/>
          </w:tcPr>
          <w:p w14:paraId="37BE054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0.47 </w:t>
            </w:r>
          </w:p>
        </w:tc>
        <w:tc>
          <w:tcPr>
            <w:tcW w:w="0" w:type="auto"/>
            <w:tcBorders>
              <w:top w:val="nil"/>
              <w:left w:val="nil"/>
              <w:bottom w:val="single" w:color="auto" w:sz="4" w:space="0"/>
              <w:right w:val="single" w:color="auto" w:sz="4" w:space="0"/>
            </w:tcBorders>
            <w:shd w:val="clear" w:color="auto" w:fill="auto"/>
            <w:noWrap/>
            <w:vAlign w:val="center"/>
          </w:tcPr>
          <w:p w14:paraId="5E0F9AC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229A76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FA18C3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198C5E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65F72DD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60BE7EA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38A25EFA">
        <w:tblPrEx>
          <w:tblCellMar>
            <w:top w:w="0" w:type="dxa"/>
            <w:left w:w="108" w:type="dxa"/>
            <w:bottom w:w="0" w:type="dxa"/>
            <w:right w:w="108" w:type="dxa"/>
          </w:tblCellMar>
        </w:tblPrEx>
        <w:trPr>
          <w:trHeight w:val="369"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6377F0B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34483D3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0C79A2C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vAlign w:val="center"/>
          </w:tcPr>
          <w:p w14:paraId="1D8A283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环卫用地</w:t>
            </w:r>
          </w:p>
        </w:tc>
        <w:tc>
          <w:tcPr>
            <w:tcW w:w="0" w:type="auto"/>
            <w:tcBorders>
              <w:top w:val="nil"/>
              <w:left w:val="nil"/>
              <w:bottom w:val="single" w:color="auto" w:sz="4" w:space="0"/>
              <w:right w:val="single" w:color="auto" w:sz="4" w:space="0"/>
            </w:tcBorders>
            <w:shd w:val="clear" w:color="auto" w:fill="auto"/>
            <w:noWrap/>
            <w:vAlign w:val="center"/>
          </w:tcPr>
          <w:p w14:paraId="0DEB614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2.04 </w:t>
            </w:r>
          </w:p>
        </w:tc>
        <w:tc>
          <w:tcPr>
            <w:tcW w:w="0" w:type="auto"/>
            <w:tcBorders>
              <w:top w:val="nil"/>
              <w:left w:val="nil"/>
              <w:bottom w:val="single" w:color="auto" w:sz="4" w:space="0"/>
              <w:right w:val="single" w:color="auto" w:sz="4" w:space="0"/>
            </w:tcBorders>
            <w:shd w:val="clear" w:color="auto" w:fill="auto"/>
            <w:noWrap/>
            <w:vAlign w:val="center"/>
          </w:tcPr>
          <w:p w14:paraId="12884A5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49DED0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0.96 </w:t>
            </w:r>
          </w:p>
        </w:tc>
        <w:tc>
          <w:tcPr>
            <w:tcW w:w="0" w:type="auto"/>
            <w:tcBorders>
              <w:top w:val="nil"/>
              <w:left w:val="nil"/>
              <w:bottom w:val="single" w:color="auto" w:sz="4" w:space="0"/>
              <w:right w:val="single" w:color="auto" w:sz="4" w:space="0"/>
            </w:tcBorders>
            <w:shd w:val="clear" w:color="auto" w:fill="auto"/>
            <w:noWrap/>
            <w:vAlign w:val="center"/>
          </w:tcPr>
          <w:p w14:paraId="03F3454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0.96 </w:t>
            </w:r>
          </w:p>
        </w:tc>
        <w:tc>
          <w:tcPr>
            <w:tcW w:w="0" w:type="auto"/>
            <w:tcBorders>
              <w:top w:val="nil"/>
              <w:left w:val="nil"/>
              <w:bottom w:val="single" w:color="auto" w:sz="4" w:space="0"/>
              <w:right w:val="single" w:color="auto" w:sz="4" w:space="0"/>
            </w:tcBorders>
            <w:shd w:val="clear" w:color="auto" w:fill="auto"/>
            <w:noWrap/>
            <w:vAlign w:val="center"/>
          </w:tcPr>
          <w:p w14:paraId="7F3F4CC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60B2416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37650B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0.47 </w:t>
            </w:r>
          </w:p>
        </w:tc>
        <w:tc>
          <w:tcPr>
            <w:tcW w:w="0" w:type="auto"/>
            <w:tcBorders>
              <w:top w:val="nil"/>
              <w:left w:val="nil"/>
              <w:bottom w:val="single" w:color="auto" w:sz="4" w:space="0"/>
              <w:right w:val="single" w:color="auto" w:sz="4" w:space="0"/>
            </w:tcBorders>
            <w:shd w:val="clear" w:color="auto" w:fill="auto"/>
            <w:noWrap/>
            <w:vAlign w:val="center"/>
          </w:tcPr>
          <w:p w14:paraId="67AD4D4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0.47 </w:t>
            </w:r>
          </w:p>
        </w:tc>
        <w:tc>
          <w:tcPr>
            <w:tcW w:w="0" w:type="auto"/>
            <w:tcBorders>
              <w:top w:val="nil"/>
              <w:left w:val="nil"/>
              <w:bottom w:val="single" w:color="auto" w:sz="4" w:space="0"/>
              <w:right w:val="single" w:color="auto" w:sz="4" w:space="0"/>
            </w:tcBorders>
            <w:shd w:val="clear" w:color="auto" w:fill="auto"/>
            <w:noWrap/>
            <w:vAlign w:val="center"/>
          </w:tcPr>
          <w:p w14:paraId="762988A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D9D67D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EF108F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D01712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BA28E5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855257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586F05B9">
        <w:tblPrEx>
          <w:tblCellMar>
            <w:top w:w="0" w:type="dxa"/>
            <w:left w:w="108" w:type="dxa"/>
            <w:bottom w:w="0" w:type="dxa"/>
            <w:right w:w="108" w:type="dxa"/>
          </w:tblCellMar>
        </w:tblPrEx>
        <w:trPr>
          <w:trHeight w:val="369"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5F127A2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44916A9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2F42BBF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vAlign w:val="center"/>
          </w:tcPr>
          <w:p w14:paraId="372DE6C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消防用地</w:t>
            </w:r>
          </w:p>
        </w:tc>
        <w:tc>
          <w:tcPr>
            <w:tcW w:w="0" w:type="auto"/>
            <w:tcBorders>
              <w:top w:val="nil"/>
              <w:left w:val="nil"/>
              <w:bottom w:val="single" w:color="auto" w:sz="4" w:space="0"/>
              <w:right w:val="single" w:color="auto" w:sz="4" w:space="0"/>
            </w:tcBorders>
            <w:shd w:val="clear" w:color="auto" w:fill="auto"/>
            <w:noWrap/>
            <w:vAlign w:val="center"/>
          </w:tcPr>
          <w:p w14:paraId="62C2619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0.65 </w:t>
            </w:r>
          </w:p>
        </w:tc>
        <w:tc>
          <w:tcPr>
            <w:tcW w:w="0" w:type="auto"/>
            <w:tcBorders>
              <w:top w:val="nil"/>
              <w:left w:val="nil"/>
              <w:bottom w:val="single" w:color="auto" w:sz="4" w:space="0"/>
              <w:right w:val="single" w:color="auto" w:sz="4" w:space="0"/>
            </w:tcBorders>
            <w:shd w:val="clear" w:color="auto" w:fill="auto"/>
            <w:noWrap/>
            <w:vAlign w:val="center"/>
          </w:tcPr>
          <w:p w14:paraId="60EAADE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E9B56D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0.31 </w:t>
            </w:r>
          </w:p>
        </w:tc>
        <w:tc>
          <w:tcPr>
            <w:tcW w:w="0" w:type="auto"/>
            <w:tcBorders>
              <w:top w:val="nil"/>
              <w:left w:val="nil"/>
              <w:bottom w:val="single" w:color="auto" w:sz="4" w:space="0"/>
              <w:right w:val="single" w:color="auto" w:sz="4" w:space="0"/>
            </w:tcBorders>
            <w:shd w:val="clear" w:color="auto" w:fill="auto"/>
            <w:noWrap/>
            <w:vAlign w:val="center"/>
          </w:tcPr>
          <w:p w14:paraId="788CF1C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0.31 </w:t>
            </w:r>
          </w:p>
        </w:tc>
        <w:tc>
          <w:tcPr>
            <w:tcW w:w="0" w:type="auto"/>
            <w:tcBorders>
              <w:top w:val="nil"/>
              <w:left w:val="nil"/>
              <w:bottom w:val="single" w:color="auto" w:sz="4" w:space="0"/>
              <w:right w:val="single" w:color="auto" w:sz="4" w:space="0"/>
            </w:tcBorders>
            <w:shd w:val="clear" w:color="auto" w:fill="auto"/>
            <w:noWrap/>
            <w:vAlign w:val="center"/>
          </w:tcPr>
          <w:p w14:paraId="4CD3779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7D7D12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3C0EFB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0.47 </w:t>
            </w:r>
          </w:p>
        </w:tc>
        <w:tc>
          <w:tcPr>
            <w:tcW w:w="0" w:type="auto"/>
            <w:tcBorders>
              <w:top w:val="nil"/>
              <w:left w:val="nil"/>
              <w:bottom w:val="single" w:color="auto" w:sz="4" w:space="0"/>
              <w:right w:val="single" w:color="auto" w:sz="4" w:space="0"/>
            </w:tcBorders>
            <w:shd w:val="clear" w:color="auto" w:fill="auto"/>
            <w:noWrap/>
            <w:vAlign w:val="center"/>
          </w:tcPr>
          <w:p w14:paraId="4C63089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0.47 </w:t>
            </w:r>
          </w:p>
        </w:tc>
        <w:tc>
          <w:tcPr>
            <w:tcW w:w="0" w:type="auto"/>
            <w:tcBorders>
              <w:top w:val="nil"/>
              <w:left w:val="nil"/>
              <w:bottom w:val="single" w:color="auto" w:sz="4" w:space="0"/>
              <w:right w:val="single" w:color="auto" w:sz="4" w:space="0"/>
            </w:tcBorders>
            <w:shd w:val="clear" w:color="auto" w:fill="auto"/>
            <w:noWrap/>
            <w:vAlign w:val="center"/>
          </w:tcPr>
          <w:p w14:paraId="5EA5587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0CC84A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17953A9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CBD0C7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BEE1FC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7782A0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687B528A">
        <w:tblPrEx>
          <w:tblCellMar>
            <w:top w:w="0" w:type="dxa"/>
            <w:left w:w="108" w:type="dxa"/>
            <w:bottom w:w="0" w:type="dxa"/>
            <w:right w:w="108" w:type="dxa"/>
          </w:tblCellMar>
        </w:tblPrEx>
        <w:trPr>
          <w:trHeight w:val="369"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3DEE60B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1723FE9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vAlign w:val="center"/>
          </w:tcPr>
          <w:p w14:paraId="4404E93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0" w:type="auto"/>
            <w:tcBorders>
              <w:top w:val="nil"/>
              <w:left w:val="nil"/>
              <w:bottom w:val="single" w:color="auto" w:sz="4" w:space="0"/>
              <w:right w:val="single" w:color="auto" w:sz="4" w:space="0"/>
            </w:tcBorders>
            <w:shd w:val="clear" w:color="auto" w:fill="auto"/>
            <w:noWrap/>
            <w:vAlign w:val="center"/>
          </w:tcPr>
          <w:p w14:paraId="7663817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防护绿地</w:t>
            </w:r>
          </w:p>
        </w:tc>
        <w:tc>
          <w:tcPr>
            <w:tcW w:w="0" w:type="auto"/>
            <w:tcBorders>
              <w:top w:val="nil"/>
              <w:left w:val="nil"/>
              <w:bottom w:val="single" w:color="auto" w:sz="4" w:space="0"/>
              <w:right w:val="single" w:color="auto" w:sz="4" w:space="0"/>
            </w:tcBorders>
            <w:shd w:val="clear" w:color="auto" w:fill="auto"/>
            <w:noWrap/>
            <w:vAlign w:val="center"/>
          </w:tcPr>
          <w:p w14:paraId="47EE557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3.54 </w:t>
            </w:r>
          </w:p>
        </w:tc>
        <w:tc>
          <w:tcPr>
            <w:tcW w:w="0" w:type="auto"/>
            <w:tcBorders>
              <w:top w:val="nil"/>
              <w:left w:val="nil"/>
              <w:bottom w:val="single" w:color="auto" w:sz="4" w:space="0"/>
              <w:right w:val="single" w:color="auto" w:sz="4" w:space="0"/>
            </w:tcBorders>
            <w:shd w:val="clear" w:color="auto" w:fill="auto"/>
            <w:noWrap/>
            <w:vAlign w:val="center"/>
          </w:tcPr>
          <w:p w14:paraId="1816661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E30313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6EEAF00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879D3D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7BD3D71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1DFD7F7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538C32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17D3A6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3D825D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E5E0B7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4E3418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0F3B7F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30B45AF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027BC99A">
        <w:tblPrEx>
          <w:tblCellMar>
            <w:top w:w="0" w:type="dxa"/>
            <w:left w:w="108" w:type="dxa"/>
            <w:bottom w:w="0" w:type="dxa"/>
            <w:right w:w="108" w:type="dxa"/>
          </w:tblCellMar>
        </w:tblPrEx>
        <w:trPr>
          <w:trHeight w:val="369"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7555D21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gridSpan w:val="2"/>
            <w:tcBorders>
              <w:top w:val="nil"/>
              <w:left w:val="nil"/>
              <w:bottom w:val="single" w:color="auto" w:sz="4" w:space="0"/>
              <w:right w:val="single" w:color="auto" w:sz="4" w:space="0"/>
            </w:tcBorders>
            <w:shd w:val="clear" w:color="auto" w:fill="auto"/>
            <w:vAlign w:val="center"/>
          </w:tcPr>
          <w:p w14:paraId="537F091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小计　</w:t>
            </w:r>
          </w:p>
        </w:tc>
        <w:tc>
          <w:tcPr>
            <w:tcW w:w="0" w:type="auto"/>
            <w:tcBorders>
              <w:top w:val="nil"/>
              <w:left w:val="nil"/>
              <w:bottom w:val="single" w:color="auto" w:sz="4" w:space="0"/>
              <w:right w:val="single" w:color="auto" w:sz="4" w:space="0"/>
            </w:tcBorders>
            <w:shd w:val="clear" w:color="auto" w:fill="auto"/>
            <w:noWrap/>
            <w:vAlign w:val="center"/>
          </w:tcPr>
          <w:p w14:paraId="0F9DCDE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3EA37C3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798.81 </w:t>
            </w:r>
          </w:p>
        </w:tc>
        <w:tc>
          <w:tcPr>
            <w:tcW w:w="0" w:type="auto"/>
            <w:tcBorders>
              <w:top w:val="nil"/>
              <w:left w:val="nil"/>
              <w:bottom w:val="single" w:color="auto" w:sz="4" w:space="0"/>
              <w:right w:val="single" w:color="auto" w:sz="4" w:space="0"/>
            </w:tcBorders>
            <w:shd w:val="clear" w:color="auto" w:fill="auto"/>
            <w:noWrap/>
            <w:vAlign w:val="center"/>
          </w:tcPr>
          <w:p w14:paraId="6C2C53F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315.81 </w:t>
            </w:r>
          </w:p>
        </w:tc>
        <w:tc>
          <w:tcPr>
            <w:tcW w:w="0" w:type="auto"/>
            <w:tcBorders>
              <w:top w:val="nil"/>
              <w:left w:val="nil"/>
              <w:bottom w:val="single" w:color="auto" w:sz="4" w:space="0"/>
              <w:right w:val="single" w:color="auto" w:sz="4" w:space="0"/>
            </w:tcBorders>
            <w:shd w:val="clear" w:color="auto" w:fill="auto"/>
            <w:noWrap/>
            <w:vAlign w:val="center"/>
          </w:tcPr>
          <w:p w14:paraId="04FA0E8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462.53 </w:t>
            </w:r>
          </w:p>
        </w:tc>
        <w:tc>
          <w:tcPr>
            <w:tcW w:w="0" w:type="auto"/>
            <w:tcBorders>
              <w:top w:val="nil"/>
              <w:left w:val="nil"/>
              <w:bottom w:val="single" w:color="auto" w:sz="4" w:space="0"/>
              <w:right w:val="single" w:color="auto" w:sz="4" w:space="0"/>
            </w:tcBorders>
            <w:shd w:val="clear" w:color="auto" w:fill="auto"/>
            <w:noWrap/>
            <w:vAlign w:val="center"/>
          </w:tcPr>
          <w:p w14:paraId="48CCB5E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462.53 </w:t>
            </w:r>
          </w:p>
        </w:tc>
        <w:tc>
          <w:tcPr>
            <w:tcW w:w="0" w:type="auto"/>
            <w:tcBorders>
              <w:top w:val="nil"/>
              <w:left w:val="nil"/>
              <w:bottom w:val="single" w:color="auto" w:sz="4" w:space="0"/>
              <w:right w:val="single" w:color="auto" w:sz="4" w:space="0"/>
            </w:tcBorders>
            <w:shd w:val="clear" w:color="auto" w:fill="auto"/>
            <w:noWrap/>
            <w:vAlign w:val="center"/>
          </w:tcPr>
          <w:p w14:paraId="32C0D6E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185F829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65F5125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5.43 </w:t>
            </w:r>
          </w:p>
        </w:tc>
        <w:tc>
          <w:tcPr>
            <w:tcW w:w="0" w:type="auto"/>
            <w:tcBorders>
              <w:top w:val="nil"/>
              <w:left w:val="nil"/>
              <w:bottom w:val="single" w:color="auto" w:sz="4" w:space="0"/>
              <w:right w:val="single" w:color="auto" w:sz="4" w:space="0"/>
            </w:tcBorders>
            <w:shd w:val="clear" w:color="auto" w:fill="auto"/>
            <w:noWrap/>
            <w:vAlign w:val="center"/>
          </w:tcPr>
          <w:p w14:paraId="149049B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5.43 </w:t>
            </w:r>
          </w:p>
        </w:tc>
        <w:tc>
          <w:tcPr>
            <w:tcW w:w="0" w:type="auto"/>
            <w:tcBorders>
              <w:top w:val="nil"/>
              <w:left w:val="nil"/>
              <w:bottom w:val="single" w:color="auto" w:sz="4" w:space="0"/>
              <w:right w:val="single" w:color="auto" w:sz="4" w:space="0"/>
            </w:tcBorders>
            <w:shd w:val="clear" w:color="auto" w:fill="auto"/>
            <w:noWrap/>
            <w:vAlign w:val="center"/>
          </w:tcPr>
          <w:p w14:paraId="5915D37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161CCD8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18E4CF6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172.23 </w:t>
            </w:r>
          </w:p>
        </w:tc>
        <w:tc>
          <w:tcPr>
            <w:tcW w:w="0" w:type="auto"/>
            <w:tcBorders>
              <w:top w:val="nil"/>
              <w:left w:val="nil"/>
              <w:bottom w:val="single" w:color="auto" w:sz="4" w:space="0"/>
              <w:right w:val="single" w:color="auto" w:sz="4" w:space="0"/>
            </w:tcBorders>
            <w:shd w:val="clear" w:color="auto" w:fill="auto"/>
            <w:noWrap/>
            <w:vAlign w:val="center"/>
          </w:tcPr>
          <w:p w14:paraId="6523932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172.23 </w:t>
            </w:r>
          </w:p>
        </w:tc>
        <w:tc>
          <w:tcPr>
            <w:tcW w:w="0" w:type="auto"/>
            <w:tcBorders>
              <w:top w:val="nil"/>
              <w:left w:val="nil"/>
              <w:bottom w:val="single" w:color="auto" w:sz="4" w:space="0"/>
              <w:right w:val="single" w:color="auto" w:sz="4" w:space="0"/>
            </w:tcBorders>
            <w:shd w:val="clear" w:color="auto" w:fill="auto"/>
            <w:noWrap/>
            <w:vAlign w:val="center"/>
          </w:tcPr>
          <w:p w14:paraId="459C3E9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3709929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6AAE70C1">
        <w:tblPrEx>
          <w:tblCellMar>
            <w:top w:w="0" w:type="dxa"/>
            <w:left w:w="108" w:type="dxa"/>
            <w:bottom w:w="0" w:type="dxa"/>
            <w:right w:w="108" w:type="dxa"/>
          </w:tblCellMar>
        </w:tblPrEx>
        <w:trPr>
          <w:trHeight w:val="369"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5BB0180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6A6B71B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下湿壕片区</w:t>
            </w:r>
          </w:p>
        </w:tc>
        <w:tc>
          <w:tcPr>
            <w:tcW w:w="0" w:type="auto"/>
            <w:tcBorders>
              <w:top w:val="nil"/>
              <w:left w:val="nil"/>
              <w:bottom w:val="single" w:color="auto" w:sz="4" w:space="0"/>
              <w:right w:val="single" w:color="auto" w:sz="4" w:space="0"/>
            </w:tcBorders>
            <w:shd w:val="clear" w:color="auto" w:fill="auto"/>
            <w:vAlign w:val="center"/>
          </w:tcPr>
          <w:p w14:paraId="7F8FA80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0" w:type="auto"/>
            <w:tcBorders>
              <w:top w:val="nil"/>
              <w:left w:val="nil"/>
              <w:bottom w:val="single" w:color="auto" w:sz="4" w:space="0"/>
              <w:right w:val="single" w:color="auto" w:sz="4" w:space="0"/>
            </w:tcBorders>
            <w:shd w:val="clear" w:color="auto" w:fill="auto"/>
            <w:noWrap/>
            <w:vAlign w:val="center"/>
          </w:tcPr>
          <w:p w14:paraId="225A891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工业用地</w:t>
            </w:r>
          </w:p>
        </w:tc>
        <w:tc>
          <w:tcPr>
            <w:tcW w:w="0" w:type="auto"/>
            <w:tcBorders>
              <w:top w:val="nil"/>
              <w:left w:val="nil"/>
              <w:bottom w:val="single" w:color="auto" w:sz="4" w:space="0"/>
              <w:right w:val="single" w:color="auto" w:sz="4" w:space="0"/>
            </w:tcBorders>
            <w:shd w:val="clear" w:color="auto" w:fill="auto"/>
            <w:noWrap/>
            <w:vAlign w:val="center"/>
          </w:tcPr>
          <w:p w14:paraId="27A050E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147.08 </w:t>
            </w:r>
          </w:p>
        </w:tc>
        <w:tc>
          <w:tcPr>
            <w:tcW w:w="0" w:type="auto"/>
            <w:tcBorders>
              <w:top w:val="nil"/>
              <w:left w:val="nil"/>
              <w:bottom w:val="single" w:color="auto" w:sz="4" w:space="0"/>
              <w:right w:val="single" w:color="auto" w:sz="4" w:space="0"/>
            </w:tcBorders>
            <w:shd w:val="clear" w:color="auto" w:fill="auto"/>
            <w:noWrap/>
            <w:vAlign w:val="center"/>
          </w:tcPr>
          <w:p w14:paraId="330F82E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539000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28.74 </w:t>
            </w:r>
          </w:p>
        </w:tc>
        <w:tc>
          <w:tcPr>
            <w:tcW w:w="0" w:type="auto"/>
            <w:tcBorders>
              <w:top w:val="nil"/>
              <w:left w:val="nil"/>
              <w:bottom w:val="single" w:color="auto" w:sz="4" w:space="0"/>
              <w:right w:val="single" w:color="auto" w:sz="4" w:space="0"/>
            </w:tcBorders>
            <w:shd w:val="clear" w:color="auto" w:fill="auto"/>
            <w:noWrap/>
            <w:vAlign w:val="center"/>
          </w:tcPr>
          <w:p w14:paraId="3AE5D21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28.74 </w:t>
            </w:r>
          </w:p>
        </w:tc>
        <w:tc>
          <w:tcPr>
            <w:tcW w:w="0" w:type="auto"/>
            <w:tcBorders>
              <w:top w:val="nil"/>
              <w:left w:val="nil"/>
              <w:bottom w:val="single" w:color="auto" w:sz="4" w:space="0"/>
              <w:right w:val="single" w:color="auto" w:sz="4" w:space="0"/>
            </w:tcBorders>
            <w:shd w:val="clear" w:color="auto" w:fill="auto"/>
            <w:noWrap/>
            <w:vAlign w:val="center"/>
          </w:tcPr>
          <w:p w14:paraId="1901C30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3A1E06D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7483765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0.20 </w:t>
            </w:r>
          </w:p>
        </w:tc>
        <w:tc>
          <w:tcPr>
            <w:tcW w:w="0" w:type="auto"/>
            <w:tcBorders>
              <w:top w:val="nil"/>
              <w:left w:val="nil"/>
              <w:bottom w:val="single" w:color="auto" w:sz="4" w:space="0"/>
              <w:right w:val="single" w:color="auto" w:sz="4" w:space="0"/>
            </w:tcBorders>
            <w:shd w:val="clear" w:color="auto" w:fill="auto"/>
            <w:noWrap/>
            <w:vAlign w:val="center"/>
          </w:tcPr>
          <w:p w14:paraId="76001A1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0.20 </w:t>
            </w:r>
          </w:p>
        </w:tc>
        <w:tc>
          <w:tcPr>
            <w:tcW w:w="0" w:type="auto"/>
            <w:tcBorders>
              <w:top w:val="nil"/>
              <w:left w:val="nil"/>
              <w:bottom w:val="single" w:color="auto" w:sz="4" w:space="0"/>
              <w:right w:val="single" w:color="auto" w:sz="4" w:space="0"/>
            </w:tcBorders>
            <w:shd w:val="clear" w:color="auto" w:fill="auto"/>
            <w:noWrap/>
            <w:vAlign w:val="center"/>
          </w:tcPr>
          <w:p w14:paraId="7A923A4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4AF4E7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875F9C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944427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70330BA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AAF3AA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1340BF6C">
        <w:tblPrEx>
          <w:tblCellMar>
            <w:top w:w="0" w:type="dxa"/>
            <w:left w:w="108" w:type="dxa"/>
            <w:bottom w:w="0" w:type="dxa"/>
            <w:right w:w="108" w:type="dxa"/>
          </w:tblCellMar>
        </w:tblPrEx>
        <w:trPr>
          <w:trHeight w:val="369"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626D6BE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487B50A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vAlign w:val="center"/>
          </w:tcPr>
          <w:p w14:paraId="38753B3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0" w:type="auto"/>
            <w:tcBorders>
              <w:top w:val="nil"/>
              <w:left w:val="nil"/>
              <w:bottom w:val="single" w:color="auto" w:sz="4" w:space="0"/>
              <w:right w:val="single" w:color="auto" w:sz="4" w:space="0"/>
            </w:tcBorders>
            <w:shd w:val="clear" w:color="auto" w:fill="auto"/>
            <w:noWrap/>
            <w:vAlign w:val="center"/>
          </w:tcPr>
          <w:p w14:paraId="416888B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城镇道路用地</w:t>
            </w:r>
          </w:p>
        </w:tc>
        <w:tc>
          <w:tcPr>
            <w:tcW w:w="0" w:type="auto"/>
            <w:tcBorders>
              <w:top w:val="nil"/>
              <w:left w:val="nil"/>
              <w:bottom w:val="single" w:color="auto" w:sz="4" w:space="0"/>
              <w:right w:val="single" w:color="auto" w:sz="4" w:space="0"/>
            </w:tcBorders>
            <w:shd w:val="clear" w:color="auto" w:fill="auto"/>
            <w:noWrap/>
            <w:vAlign w:val="center"/>
          </w:tcPr>
          <w:p w14:paraId="46FCCA4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3.09 </w:t>
            </w:r>
          </w:p>
        </w:tc>
        <w:tc>
          <w:tcPr>
            <w:tcW w:w="0" w:type="auto"/>
            <w:tcBorders>
              <w:top w:val="nil"/>
              <w:left w:val="nil"/>
              <w:bottom w:val="single" w:color="auto" w:sz="4" w:space="0"/>
              <w:right w:val="single" w:color="auto" w:sz="4" w:space="0"/>
            </w:tcBorders>
            <w:shd w:val="clear" w:color="auto" w:fill="auto"/>
            <w:noWrap/>
            <w:vAlign w:val="center"/>
          </w:tcPr>
          <w:p w14:paraId="69EBDE7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1F74B76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1.46 </w:t>
            </w:r>
          </w:p>
        </w:tc>
        <w:tc>
          <w:tcPr>
            <w:tcW w:w="0" w:type="auto"/>
            <w:tcBorders>
              <w:top w:val="nil"/>
              <w:left w:val="nil"/>
              <w:bottom w:val="single" w:color="auto" w:sz="4" w:space="0"/>
              <w:right w:val="single" w:color="auto" w:sz="4" w:space="0"/>
            </w:tcBorders>
            <w:shd w:val="clear" w:color="auto" w:fill="auto"/>
            <w:noWrap/>
            <w:vAlign w:val="center"/>
          </w:tcPr>
          <w:p w14:paraId="67B2275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1.46 </w:t>
            </w:r>
          </w:p>
        </w:tc>
        <w:tc>
          <w:tcPr>
            <w:tcW w:w="0" w:type="auto"/>
            <w:tcBorders>
              <w:top w:val="nil"/>
              <w:left w:val="nil"/>
              <w:bottom w:val="single" w:color="auto" w:sz="4" w:space="0"/>
              <w:right w:val="single" w:color="auto" w:sz="4" w:space="0"/>
            </w:tcBorders>
            <w:shd w:val="clear" w:color="auto" w:fill="auto"/>
            <w:noWrap/>
            <w:vAlign w:val="center"/>
          </w:tcPr>
          <w:p w14:paraId="2895D53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66C7EF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14C7D8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0.47 </w:t>
            </w:r>
          </w:p>
        </w:tc>
        <w:tc>
          <w:tcPr>
            <w:tcW w:w="0" w:type="auto"/>
            <w:tcBorders>
              <w:top w:val="nil"/>
              <w:left w:val="nil"/>
              <w:bottom w:val="single" w:color="auto" w:sz="4" w:space="0"/>
              <w:right w:val="single" w:color="auto" w:sz="4" w:space="0"/>
            </w:tcBorders>
            <w:shd w:val="clear" w:color="auto" w:fill="auto"/>
            <w:noWrap/>
            <w:vAlign w:val="center"/>
          </w:tcPr>
          <w:p w14:paraId="192FD20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0.47 </w:t>
            </w:r>
          </w:p>
        </w:tc>
        <w:tc>
          <w:tcPr>
            <w:tcW w:w="0" w:type="auto"/>
            <w:tcBorders>
              <w:top w:val="nil"/>
              <w:left w:val="nil"/>
              <w:bottom w:val="single" w:color="auto" w:sz="4" w:space="0"/>
              <w:right w:val="single" w:color="auto" w:sz="4" w:space="0"/>
            </w:tcBorders>
            <w:shd w:val="clear" w:color="auto" w:fill="auto"/>
            <w:noWrap/>
            <w:vAlign w:val="center"/>
          </w:tcPr>
          <w:p w14:paraId="7470574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996E7C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65FD93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5F5958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129E74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860D0C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38FEF03F">
        <w:tblPrEx>
          <w:tblCellMar>
            <w:top w:w="0" w:type="dxa"/>
            <w:left w:w="108" w:type="dxa"/>
            <w:bottom w:w="0" w:type="dxa"/>
            <w:right w:w="108" w:type="dxa"/>
          </w:tblCellMar>
        </w:tblPrEx>
        <w:trPr>
          <w:trHeight w:val="369"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113338C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1A61A5D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vAlign w:val="center"/>
          </w:tcPr>
          <w:p w14:paraId="3C5ED55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0" w:type="auto"/>
            <w:tcBorders>
              <w:top w:val="nil"/>
              <w:left w:val="nil"/>
              <w:bottom w:val="single" w:color="auto" w:sz="4" w:space="0"/>
              <w:right w:val="single" w:color="auto" w:sz="4" w:space="0"/>
            </w:tcBorders>
            <w:shd w:val="clear" w:color="auto" w:fill="auto"/>
            <w:noWrap/>
            <w:vAlign w:val="center"/>
          </w:tcPr>
          <w:p w14:paraId="7B56B12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防护绿地</w:t>
            </w:r>
          </w:p>
        </w:tc>
        <w:tc>
          <w:tcPr>
            <w:tcW w:w="0" w:type="auto"/>
            <w:tcBorders>
              <w:top w:val="nil"/>
              <w:left w:val="nil"/>
              <w:bottom w:val="single" w:color="auto" w:sz="4" w:space="0"/>
              <w:right w:val="single" w:color="auto" w:sz="4" w:space="0"/>
            </w:tcBorders>
            <w:shd w:val="clear" w:color="auto" w:fill="auto"/>
            <w:noWrap/>
            <w:vAlign w:val="center"/>
          </w:tcPr>
          <w:p w14:paraId="30E18A5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1.83 </w:t>
            </w:r>
          </w:p>
        </w:tc>
        <w:tc>
          <w:tcPr>
            <w:tcW w:w="0" w:type="auto"/>
            <w:tcBorders>
              <w:top w:val="nil"/>
              <w:left w:val="nil"/>
              <w:bottom w:val="single" w:color="auto" w:sz="4" w:space="0"/>
              <w:right w:val="single" w:color="auto" w:sz="4" w:space="0"/>
            </w:tcBorders>
            <w:shd w:val="clear" w:color="auto" w:fill="auto"/>
            <w:noWrap/>
            <w:vAlign w:val="center"/>
          </w:tcPr>
          <w:p w14:paraId="0C37D53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20FE8D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798ACC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9A1C35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15BDCC7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707F226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72EDDAA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2BF3CD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055092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16A83E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F7B08F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11ED9E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C64608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2A33454F">
        <w:tblPrEx>
          <w:tblCellMar>
            <w:top w:w="0" w:type="dxa"/>
            <w:left w:w="108" w:type="dxa"/>
            <w:bottom w:w="0" w:type="dxa"/>
            <w:right w:w="108" w:type="dxa"/>
          </w:tblCellMar>
        </w:tblPrEx>
        <w:trPr>
          <w:trHeight w:val="369"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373D0AA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1D22CF3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vAlign w:val="center"/>
          </w:tcPr>
          <w:p w14:paraId="43B518B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陆地水域</w:t>
            </w:r>
          </w:p>
        </w:tc>
        <w:tc>
          <w:tcPr>
            <w:tcW w:w="0" w:type="auto"/>
            <w:tcBorders>
              <w:top w:val="nil"/>
              <w:left w:val="nil"/>
              <w:bottom w:val="single" w:color="auto" w:sz="4" w:space="0"/>
              <w:right w:val="single" w:color="auto" w:sz="4" w:space="0"/>
            </w:tcBorders>
            <w:shd w:val="clear" w:color="auto" w:fill="auto"/>
            <w:noWrap/>
            <w:vAlign w:val="center"/>
          </w:tcPr>
          <w:p w14:paraId="085F9C8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陆地水域</w:t>
            </w:r>
          </w:p>
        </w:tc>
        <w:tc>
          <w:tcPr>
            <w:tcW w:w="0" w:type="auto"/>
            <w:tcBorders>
              <w:top w:val="nil"/>
              <w:left w:val="nil"/>
              <w:bottom w:val="single" w:color="auto" w:sz="4" w:space="0"/>
              <w:right w:val="single" w:color="auto" w:sz="4" w:space="0"/>
            </w:tcBorders>
            <w:shd w:val="clear" w:color="auto" w:fill="auto"/>
            <w:noWrap/>
            <w:vAlign w:val="center"/>
          </w:tcPr>
          <w:p w14:paraId="2C1E52E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1.10 </w:t>
            </w:r>
          </w:p>
        </w:tc>
        <w:tc>
          <w:tcPr>
            <w:tcW w:w="0" w:type="auto"/>
            <w:tcBorders>
              <w:top w:val="nil"/>
              <w:left w:val="nil"/>
              <w:bottom w:val="single" w:color="auto" w:sz="4" w:space="0"/>
              <w:right w:val="single" w:color="auto" w:sz="4" w:space="0"/>
            </w:tcBorders>
            <w:shd w:val="clear" w:color="auto" w:fill="auto"/>
            <w:noWrap/>
            <w:vAlign w:val="center"/>
          </w:tcPr>
          <w:p w14:paraId="408FECE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688445B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6934072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3E197E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10AEA5B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C3195E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3DD793E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1D3FF36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631431D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7F724D6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75FC528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494F81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211E89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6D923C26">
        <w:tblPrEx>
          <w:tblCellMar>
            <w:top w:w="0" w:type="dxa"/>
            <w:left w:w="108" w:type="dxa"/>
            <w:bottom w:w="0" w:type="dxa"/>
            <w:right w:w="108" w:type="dxa"/>
          </w:tblCellMar>
        </w:tblPrEx>
        <w:trPr>
          <w:trHeight w:val="369"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0096585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gridSpan w:val="2"/>
            <w:tcBorders>
              <w:top w:val="nil"/>
              <w:left w:val="nil"/>
              <w:bottom w:val="single" w:color="auto" w:sz="4" w:space="0"/>
              <w:right w:val="single" w:color="auto" w:sz="4" w:space="0"/>
            </w:tcBorders>
            <w:shd w:val="clear" w:color="auto" w:fill="auto"/>
            <w:vAlign w:val="center"/>
          </w:tcPr>
          <w:p w14:paraId="03B6A8E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小计　</w:t>
            </w:r>
          </w:p>
        </w:tc>
        <w:tc>
          <w:tcPr>
            <w:tcW w:w="0" w:type="auto"/>
            <w:tcBorders>
              <w:top w:val="nil"/>
              <w:left w:val="nil"/>
              <w:bottom w:val="single" w:color="auto" w:sz="4" w:space="0"/>
              <w:right w:val="single" w:color="auto" w:sz="4" w:space="0"/>
            </w:tcBorders>
            <w:shd w:val="clear" w:color="auto" w:fill="auto"/>
            <w:noWrap/>
            <w:vAlign w:val="center"/>
          </w:tcPr>
          <w:p w14:paraId="7553072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3ABE17B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153.10 </w:t>
            </w:r>
          </w:p>
        </w:tc>
        <w:tc>
          <w:tcPr>
            <w:tcW w:w="0" w:type="auto"/>
            <w:tcBorders>
              <w:top w:val="nil"/>
              <w:left w:val="nil"/>
              <w:bottom w:val="single" w:color="auto" w:sz="4" w:space="0"/>
              <w:right w:val="single" w:color="auto" w:sz="4" w:space="0"/>
            </w:tcBorders>
            <w:shd w:val="clear" w:color="auto" w:fill="auto"/>
            <w:noWrap/>
            <w:vAlign w:val="center"/>
          </w:tcPr>
          <w:p w14:paraId="416715E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EDD962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30.20 </w:t>
            </w:r>
          </w:p>
        </w:tc>
        <w:tc>
          <w:tcPr>
            <w:tcW w:w="0" w:type="auto"/>
            <w:tcBorders>
              <w:top w:val="nil"/>
              <w:left w:val="nil"/>
              <w:bottom w:val="single" w:color="auto" w:sz="4" w:space="0"/>
              <w:right w:val="single" w:color="auto" w:sz="4" w:space="0"/>
            </w:tcBorders>
            <w:shd w:val="clear" w:color="auto" w:fill="auto"/>
            <w:noWrap/>
            <w:vAlign w:val="center"/>
          </w:tcPr>
          <w:p w14:paraId="73AA68B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30.20 </w:t>
            </w:r>
          </w:p>
        </w:tc>
        <w:tc>
          <w:tcPr>
            <w:tcW w:w="0" w:type="auto"/>
            <w:tcBorders>
              <w:top w:val="nil"/>
              <w:left w:val="nil"/>
              <w:bottom w:val="single" w:color="auto" w:sz="4" w:space="0"/>
              <w:right w:val="single" w:color="auto" w:sz="4" w:space="0"/>
            </w:tcBorders>
            <w:shd w:val="clear" w:color="auto" w:fill="auto"/>
            <w:noWrap/>
            <w:vAlign w:val="center"/>
          </w:tcPr>
          <w:p w14:paraId="3638233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62C8CCA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6CEFC93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0.67 </w:t>
            </w:r>
          </w:p>
        </w:tc>
        <w:tc>
          <w:tcPr>
            <w:tcW w:w="0" w:type="auto"/>
            <w:tcBorders>
              <w:top w:val="nil"/>
              <w:left w:val="nil"/>
              <w:bottom w:val="single" w:color="auto" w:sz="4" w:space="0"/>
              <w:right w:val="single" w:color="auto" w:sz="4" w:space="0"/>
            </w:tcBorders>
            <w:shd w:val="clear" w:color="auto" w:fill="auto"/>
            <w:noWrap/>
            <w:vAlign w:val="center"/>
          </w:tcPr>
          <w:p w14:paraId="39B29DC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0.67 </w:t>
            </w:r>
          </w:p>
        </w:tc>
        <w:tc>
          <w:tcPr>
            <w:tcW w:w="0" w:type="auto"/>
            <w:tcBorders>
              <w:top w:val="nil"/>
              <w:left w:val="nil"/>
              <w:bottom w:val="single" w:color="auto" w:sz="4" w:space="0"/>
              <w:right w:val="single" w:color="auto" w:sz="4" w:space="0"/>
            </w:tcBorders>
            <w:shd w:val="clear" w:color="auto" w:fill="auto"/>
            <w:noWrap/>
            <w:vAlign w:val="center"/>
          </w:tcPr>
          <w:p w14:paraId="73432EC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746CC42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D49556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1AC1F38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9A14F8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BD586B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789CCA88">
        <w:tblPrEx>
          <w:tblCellMar>
            <w:top w:w="0" w:type="dxa"/>
            <w:left w:w="108" w:type="dxa"/>
            <w:bottom w:w="0" w:type="dxa"/>
            <w:right w:w="108" w:type="dxa"/>
          </w:tblCellMar>
        </w:tblPrEx>
        <w:trPr>
          <w:trHeight w:val="369"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0DDE783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gridSpan w:val="2"/>
            <w:tcBorders>
              <w:top w:val="nil"/>
              <w:left w:val="nil"/>
              <w:bottom w:val="single" w:color="auto" w:sz="4" w:space="0"/>
              <w:right w:val="single" w:color="auto" w:sz="4" w:space="0"/>
            </w:tcBorders>
            <w:shd w:val="clear" w:color="auto" w:fill="auto"/>
            <w:vAlign w:val="center"/>
          </w:tcPr>
          <w:p w14:paraId="403E500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合计　</w:t>
            </w:r>
          </w:p>
        </w:tc>
        <w:tc>
          <w:tcPr>
            <w:tcW w:w="0" w:type="auto"/>
            <w:tcBorders>
              <w:top w:val="nil"/>
              <w:left w:val="nil"/>
              <w:bottom w:val="single" w:color="auto" w:sz="4" w:space="0"/>
              <w:right w:val="single" w:color="auto" w:sz="4" w:space="0"/>
            </w:tcBorders>
            <w:shd w:val="clear" w:color="auto" w:fill="auto"/>
            <w:noWrap/>
            <w:vAlign w:val="center"/>
          </w:tcPr>
          <w:p w14:paraId="4577C4C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733FAA4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863445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752B82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492.72 </w:t>
            </w:r>
          </w:p>
        </w:tc>
        <w:tc>
          <w:tcPr>
            <w:tcW w:w="0" w:type="auto"/>
            <w:tcBorders>
              <w:top w:val="nil"/>
              <w:left w:val="nil"/>
              <w:bottom w:val="single" w:color="auto" w:sz="4" w:space="0"/>
              <w:right w:val="single" w:color="auto" w:sz="4" w:space="0"/>
            </w:tcBorders>
            <w:shd w:val="clear" w:color="auto" w:fill="auto"/>
            <w:noWrap/>
            <w:vAlign w:val="center"/>
          </w:tcPr>
          <w:p w14:paraId="3693DEA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492.72 </w:t>
            </w:r>
          </w:p>
        </w:tc>
        <w:tc>
          <w:tcPr>
            <w:tcW w:w="0" w:type="auto"/>
            <w:tcBorders>
              <w:top w:val="nil"/>
              <w:left w:val="nil"/>
              <w:bottom w:val="single" w:color="auto" w:sz="4" w:space="0"/>
              <w:right w:val="single" w:color="auto" w:sz="4" w:space="0"/>
            </w:tcBorders>
            <w:shd w:val="clear" w:color="auto" w:fill="auto"/>
            <w:noWrap/>
            <w:vAlign w:val="center"/>
          </w:tcPr>
          <w:p w14:paraId="6990FD0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1EAB4F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756EA8C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6.10 </w:t>
            </w:r>
          </w:p>
        </w:tc>
        <w:tc>
          <w:tcPr>
            <w:tcW w:w="0" w:type="auto"/>
            <w:tcBorders>
              <w:top w:val="nil"/>
              <w:left w:val="nil"/>
              <w:bottom w:val="single" w:color="auto" w:sz="4" w:space="0"/>
              <w:right w:val="single" w:color="auto" w:sz="4" w:space="0"/>
            </w:tcBorders>
            <w:shd w:val="clear" w:color="auto" w:fill="auto"/>
            <w:noWrap/>
            <w:vAlign w:val="center"/>
          </w:tcPr>
          <w:p w14:paraId="3D60617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6.10 </w:t>
            </w:r>
          </w:p>
        </w:tc>
        <w:tc>
          <w:tcPr>
            <w:tcW w:w="0" w:type="auto"/>
            <w:tcBorders>
              <w:top w:val="nil"/>
              <w:left w:val="nil"/>
              <w:bottom w:val="single" w:color="auto" w:sz="4" w:space="0"/>
              <w:right w:val="single" w:color="auto" w:sz="4" w:space="0"/>
            </w:tcBorders>
            <w:shd w:val="clear" w:color="auto" w:fill="auto"/>
            <w:noWrap/>
            <w:vAlign w:val="center"/>
          </w:tcPr>
          <w:p w14:paraId="6A6C892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EB0550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4B089B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172.23 </w:t>
            </w:r>
          </w:p>
        </w:tc>
        <w:tc>
          <w:tcPr>
            <w:tcW w:w="0" w:type="auto"/>
            <w:tcBorders>
              <w:top w:val="nil"/>
              <w:left w:val="nil"/>
              <w:bottom w:val="single" w:color="auto" w:sz="4" w:space="0"/>
              <w:right w:val="single" w:color="auto" w:sz="4" w:space="0"/>
            </w:tcBorders>
            <w:shd w:val="clear" w:color="auto" w:fill="auto"/>
            <w:noWrap/>
            <w:vAlign w:val="center"/>
          </w:tcPr>
          <w:p w14:paraId="4E5AFCF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172.23 </w:t>
            </w:r>
          </w:p>
        </w:tc>
        <w:tc>
          <w:tcPr>
            <w:tcW w:w="0" w:type="auto"/>
            <w:tcBorders>
              <w:top w:val="nil"/>
              <w:left w:val="nil"/>
              <w:bottom w:val="single" w:color="auto" w:sz="4" w:space="0"/>
              <w:right w:val="single" w:color="auto" w:sz="4" w:space="0"/>
            </w:tcBorders>
            <w:shd w:val="clear" w:color="auto" w:fill="auto"/>
            <w:noWrap/>
            <w:vAlign w:val="center"/>
          </w:tcPr>
          <w:p w14:paraId="4141E3C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7A261C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bl>
    <w:p w14:paraId="37BA63CD">
      <w:pPr>
        <w:widowControl w:val="0"/>
        <w:ind w:firstLine="480"/>
        <w:rPr>
          <w:rFonts w:cs="Times New Roman"/>
          <w:color w:val="000000" w:themeColor="text1"/>
          <w14:textFill>
            <w14:solidFill>
              <w14:schemeClr w14:val="tx1"/>
            </w14:solidFill>
          </w14:textFill>
        </w:rPr>
        <w:sectPr>
          <w:headerReference r:id="rId34" w:type="default"/>
          <w:footerReference r:id="rId35" w:type="default"/>
          <w:pgSz w:w="16839" w:h="11907" w:orient="landscape"/>
          <w:pgMar w:top="1418" w:right="1418" w:bottom="1418" w:left="1418" w:header="850" w:footer="850" w:gutter="0"/>
          <w:cols w:space="720" w:num="1"/>
          <w:docGrid w:linePitch="326" w:charSpace="0"/>
        </w:sectPr>
      </w:pPr>
    </w:p>
    <w:p w14:paraId="32C65991">
      <w:pPr>
        <w:pStyle w:val="46"/>
        <w:widowControl w:val="0"/>
        <w:numPr>
          <w:ilvl w:val="0"/>
          <w:numId w:val="4"/>
        </w:numPr>
        <w:spacing w:line="336" w:lineRule="auto"/>
        <w:ind w:firstLineChars="0"/>
        <w:rPr>
          <w:rFonts w:cs="Times New Roman"/>
          <w:bCs/>
        </w:rPr>
      </w:pPr>
      <w:r>
        <w:rPr>
          <w:rFonts w:cs="Times New Roman"/>
          <w:bCs/>
        </w:rPr>
        <w:t>园区土石方总平衡</w:t>
      </w:r>
    </w:p>
    <w:p w14:paraId="196E05D3">
      <w:pPr>
        <w:widowControl w:val="0"/>
        <w:tabs>
          <w:tab w:val="left" w:pos="3720"/>
        </w:tabs>
        <w:spacing w:line="336" w:lineRule="auto"/>
        <w:ind w:firstLine="480"/>
        <w:rPr>
          <w:rFonts w:cs="Times New Roman"/>
          <w:color w:val="000000" w:themeColor="text1"/>
          <w14:textFill>
            <w14:solidFill>
              <w14:schemeClr w14:val="tx1"/>
            </w14:solidFill>
          </w14:textFill>
        </w:rPr>
      </w:pPr>
      <w:bookmarkStart w:id="137" w:name="_Hlk79070212"/>
      <w:r>
        <w:rPr>
          <w:rFonts w:cs="Times New Roman"/>
          <w:color w:val="000000" w:themeColor="text1"/>
          <w14:textFill>
            <w14:solidFill>
              <w14:schemeClr w14:val="tx1"/>
            </w14:solidFill>
          </w14:textFill>
        </w:rPr>
        <w:t>根据已建区域、未建区域土石方平衡分析后，</w:t>
      </w:r>
      <w:bookmarkStart w:id="138" w:name="_Hlk83281458"/>
      <w:r>
        <w:rPr>
          <w:rFonts w:cs="Times New Roman"/>
          <w:color w:val="000000" w:themeColor="text1"/>
          <w14:textFill>
            <w14:solidFill>
              <w14:schemeClr w14:val="tx1"/>
            </w14:solidFill>
          </w14:textFill>
        </w:rPr>
        <w:t>对整个规划园区总体土石方进行统计，</w:t>
      </w:r>
      <w:bookmarkStart w:id="139" w:name="_Hlk79137249"/>
      <w:bookmarkStart w:id="140" w:name="_Hlk149549687"/>
      <w:r>
        <w:rPr>
          <w:rFonts w:cs="Times New Roman"/>
          <w:color w:val="000000" w:themeColor="text1"/>
          <w14:textFill>
            <w14:solidFill>
              <w14:schemeClr w14:val="tx1"/>
            </w14:solidFill>
          </w14:textFill>
        </w:rPr>
        <w:t>本园区建设期间</w:t>
      </w:r>
      <w:bookmarkStart w:id="141" w:name="_Hlk88808385"/>
      <w:r>
        <w:rPr>
          <w:rFonts w:cs="Times New Roman"/>
          <w:color w:val="000000" w:themeColor="text1"/>
          <w14:textFill>
            <w14:solidFill>
              <w14:schemeClr w14:val="tx1"/>
            </w14:solidFill>
          </w14:textFill>
        </w:rPr>
        <w:t>挖填方总量1329.91万m³，其中总挖方664.95万m³（其中表土50.74万m³，建筑垃圾3.51万m³，土石方610.70万m³），土石方填筑总量664.95万m³（其中表土50.74万m³，建筑垃圾3.51万m³，土石方610.70万m³），无借方，无弃方。</w:t>
      </w:r>
      <w:bookmarkEnd w:id="139"/>
    </w:p>
    <w:p w14:paraId="019D03E9">
      <w:pPr>
        <w:widowControl w:val="0"/>
        <w:tabs>
          <w:tab w:val="left" w:pos="3720"/>
        </w:tabs>
        <w:spacing w:line="336" w:lineRule="auto"/>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其中，地块1（金山产业园北区）建设期间挖填方总量1269.51万m³，其中总挖方634.76万m³（其中表土46.11万m³，建筑垃圾3.51万m³，土石方585.14m³），土石方填筑总量634.76万m³（其中表土46.11万m³，建筑垃圾3.51万m³，土石方585.14m³），无借方，无弃方。</w:t>
      </w:r>
    </w:p>
    <w:p w14:paraId="06578A1F">
      <w:pPr>
        <w:widowControl w:val="0"/>
        <w:tabs>
          <w:tab w:val="left" w:pos="3720"/>
        </w:tabs>
        <w:spacing w:line="336" w:lineRule="auto"/>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地块2（下湿壕片区）建设期间挖填方总量60.40万m³，其中总挖方30.20万m³（其中表土4.62万m³，土石方25.58万m³），土石方填筑总量30.20万m³（其中表土4.62万m³，土石方25.58万m³），无借方，无弃方。</w:t>
      </w:r>
    </w:p>
    <w:bookmarkEnd w:id="137"/>
    <w:bookmarkEnd w:id="138"/>
    <w:bookmarkEnd w:id="140"/>
    <w:bookmarkEnd w:id="141"/>
    <w:p w14:paraId="3E5F1013">
      <w:pPr>
        <w:widowControl w:val="0"/>
        <w:spacing w:line="336" w:lineRule="auto"/>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园区总体土石方平衡见表1-18，地块1（金山产业园北区）土石方流向框图见图1-2，地块2（下湿壕片区）土石方流向框图见图1-3。</w:t>
      </w:r>
    </w:p>
    <w:p w14:paraId="5A057380">
      <w:pPr>
        <w:widowControl w:val="0"/>
        <w:ind w:firstLine="480"/>
        <w:rPr>
          <w:rFonts w:cs="Times New Roman"/>
          <w:color w:val="000000" w:themeColor="text1"/>
          <w14:textFill>
            <w14:solidFill>
              <w14:schemeClr w14:val="tx1"/>
            </w14:solidFill>
          </w14:textFill>
        </w:rPr>
        <w:sectPr>
          <w:headerReference r:id="rId36" w:type="default"/>
          <w:footerReference r:id="rId37" w:type="default"/>
          <w:pgSz w:w="11907" w:h="16839"/>
          <w:pgMar w:top="1418" w:right="1418" w:bottom="1418" w:left="1418" w:header="850" w:footer="850" w:gutter="0"/>
          <w:cols w:space="720" w:num="1"/>
          <w:docGrid w:linePitch="326" w:charSpace="0"/>
        </w:sectPr>
      </w:pPr>
    </w:p>
    <w:p w14:paraId="1FFA254F">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表1-18                                                                            园区土石方平衡汇总表                                                   （单位：万m³）</w:t>
      </w:r>
    </w:p>
    <w:tbl>
      <w:tblPr>
        <w:tblStyle w:val="27"/>
        <w:tblW w:w="5000" w:type="pct"/>
        <w:tblInd w:w="0" w:type="dxa"/>
        <w:tblLayout w:type="autofit"/>
        <w:tblCellMar>
          <w:top w:w="0" w:type="dxa"/>
          <w:left w:w="108" w:type="dxa"/>
          <w:bottom w:w="0" w:type="dxa"/>
          <w:right w:w="108" w:type="dxa"/>
        </w:tblCellMar>
      </w:tblPr>
      <w:tblGrid>
        <w:gridCol w:w="3436"/>
        <w:gridCol w:w="1517"/>
        <w:gridCol w:w="2856"/>
        <w:gridCol w:w="1656"/>
        <w:gridCol w:w="1036"/>
        <w:gridCol w:w="821"/>
        <w:gridCol w:w="821"/>
        <w:gridCol w:w="519"/>
        <w:gridCol w:w="519"/>
        <w:gridCol w:w="520"/>
        <w:gridCol w:w="517"/>
      </w:tblGrid>
      <w:tr w14:paraId="11E1BF61">
        <w:tblPrEx>
          <w:tblCellMar>
            <w:top w:w="0" w:type="dxa"/>
            <w:left w:w="108" w:type="dxa"/>
            <w:bottom w:w="0" w:type="dxa"/>
            <w:right w:w="108" w:type="dxa"/>
          </w:tblCellMar>
        </w:tblPrEx>
        <w:trPr>
          <w:trHeight w:val="397" w:hRule="atLeast"/>
        </w:trPr>
        <w:tc>
          <w:tcPr>
            <w:tcW w:w="2731"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05BBA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分区名称</w:t>
            </w:r>
          </w:p>
        </w:tc>
        <w:tc>
          <w:tcPr>
            <w:tcW w:w="559" w:type="pct"/>
            <w:vMerge w:val="restart"/>
            <w:tcBorders>
              <w:top w:val="single" w:color="auto" w:sz="4" w:space="0"/>
              <w:left w:val="single" w:color="auto" w:sz="4" w:space="0"/>
              <w:bottom w:val="single" w:color="auto" w:sz="4" w:space="0"/>
              <w:right w:val="nil"/>
            </w:tcBorders>
            <w:shd w:val="clear" w:color="auto" w:fill="auto"/>
            <w:vAlign w:val="center"/>
          </w:tcPr>
          <w:p w14:paraId="69F755D3">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用地性质</w:t>
            </w:r>
          </w:p>
        </w:tc>
        <w:tc>
          <w:tcPr>
            <w:tcW w:w="1709"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15B78C0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土石方量（万m³）</w:t>
            </w:r>
          </w:p>
        </w:tc>
      </w:tr>
      <w:tr w14:paraId="1A759A38">
        <w:tblPrEx>
          <w:tblCellMar>
            <w:top w:w="0" w:type="dxa"/>
            <w:left w:w="108" w:type="dxa"/>
            <w:bottom w:w="0" w:type="dxa"/>
            <w:right w:w="108" w:type="dxa"/>
          </w:tblCellMar>
        </w:tblPrEx>
        <w:trPr>
          <w:trHeight w:val="397" w:hRule="atLeast"/>
        </w:trPr>
        <w:tc>
          <w:tcPr>
            <w:tcW w:w="2731" w:type="pct"/>
            <w:gridSpan w:val="3"/>
            <w:vMerge w:val="continue"/>
            <w:tcBorders>
              <w:top w:val="single" w:color="auto" w:sz="4" w:space="0"/>
              <w:left w:val="single" w:color="auto" w:sz="4" w:space="0"/>
              <w:bottom w:val="double" w:color="auto" w:sz="4" w:space="0"/>
              <w:right w:val="single" w:color="auto" w:sz="4" w:space="0"/>
            </w:tcBorders>
            <w:vAlign w:val="center"/>
          </w:tcPr>
          <w:p w14:paraId="52AAA2BE">
            <w:pPr>
              <w:spacing w:line="240" w:lineRule="auto"/>
              <w:ind w:firstLine="0" w:firstLineChars="0"/>
              <w:jc w:val="center"/>
              <w:rPr>
                <w:rFonts w:cs="Times New Roman"/>
                <w:color w:val="000000" w:themeColor="text1"/>
                <w:sz w:val="18"/>
                <w:szCs w:val="18"/>
                <w14:textFill>
                  <w14:solidFill>
                    <w14:schemeClr w14:val="tx1"/>
                  </w14:solidFill>
                </w14:textFill>
              </w:rPr>
            </w:pPr>
          </w:p>
        </w:tc>
        <w:tc>
          <w:tcPr>
            <w:tcW w:w="559" w:type="pct"/>
            <w:vMerge w:val="continue"/>
            <w:tcBorders>
              <w:top w:val="single" w:color="auto" w:sz="4" w:space="0"/>
              <w:left w:val="single" w:color="auto" w:sz="4" w:space="0"/>
              <w:bottom w:val="double" w:color="auto" w:sz="4" w:space="0"/>
              <w:right w:val="nil"/>
            </w:tcBorders>
            <w:vAlign w:val="center"/>
          </w:tcPr>
          <w:p w14:paraId="6D13F2C4">
            <w:pPr>
              <w:spacing w:line="240" w:lineRule="auto"/>
              <w:ind w:firstLine="0" w:firstLineChars="0"/>
              <w:jc w:val="center"/>
              <w:rPr>
                <w:rFonts w:cs="Times New Roman"/>
                <w:color w:val="000000" w:themeColor="text1"/>
                <w:sz w:val="18"/>
                <w:szCs w:val="18"/>
                <w14:textFill>
                  <w14:solidFill>
                    <w14:schemeClr w14:val="tx1"/>
                  </w14:solidFill>
                </w14:textFill>
              </w:rPr>
            </w:pPr>
          </w:p>
        </w:tc>
        <w:tc>
          <w:tcPr>
            <w:tcW w:w="377" w:type="pct"/>
            <w:tcBorders>
              <w:top w:val="nil"/>
              <w:left w:val="single" w:color="auto" w:sz="4" w:space="0"/>
              <w:bottom w:val="double" w:color="auto" w:sz="4" w:space="0"/>
              <w:right w:val="single" w:color="auto" w:sz="4" w:space="0"/>
            </w:tcBorders>
            <w:shd w:val="clear" w:color="auto" w:fill="auto"/>
            <w:vAlign w:val="center"/>
          </w:tcPr>
          <w:p w14:paraId="4411036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总土石方量</w:t>
            </w:r>
          </w:p>
        </w:tc>
        <w:tc>
          <w:tcPr>
            <w:tcW w:w="277" w:type="pct"/>
            <w:tcBorders>
              <w:top w:val="nil"/>
              <w:left w:val="nil"/>
              <w:bottom w:val="double" w:color="auto" w:sz="4" w:space="0"/>
              <w:right w:val="single" w:color="auto" w:sz="4" w:space="0"/>
            </w:tcBorders>
            <w:shd w:val="clear" w:color="auto" w:fill="auto"/>
            <w:vAlign w:val="center"/>
          </w:tcPr>
          <w:p w14:paraId="2327D8BB">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挖方</w:t>
            </w:r>
          </w:p>
        </w:tc>
        <w:tc>
          <w:tcPr>
            <w:tcW w:w="277" w:type="pct"/>
            <w:tcBorders>
              <w:top w:val="nil"/>
              <w:left w:val="nil"/>
              <w:bottom w:val="double" w:color="auto" w:sz="4" w:space="0"/>
              <w:right w:val="single" w:color="auto" w:sz="4" w:space="0"/>
            </w:tcBorders>
            <w:shd w:val="clear" w:color="auto" w:fill="auto"/>
            <w:vAlign w:val="center"/>
          </w:tcPr>
          <w:p w14:paraId="71847DF9">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填方</w:t>
            </w:r>
          </w:p>
        </w:tc>
        <w:tc>
          <w:tcPr>
            <w:tcW w:w="195" w:type="pct"/>
            <w:tcBorders>
              <w:top w:val="nil"/>
              <w:left w:val="nil"/>
              <w:bottom w:val="double" w:color="auto" w:sz="4" w:space="0"/>
              <w:right w:val="single" w:color="auto" w:sz="4" w:space="0"/>
            </w:tcBorders>
            <w:shd w:val="clear" w:color="auto" w:fill="auto"/>
            <w:vAlign w:val="center"/>
          </w:tcPr>
          <w:p w14:paraId="5F905704">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调入</w:t>
            </w:r>
          </w:p>
        </w:tc>
        <w:tc>
          <w:tcPr>
            <w:tcW w:w="195" w:type="pct"/>
            <w:tcBorders>
              <w:top w:val="nil"/>
              <w:left w:val="nil"/>
              <w:bottom w:val="double" w:color="auto" w:sz="4" w:space="0"/>
              <w:right w:val="single" w:color="auto" w:sz="4" w:space="0"/>
            </w:tcBorders>
            <w:shd w:val="clear" w:color="auto" w:fill="auto"/>
            <w:vAlign w:val="center"/>
          </w:tcPr>
          <w:p w14:paraId="0A160B6A">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调出</w:t>
            </w:r>
          </w:p>
        </w:tc>
        <w:tc>
          <w:tcPr>
            <w:tcW w:w="195" w:type="pct"/>
            <w:tcBorders>
              <w:top w:val="nil"/>
              <w:left w:val="nil"/>
              <w:bottom w:val="double" w:color="auto" w:sz="4" w:space="0"/>
              <w:right w:val="single" w:color="auto" w:sz="4" w:space="0"/>
            </w:tcBorders>
            <w:shd w:val="clear" w:color="auto" w:fill="auto"/>
            <w:vAlign w:val="center"/>
          </w:tcPr>
          <w:p w14:paraId="0764BCD1">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借方</w:t>
            </w:r>
          </w:p>
        </w:tc>
        <w:tc>
          <w:tcPr>
            <w:tcW w:w="195" w:type="pct"/>
            <w:tcBorders>
              <w:top w:val="nil"/>
              <w:left w:val="nil"/>
              <w:bottom w:val="double" w:color="auto" w:sz="4" w:space="0"/>
              <w:right w:val="single" w:color="auto" w:sz="4" w:space="0"/>
            </w:tcBorders>
            <w:shd w:val="clear" w:color="auto" w:fill="auto"/>
            <w:vAlign w:val="center"/>
          </w:tcPr>
          <w:p w14:paraId="3C85979D">
            <w:pPr>
              <w:spacing w:line="240" w:lineRule="auto"/>
              <w:ind w:firstLine="0" w:firstLineChars="0"/>
              <w:jc w:val="center"/>
              <w:rPr>
                <w:rFonts w:cs="Times New Roman"/>
                <w:color w:val="000000" w:themeColor="text1"/>
                <w:sz w:val="18"/>
                <w:szCs w:val="18"/>
                <w14:textFill>
                  <w14:solidFill>
                    <w14:schemeClr w14:val="tx1"/>
                  </w14:solidFill>
                </w14:textFill>
              </w:rPr>
            </w:pPr>
            <w:r>
              <w:rPr>
                <w:rFonts w:cs="Times New Roman"/>
                <w:color w:val="000000" w:themeColor="text1"/>
                <w:sz w:val="18"/>
                <w:szCs w:val="18"/>
                <w14:textFill>
                  <w14:solidFill>
                    <w14:schemeClr w14:val="tx1"/>
                  </w14:solidFill>
                </w14:textFill>
              </w:rPr>
              <w:t>弃方</w:t>
            </w:r>
          </w:p>
        </w:tc>
      </w:tr>
      <w:tr w14:paraId="1980E0A9">
        <w:tblPrEx>
          <w:tblCellMar>
            <w:top w:w="0" w:type="dxa"/>
            <w:left w:w="108" w:type="dxa"/>
            <w:bottom w:w="0" w:type="dxa"/>
            <w:right w:w="108" w:type="dxa"/>
          </w:tblCellMar>
        </w:tblPrEx>
        <w:trPr>
          <w:trHeight w:val="397" w:hRule="atLeast"/>
        </w:trPr>
        <w:tc>
          <w:tcPr>
            <w:tcW w:w="1221" w:type="pct"/>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361B894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包头金山经济开发区</w:t>
            </w:r>
          </w:p>
        </w:tc>
        <w:tc>
          <w:tcPr>
            <w:tcW w:w="546" w:type="pct"/>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43DD8F5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金山产业园北区</w:t>
            </w:r>
          </w:p>
        </w:tc>
        <w:tc>
          <w:tcPr>
            <w:tcW w:w="964" w:type="pct"/>
            <w:tcBorders>
              <w:top w:val="double" w:color="auto" w:sz="4" w:space="0"/>
              <w:left w:val="nil"/>
              <w:bottom w:val="single" w:color="auto" w:sz="4" w:space="0"/>
              <w:right w:val="single" w:color="auto" w:sz="4" w:space="0"/>
            </w:tcBorders>
            <w:shd w:val="clear" w:color="auto" w:fill="auto"/>
            <w:noWrap/>
            <w:vAlign w:val="center"/>
          </w:tcPr>
          <w:p w14:paraId="1DFC8B8F">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公共管理与公共服务用地</w:t>
            </w:r>
          </w:p>
        </w:tc>
        <w:tc>
          <w:tcPr>
            <w:tcW w:w="559" w:type="pct"/>
            <w:tcBorders>
              <w:top w:val="double" w:color="auto" w:sz="4" w:space="0"/>
              <w:left w:val="nil"/>
              <w:bottom w:val="single" w:color="auto" w:sz="4" w:space="0"/>
              <w:right w:val="nil"/>
            </w:tcBorders>
            <w:shd w:val="clear" w:color="auto" w:fill="auto"/>
            <w:noWrap/>
            <w:vAlign w:val="center"/>
          </w:tcPr>
          <w:p w14:paraId="0EFD7EED">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机关团体用地</w:t>
            </w:r>
          </w:p>
        </w:tc>
        <w:tc>
          <w:tcPr>
            <w:tcW w:w="377" w:type="pct"/>
            <w:tcBorders>
              <w:top w:val="double" w:color="auto" w:sz="4" w:space="0"/>
              <w:left w:val="single" w:color="auto" w:sz="4" w:space="0"/>
              <w:bottom w:val="single" w:color="auto" w:sz="4" w:space="0"/>
              <w:right w:val="single" w:color="auto" w:sz="4" w:space="0"/>
            </w:tcBorders>
            <w:shd w:val="clear" w:color="auto" w:fill="auto"/>
            <w:noWrap/>
            <w:vAlign w:val="center"/>
          </w:tcPr>
          <w:p w14:paraId="2B37A2C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1.01 </w:t>
            </w:r>
          </w:p>
        </w:tc>
        <w:tc>
          <w:tcPr>
            <w:tcW w:w="277" w:type="pct"/>
            <w:tcBorders>
              <w:top w:val="double" w:color="auto" w:sz="4" w:space="0"/>
              <w:left w:val="nil"/>
              <w:bottom w:val="single" w:color="auto" w:sz="4" w:space="0"/>
              <w:right w:val="single" w:color="auto" w:sz="4" w:space="0"/>
            </w:tcBorders>
            <w:shd w:val="clear" w:color="auto" w:fill="auto"/>
            <w:noWrap/>
            <w:vAlign w:val="center"/>
          </w:tcPr>
          <w:p w14:paraId="6104A00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0.51 </w:t>
            </w:r>
          </w:p>
        </w:tc>
        <w:tc>
          <w:tcPr>
            <w:tcW w:w="277" w:type="pct"/>
            <w:tcBorders>
              <w:top w:val="double" w:color="auto" w:sz="4" w:space="0"/>
              <w:left w:val="nil"/>
              <w:bottom w:val="single" w:color="auto" w:sz="4" w:space="0"/>
              <w:right w:val="single" w:color="auto" w:sz="4" w:space="0"/>
            </w:tcBorders>
            <w:shd w:val="clear" w:color="auto" w:fill="auto"/>
            <w:noWrap/>
            <w:vAlign w:val="center"/>
          </w:tcPr>
          <w:p w14:paraId="14B9F16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0.51 </w:t>
            </w:r>
          </w:p>
        </w:tc>
        <w:tc>
          <w:tcPr>
            <w:tcW w:w="195" w:type="pct"/>
            <w:tcBorders>
              <w:top w:val="double" w:color="auto" w:sz="4" w:space="0"/>
              <w:left w:val="nil"/>
              <w:bottom w:val="single" w:color="auto" w:sz="4" w:space="0"/>
              <w:right w:val="single" w:color="auto" w:sz="4" w:space="0"/>
            </w:tcBorders>
            <w:shd w:val="clear" w:color="auto" w:fill="auto"/>
            <w:noWrap/>
            <w:vAlign w:val="center"/>
          </w:tcPr>
          <w:p w14:paraId="3B26588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double" w:color="auto" w:sz="4" w:space="0"/>
              <w:left w:val="nil"/>
              <w:bottom w:val="single" w:color="auto" w:sz="4" w:space="0"/>
              <w:right w:val="single" w:color="auto" w:sz="4" w:space="0"/>
            </w:tcBorders>
            <w:shd w:val="clear" w:color="auto" w:fill="auto"/>
            <w:noWrap/>
            <w:vAlign w:val="center"/>
          </w:tcPr>
          <w:p w14:paraId="38659BF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443DC4C1">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double" w:color="auto" w:sz="4" w:space="0"/>
              <w:left w:val="nil"/>
              <w:bottom w:val="single" w:color="auto" w:sz="4" w:space="0"/>
              <w:right w:val="single" w:color="auto" w:sz="4" w:space="0"/>
            </w:tcBorders>
            <w:shd w:val="clear" w:color="auto" w:fill="auto"/>
            <w:noWrap/>
            <w:vAlign w:val="center"/>
          </w:tcPr>
          <w:p w14:paraId="189B3293">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r>
      <w:tr w14:paraId="1658B7EB">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14:paraId="62EDE835">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546" w:type="pct"/>
            <w:vMerge w:val="continue"/>
            <w:tcBorders>
              <w:top w:val="nil"/>
              <w:left w:val="single" w:color="auto" w:sz="4" w:space="0"/>
              <w:bottom w:val="single" w:color="auto" w:sz="4" w:space="0"/>
              <w:right w:val="single" w:color="auto" w:sz="4" w:space="0"/>
            </w:tcBorders>
            <w:vAlign w:val="center"/>
          </w:tcPr>
          <w:p w14:paraId="2B235099">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964" w:type="pct"/>
            <w:tcBorders>
              <w:top w:val="nil"/>
              <w:left w:val="nil"/>
              <w:bottom w:val="single" w:color="auto" w:sz="4" w:space="0"/>
              <w:right w:val="single" w:color="auto" w:sz="4" w:space="0"/>
            </w:tcBorders>
            <w:shd w:val="clear" w:color="auto" w:fill="auto"/>
            <w:vAlign w:val="center"/>
          </w:tcPr>
          <w:p w14:paraId="2634CA4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商业服务业用地</w:t>
            </w:r>
          </w:p>
        </w:tc>
        <w:tc>
          <w:tcPr>
            <w:tcW w:w="559" w:type="pct"/>
            <w:tcBorders>
              <w:top w:val="nil"/>
              <w:left w:val="nil"/>
              <w:bottom w:val="single" w:color="auto" w:sz="4" w:space="0"/>
              <w:right w:val="nil"/>
            </w:tcBorders>
            <w:shd w:val="clear" w:color="auto" w:fill="auto"/>
            <w:noWrap/>
            <w:vAlign w:val="center"/>
          </w:tcPr>
          <w:p w14:paraId="3B18D9D2">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商业用地</w:t>
            </w:r>
          </w:p>
        </w:tc>
        <w:tc>
          <w:tcPr>
            <w:tcW w:w="377" w:type="pct"/>
            <w:tcBorders>
              <w:top w:val="nil"/>
              <w:left w:val="single" w:color="auto" w:sz="4" w:space="0"/>
              <w:bottom w:val="single" w:color="auto" w:sz="4" w:space="0"/>
              <w:right w:val="single" w:color="auto" w:sz="4" w:space="0"/>
            </w:tcBorders>
            <w:shd w:val="clear" w:color="auto" w:fill="auto"/>
            <w:noWrap/>
            <w:vAlign w:val="center"/>
          </w:tcPr>
          <w:p w14:paraId="3190947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4.13 </w:t>
            </w:r>
          </w:p>
        </w:tc>
        <w:tc>
          <w:tcPr>
            <w:tcW w:w="277" w:type="pct"/>
            <w:tcBorders>
              <w:top w:val="nil"/>
              <w:left w:val="nil"/>
              <w:bottom w:val="single" w:color="auto" w:sz="4" w:space="0"/>
              <w:right w:val="single" w:color="auto" w:sz="4" w:space="0"/>
            </w:tcBorders>
            <w:shd w:val="clear" w:color="auto" w:fill="auto"/>
            <w:noWrap/>
            <w:vAlign w:val="center"/>
          </w:tcPr>
          <w:p w14:paraId="3CC9B8E9">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2.07 </w:t>
            </w:r>
          </w:p>
        </w:tc>
        <w:tc>
          <w:tcPr>
            <w:tcW w:w="277" w:type="pct"/>
            <w:tcBorders>
              <w:top w:val="nil"/>
              <w:left w:val="nil"/>
              <w:bottom w:val="single" w:color="auto" w:sz="4" w:space="0"/>
              <w:right w:val="single" w:color="auto" w:sz="4" w:space="0"/>
            </w:tcBorders>
            <w:shd w:val="clear" w:color="auto" w:fill="auto"/>
            <w:noWrap/>
            <w:vAlign w:val="center"/>
          </w:tcPr>
          <w:p w14:paraId="7F66E13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2.07 </w:t>
            </w:r>
          </w:p>
        </w:tc>
        <w:tc>
          <w:tcPr>
            <w:tcW w:w="195" w:type="pct"/>
            <w:tcBorders>
              <w:top w:val="nil"/>
              <w:left w:val="nil"/>
              <w:bottom w:val="single" w:color="auto" w:sz="4" w:space="0"/>
              <w:right w:val="single" w:color="auto" w:sz="4" w:space="0"/>
            </w:tcBorders>
            <w:shd w:val="clear" w:color="auto" w:fill="auto"/>
            <w:noWrap/>
            <w:vAlign w:val="center"/>
          </w:tcPr>
          <w:p w14:paraId="7F46468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26439ED1">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2881B4C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25106C2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r>
      <w:tr w14:paraId="0FD4CC55">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14:paraId="4464258C">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546" w:type="pct"/>
            <w:vMerge w:val="continue"/>
            <w:tcBorders>
              <w:top w:val="nil"/>
              <w:left w:val="single" w:color="auto" w:sz="4" w:space="0"/>
              <w:bottom w:val="single" w:color="auto" w:sz="4" w:space="0"/>
              <w:right w:val="single" w:color="auto" w:sz="4" w:space="0"/>
            </w:tcBorders>
            <w:vAlign w:val="center"/>
          </w:tcPr>
          <w:p w14:paraId="4BD6FF1F">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964" w:type="pct"/>
            <w:tcBorders>
              <w:top w:val="nil"/>
              <w:left w:val="nil"/>
              <w:bottom w:val="single" w:color="auto" w:sz="4" w:space="0"/>
              <w:right w:val="single" w:color="auto" w:sz="4" w:space="0"/>
            </w:tcBorders>
            <w:shd w:val="clear" w:color="auto" w:fill="auto"/>
            <w:vAlign w:val="center"/>
          </w:tcPr>
          <w:p w14:paraId="78DF2E1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559" w:type="pct"/>
            <w:tcBorders>
              <w:top w:val="nil"/>
              <w:left w:val="nil"/>
              <w:bottom w:val="single" w:color="auto" w:sz="4" w:space="0"/>
              <w:right w:val="nil"/>
            </w:tcBorders>
            <w:shd w:val="clear" w:color="auto" w:fill="auto"/>
            <w:noWrap/>
            <w:vAlign w:val="center"/>
          </w:tcPr>
          <w:p w14:paraId="151BE538">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工业用地</w:t>
            </w:r>
          </w:p>
        </w:tc>
        <w:tc>
          <w:tcPr>
            <w:tcW w:w="377" w:type="pct"/>
            <w:tcBorders>
              <w:top w:val="nil"/>
              <w:left w:val="single" w:color="auto" w:sz="4" w:space="0"/>
              <w:bottom w:val="single" w:color="auto" w:sz="4" w:space="0"/>
              <w:right w:val="single" w:color="auto" w:sz="4" w:space="0"/>
            </w:tcBorders>
            <w:shd w:val="clear" w:color="auto" w:fill="auto"/>
            <w:noWrap/>
            <w:vAlign w:val="center"/>
          </w:tcPr>
          <w:p w14:paraId="7BD7115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1073.97 </w:t>
            </w:r>
          </w:p>
        </w:tc>
        <w:tc>
          <w:tcPr>
            <w:tcW w:w="277" w:type="pct"/>
            <w:tcBorders>
              <w:top w:val="nil"/>
              <w:left w:val="nil"/>
              <w:bottom w:val="single" w:color="auto" w:sz="4" w:space="0"/>
              <w:right w:val="single" w:color="auto" w:sz="4" w:space="0"/>
            </w:tcBorders>
            <w:shd w:val="clear" w:color="auto" w:fill="auto"/>
            <w:noWrap/>
            <w:vAlign w:val="center"/>
          </w:tcPr>
          <w:p w14:paraId="41CAA193">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536.99 </w:t>
            </w:r>
          </w:p>
        </w:tc>
        <w:tc>
          <w:tcPr>
            <w:tcW w:w="277" w:type="pct"/>
            <w:tcBorders>
              <w:top w:val="nil"/>
              <w:left w:val="nil"/>
              <w:bottom w:val="single" w:color="auto" w:sz="4" w:space="0"/>
              <w:right w:val="single" w:color="auto" w:sz="4" w:space="0"/>
            </w:tcBorders>
            <w:shd w:val="clear" w:color="auto" w:fill="auto"/>
            <w:noWrap/>
            <w:vAlign w:val="center"/>
          </w:tcPr>
          <w:p w14:paraId="7890DEA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536.99 </w:t>
            </w:r>
          </w:p>
        </w:tc>
        <w:tc>
          <w:tcPr>
            <w:tcW w:w="195" w:type="pct"/>
            <w:tcBorders>
              <w:top w:val="nil"/>
              <w:left w:val="nil"/>
              <w:bottom w:val="single" w:color="auto" w:sz="4" w:space="0"/>
              <w:right w:val="single" w:color="auto" w:sz="4" w:space="0"/>
            </w:tcBorders>
            <w:shd w:val="clear" w:color="auto" w:fill="auto"/>
            <w:noWrap/>
            <w:vAlign w:val="center"/>
          </w:tcPr>
          <w:p w14:paraId="5F11EE2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0AC1162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42EAF1C7">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7D24C54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r>
      <w:tr w14:paraId="51175632">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14:paraId="424C2FC5">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546" w:type="pct"/>
            <w:vMerge w:val="continue"/>
            <w:tcBorders>
              <w:top w:val="nil"/>
              <w:left w:val="single" w:color="auto" w:sz="4" w:space="0"/>
              <w:bottom w:val="single" w:color="auto" w:sz="4" w:space="0"/>
              <w:right w:val="single" w:color="auto" w:sz="4" w:space="0"/>
            </w:tcBorders>
            <w:vAlign w:val="center"/>
          </w:tcPr>
          <w:p w14:paraId="03266BE5">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964" w:type="pct"/>
            <w:vMerge w:val="restart"/>
            <w:tcBorders>
              <w:top w:val="nil"/>
              <w:left w:val="single" w:color="auto" w:sz="4" w:space="0"/>
              <w:bottom w:val="single" w:color="auto" w:sz="4" w:space="0"/>
              <w:right w:val="single" w:color="auto" w:sz="4" w:space="0"/>
            </w:tcBorders>
            <w:shd w:val="clear" w:color="auto" w:fill="auto"/>
            <w:vAlign w:val="center"/>
          </w:tcPr>
          <w:p w14:paraId="6F7DCF1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559" w:type="pct"/>
            <w:tcBorders>
              <w:top w:val="nil"/>
              <w:left w:val="nil"/>
              <w:bottom w:val="single" w:color="auto" w:sz="4" w:space="0"/>
              <w:right w:val="nil"/>
            </w:tcBorders>
            <w:shd w:val="clear" w:color="auto" w:fill="auto"/>
            <w:noWrap/>
            <w:vAlign w:val="center"/>
          </w:tcPr>
          <w:p w14:paraId="651B985F">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城镇道路用地</w:t>
            </w:r>
          </w:p>
        </w:tc>
        <w:tc>
          <w:tcPr>
            <w:tcW w:w="377" w:type="pct"/>
            <w:tcBorders>
              <w:top w:val="nil"/>
              <w:left w:val="single" w:color="auto" w:sz="4" w:space="0"/>
              <w:bottom w:val="single" w:color="auto" w:sz="4" w:space="0"/>
              <w:right w:val="single" w:color="auto" w:sz="4" w:space="0"/>
            </w:tcBorders>
            <w:shd w:val="clear" w:color="auto" w:fill="auto"/>
            <w:noWrap/>
            <w:vAlign w:val="center"/>
          </w:tcPr>
          <w:p w14:paraId="0DC1480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175.92 </w:t>
            </w:r>
          </w:p>
        </w:tc>
        <w:tc>
          <w:tcPr>
            <w:tcW w:w="277" w:type="pct"/>
            <w:tcBorders>
              <w:top w:val="nil"/>
              <w:left w:val="nil"/>
              <w:bottom w:val="single" w:color="auto" w:sz="4" w:space="0"/>
              <w:right w:val="single" w:color="auto" w:sz="4" w:space="0"/>
            </w:tcBorders>
            <w:shd w:val="clear" w:color="auto" w:fill="auto"/>
            <w:noWrap/>
            <w:vAlign w:val="center"/>
          </w:tcPr>
          <w:p w14:paraId="260D5CA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87.96 </w:t>
            </w:r>
          </w:p>
        </w:tc>
        <w:tc>
          <w:tcPr>
            <w:tcW w:w="277" w:type="pct"/>
            <w:tcBorders>
              <w:top w:val="nil"/>
              <w:left w:val="nil"/>
              <w:bottom w:val="single" w:color="auto" w:sz="4" w:space="0"/>
              <w:right w:val="single" w:color="auto" w:sz="4" w:space="0"/>
            </w:tcBorders>
            <w:shd w:val="clear" w:color="auto" w:fill="auto"/>
            <w:noWrap/>
            <w:vAlign w:val="center"/>
          </w:tcPr>
          <w:p w14:paraId="00BDCD2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87.96 </w:t>
            </w:r>
          </w:p>
        </w:tc>
        <w:tc>
          <w:tcPr>
            <w:tcW w:w="195" w:type="pct"/>
            <w:tcBorders>
              <w:top w:val="nil"/>
              <w:left w:val="nil"/>
              <w:bottom w:val="single" w:color="auto" w:sz="4" w:space="0"/>
              <w:right w:val="single" w:color="auto" w:sz="4" w:space="0"/>
            </w:tcBorders>
            <w:shd w:val="clear" w:color="auto" w:fill="auto"/>
            <w:noWrap/>
            <w:vAlign w:val="center"/>
          </w:tcPr>
          <w:p w14:paraId="4F02F1E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0116F6E9">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5CF8B20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5119B50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r>
      <w:tr w14:paraId="40C1BFB9">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14:paraId="49486FBC">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546" w:type="pct"/>
            <w:vMerge w:val="continue"/>
            <w:tcBorders>
              <w:top w:val="nil"/>
              <w:left w:val="single" w:color="auto" w:sz="4" w:space="0"/>
              <w:bottom w:val="single" w:color="auto" w:sz="4" w:space="0"/>
              <w:right w:val="single" w:color="auto" w:sz="4" w:space="0"/>
            </w:tcBorders>
            <w:vAlign w:val="center"/>
          </w:tcPr>
          <w:p w14:paraId="71CF06D7">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964" w:type="pct"/>
            <w:vMerge w:val="continue"/>
            <w:tcBorders>
              <w:top w:val="nil"/>
              <w:left w:val="single" w:color="auto" w:sz="4" w:space="0"/>
              <w:bottom w:val="single" w:color="auto" w:sz="4" w:space="0"/>
              <w:right w:val="single" w:color="auto" w:sz="4" w:space="0"/>
            </w:tcBorders>
            <w:vAlign w:val="center"/>
          </w:tcPr>
          <w:p w14:paraId="02AEF6B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59" w:type="pct"/>
            <w:tcBorders>
              <w:top w:val="nil"/>
              <w:left w:val="nil"/>
              <w:bottom w:val="single" w:color="auto" w:sz="4" w:space="0"/>
              <w:right w:val="nil"/>
            </w:tcBorders>
            <w:shd w:val="clear" w:color="auto" w:fill="auto"/>
            <w:noWrap/>
            <w:vAlign w:val="center"/>
          </w:tcPr>
          <w:p w14:paraId="7A04F9E7">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交通场站用地</w:t>
            </w:r>
          </w:p>
        </w:tc>
        <w:tc>
          <w:tcPr>
            <w:tcW w:w="377" w:type="pct"/>
            <w:tcBorders>
              <w:top w:val="nil"/>
              <w:left w:val="single" w:color="auto" w:sz="4" w:space="0"/>
              <w:bottom w:val="single" w:color="auto" w:sz="4" w:space="0"/>
              <w:right w:val="single" w:color="auto" w:sz="4" w:space="0"/>
            </w:tcBorders>
            <w:shd w:val="clear" w:color="auto" w:fill="auto"/>
            <w:noWrap/>
            <w:vAlign w:val="center"/>
          </w:tcPr>
          <w:p w14:paraId="3193105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11.42 </w:t>
            </w:r>
          </w:p>
        </w:tc>
        <w:tc>
          <w:tcPr>
            <w:tcW w:w="277" w:type="pct"/>
            <w:tcBorders>
              <w:top w:val="nil"/>
              <w:left w:val="nil"/>
              <w:bottom w:val="single" w:color="auto" w:sz="4" w:space="0"/>
              <w:right w:val="single" w:color="auto" w:sz="4" w:space="0"/>
            </w:tcBorders>
            <w:shd w:val="clear" w:color="auto" w:fill="auto"/>
            <w:noWrap/>
            <w:vAlign w:val="center"/>
          </w:tcPr>
          <w:p w14:paraId="75E1FF0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5.71 </w:t>
            </w:r>
          </w:p>
        </w:tc>
        <w:tc>
          <w:tcPr>
            <w:tcW w:w="277" w:type="pct"/>
            <w:tcBorders>
              <w:top w:val="nil"/>
              <w:left w:val="nil"/>
              <w:bottom w:val="single" w:color="auto" w:sz="4" w:space="0"/>
              <w:right w:val="single" w:color="auto" w:sz="4" w:space="0"/>
            </w:tcBorders>
            <w:shd w:val="clear" w:color="auto" w:fill="auto"/>
            <w:noWrap/>
            <w:vAlign w:val="center"/>
          </w:tcPr>
          <w:p w14:paraId="0ADB88B1">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5.71 </w:t>
            </w:r>
          </w:p>
        </w:tc>
        <w:tc>
          <w:tcPr>
            <w:tcW w:w="195" w:type="pct"/>
            <w:tcBorders>
              <w:top w:val="nil"/>
              <w:left w:val="nil"/>
              <w:bottom w:val="single" w:color="auto" w:sz="4" w:space="0"/>
              <w:right w:val="single" w:color="auto" w:sz="4" w:space="0"/>
            </w:tcBorders>
            <w:shd w:val="clear" w:color="auto" w:fill="auto"/>
            <w:noWrap/>
            <w:vAlign w:val="center"/>
          </w:tcPr>
          <w:p w14:paraId="6FBA488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3E92491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17FD721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5CFFFEEB">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r>
      <w:tr w14:paraId="47DBDE90">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14:paraId="307B6FDA">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546" w:type="pct"/>
            <w:vMerge w:val="continue"/>
            <w:tcBorders>
              <w:top w:val="nil"/>
              <w:left w:val="single" w:color="auto" w:sz="4" w:space="0"/>
              <w:bottom w:val="single" w:color="auto" w:sz="4" w:space="0"/>
              <w:right w:val="single" w:color="auto" w:sz="4" w:space="0"/>
            </w:tcBorders>
            <w:vAlign w:val="center"/>
          </w:tcPr>
          <w:p w14:paraId="6EDBF766">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964" w:type="pct"/>
            <w:vMerge w:val="restart"/>
            <w:tcBorders>
              <w:top w:val="nil"/>
              <w:left w:val="single" w:color="auto" w:sz="4" w:space="0"/>
              <w:bottom w:val="single" w:color="auto" w:sz="4" w:space="0"/>
              <w:right w:val="single" w:color="auto" w:sz="4" w:space="0"/>
            </w:tcBorders>
            <w:shd w:val="clear" w:color="auto" w:fill="auto"/>
            <w:vAlign w:val="center"/>
          </w:tcPr>
          <w:p w14:paraId="2837B2F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公用设施用地</w:t>
            </w:r>
          </w:p>
        </w:tc>
        <w:tc>
          <w:tcPr>
            <w:tcW w:w="559" w:type="pct"/>
            <w:tcBorders>
              <w:top w:val="nil"/>
              <w:left w:val="nil"/>
              <w:bottom w:val="single" w:color="auto" w:sz="4" w:space="0"/>
              <w:right w:val="nil"/>
            </w:tcBorders>
            <w:shd w:val="clear" w:color="auto" w:fill="auto"/>
            <w:noWrap/>
            <w:vAlign w:val="center"/>
          </w:tcPr>
          <w:p w14:paraId="0F4DAAC3">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排水用地</w:t>
            </w:r>
          </w:p>
        </w:tc>
        <w:tc>
          <w:tcPr>
            <w:tcW w:w="377" w:type="pct"/>
            <w:tcBorders>
              <w:top w:val="nil"/>
              <w:left w:val="single" w:color="auto" w:sz="4" w:space="0"/>
              <w:bottom w:val="single" w:color="auto" w:sz="4" w:space="0"/>
              <w:right w:val="single" w:color="auto" w:sz="4" w:space="0"/>
            </w:tcBorders>
            <w:shd w:val="clear" w:color="auto" w:fill="auto"/>
            <w:noWrap/>
            <w:vAlign w:val="center"/>
          </w:tcPr>
          <w:p w14:paraId="0C3BD128">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1.93 </w:t>
            </w:r>
          </w:p>
        </w:tc>
        <w:tc>
          <w:tcPr>
            <w:tcW w:w="277" w:type="pct"/>
            <w:tcBorders>
              <w:top w:val="nil"/>
              <w:left w:val="nil"/>
              <w:bottom w:val="single" w:color="auto" w:sz="4" w:space="0"/>
              <w:right w:val="single" w:color="auto" w:sz="4" w:space="0"/>
            </w:tcBorders>
            <w:shd w:val="clear" w:color="auto" w:fill="auto"/>
            <w:noWrap/>
            <w:vAlign w:val="center"/>
          </w:tcPr>
          <w:p w14:paraId="4FC7F242">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0.96 </w:t>
            </w:r>
          </w:p>
        </w:tc>
        <w:tc>
          <w:tcPr>
            <w:tcW w:w="277" w:type="pct"/>
            <w:tcBorders>
              <w:top w:val="nil"/>
              <w:left w:val="nil"/>
              <w:bottom w:val="single" w:color="auto" w:sz="4" w:space="0"/>
              <w:right w:val="single" w:color="auto" w:sz="4" w:space="0"/>
            </w:tcBorders>
            <w:shd w:val="clear" w:color="auto" w:fill="auto"/>
            <w:noWrap/>
            <w:vAlign w:val="center"/>
          </w:tcPr>
          <w:p w14:paraId="3CD15A1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0.96 </w:t>
            </w:r>
          </w:p>
        </w:tc>
        <w:tc>
          <w:tcPr>
            <w:tcW w:w="195" w:type="pct"/>
            <w:tcBorders>
              <w:top w:val="nil"/>
              <w:left w:val="nil"/>
              <w:bottom w:val="single" w:color="auto" w:sz="4" w:space="0"/>
              <w:right w:val="single" w:color="auto" w:sz="4" w:space="0"/>
            </w:tcBorders>
            <w:shd w:val="clear" w:color="auto" w:fill="auto"/>
            <w:noWrap/>
            <w:vAlign w:val="center"/>
          </w:tcPr>
          <w:p w14:paraId="253499A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6EC6D2A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0B36457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56FB5423">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r>
      <w:tr w14:paraId="2F0C14BF">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14:paraId="08928843">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546" w:type="pct"/>
            <w:vMerge w:val="continue"/>
            <w:tcBorders>
              <w:top w:val="nil"/>
              <w:left w:val="single" w:color="auto" w:sz="4" w:space="0"/>
              <w:bottom w:val="single" w:color="auto" w:sz="4" w:space="0"/>
              <w:right w:val="single" w:color="auto" w:sz="4" w:space="0"/>
            </w:tcBorders>
            <w:vAlign w:val="center"/>
          </w:tcPr>
          <w:p w14:paraId="7B2CA083">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964" w:type="pct"/>
            <w:vMerge w:val="continue"/>
            <w:tcBorders>
              <w:top w:val="nil"/>
              <w:left w:val="single" w:color="auto" w:sz="4" w:space="0"/>
              <w:bottom w:val="single" w:color="auto" w:sz="4" w:space="0"/>
              <w:right w:val="single" w:color="auto" w:sz="4" w:space="0"/>
            </w:tcBorders>
            <w:vAlign w:val="center"/>
          </w:tcPr>
          <w:p w14:paraId="756EA5D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59" w:type="pct"/>
            <w:tcBorders>
              <w:top w:val="nil"/>
              <w:left w:val="nil"/>
              <w:bottom w:val="single" w:color="auto" w:sz="4" w:space="0"/>
              <w:right w:val="nil"/>
            </w:tcBorders>
            <w:shd w:val="clear" w:color="auto" w:fill="auto"/>
            <w:noWrap/>
            <w:vAlign w:val="center"/>
          </w:tcPr>
          <w:p w14:paraId="34245BDA">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供电用地</w:t>
            </w:r>
          </w:p>
        </w:tc>
        <w:tc>
          <w:tcPr>
            <w:tcW w:w="377" w:type="pct"/>
            <w:tcBorders>
              <w:top w:val="nil"/>
              <w:left w:val="single" w:color="auto" w:sz="4" w:space="0"/>
              <w:bottom w:val="single" w:color="auto" w:sz="4" w:space="0"/>
              <w:right w:val="single" w:color="auto" w:sz="4" w:space="0"/>
            </w:tcBorders>
            <w:shd w:val="clear" w:color="auto" w:fill="auto"/>
            <w:noWrap/>
            <w:vAlign w:val="center"/>
          </w:tcPr>
          <w:p w14:paraId="78AE2A32">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2.71 </w:t>
            </w:r>
          </w:p>
        </w:tc>
        <w:tc>
          <w:tcPr>
            <w:tcW w:w="277" w:type="pct"/>
            <w:tcBorders>
              <w:top w:val="nil"/>
              <w:left w:val="nil"/>
              <w:bottom w:val="single" w:color="auto" w:sz="4" w:space="0"/>
              <w:right w:val="single" w:color="auto" w:sz="4" w:space="0"/>
            </w:tcBorders>
            <w:shd w:val="clear" w:color="auto" w:fill="auto"/>
            <w:noWrap/>
            <w:vAlign w:val="center"/>
          </w:tcPr>
          <w:p w14:paraId="106D5B73">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1.36 </w:t>
            </w:r>
          </w:p>
        </w:tc>
        <w:tc>
          <w:tcPr>
            <w:tcW w:w="277" w:type="pct"/>
            <w:tcBorders>
              <w:top w:val="nil"/>
              <w:left w:val="nil"/>
              <w:bottom w:val="single" w:color="auto" w:sz="4" w:space="0"/>
              <w:right w:val="single" w:color="auto" w:sz="4" w:space="0"/>
            </w:tcBorders>
            <w:shd w:val="clear" w:color="auto" w:fill="auto"/>
            <w:noWrap/>
            <w:vAlign w:val="center"/>
          </w:tcPr>
          <w:p w14:paraId="5C9B6F19">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1.36 </w:t>
            </w:r>
          </w:p>
        </w:tc>
        <w:tc>
          <w:tcPr>
            <w:tcW w:w="195" w:type="pct"/>
            <w:tcBorders>
              <w:top w:val="nil"/>
              <w:left w:val="nil"/>
              <w:bottom w:val="single" w:color="auto" w:sz="4" w:space="0"/>
              <w:right w:val="single" w:color="auto" w:sz="4" w:space="0"/>
            </w:tcBorders>
            <w:shd w:val="clear" w:color="auto" w:fill="auto"/>
            <w:noWrap/>
            <w:vAlign w:val="center"/>
          </w:tcPr>
          <w:p w14:paraId="4201910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1ED1065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57382759">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163F61FD">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r>
      <w:tr w14:paraId="4071A3BC">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14:paraId="37B5BF89">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546" w:type="pct"/>
            <w:vMerge w:val="continue"/>
            <w:tcBorders>
              <w:top w:val="nil"/>
              <w:left w:val="single" w:color="auto" w:sz="4" w:space="0"/>
              <w:bottom w:val="single" w:color="auto" w:sz="4" w:space="0"/>
              <w:right w:val="single" w:color="auto" w:sz="4" w:space="0"/>
            </w:tcBorders>
            <w:vAlign w:val="center"/>
          </w:tcPr>
          <w:p w14:paraId="4F808DBF">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964" w:type="pct"/>
            <w:vMerge w:val="continue"/>
            <w:tcBorders>
              <w:top w:val="nil"/>
              <w:left w:val="single" w:color="auto" w:sz="4" w:space="0"/>
              <w:bottom w:val="single" w:color="auto" w:sz="4" w:space="0"/>
              <w:right w:val="single" w:color="auto" w:sz="4" w:space="0"/>
            </w:tcBorders>
            <w:vAlign w:val="center"/>
          </w:tcPr>
          <w:p w14:paraId="6713130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59" w:type="pct"/>
            <w:tcBorders>
              <w:top w:val="nil"/>
              <w:left w:val="nil"/>
              <w:bottom w:val="single" w:color="auto" w:sz="4" w:space="0"/>
              <w:right w:val="nil"/>
            </w:tcBorders>
            <w:shd w:val="clear" w:color="auto" w:fill="auto"/>
            <w:noWrap/>
            <w:vAlign w:val="center"/>
          </w:tcPr>
          <w:p w14:paraId="7F2B24D5">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供燃气用地</w:t>
            </w:r>
          </w:p>
        </w:tc>
        <w:tc>
          <w:tcPr>
            <w:tcW w:w="377" w:type="pct"/>
            <w:tcBorders>
              <w:top w:val="nil"/>
              <w:left w:val="single" w:color="auto" w:sz="4" w:space="0"/>
              <w:bottom w:val="single" w:color="auto" w:sz="4" w:space="0"/>
              <w:right w:val="single" w:color="auto" w:sz="4" w:space="0"/>
            </w:tcBorders>
            <w:shd w:val="clear" w:color="auto" w:fill="auto"/>
            <w:noWrap/>
            <w:vAlign w:val="center"/>
          </w:tcPr>
          <w:p w14:paraId="3E3A7F8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2.89 </w:t>
            </w:r>
          </w:p>
        </w:tc>
        <w:tc>
          <w:tcPr>
            <w:tcW w:w="277" w:type="pct"/>
            <w:tcBorders>
              <w:top w:val="nil"/>
              <w:left w:val="nil"/>
              <w:bottom w:val="single" w:color="auto" w:sz="4" w:space="0"/>
              <w:right w:val="single" w:color="auto" w:sz="4" w:space="0"/>
            </w:tcBorders>
            <w:shd w:val="clear" w:color="auto" w:fill="auto"/>
            <w:noWrap/>
            <w:vAlign w:val="center"/>
          </w:tcPr>
          <w:p w14:paraId="6F46F88D">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1.45 </w:t>
            </w:r>
          </w:p>
        </w:tc>
        <w:tc>
          <w:tcPr>
            <w:tcW w:w="277" w:type="pct"/>
            <w:tcBorders>
              <w:top w:val="nil"/>
              <w:left w:val="nil"/>
              <w:bottom w:val="single" w:color="auto" w:sz="4" w:space="0"/>
              <w:right w:val="single" w:color="auto" w:sz="4" w:space="0"/>
            </w:tcBorders>
            <w:shd w:val="clear" w:color="auto" w:fill="auto"/>
            <w:noWrap/>
            <w:vAlign w:val="center"/>
          </w:tcPr>
          <w:p w14:paraId="457CB88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1.45 </w:t>
            </w:r>
          </w:p>
        </w:tc>
        <w:tc>
          <w:tcPr>
            <w:tcW w:w="195" w:type="pct"/>
            <w:tcBorders>
              <w:top w:val="nil"/>
              <w:left w:val="nil"/>
              <w:bottom w:val="single" w:color="auto" w:sz="4" w:space="0"/>
              <w:right w:val="single" w:color="auto" w:sz="4" w:space="0"/>
            </w:tcBorders>
            <w:shd w:val="clear" w:color="auto" w:fill="auto"/>
            <w:noWrap/>
            <w:vAlign w:val="center"/>
          </w:tcPr>
          <w:p w14:paraId="792B0D7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22FCB07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76677BCD">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59AE7BA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r>
      <w:tr w14:paraId="423EB4B9">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14:paraId="59510FD7">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546" w:type="pct"/>
            <w:vMerge w:val="continue"/>
            <w:tcBorders>
              <w:top w:val="nil"/>
              <w:left w:val="single" w:color="auto" w:sz="4" w:space="0"/>
              <w:bottom w:val="single" w:color="auto" w:sz="4" w:space="0"/>
              <w:right w:val="single" w:color="auto" w:sz="4" w:space="0"/>
            </w:tcBorders>
            <w:vAlign w:val="center"/>
          </w:tcPr>
          <w:p w14:paraId="0C2CE465">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964" w:type="pct"/>
            <w:vMerge w:val="continue"/>
            <w:tcBorders>
              <w:top w:val="nil"/>
              <w:left w:val="single" w:color="auto" w:sz="4" w:space="0"/>
              <w:bottom w:val="single" w:color="auto" w:sz="4" w:space="0"/>
              <w:right w:val="single" w:color="auto" w:sz="4" w:space="0"/>
            </w:tcBorders>
            <w:vAlign w:val="center"/>
          </w:tcPr>
          <w:p w14:paraId="65D20B6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59" w:type="pct"/>
            <w:tcBorders>
              <w:top w:val="nil"/>
              <w:left w:val="nil"/>
              <w:bottom w:val="single" w:color="auto" w:sz="4" w:space="0"/>
              <w:right w:val="nil"/>
            </w:tcBorders>
            <w:shd w:val="clear" w:color="auto" w:fill="auto"/>
            <w:noWrap/>
            <w:vAlign w:val="center"/>
          </w:tcPr>
          <w:p w14:paraId="7E33EB0E">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环卫用地</w:t>
            </w:r>
          </w:p>
        </w:tc>
        <w:tc>
          <w:tcPr>
            <w:tcW w:w="377" w:type="pct"/>
            <w:tcBorders>
              <w:top w:val="nil"/>
              <w:left w:val="single" w:color="auto" w:sz="4" w:space="0"/>
              <w:bottom w:val="single" w:color="auto" w:sz="4" w:space="0"/>
              <w:right w:val="single" w:color="auto" w:sz="4" w:space="0"/>
            </w:tcBorders>
            <w:shd w:val="clear" w:color="auto" w:fill="auto"/>
            <w:noWrap/>
            <w:vAlign w:val="center"/>
          </w:tcPr>
          <w:p w14:paraId="14517DEB">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1.93 </w:t>
            </w:r>
          </w:p>
        </w:tc>
        <w:tc>
          <w:tcPr>
            <w:tcW w:w="277" w:type="pct"/>
            <w:tcBorders>
              <w:top w:val="nil"/>
              <w:left w:val="nil"/>
              <w:bottom w:val="single" w:color="auto" w:sz="4" w:space="0"/>
              <w:right w:val="single" w:color="auto" w:sz="4" w:space="0"/>
            </w:tcBorders>
            <w:shd w:val="clear" w:color="auto" w:fill="auto"/>
            <w:noWrap/>
            <w:vAlign w:val="center"/>
          </w:tcPr>
          <w:p w14:paraId="56D24C77">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0.96 </w:t>
            </w:r>
          </w:p>
        </w:tc>
        <w:tc>
          <w:tcPr>
            <w:tcW w:w="277" w:type="pct"/>
            <w:tcBorders>
              <w:top w:val="nil"/>
              <w:left w:val="nil"/>
              <w:bottom w:val="single" w:color="auto" w:sz="4" w:space="0"/>
              <w:right w:val="single" w:color="auto" w:sz="4" w:space="0"/>
            </w:tcBorders>
            <w:shd w:val="clear" w:color="auto" w:fill="auto"/>
            <w:noWrap/>
            <w:vAlign w:val="center"/>
          </w:tcPr>
          <w:p w14:paraId="66F67DB2">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0.96 </w:t>
            </w:r>
          </w:p>
        </w:tc>
        <w:tc>
          <w:tcPr>
            <w:tcW w:w="195" w:type="pct"/>
            <w:tcBorders>
              <w:top w:val="nil"/>
              <w:left w:val="nil"/>
              <w:bottom w:val="single" w:color="auto" w:sz="4" w:space="0"/>
              <w:right w:val="single" w:color="auto" w:sz="4" w:space="0"/>
            </w:tcBorders>
            <w:shd w:val="clear" w:color="auto" w:fill="auto"/>
            <w:noWrap/>
            <w:vAlign w:val="center"/>
          </w:tcPr>
          <w:p w14:paraId="53C1A21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2C3237D2">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2BB6447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6B6BCF53">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r>
      <w:tr w14:paraId="02E09FF9">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14:paraId="635610D8">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546" w:type="pct"/>
            <w:vMerge w:val="continue"/>
            <w:tcBorders>
              <w:top w:val="nil"/>
              <w:left w:val="single" w:color="auto" w:sz="4" w:space="0"/>
              <w:bottom w:val="single" w:color="auto" w:sz="4" w:space="0"/>
              <w:right w:val="single" w:color="auto" w:sz="4" w:space="0"/>
            </w:tcBorders>
            <w:vAlign w:val="center"/>
          </w:tcPr>
          <w:p w14:paraId="5585EFFD">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964" w:type="pct"/>
            <w:vMerge w:val="continue"/>
            <w:tcBorders>
              <w:top w:val="nil"/>
              <w:left w:val="single" w:color="auto" w:sz="4" w:space="0"/>
              <w:bottom w:val="single" w:color="auto" w:sz="4" w:space="0"/>
              <w:right w:val="single" w:color="auto" w:sz="4" w:space="0"/>
            </w:tcBorders>
            <w:vAlign w:val="center"/>
          </w:tcPr>
          <w:p w14:paraId="432B82C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59" w:type="pct"/>
            <w:tcBorders>
              <w:top w:val="nil"/>
              <w:left w:val="nil"/>
              <w:bottom w:val="single" w:color="auto" w:sz="4" w:space="0"/>
              <w:right w:val="nil"/>
            </w:tcBorders>
            <w:shd w:val="clear" w:color="auto" w:fill="auto"/>
            <w:noWrap/>
            <w:vAlign w:val="center"/>
          </w:tcPr>
          <w:p w14:paraId="368758E8">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消防用地</w:t>
            </w:r>
          </w:p>
        </w:tc>
        <w:tc>
          <w:tcPr>
            <w:tcW w:w="377" w:type="pct"/>
            <w:tcBorders>
              <w:top w:val="nil"/>
              <w:left w:val="single" w:color="auto" w:sz="4" w:space="0"/>
              <w:bottom w:val="single" w:color="auto" w:sz="4" w:space="0"/>
              <w:right w:val="single" w:color="auto" w:sz="4" w:space="0"/>
            </w:tcBorders>
            <w:shd w:val="clear" w:color="auto" w:fill="auto"/>
            <w:noWrap/>
            <w:vAlign w:val="center"/>
          </w:tcPr>
          <w:p w14:paraId="2210F6F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0.61 </w:t>
            </w:r>
          </w:p>
        </w:tc>
        <w:tc>
          <w:tcPr>
            <w:tcW w:w="277" w:type="pct"/>
            <w:tcBorders>
              <w:top w:val="nil"/>
              <w:left w:val="nil"/>
              <w:bottom w:val="single" w:color="auto" w:sz="4" w:space="0"/>
              <w:right w:val="single" w:color="auto" w:sz="4" w:space="0"/>
            </w:tcBorders>
            <w:shd w:val="clear" w:color="auto" w:fill="auto"/>
            <w:noWrap/>
            <w:vAlign w:val="center"/>
          </w:tcPr>
          <w:p w14:paraId="08BD1C1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0.31 </w:t>
            </w:r>
          </w:p>
        </w:tc>
        <w:tc>
          <w:tcPr>
            <w:tcW w:w="277" w:type="pct"/>
            <w:tcBorders>
              <w:top w:val="nil"/>
              <w:left w:val="nil"/>
              <w:bottom w:val="single" w:color="auto" w:sz="4" w:space="0"/>
              <w:right w:val="single" w:color="auto" w:sz="4" w:space="0"/>
            </w:tcBorders>
            <w:shd w:val="clear" w:color="auto" w:fill="auto"/>
            <w:noWrap/>
            <w:vAlign w:val="center"/>
          </w:tcPr>
          <w:p w14:paraId="57B1CBB9">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0.31 </w:t>
            </w:r>
          </w:p>
        </w:tc>
        <w:tc>
          <w:tcPr>
            <w:tcW w:w="195" w:type="pct"/>
            <w:tcBorders>
              <w:top w:val="nil"/>
              <w:left w:val="nil"/>
              <w:bottom w:val="single" w:color="auto" w:sz="4" w:space="0"/>
              <w:right w:val="single" w:color="auto" w:sz="4" w:space="0"/>
            </w:tcBorders>
            <w:shd w:val="clear" w:color="auto" w:fill="auto"/>
            <w:noWrap/>
            <w:vAlign w:val="center"/>
          </w:tcPr>
          <w:p w14:paraId="13FAACFD">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515ED1FB">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79202F8D">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3A4C541D">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r>
      <w:tr w14:paraId="1C4BABAA">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14:paraId="1FAD4C0A">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546" w:type="pct"/>
            <w:vMerge w:val="continue"/>
            <w:tcBorders>
              <w:top w:val="nil"/>
              <w:left w:val="single" w:color="auto" w:sz="4" w:space="0"/>
              <w:bottom w:val="single" w:color="auto" w:sz="4" w:space="0"/>
              <w:right w:val="single" w:color="auto" w:sz="4" w:space="0"/>
            </w:tcBorders>
            <w:vAlign w:val="center"/>
          </w:tcPr>
          <w:p w14:paraId="494BB127">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964" w:type="pct"/>
            <w:tcBorders>
              <w:top w:val="nil"/>
              <w:left w:val="nil"/>
              <w:bottom w:val="single" w:color="auto" w:sz="4" w:space="0"/>
              <w:right w:val="single" w:color="auto" w:sz="4" w:space="0"/>
            </w:tcBorders>
            <w:shd w:val="clear" w:color="auto" w:fill="auto"/>
            <w:vAlign w:val="center"/>
          </w:tcPr>
          <w:p w14:paraId="0D2EDFA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559" w:type="pct"/>
            <w:tcBorders>
              <w:top w:val="nil"/>
              <w:left w:val="nil"/>
              <w:bottom w:val="single" w:color="auto" w:sz="4" w:space="0"/>
              <w:right w:val="nil"/>
            </w:tcBorders>
            <w:shd w:val="clear" w:color="auto" w:fill="auto"/>
            <w:noWrap/>
            <w:vAlign w:val="center"/>
          </w:tcPr>
          <w:p w14:paraId="64389C0D">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防护绿地</w:t>
            </w:r>
          </w:p>
        </w:tc>
        <w:tc>
          <w:tcPr>
            <w:tcW w:w="377" w:type="pct"/>
            <w:tcBorders>
              <w:top w:val="nil"/>
              <w:left w:val="single" w:color="auto" w:sz="4" w:space="0"/>
              <w:bottom w:val="single" w:color="auto" w:sz="4" w:space="0"/>
              <w:right w:val="single" w:color="auto" w:sz="4" w:space="0"/>
            </w:tcBorders>
            <w:shd w:val="clear" w:color="auto" w:fill="auto"/>
            <w:noWrap/>
            <w:vAlign w:val="center"/>
          </w:tcPr>
          <w:p w14:paraId="6AA20413">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277" w:type="pct"/>
            <w:tcBorders>
              <w:top w:val="nil"/>
              <w:left w:val="nil"/>
              <w:bottom w:val="single" w:color="auto" w:sz="4" w:space="0"/>
              <w:right w:val="single" w:color="auto" w:sz="4" w:space="0"/>
            </w:tcBorders>
            <w:shd w:val="clear" w:color="auto" w:fill="auto"/>
            <w:noWrap/>
            <w:vAlign w:val="center"/>
          </w:tcPr>
          <w:p w14:paraId="17F3985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277" w:type="pct"/>
            <w:tcBorders>
              <w:top w:val="nil"/>
              <w:left w:val="nil"/>
              <w:bottom w:val="single" w:color="auto" w:sz="4" w:space="0"/>
              <w:right w:val="single" w:color="auto" w:sz="4" w:space="0"/>
            </w:tcBorders>
            <w:shd w:val="clear" w:color="auto" w:fill="auto"/>
            <w:noWrap/>
            <w:vAlign w:val="center"/>
          </w:tcPr>
          <w:p w14:paraId="496306F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2DF048C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408B25B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0366A57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569279C2">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r>
      <w:tr w14:paraId="211CF7FB">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14:paraId="11DF41CF">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546" w:type="pct"/>
            <w:tcBorders>
              <w:top w:val="nil"/>
              <w:left w:val="nil"/>
              <w:bottom w:val="single" w:color="auto" w:sz="4" w:space="0"/>
              <w:right w:val="single" w:color="auto" w:sz="4" w:space="0"/>
            </w:tcBorders>
            <w:shd w:val="clear" w:color="auto" w:fill="auto"/>
            <w:vAlign w:val="center"/>
          </w:tcPr>
          <w:p w14:paraId="2EF8ACE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小计</w:t>
            </w:r>
          </w:p>
        </w:tc>
        <w:tc>
          <w:tcPr>
            <w:tcW w:w="964" w:type="pct"/>
            <w:tcBorders>
              <w:top w:val="nil"/>
              <w:left w:val="nil"/>
              <w:bottom w:val="single" w:color="auto" w:sz="4" w:space="0"/>
              <w:right w:val="single" w:color="auto" w:sz="4" w:space="0"/>
            </w:tcBorders>
            <w:shd w:val="clear" w:color="auto" w:fill="auto"/>
            <w:vAlign w:val="center"/>
          </w:tcPr>
          <w:p w14:paraId="458B694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559" w:type="pct"/>
            <w:tcBorders>
              <w:top w:val="nil"/>
              <w:left w:val="nil"/>
              <w:bottom w:val="single" w:color="auto" w:sz="4" w:space="0"/>
              <w:right w:val="nil"/>
            </w:tcBorders>
            <w:shd w:val="clear" w:color="auto" w:fill="auto"/>
            <w:noWrap/>
            <w:vAlign w:val="center"/>
          </w:tcPr>
          <w:p w14:paraId="5FFCE34C">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w:t>
            </w:r>
          </w:p>
        </w:tc>
        <w:tc>
          <w:tcPr>
            <w:tcW w:w="377" w:type="pct"/>
            <w:tcBorders>
              <w:top w:val="nil"/>
              <w:left w:val="single" w:color="auto" w:sz="4" w:space="0"/>
              <w:bottom w:val="single" w:color="auto" w:sz="4" w:space="0"/>
              <w:right w:val="single" w:color="auto" w:sz="4" w:space="0"/>
            </w:tcBorders>
            <w:shd w:val="clear" w:color="auto" w:fill="auto"/>
            <w:noWrap/>
            <w:vAlign w:val="center"/>
          </w:tcPr>
          <w:p w14:paraId="4F36159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1269.51 </w:t>
            </w:r>
          </w:p>
        </w:tc>
        <w:tc>
          <w:tcPr>
            <w:tcW w:w="277" w:type="pct"/>
            <w:tcBorders>
              <w:top w:val="nil"/>
              <w:left w:val="nil"/>
              <w:bottom w:val="single" w:color="auto" w:sz="4" w:space="0"/>
              <w:right w:val="single" w:color="auto" w:sz="4" w:space="0"/>
            </w:tcBorders>
            <w:shd w:val="clear" w:color="auto" w:fill="auto"/>
            <w:noWrap/>
            <w:vAlign w:val="center"/>
          </w:tcPr>
          <w:p w14:paraId="403D8A5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634.76 </w:t>
            </w:r>
          </w:p>
        </w:tc>
        <w:tc>
          <w:tcPr>
            <w:tcW w:w="277" w:type="pct"/>
            <w:tcBorders>
              <w:top w:val="nil"/>
              <w:left w:val="nil"/>
              <w:bottom w:val="single" w:color="auto" w:sz="4" w:space="0"/>
              <w:right w:val="single" w:color="auto" w:sz="4" w:space="0"/>
            </w:tcBorders>
            <w:shd w:val="clear" w:color="auto" w:fill="auto"/>
            <w:noWrap/>
            <w:vAlign w:val="center"/>
          </w:tcPr>
          <w:p w14:paraId="6471AF9B">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634.76 </w:t>
            </w:r>
          </w:p>
        </w:tc>
        <w:tc>
          <w:tcPr>
            <w:tcW w:w="195" w:type="pct"/>
            <w:tcBorders>
              <w:top w:val="nil"/>
              <w:left w:val="nil"/>
              <w:bottom w:val="single" w:color="auto" w:sz="4" w:space="0"/>
              <w:right w:val="single" w:color="auto" w:sz="4" w:space="0"/>
            </w:tcBorders>
            <w:shd w:val="clear" w:color="auto" w:fill="auto"/>
            <w:noWrap/>
            <w:vAlign w:val="center"/>
          </w:tcPr>
          <w:p w14:paraId="2CD4100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5C2A322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0F2D735D">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2D8BBC78">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r>
      <w:tr w14:paraId="7A13B26E">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14:paraId="089C1926">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546" w:type="pct"/>
            <w:vMerge w:val="restart"/>
            <w:tcBorders>
              <w:top w:val="nil"/>
              <w:left w:val="single" w:color="auto" w:sz="4" w:space="0"/>
              <w:bottom w:val="single" w:color="auto" w:sz="4" w:space="0"/>
              <w:right w:val="single" w:color="auto" w:sz="4" w:space="0"/>
            </w:tcBorders>
            <w:shd w:val="clear" w:color="auto" w:fill="auto"/>
            <w:vAlign w:val="center"/>
          </w:tcPr>
          <w:p w14:paraId="48E9E56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下湿壕片区</w:t>
            </w:r>
          </w:p>
        </w:tc>
        <w:tc>
          <w:tcPr>
            <w:tcW w:w="964" w:type="pct"/>
            <w:tcBorders>
              <w:top w:val="nil"/>
              <w:left w:val="nil"/>
              <w:bottom w:val="single" w:color="auto" w:sz="4" w:space="0"/>
              <w:right w:val="single" w:color="auto" w:sz="4" w:space="0"/>
            </w:tcBorders>
            <w:shd w:val="clear" w:color="auto" w:fill="auto"/>
            <w:vAlign w:val="center"/>
          </w:tcPr>
          <w:p w14:paraId="5346F51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559" w:type="pct"/>
            <w:tcBorders>
              <w:top w:val="nil"/>
              <w:left w:val="nil"/>
              <w:bottom w:val="single" w:color="auto" w:sz="4" w:space="0"/>
              <w:right w:val="nil"/>
            </w:tcBorders>
            <w:shd w:val="clear" w:color="auto" w:fill="auto"/>
            <w:noWrap/>
            <w:vAlign w:val="center"/>
          </w:tcPr>
          <w:p w14:paraId="530CBAB1">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工业用地</w:t>
            </w:r>
          </w:p>
        </w:tc>
        <w:tc>
          <w:tcPr>
            <w:tcW w:w="377" w:type="pct"/>
            <w:tcBorders>
              <w:top w:val="nil"/>
              <w:left w:val="single" w:color="auto" w:sz="4" w:space="0"/>
              <w:bottom w:val="single" w:color="auto" w:sz="4" w:space="0"/>
              <w:right w:val="single" w:color="auto" w:sz="4" w:space="0"/>
            </w:tcBorders>
            <w:shd w:val="clear" w:color="auto" w:fill="auto"/>
            <w:noWrap/>
            <w:vAlign w:val="center"/>
          </w:tcPr>
          <w:p w14:paraId="35B6E1D9">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57.48 </w:t>
            </w:r>
          </w:p>
        </w:tc>
        <w:tc>
          <w:tcPr>
            <w:tcW w:w="277" w:type="pct"/>
            <w:tcBorders>
              <w:top w:val="nil"/>
              <w:left w:val="nil"/>
              <w:bottom w:val="single" w:color="auto" w:sz="4" w:space="0"/>
              <w:right w:val="single" w:color="auto" w:sz="4" w:space="0"/>
            </w:tcBorders>
            <w:shd w:val="clear" w:color="auto" w:fill="auto"/>
            <w:noWrap/>
            <w:vAlign w:val="center"/>
          </w:tcPr>
          <w:p w14:paraId="3DA4E082">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28.74 </w:t>
            </w:r>
          </w:p>
        </w:tc>
        <w:tc>
          <w:tcPr>
            <w:tcW w:w="277" w:type="pct"/>
            <w:tcBorders>
              <w:top w:val="nil"/>
              <w:left w:val="nil"/>
              <w:bottom w:val="single" w:color="auto" w:sz="4" w:space="0"/>
              <w:right w:val="single" w:color="auto" w:sz="4" w:space="0"/>
            </w:tcBorders>
            <w:shd w:val="clear" w:color="auto" w:fill="auto"/>
            <w:noWrap/>
            <w:vAlign w:val="center"/>
          </w:tcPr>
          <w:p w14:paraId="22446B3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28.74 </w:t>
            </w:r>
          </w:p>
        </w:tc>
        <w:tc>
          <w:tcPr>
            <w:tcW w:w="195" w:type="pct"/>
            <w:tcBorders>
              <w:top w:val="nil"/>
              <w:left w:val="nil"/>
              <w:bottom w:val="single" w:color="auto" w:sz="4" w:space="0"/>
              <w:right w:val="single" w:color="auto" w:sz="4" w:space="0"/>
            </w:tcBorders>
            <w:shd w:val="clear" w:color="auto" w:fill="auto"/>
            <w:noWrap/>
            <w:vAlign w:val="center"/>
          </w:tcPr>
          <w:p w14:paraId="510CA31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2636ECE8">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77BB36A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72B9512B">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r>
      <w:tr w14:paraId="75F485BD">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14:paraId="41D9AFBC">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546" w:type="pct"/>
            <w:vMerge w:val="continue"/>
            <w:tcBorders>
              <w:top w:val="nil"/>
              <w:left w:val="single" w:color="auto" w:sz="4" w:space="0"/>
              <w:bottom w:val="single" w:color="auto" w:sz="4" w:space="0"/>
              <w:right w:val="single" w:color="auto" w:sz="4" w:space="0"/>
            </w:tcBorders>
            <w:vAlign w:val="center"/>
          </w:tcPr>
          <w:p w14:paraId="6375DC0E">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964" w:type="pct"/>
            <w:tcBorders>
              <w:top w:val="nil"/>
              <w:left w:val="nil"/>
              <w:bottom w:val="single" w:color="auto" w:sz="4" w:space="0"/>
              <w:right w:val="single" w:color="auto" w:sz="4" w:space="0"/>
            </w:tcBorders>
            <w:shd w:val="clear" w:color="auto" w:fill="auto"/>
            <w:vAlign w:val="center"/>
          </w:tcPr>
          <w:p w14:paraId="5F3BAD4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559" w:type="pct"/>
            <w:tcBorders>
              <w:top w:val="nil"/>
              <w:left w:val="nil"/>
              <w:bottom w:val="single" w:color="auto" w:sz="4" w:space="0"/>
              <w:right w:val="nil"/>
            </w:tcBorders>
            <w:shd w:val="clear" w:color="auto" w:fill="auto"/>
            <w:noWrap/>
            <w:vAlign w:val="center"/>
          </w:tcPr>
          <w:p w14:paraId="26CB8449">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城镇道路用地</w:t>
            </w:r>
          </w:p>
        </w:tc>
        <w:tc>
          <w:tcPr>
            <w:tcW w:w="377" w:type="pct"/>
            <w:tcBorders>
              <w:top w:val="nil"/>
              <w:left w:val="single" w:color="auto" w:sz="4" w:space="0"/>
              <w:bottom w:val="single" w:color="auto" w:sz="4" w:space="0"/>
              <w:right w:val="single" w:color="auto" w:sz="4" w:space="0"/>
            </w:tcBorders>
            <w:shd w:val="clear" w:color="auto" w:fill="auto"/>
            <w:noWrap/>
            <w:vAlign w:val="center"/>
          </w:tcPr>
          <w:p w14:paraId="7FB28C7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2.92 </w:t>
            </w:r>
          </w:p>
        </w:tc>
        <w:tc>
          <w:tcPr>
            <w:tcW w:w="277" w:type="pct"/>
            <w:tcBorders>
              <w:top w:val="nil"/>
              <w:left w:val="nil"/>
              <w:bottom w:val="single" w:color="auto" w:sz="4" w:space="0"/>
              <w:right w:val="single" w:color="auto" w:sz="4" w:space="0"/>
            </w:tcBorders>
            <w:shd w:val="clear" w:color="auto" w:fill="auto"/>
            <w:noWrap/>
            <w:vAlign w:val="center"/>
          </w:tcPr>
          <w:p w14:paraId="1946163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1.46 </w:t>
            </w:r>
          </w:p>
        </w:tc>
        <w:tc>
          <w:tcPr>
            <w:tcW w:w="277" w:type="pct"/>
            <w:tcBorders>
              <w:top w:val="nil"/>
              <w:left w:val="nil"/>
              <w:bottom w:val="single" w:color="auto" w:sz="4" w:space="0"/>
              <w:right w:val="single" w:color="auto" w:sz="4" w:space="0"/>
            </w:tcBorders>
            <w:shd w:val="clear" w:color="auto" w:fill="auto"/>
            <w:noWrap/>
            <w:vAlign w:val="center"/>
          </w:tcPr>
          <w:p w14:paraId="4685F8F3">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1.46 </w:t>
            </w:r>
          </w:p>
        </w:tc>
        <w:tc>
          <w:tcPr>
            <w:tcW w:w="195" w:type="pct"/>
            <w:tcBorders>
              <w:top w:val="nil"/>
              <w:left w:val="nil"/>
              <w:bottom w:val="single" w:color="auto" w:sz="4" w:space="0"/>
              <w:right w:val="single" w:color="auto" w:sz="4" w:space="0"/>
            </w:tcBorders>
            <w:shd w:val="clear" w:color="auto" w:fill="auto"/>
            <w:noWrap/>
            <w:vAlign w:val="center"/>
          </w:tcPr>
          <w:p w14:paraId="6BBE51B8">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7944A851">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23AED14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397E1C5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r>
      <w:tr w14:paraId="58CC729A">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14:paraId="348BA3E9">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546" w:type="pct"/>
            <w:vMerge w:val="continue"/>
            <w:tcBorders>
              <w:top w:val="nil"/>
              <w:left w:val="single" w:color="auto" w:sz="4" w:space="0"/>
              <w:bottom w:val="single" w:color="auto" w:sz="4" w:space="0"/>
              <w:right w:val="single" w:color="auto" w:sz="4" w:space="0"/>
            </w:tcBorders>
            <w:vAlign w:val="center"/>
          </w:tcPr>
          <w:p w14:paraId="6C4F6BBA">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964" w:type="pct"/>
            <w:tcBorders>
              <w:top w:val="nil"/>
              <w:left w:val="nil"/>
              <w:bottom w:val="single" w:color="auto" w:sz="4" w:space="0"/>
              <w:right w:val="single" w:color="auto" w:sz="4" w:space="0"/>
            </w:tcBorders>
            <w:shd w:val="clear" w:color="auto" w:fill="auto"/>
            <w:vAlign w:val="center"/>
          </w:tcPr>
          <w:p w14:paraId="2FC8EE6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559" w:type="pct"/>
            <w:tcBorders>
              <w:top w:val="nil"/>
              <w:left w:val="nil"/>
              <w:bottom w:val="single" w:color="auto" w:sz="4" w:space="0"/>
              <w:right w:val="nil"/>
            </w:tcBorders>
            <w:shd w:val="clear" w:color="auto" w:fill="auto"/>
            <w:noWrap/>
            <w:vAlign w:val="center"/>
          </w:tcPr>
          <w:p w14:paraId="4E271F03">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防护绿地</w:t>
            </w:r>
          </w:p>
        </w:tc>
        <w:tc>
          <w:tcPr>
            <w:tcW w:w="377" w:type="pct"/>
            <w:tcBorders>
              <w:top w:val="nil"/>
              <w:left w:val="single" w:color="auto" w:sz="4" w:space="0"/>
              <w:bottom w:val="single" w:color="auto" w:sz="4" w:space="0"/>
              <w:right w:val="single" w:color="auto" w:sz="4" w:space="0"/>
            </w:tcBorders>
            <w:shd w:val="clear" w:color="auto" w:fill="auto"/>
            <w:noWrap/>
            <w:vAlign w:val="center"/>
          </w:tcPr>
          <w:p w14:paraId="49F0CFD2">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277" w:type="pct"/>
            <w:tcBorders>
              <w:top w:val="nil"/>
              <w:left w:val="nil"/>
              <w:bottom w:val="single" w:color="auto" w:sz="4" w:space="0"/>
              <w:right w:val="single" w:color="auto" w:sz="4" w:space="0"/>
            </w:tcBorders>
            <w:shd w:val="clear" w:color="auto" w:fill="auto"/>
            <w:noWrap/>
            <w:vAlign w:val="center"/>
          </w:tcPr>
          <w:p w14:paraId="2572B41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277" w:type="pct"/>
            <w:tcBorders>
              <w:top w:val="nil"/>
              <w:left w:val="nil"/>
              <w:bottom w:val="single" w:color="auto" w:sz="4" w:space="0"/>
              <w:right w:val="single" w:color="auto" w:sz="4" w:space="0"/>
            </w:tcBorders>
            <w:shd w:val="clear" w:color="auto" w:fill="auto"/>
            <w:noWrap/>
            <w:vAlign w:val="center"/>
          </w:tcPr>
          <w:p w14:paraId="6302BC18">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1CA87939">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34488F30">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0A408AE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41052D97">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r>
      <w:tr w14:paraId="7B659831">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14:paraId="4992B875">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546" w:type="pct"/>
            <w:vMerge w:val="continue"/>
            <w:tcBorders>
              <w:top w:val="nil"/>
              <w:left w:val="single" w:color="auto" w:sz="4" w:space="0"/>
              <w:bottom w:val="single" w:color="auto" w:sz="4" w:space="0"/>
              <w:right w:val="single" w:color="auto" w:sz="4" w:space="0"/>
            </w:tcBorders>
            <w:vAlign w:val="center"/>
          </w:tcPr>
          <w:p w14:paraId="0E634D69">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964" w:type="pct"/>
            <w:tcBorders>
              <w:top w:val="nil"/>
              <w:left w:val="nil"/>
              <w:bottom w:val="single" w:color="auto" w:sz="4" w:space="0"/>
              <w:right w:val="single" w:color="auto" w:sz="4" w:space="0"/>
            </w:tcBorders>
            <w:shd w:val="clear" w:color="auto" w:fill="auto"/>
            <w:noWrap/>
            <w:vAlign w:val="center"/>
          </w:tcPr>
          <w:p w14:paraId="72A97BE2">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陆地水域</w:t>
            </w:r>
          </w:p>
        </w:tc>
        <w:tc>
          <w:tcPr>
            <w:tcW w:w="559" w:type="pct"/>
            <w:tcBorders>
              <w:top w:val="nil"/>
              <w:left w:val="nil"/>
              <w:bottom w:val="single" w:color="auto" w:sz="4" w:space="0"/>
              <w:right w:val="nil"/>
            </w:tcBorders>
            <w:shd w:val="clear" w:color="auto" w:fill="auto"/>
            <w:noWrap/>
            <w:vAlign w:val="center"/>
          </w:tcPr>
          <w:p w14:paraId="333BEF04">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陆地水域</w:t>
            </w:r>
          </w:p>
        </w:tc>
        <w:tc>
          <w:tcPr>
            <w:tcW w:w="377" w:type="pct"/>
            <w:tcBorders>
              <w:top w:val="nil"/>
              <w:left w:val="single" w:color="auto" w:sz="4" w:space="0"/>
              <w:bottom w:val="single" w:color="auto" w:sz="4" w:space="0"/>
              <w:right w:val="single" w:color="auto" w:sz="4" w:space="0"/>
            </w:tcBorders>
            <w:shd w:val="clear" w:color="auto" w:fill="auto"/>
            <w:noWrap/>
            <w:vAlign w:val="center"/>
          </w:tcPr>
          <w:p w14:paraId="57BF3177">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277" w:type="pct"/>
            <w:tcBorders>
              <w:top w:val="nil"/>
              <w:left w:val="nil"/>
              <w:bottom w:val="single" w:color="auto" w:sz="4" w:space="0"/>
              <w:right w:val="single" w:color="auto" w:sz="4" w:space="0"/>
            </w:tcBorders>
            <w:shd w:val="clear" w:color="auto" w:fill="auto"/>
            <w:noWrap/>
            <w:vAlign w:val="center"/>
          </w:tcPr>
          <w:p w14:paraId="2CFEEF1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277" w:type="pct"/>
            <w:tcBorders>
              <w:top w:val="nil"/>
              <w:left w:val="nil"/>
              <w:bottom w:val="single" w:color="auto" w:sz="4" w:space="0"/>
              <w:right w:val="single" w:color="auto" w:sz="4" w:space="0"/>
            </w:tcBorders>
            <w:shd w:val="clear" w:color="auto" w:fill="auto"/>
            <w:noWrap/>
            <w:vAlign w:val="center"/>
          </w:tcPr>
          <w:p w14:paraId="424494B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0286D2A6">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32B2BD97">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3C2EA2C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0552D3A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r>
      <w:tr w14:paraId="17DA7450">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14:paraId="3F0C1191">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546" w:type="pct"/>
            <w:tcBorders>
              <w:top w:val="nil"/>
              <w:left w:val="nil"/>
              <w:bottom w:val="single" w:color="auto" w:sz="4" w:space="0"/>
              <w:right w:val="single" w:color="auto" w:sz="4" w:space="0"/>
            </w:tcBorders>
            <w:shd w:val="clear" w:color="auto" w:fill="auto"/>
            <w:vAlign w:val="center"/>
          </w:tcPr>
          <w:p w14:paraId="6E36E7A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小计</w:t>
            </w:r>
          </w:p>
        </w:tc>
        <w:tc>
          <w:tcPr>
            <w:tcW w:w="964" w:type="pct"/>
            <w:tcBorders>
              <w:top w:val="nil"/>
              <w:left w:val="nil"/>
              <w:bottom w:val="single" w:color="auto" w:sz="4" w:space="0"/>
              <w:right w:val="single" w:color="auto" w:sz="4" w:space="0"/>
            </w:tcBorders>
            <w:shd w:val="clear" w:color="auto" w:fill="auto"/>
            <w:noWrap/>
            <w:vAlign w:val="center"/>
          </w:tcPr>
          <w:p w14:paraId="5D8B4E69">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w:t>
            </w:r>
          </w:p>
        </w:tc>
        <w:tc>
          <w:tcPr>
            <w:tcW w:w="559" w:type="pct"/>
            <w:tcBorders>
              <w:top w:val="nil"/>
              <w:left w:val="nil"/>
              <w:bottom w:val="single" w:color="auto" w:sz="4" w:space="0"/>
              <w:right w:val="nil"/>
            </w:tcBorders>
            <w:shd w:val="clear" w:color="auto" w:fill="auto"/>
            <w:noWrap/>
            <w:vAlign w:val="center"/>
          </w:tcPr>
          <w:p w14:paraId="29065295">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w:t>
            </w:r>
          </w:p>
        </w:tc>
        <w:tc>
          <w:tcPr>
            <w:tcW w:w="377" w:type="pct"/>
            <w:tcBorders>
              <w:top w:val="nil"/>
              <w:left w:val="single" w:color="auto" w:sz="4" w:space="0"/>
              <w:bottom w:val="single" w:color="auto" w:sz="4" w:space="0"/>
              <w:right w:val="single" w:color="auto" w:sz="4" w:space="0"/>
            </w:tcBorders>
            <w:shd w:val="clear" w:color="auto" w:fill="auto"/>
            <w:noWrap/>
            <w:vAlign w:val="center"/>
          </w:tcPr>
          <w:p w14:paraId="193768F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60.40 </w:t>
            </w:r>
          </w:p>
        </w:tc>
        <w:tc>
          <w:tcPr>
            <w:tcW w:w="277" w:type="pct"/>
            <w:tcBorders>
              <w:top w:val="nil"/>
              <w:left w:val="nil"/>
              <w:bottom w:val="single" w:color="auto" w:sz="4" w:space="0"/>
              <w:right w:val="single" w:color="auto" w:sz="4" w:space="0"/>
            </w:tcBorders>
            <w:shd w:val="clear" w:color="auto" w:fill="auto"/>
            <w:noWrap/>
            <w:vAlign w:val="center"/>
          </w:tcPr>
          <w:p w14:paraId="1829419A">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30.20 </w:t>
            </w:r>
          </w:p>
        </w:tc>
        <w:tc>
          <w:tcPr>
            <w:tcW w:w="277" w:type="pct"/>
            <w:tcBorders>
              <w:top w:val="nil"/>
              <w:left w:val="nil"/>
              <w:bottom w:val="single" w:color="auto" w:sz="4" w:space="0"/>
              <w:right w:val="single" w:color="auto" w:sz="4" w:space="0"/>
            </w:tcBorders>
            <w:shd w:val="clear" w:color="auto" w:fill="auto"/>
            <w:noWrap/>
            <w:vAlign w:val="center"/>
          </w:tcPr>
          <w:p w14:paraId="7B2A475C">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30.20 </w:t>
            </w:r>
          </w:p>
        </w:tc>
        <w:tc>
          <w:tcPr>
            <w:tcW w:w="195" w:type="pct"/>
            <w:tcBorders>
              <w:top w:val="nil"/>
              <w:left w:val="nil"/>
              <w:bottom w:val="single" w:color="auto" w:sz="4" w:space="0"/>
              <w:right w:val="single" w:color="auto" w:sz="4" w:space="0"/>
            </w:tcBorders>
            <w:shd w:val="clear" w:color="auto" w:fill="auto"/>
            <w:noWrap/>
            <w:vAlign w:val="center"/>
          </w:tcPr>
          <w:p w14:paraId="64C963C2">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3D864772">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4279AB8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43052A6E">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r>
      <w:tr w14:paraId="4057B4B8">
        <w:tblPrEx>
          <w:tblCellMar>
            <w:top w:w="0" w:type="dxa"/>
            <w:left w:w="108" w:type="dxa"/>
            <w:bottom w:w="0" w:type="dxa"/>
            <w:right w:w="108" w:type="dxa"/>
          </w:tblCellMar>
        </w:tblPrEx>
        <w:trPr>
          <w:trHeight w:val="397" w:hRule="atLeast"/>
        </w:trPr>
        <w:tc>
          <w:tcPr>
            <w:tcW w:w="1221" w:type="pct"/>
            <w:vMerge w:val="continue"/>
            <w:tcBorders>
              <w:top w:val="nil"/>
              <w:left w:val="single" w:color="auto" w:sz="4" w:space="0"/>
              <w:bottom w:val="single" w:color="auto" w:sz="4" w:space="0"/>
              <w:right w:val="single" w:color="auto" w:sz="4" w:space="0"/>
            </w:tcBorders>
            <w:vAlign w:val="center"/>
          </w:tcPr>
          <w:p w14:paraId="6C15CD5B">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546" w:type="pct"/>
            <w:tcBorders>
              <w:top w:val="nil"/>
              <w:left w:val="nil"/>
              <w:bottom w:val="single" w:color="auto" w:sz="4" w:space="0"/>
              <w:right w:val="single" w:color="auto" w:sz="4" w:space="0"/>
            </w:tcBorders>
            <w:shd w:val="clear" w:color="auto" w:fill="auto"/>
            <w:vAlign w:val="center"/>
          </w:tcPr>
          <w:p w14:paraId="3589A2C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合计</w:t>
            </w:r>
          </w:p>
        </w:tc>
        <w:tc>
          <w:tcPr>
            <w:tcW w:w="964" w:type="pct"/>
            <w:tcBorders>
              <w:top w:val="nil"/>
              <w:left w:val="nil"/>
              <w:bottom w:val="single" w:color="auto" w:sz="4" w:space="0"/>
              <w:right w:val="single" w:color="auto" w:sz="4" w:space="0"/>
            </w:tcBorders>
            <w:shd w:val="clear" w:color="auto" w:fill="auto"/>
            <w:noWrap/>
            <w:vAlign w:val="center"/>
          </w:tcPr>
          <w:p w14:paraId="38415B4C">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w:t>
            </w:r>
          </w:p>
        </w:tc>
        <w:tc>
          <w:tcPr>
            <w:tcW w:w="559" w:type="pct"/>
            <w:tcBorders>
              <w:top w:val="nil"/>
              <w:left w:val="nil"/>
              <w:bottom w:val="single" w:color="auto" w:sz="4" w:space="0"/>
              <w:right w:val="nil"/>
            </w:tcBorders>
            <w:shd w:val="clear" w:color="auto" w:fill="auto"/>
            <w:noWrap/>
            <w:vAlign w:val="center"/>
          </w:tcPr>
          <w:p w14:paraId="753FD9C5">
            <w:pPr>
              <w:spacing w:line="240" w:lineRule="auto"/>
              <w:ind w:firstLine="0" w:firstLineChars="0"/>
              <w:jc w:val="center"/>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w:t>
            </w:r>
          </w:p>
        </w:tc>
        <w:tc>
          <w:tcPr>
            <w:tcW w:w="377" w:type="pct"/>
            <w:tcBorders>
              <w:top w:val="nil"/>
              <w:left w:val="single" w:color="auto" w:sz="4" w:space="0"/>
              <w:bottom w:val="single" w:color="auto" w:sz="4" w:space="0"/>
              <w:right w:val="single" w:color="auto" w:sz="4" w:space="0"/>
            </w:tcBorders>
            <w:shd w:val="clear" w:color="auto" w:fill="auto"/>
            <w:noWrap/>
            <w:vAlign w:val="center"/>
          </w:tcPr>
          <w:p w14:paraId="23D6E18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1329.91 </w:t>
            </w:r>
          </w:p>
        </w:tc>
        <w:tc>
          <w:tcPr>
            <w:tcW w:w="277" w:type="pct"/>
            <w:tcBorders>
              <w:top w:val="nil"/>
              <w:left w:val="nil"/>
              <w:bottom w:val="single" w:color="auto" w:sz="4" w:space="0"/>
              <w:right w:val="single" w:color="auto" w:sz="4" w:space="0"/>
            </w:tcBorders>
            <w:shd w:val="clear" w:color="auto" w:fill="auto"/>
            <w:noWrap/>
            <w:vAlign w:val="center"/>
          </w:tcPr>
          <w:p w14:paraId="4CA7D4DD">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664.95 </w:t>
            </w:r>
          </w:p>
        </w:tc>
        <w:tc>
          <w:tcPr>
            <w:tcW w:w="277" w:type="pct"/>
            <w:tcBorders>
              <w:top w:val="nil"/>
              <w:left w:val="nil"/>
              <w:bottom w:val="single" w:color="auto" w:sz="4" w:space="0"/>
              <w:right w:val="single" w:color="auto" w:sz="4" w:space="0"/>
            </w:tcBorders>
            <w:shd w:val="clear" w:color="auto" w:fill="auto"/>
            <w:noWrap/>
            <w:vAlign w:val="center"/>
          </w:tcPr>
          <w:p w14:paraId="1E0CBB65">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xml:space="preserve">664.95 </w:t>
            </w:r>
          </w:p>
        </w:tc>
        <w:tc>
          <w:tcPr>
            <w:tcW w:w="195" w:type="pct"/>
            <w:tcBorders>
              <w:top w:val="nil"/>
              <w:left w:val="nil"/>
              <w:bottom w:val="single" w:color="auto" w:sz="4" w:space="0"/>
              <w:right w:val="single" w:color="auto" w:sz="4" w:space="0"/>
            </w:tcBorders>
            <w:shd w:val="clear" w:color="auto" w:fill="auto"/>
            <w:noWrap/>
            <w:vAlign w:val="center"/>
          </w:tcPr>
          <w:p w14:paraId="5EE3909F">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50A033B1">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3A66E994">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c>
          <w:tcPr>
            <w:tcW w:w="195" w:type="pct"/>
            <w:tcBorders>
              <w:top w:val="nil"/>
              <w:left w:val="nil"/>
              <w:bottom w:val="single" w:color="auto" w:sz="4" w:space="0"/>
              <w:right w:val="single" w:color="auto" w:sz="4" w:space="0"/>
            </w:tcBorders>
            <w:shd w:val="clear" w:color="auto" w:fill="auto"/>
            <w:noWrap/>
            <w:vAlign w:val="center"/>
          </w:tcPr>
          <w:p w14:paraId="37BDD2DB">
            <w:pPr>
              <w:spacing w:line="240" w:lineRule="auto"/>
              <w:ind w:firstLine="0" w:firstLineChars="0"/>
              <w:jc w:val="center"/>
              <w:rPr>
                <w:rFonts w:cs="Times New Roman"/>
                <w:color w:val="000000" w:themeColor="text1"/>
                <w:sz w:val="22"/>
                <w:szCs w:val="22"/>
                <w14:textFill>
                  <w14:solidFill>
                    <w14:schemeClr w14:val="tx1"/>
                  </w14:solidFill>
                </w14:textFill>
              </w:rPr>
            </w:pPr>
            <w:r>
              <w:rPr>
                <w:rFonts w:cs="Times New Roman"/>
                <w:color w:val="000000" w:themeColor="text1"/>
                <w:sz w:val="22"/>
                <w:szCs w:val="22"/>
                <w14:textFill>
                  <w14:solidFill>
                    <w14:schemeClr w14:val="tx1"/>
                  </w14:solidFill>
                </w14:textFill>
              </w:rPr>
              <w:t>　</w:t>
            </w:r>
          </w:p>
        </w:tc>
      </w:tr>
    </w:tbl>
    <w:p w14:paraId="3D6B08D3">
      <w:pPr>
        <w:pStyle w:val="127"/>
        <w:rPr>
          <w:rFonts w:cs="Times New Roman"/>
          <w:color w:val="000000" w:themeColor="text1"/>
          <w14:textFill>
            <w14:solidFill>
              <w14:schemeClr w14:val="tx1"/>
            </w14:solidFill>
          </w14:textFill>
        </w:rPr>
      </w:pPr>
    </w:p>
    <w:p w14:paraId="3ACCE8BF">
      <w:pPr>
        <w:widowControl w:val="0"/>
        <w:ind w:firstLine="480"/>
        <w:rPr>
          <w:rFonts w:cs="Times New Roman"/>
          <w:color w:val="000000" w:themeColor="text1"/>
          <w14:textFill>
            <w14:solidFill>
              <w14:schemeClr w14:val="tx1"/>
            </w14:solidFill>
          </w14:textFill>
        </w:rPr>
        <w:sectPr>
          <w:headerReference r:id="rId38" w:type="default"/>
          <w:footerReference r:id="rId39" w:type="default"/>
          <w:pgSz w:w="16838" w:h="11906" w:orient="landscape"/>
          <w:pgMar w:top="1418" w:right="1418" w:bottom="1134" w:left="1418" w:header="850" w:footer="567" w:gutter="0"/>
          <w:cols w:space="720" w:num="1"/>
          <w:docGrid w:linePitch="326" w:charSpace="0"/>
        </w:sectPr>
      </w:pPr>
    </w:p>
    <w:p w14:paraId="0CA6298A">
      <w:pPr>
        <w:widowControl w:val="0"/>
        <w:spacing w:after="120"/>
        <w:ind w:firstLine="0" w:firstLineChars="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object>
          <v:shape id="_x0000_i1025" o:spt="75" type="#_x0000_t75" style="height:557.3pt;width:454.45pt;" o:ole="t" filled="f" coordsize="21600,21600">
            <v:path/>
            <v:fill on="f" focussize="0,0"/>
            <v:stroke/>
            <v:imagedata r:id="rId97" o:title=""/>
            <o:lock v:ext="edit" aspectratio="t"/>
            <w10:wrap type="none"/>
            <w10:anchorlock/>
          </v:shape>
          <o:OLEObject Type="Embed" ProgID="Visio.Drawing.15" ShapeID="_x0000_i1025" DrawAspect="Content" ObjectID="_1468075725" r:id="rId96">
            <o:LockedField>false</o:LockedField>
          </o:OLEObject>
        </w:object>
      </w:r>
    </w:p>
    <w:p w14:paraId="017E419F">
      <w:pPr>
        <w:pStyle w:val="35"/>
        <w:rPr>
          <w:rFonts w:eastAsia="仿宋_GB2312" w:cs="Times New Roman"/>
          <w:color w:val="000000" w:themeColor="text1"/>
          <w:spacing w:val="0"/>
          <w:lang w:eastAsia="zh-CN"/>
          <w14:textFill>
            <w14:solidFill>
              <w14:schemeClr w14:val="tx1"/>
            </w14:solidFill>
          </w14:textFill>
        </w:rPr>
      </w:pPr>
      <w:r>
        <w:rPr>
          <w:rFonts w:eastAsia="仿宋_GB2312" w:cs="Times New Roman"/>
          <w:color w:val="000000" w:themeColor="text1"/>
          <w:spacing w:val="0"/>
          <w:lang w:eastAsia="zh-CN"/>
          <w14:textFill>
            <w14:solidFill>
              <w14:schemeClr w14:val="tx1"/>
            </w14:solidFill>
          </w14:textFill>
        </w:rPr>
        <w:t>图1-2地块1（金山产业园北区）土石方流向框图</w:t>
      </w:r>
      <w:bookmarkStart w:id="142" w:name="_Toc4863026"/>
      <w:bookmarkEnd w:id="142"/>
    </w:p>
    <w:p w14:paraId="2D742FBD">
      <w:pPr>
        <w:pStyle w:val="35"/>
        <w:rPr>
          <w:rFonts w:eastAsia="仿宋_GB2312" w:cs="Times New Roman"/>
          <w:color w:val="000000" w:themeColor="text1"/>
          <w:spacing w:val="0"/>
          <w14:textFill>
            <w14:solidFill>
              <w14:schemeClr w14:val="tx1"/>
            </w14:solidFill>
          </w14:textFill>
        </w:rPr>
      </w:pPr>
      <w:r>
        <w:rPr>
          <w:rFonts w:eastAsia="仿宋_GB2312" w:cs="Times New Roman"/>
          <w:color w:val="000000" w:themeColor="text1"/>
          <w14:textFill>
            <w14:solidFill>
              <w14:schemeClr w14:val="tx1"/>
            </w14:solidFill>
          </w14:textFill>
        </w:rPr>
        <w:object>
          <v:shape id="_x0000_i1026" o:spt="75" type="#_x0000_t75" style="height:203.85pt;width:451.65pt;" o:ole="t" filled="f" coordsize="21600,21600">
            <v:path/>
            <v:fill on="f" focussize="0,0"/>
            <v:stroke/>
            <v:imagedata r:id="rId99" o:title=""/>
            <o:lock v:ext="edit" aspectratio="t"/>
            <w10:wrap type="none"/>
            <w10:anchorlock/>
          </v:shape>
          <o:OLEObject Type="Embed" ProgID="Visio.Drawing.15" ShapeID="_x0000_i1026" DrawAspect="Content" ObjectID="_1468075726" r:id="rId98">
            <o:LockedField>false</o:LockedField>
          </o:OLEObject>
        </w:object>
      </w:r>
    </w:p>
    <w:p w14:paraId="7EFD10C9">
      <w:pPr>
        <w:pStyle w:val="35"/>
        <w:rPr>
          <w:rFonts w:eastAsia="仿宋_GB2312" w:cs="Times New Roman"/>
          <w:color w:val="000000" w:themeColor="text1"/>
          <w:spacing w:val="0"/>
          <w:lang w:eastAsia="zh-CN"/>
          <w14:textFill>
            <w14:solidFill>
              <w14:schemeClr w14:val="tx1"/>
            </w14:solidFill>
          </w14:textFill>
        </w:rPr>
      </w:pPr>
      <w:r>
        <w:rPr>
          <w:rFonts w:eastAsia="仿宋_GB2312" w:cs="Times New Roman"/>
          <w:color w:val="000000" w:themeColor="text1"/>
          <w:spacing w:val="0"/>
          <w:lang w:eastAsia="zh-CN"/>
          <w14:textFill>
            <w14:solidFill>
              <w14:schemeClr w14:val="tx1"/>
            </w14:solidFill>
          </w14:textFill>
        </w:rPr>
        <w:t>图1-3地块2（下湿壕片区）土石方流向框图</w:t>
      </w:r>
    </w:p>
    <w:p w14:paraId="29124060">
      <w:pPr>
        <w:pStyle w:val="35"/>
        <w:rPr>
          <w:rFonts w:eastAsia="仿宋_GB2312" w:cs="Times New Roman"/>
          <w:color w:val="000000" w:themeColor="text1"/>
          <w:spacing w:val="0"/>
          <w:lang w:eastAsia="zh-CN"/>
          <w14:textFill>
            <w14:solidFill>
              <w14:schemeClr w14:val="tx1"/>
            </w14:solidFill>
          </w14:textFill>
        </w:rPr>
        <w:sectPr>
          <w:footerReference r:id="rId40" w:type="default"/>
          <w:pgSz w:w="11907" w:h="16839"/>
          <w:pgMar w:top="1418" w:right="1418" w:bottom="1418" w:left="1418" w:header="850" w:footer="850" w:gutter="0"/>
          <w:cols w:space="720" w:num="1"/>
          <w:docGrid w:linePitch="326" w:charSpace="0"/>
        </w:sectPr>
      </w:pPr>
    </w:p>
    <w:p w14:paraId="4E72B438">
      <w:pPr>
        <w:pStyle w:val="4"/>
        <w:spacing w:before="120" w:after="120"/>
        <w:rPr>
          <w:lang w:bidi="ar"/>
        </w:rPr>
      </w:pPr>
      <w:bookmarkStart w:id="143" w:name="_Toc85444550"/>
      <w:bookmarkStart w:id="144" w:name="_Toc5480385"/>
      <w:bookmarkStart w:id="145" w:name="_Toc85444719"/>
      <w:bookmarkStart w:id="146" w:name="_Toc85444443"/>
      <w:bookmarkStart w:id="147" w:name="_Toc55920604"/>
      <w:bookmarkStart w:id="148" w:name="_Toc85444556"/>
      <w:r>
        <w:rPr>
          <w:rFonts w:hint="eastAsia"/>
          <w:lang w:bidi="ar"/>
        </w:rPr>
        <w:t>园区表土剥离土石方量</w:t>
      </w:r>
    </w:p>
    <w:p w14:paraId="5191EB96">
      <w:pPr>
        <w:pStyle w:val="46"/>
        <w:rPr>
          <w:rFonts w:cs="Times New Roman"/>
        </w:rPr>
      </w:pPr>
      <w:r>
        <w:rPr>
          <w:rFonts w:hint="eastAsia" w:cs="Times New Roman"/>
        </w:rPr>
        <w:t>（1）</w:t>
      </w:r>
      <w:r>
        <w:rPr>
          <w:rFonts w:cs="Times New Roman"/>
        </w:rPr>
        <w:t>地块1（金山产业园北区）</w:t>
      </w:r>
      <w:bookmarkStart w:id="149" w:name="_Hlk140741528"/>
      <w:r>
        <w:rPr>
          <w:rFonts w:cs="Times New Roman"/>
        </w:rPr>
        <w:t>表土剥离土石方量</w:t>
      </w:r>
      <w:bookmarkEnd w:id="149"/>
    </w:p>
    <w:p w14:paraId="43CBBCE8">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结合场地调查得知，项目占地类型包括工矿仓储用地、耕地、草地、林地、住宅用地、水域及水利设施用地、公共管理与公共服务用地和其他土地，占地范围内林地、耕地和草地具有丰富等表土资源，表土资源分布情况见附图4-1和附图4-2，为保存表土和后期绿化覆土需要，场地施工前对可剥离的区域进行表土剥离，经调查，项目区表土可剥离厚度15-30cm，表土剥离面积230.57hm²，其中，公共管理与公共服务用地剥离面积0.56hm²，商业服务业用地剥离面积1.64hm²，工矿用地剥离面积150.64hm²，交通运输用地剥离面积73.73hm²，公用设施用地剥离面积4.00hm²，共计表土剥离量46.11万m³，表土剥离后，集中堆放于表土堆存场，后期作为绿化覆土利用。</w:t>
      </w:r>
    </w:p>
    <w:p w14:paraId="05E515C7">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经调查计算，已建区已剥离表土36.54万m³，已回填表土36.54万m³；未建区剥离表土9.57万m³，回填表土9.57万m³。</w:t>
      </w:r>
    </w:p>
    <w:p w14:paraId="38E11D96">
      <w:pPr>
        <w:ind w:firstLine="482"/>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（2）</w:t>
      </w:r>
      <w:r>
        <w:rPr>
          <w:rFonts w:cs="Times New Roman"/>
          <w:b/>
          <w:bCs/>
          <w:color w:val="000000" w:themeColor="text1"/>
          <w14:textFill>
            <w14:solidFill>
              <w14:schemeClr w14:val="tx1"/>
            </w14:solidFill>
          </w14:textFill>
        </w:rPr>
        <w:t>地块2（下湿壕片区）表土剥离土石方量</w:t>
      </w:r>
    </w:p>
    <w:p w14:paraId="0ED95B5C">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地块2（下湿壕片区）表土剥离面积23.11hm²，其中，工矿用地剥离面积21.06hm²，交通运输用地剥离面积1.52hm²，共计表土剥离量4.62万m³，表土剥离后，均作为该区绿化覆土利用。</w:t>
      </w:r>
    </w:p>
    <w:p w14:paraId="04E45B79">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园区可剥离表土见表1</w:t>
      </w:r>
      <w:r>
        <w:rPr>
          <w:rFonts w:cs="Times New Roman"/>
          <w:color w:val="000000" w:themeColor="text1"/>
          <w14:textFill>
            <w14:solidFill>
              <w14:schemeClr w14:val="tx1"/>
            </w14:solidFill>
          </w14:textFill>
        </w:rPr>
        <w:t>-19</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表土平衡情况见表1-20，园区表土资源分布图见附图4-1和附图4-2。</w:t>
      </w:r>
    </w:p>
    <w:p w14:paraId="77F20BDF">
      <w:pPr>
        <w:pStyle w:val="44"/>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表1-1</w:t>
      </w:r>
      <w:r>
        <w:rPr>
          <w:color w:val="000000" w:themeColor="text1"/>
          <w:lang w:eastAsia="zh-CN"/>
          <w14:textFill>
            <w14:solidFill>
              <w14:schemeClr w14:val="tx1"/>
            </w14:solidFill>
          </w14:textFill>
        </w:rPr>
        <w:t xml:space="preserve">9                                   </w:t>
      </w:r>
      <w:r>
        <w:rPr>
          <w:rFonts w:hint="eastAsia"/>
          <w:color w:val="000000" w:themeColor="text1"/>
          <w:lang w:eastAsia="zh-CN"/>
          <w14:textFill>
            <w14:solidFill>
              <w14:schemeClr w14:val="tx1"/>
            </w14:solidFill>
          </w14:textFill>
        </w:rPr>
        <w:t>园区可剥离表土量表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1150"/>
        <w:gridCol w:w="1150"/>
        <w:gridCol w:w="1150"/>
        <w:gridCol w:w="1228"/>
        <w:gridCol w:w="2305"/>
      </w:tblGrid>
      <w:tr w14:paraId="16DA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241" w:type="pct"/>
            <w:shd w:val="clear" w:color="auto" w:fill="auto"/>
            <w:noWrap/>
            <w:vAlign w:val="center"/>
          </w:tcPr>
          <w:p w14:paraId="03E06DCD">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hint="eastAsia" w:ascii="仿宋_GB2312" w:cs="Times New Roman"/>
                <w:color w:val="000000" w:themeColor="text1"/>
                <w:sz w:val="22"/>
                <w:szCs w:val="22"/>
                <w14:textFill>
                  <w14:solidFill>
                    <w14:schemeClr w14:val="tx1"/>
                  </w14:solidFill>
                </w14:textFill>
              </w:rPr>
              <w:t>地块</w:t>
            </w:r>
          </w:p>
        </w:tc>
        <w:tc>
          <w:tcPr>
            <w:tcW w:w="619" w:type="pct"/>
            <w:shd w:val="clear" w:color="auto" w:fill="auto"/>
            <w:noWrap/>
            <w:vAlign w:val="center"/>
          </w:tcPr>
          <w:p w14:paraId="0B5FAA43">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hint="eastAsia" w:ascii="仿宋_GB2312" w:cs="Times New Roman"/>
                <w:color w:val="000000" w:themeColor="text1"/>
                <w:sz w:val="22"/>
                <w:szCs w:val="22"/>
                <w14:textFill>
                  <w14:solidFill>
                    <w14:schemeClr w14:val="tx1"/>
                  </w14:solidFill>
                </w14:textFill>
              </w:rPr>
              <w:t>土地类型</w:t>
            </w:r>
          </w:p>
        </w:tc>
        <w:tc>
          <w:tcPr>
            <w:tcW w:w="619" w:type="pct"/>
            <w:shd w:val="clear" w:color="auto" w:fill="auto"/>
            <w:vAlign w:val="center"/>
          </w:tcPr>
          <w:p w14:paraId="432842CA">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hint="eastAsia" w:ascii="仿宋_GB2312" w:cs="Times New Roman"/>
                <w:color w:val="000000" w:themeColor="text1"/>
                <w:sz w:val="22"/>
                <w:szCs w:val="22"/>
                <w14:textFill>
                  <w14:solidFill>
                    <w14:schemeClr w14:val="tx1"/>
                  </w14:solidFill>
                </w14:textFill>
              </w:rPr>
              <w:t>剥离面积</w:t>
            </w:r>
            <w:r>
              <w:rPr>
                <w:rFonts w:hint="eastAsia" w:ascii="仿宋_GB2312" w:cs="Times New Roman"/>
                <w:color w:val="000000" w:themeColor="text1"/>
                <w:sz w:val="22"/>
                <w:szCs w:val="22"/>
                <w14:textFill>
                  <w14:solidFill>
                    <w14:schemeClr w14:val="tx1"/>
                  </w14:solidFill>
                </w14:textFill>
              </w:rPr>
              <w:br w:type="textWrapping"/>
            </w:r>
            <w:r>
              <w:rPr>
                <w:rFonts w:hint="eastAsia" w:ascii="仿宋_GB2312" w:cs="Times New Roman"/>
                <w:color w:val="000000" w:themeColor="text1"/>
                <w:sz w:val="22"/>
                <w:szCs w:val="22"/>
                <w14:textFill>
                  <w14:solidFill>
                    <w14:schemeClr w14:val="tx1"/>
                  </w14:solidFill>
                </w14:textFill>
              </w:rPr>
              <w:t>（</w:t>
            </w:r>
            <w:r>
              <w:rPr>
                <w:rFonts w:eastAsia="宋体" w:cs="Times New Roman"/>
                <w:color w:val="000000" w:themeColor="text1"/>
                <w:sz w:val="22"/>
                <w:szCs w:val="22"/>
                <w14:textFill>
                  <w14:solidFill>
                    <w14:schemeClr w14:val="tx1"/>
                  </w14:solidFill>
                </w14:textFill>
              </w:rPr>
              <w:t>hm²</w:t>
            </w:r>
            <w:r>
              <w:rPr>
                <w:rFonts w:hint="eastAsia" w:ascii="仿宋_GB2312" w:cs="Times New Roman"/>
                <w:color w:val="000000" w:themeColor="text1"/>
                <w:sz w:val="22"/>
                <w:szCs w:val="22"/>
                <w14:textFill>
                  <w14:solidFill>
                    <w14:schemeClr w14:val="tx1"/>
                  </w14:solidFill>
                </w14:textFill>
              </w:rPr>
              <w:t>）</w:t>
            </w:r>
          </w:p>
        </w:tc>
        <w:tc>
          <w:tcPr>
            <w:tcW w:w="619" w:type="pct"/>
            <w:shd w:val="clear" w:color="auto" w:fill="auto"/>
            <w:vAlign w:val="center"/>
          </w:tcPr>
          <w:p w14:paraId="0DBC4F70">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hint="eastAsia" w:ascii="仿宋_GB2312" w:cs="Times New Roman"/>
                <w:color w:val="000000" w:themeColor="text1"/>
                <w:sz w:val="22"/>
                <w:szCs w:val="22"/>
                <w14:textFill>
                  <w14:solidFill>
                    <w14:schemeClr w14:val="tx1"/>
                  </w14:solidFill>
                </w14:textFill>
              </w:rPr>
              <w:t>剥离厚度</w:t>
            </w:r>
            <w:r>
              <w:rPr>
                <w:rFonts w:hint="eastAsia" w:ascii="仿宋_GB2312" w:cs="Times New Roman"/>
                <w:color w:val="000000" w:themeColor="text1"/>
                <w:sz w:val="22"/>
                <w:szCs w:val="22"/>
                <w14:textFill>
                  <w14:solidFill>
                    <w14:schemeClr w14:val="tx1"/>
                  </w14:solidFill>
                </w14:textFill>
              </w:rPr>
              <w:br w:type="textWrapping"/>
            </w:r>
            <w:r>
              <w:rPr>
                <w:rFonts w:hint="eastAsia" w:ascii="仿宋_GB2312" w:cs="Times New Roman"/>
                <w:color w:val="000000" w:themeColor="text1"/>
                <w:sz w:val="22"/>
                <w:szCs w:val="22"/>
                <w14:textFill>
                  <w14:solidFill>
                    <w14:schemeClr w14:val="tx1"/>
                  </w14:solidFill>
                </w14:textFill>
              </w:rPr>
              <w:t>（</w:t>
            </w:r>
            <w:r>
              <w:rPr>
                <w:rFonts w:eastAsia="宋体" w:cs="Times New Roman"/>
                <w:color w:val="000000" w:themeColor="text1"/>
                <w:sz w:val="22"/>
                <w:szCs w:val="22"/>
                <w14:textFill>
                  <w14:solidFill>
                    <w14:schemeClr w14:val="tx1"/>
                  </w14:solidFill>
                </w14:textFill>
              </w:rPr>
              <w:t>m</w:t>
            </w:r>
            <w:r>
              <w:rPr>
                <w:rFonts w:hint="eastAsia" w:ascii="仿宋_GB2312" w:cs="Times New Roman"/>
                <w:color w:val="000000" w:themeColor="text1"/>
                <w:sz w:val="22"/>
                <w:szCs w:val="22"/>
                <w14:textFill>
                  <w14:solidFill>
                    <w14:schemeClr w14:val="tx1"/>
                  </w14:solidFill>
                </w14:textFill>
              </w:rPr>
              <w:t>）</w:t>
            </w:r>
          </w:p>
        </w:tc>
        <w:tc>
          <w:tcPr>
            <w:tcW w:w="661" w:type="pct"/>
            <w:shd w:val="clear" w:color="auto" w:fill="auto"/>
            <w:vAlign w:val="center"/>
          </w:tcPr>
          <w:p w14:paraId="4699DC04">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hint="eastAsia" w:ascii="仿宋_GB2312" w:cs="Times New Roman"/>
                <w:color w:val="000000" w:themeColor="text1"/>
                <w:sz w:val="22"/>
                <w:szCs w:val="22"/>
                <w14:textFill>
                  <w14:solidFill>
                    <w14:schemeClr w14:val="tx1"/>
                  </w14:solidFill>
                </w14:textFill>
              </w:rPr>
              <w:t>可剥离量</w:t>
            </w:r>
            <w:r>
              <w:rPr>
                <w:rFonts w:hint="eastAsia" w:ascii="仿宋_GB2312" w:cs="Times New Roman"/>
                <w:color w:val="000000" w:themeColor="text1"/>
                <w:sz w:val="22"/>
                <w:szCs w:val="22"/>
                <w14:textFill>
                  <w14:solidFill>
                    <w14:schemeClr w14:val="tx1"/>
                  </w14:solidFill>
                </w14:textFill>
              </w:rPr>
              <w:br w:type="textWrapping"/>
            </w:r>
            <w:r>
              <w:rPr>
                <w:rFonts w:hint="eastAsia" w:ascii="仿宋_GB2312" w:cs="Times New Roman"/>
                <w:color w:val="000000" w:themeColor="text1"/>
                <w:sz w:val="22"/>
                <w:szCs w:val="22"/>
                <w14:textFill>
                  <w14:solidFill>
                    <w14:schemeClr w14:val="tx1"/>
                  </w14:solidFill>
                </w14:textFill>
              </w:rPr>
              <w:t>（万</w:t>
            </w:r>
            <w:r>
              <w:rPr>
                <w:rFonts w:eastAsia="宋体" w:cs="Times New Roman"/>
                <w:color w:val="000000" w:themeColor="text1"/>
                <w:sz w:val="22"/>
                <w:szCs w:val="22"/>
                <w14:textFill>
                  <w14:solidFill>
                    <w14:schemeClr w14:val="tx1"/>
                  </w14:solidFill>
                </w14:textFill>
              </w:rPr>
              <w:t>m³</w:t>
            </w:r>
            <w:r>
              <w:rPr>
                <w:rFonts w:hint="eastAsia" w:ascii="仿宋_GB2312" w:cs="Times New Roman"/>
                <w:color w:val="000000" w:themeColor="text1"/>
                <w:sz w:val="22"/>
                <w:szCs w:val="22"/>
                <w14:textFill>
                  <w14:solidFill>
                    <w14:schemeClr w14:val="tx1"/>
                  </w14:solidFill>
                </w14:textFill>
              </w:rPr>
              <w:t>）</w:t>
            </w:r>
          </w:p>
        </w:tc>
        <w:tc>
          <w:tcPr>
            <w:tcW w:w="1241" w:type="pct"/>
            <w:shd w:val="clear" w:color="auto" w:fill="auto"/>
            <w:noWrap/>
            <w:vAlign w:val="center"/>
          </w:tcPr>
          <w:p w14:paraId="0543948D">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hint="eastAsia" w:ascii="仿宋_GB2312" w:cs="Times New Roman"/>
                <w:color w:val="000000" w:themeColor="text1"/>
                <w:sz w:val="22"/>
                <w:szCs w:val="22"/>
                <w14:textFill>
                  <w14:solidFill>
                    <w14:schemeClr w14:val="tx1"/>
                  </w14:solidFill>
                </w14:textFill>
              </w:rPr>
              <w:t>去向</w:t>
            </w:r>
          </w:p>
        </w:tc>
      </w:tr>
      <w:tr w14:paraId="1D12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41" w:type="pct"/>
            <w:vMerge w:val="restart"/>
            <w:shd w:val="clear" w:color="auto" w:fill="auto"/>
            <w:vAlign w:val="center"/>
          </w:tcPr>
          <w:p w14:paraId="08EC1761">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hint="eastAsia" w:ascii="仿宋_GB2312" w:cs="Times New Roman"/>
                <w:color w:val="000000" w:themeColor="text1"/>
                <w:sz w:val="22"/>
                <w:szCs w:val="22"/>
                <w14:textFill>
                  <w14:solidFill>
                    <w14:schemeClr w14:val="tx1"/>
                  </w14:solidFill>
                </w14:textFill>
              </w:rPr>
              <w:t>地块</w:t>
            </w:r>
            <w:r>
              <w:rPr>
                <w:rFonts w:eastAsia="宋体" w:cs="Times New Roman"/>
                <w:color w:val="000000" w:themeColor="text1"/>
                <w:sz w:val="22"/>
                <w:szCs w:val="22"/>
                <w14:textFill>
                  <w14:solidFill>
                    <w14:schemeClr w14:val="tx1"/>
                  </w14:solidFill>
                </w14:textFill>
              </w:rPr>
              <w:t>1</w:t>
            </w:r>
            <w:r>
              <w:rPr>
                <w:rFonts w:eastAsia="宋体" w:cs="Times New Roman"/>
                <w:color w:val="000000" w:themeColor="text1"/>
                <w:sz w:val="22"/>
                <w:szCs w:val="22"/>
                <w14:textFill>
                  <w14:solidFill>
                    <w14:schemeClr w14:val="tx1"/>
                  </w14:solidFill>
                </w14:textFill>
              </w:rPr>
              <w:br w:type="textWrapping"/>
            </w:r>
            <w:r>
              <w:rPr>
                <w:rFonts w:hint="eastAsia" w:ascii="仿宋_GB2312" w:cs="Times New Roman"/>
                <w:color w:val="000000" w:themeColor="text1"/>
                <w:sz w:val="22"/>
                <w:szCs w:val="22"/>
                <w14:textFill>
                  <w14:solidFill>
                    <w14:schemeClr w14:val="tx1"/>
                  </w14:solidFill>
                </w14:textFill>
              </w:rPr>
              <w:t>（金山产业园北区）</w:t>
            </w:r>
          </w:p>
        </w:tc>
        <w:tc>
          <w:tcPr>
            <w:tcW w:w="619" w:type="pct"/>
            <w:shd w:val="clear" w:color="auto" w:fill="auto"/>
            <w:noWrap/>
            <w:vAlign w:val="center"/>
          </w:tcPr>
          <w:p w14:paraId="2A4FE085">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hint="eastAsia" w:ascii="仿宋_GB2312" w:cs="Times New Roman"/>
                <w:color w:val="000000" w:themeColor="text1"/>
                <w:sz w:val="22"/>
                <w:szCs w:val="22"/>
                <w14:textFill>
                  <w14:solidFill>
                    <w14:schemeClr w14:val="tx1"/>
                  </w14:solidFill>
                </w14:textFill>
              </w:rPr>
              <w:t>林地</w:t>
            </w:r>
          </w:p>
        </w:tc>
        <w:tc>
          <w:tcPr>
            <w:tcW w:w="619" w:type="pct"/>
            <w:shd w:val="clear" w:color="auto" w:fill="auto"/>
            <w:noWrap/>
            <w:vAlign w:val="center"/>
          </w:tcPr>
          <w:p w14:paraId="41515862">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 xml:space="preserve">60.14 </w:t>
            </w:r>
          </w:p>
        </w:tc>
        <w:tc>
          <w:tcPr>
            <w:tcW w:w="619" w:type="pct"/>
            <w:shd w:val="clear" w:color="auto" w:fill="auto"/>
            <w:noWrap/>
            <w:vAlign w:val="center"/>
          </w:tcPr>
          <w:p w14:paraId="5CE733F1">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0.15</w:t>
            </w:r>
          </w:p>
        </w:tc>
        <w:tc>
          <w:tcPr>
            <w:tcW w:w="661" w:type="pct"/>
            <w:shd w:val="clear" w:color="auto" w:fill="auto"/>
            <w:noWrap/>
            <w:vAlign w:val="center"/>
          </w:tcPr>
          <w:p w14:paraId="7746965C">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 xml:space="preserve">9.02 </w:t>
            </w:r>
          </w:p>
        </w:tc>
        <w:tc>
          <w:tcPr>
            <w:tcW w:w="1241" w:type="pct"/>
            <w:shd w:val="clear" w:color="auto" w:fill="auto"/>
            <w:noWrap/>
            <w:vAlign w:val="center"/>
          </w:tcPr>
          <w:p w14:paraId="4BBA6231">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hint="eastAsia" w:ascii="仿宋_GB2312" w:cs="Times New Roman"/>
                <w:color w:val="000000" w:themeColor="text1"/>
                <w:sz w:val="22"/>
                <w:szCs w:val="22"/>
                <w14:textFill>
                  <w14:solidFill>
                    <w14:schemeClr w14:val="tx1"/>
                  </w14:solidFill>
                </w14:textFill>
              </w:rPr>
              <w:t>该地块后期绿化覆土</w:t>
            </w:r>
          </w:p>
        </w:tc>
      </w:tr>
      <w:tr w14:paraId="729F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41" w:type="pct"/>
            <w:vMerge w:val="continue"/>
            <w:vAlign w:val="center"/>
          </w:tcPr>
          <w:p w14:paraId="5F9783F8">
            <w:pPr>
              <w:spacing w:line="240" w:lineRule="auto"/>
              <w:ind w:firstLine="0" w:firstLineChars="0"/>
              <w:jc w:val="left"/>
              <w:rPr>
                <w:rFonts w:eastAsia="宋体" w:cs="Times New Roman"/>
                <w:color w:val="000000" w:themeColor="text1"/>
                <w:sz w:val="22"/>
                <w:szCs w:val="22"/>
                <w14:textFill>
                  <w14:solidFill>
                    <w14:schemeClr w14:val="tx1"/>
                  </w14:solidFill>
                </w14:textFill>
              </w:rPr>
            </w:pPr>
          </w:p>
        </w:tc>
        <w:tc>
          <w:tcPr>
            <w:tcW w:w="619" w:type="pct"/>
            <w:shd w:val="clear" w:color="auto" w:fill="auto"/>
            <w:noWrap/>
            <w:vAlign w:val="center"/>
          </w:tcPr>
          <w:p w14:paraId="5C8B2A4E">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hint="eastAsia" w:ascii="仿宋_GB2312" w:cs="Times New Roman"/>
                <w:color w:val="000000" w:themeColor="text1"/>
                <w:sz w:val="22"/>
                <w:szCs w:val="22"/>
                <w14:textFill>
                  <w14:solidFill>
                    <w14:schemeClr w14:val="tx1"/>
                  </w14:solidFill>
                </w14:textFill>
              </w:rPr>
              <w:t>草地</w:t>
            </w:r>
          </w:p>
        </w:tc>
        <w:tc>
          <w:tcPr>
            <w:tcW w:w="619" w:type="pct"/>
            <w:shd w:val="clear" w:color="auto" w:fill="auto"/>
            <w:noWrap/>
            <w:vAlign w:val="center"/>
          </w:tcPr>
          <w:p w14:paraId="617F6DA1">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 xml:space="preserve">93.57 </w:t>
            </w:r>
          </w:p>
        </w:tc>
        <w:tc>
          <w:tcPr>
            <w:tcW w:w="619" w:type="pct"/>
            <w:shd w:val="clear" w:color="auto" w:fill="auto"/>
            <w:noWrap/>
            <w:vAlign w:val="center"/>
          </w:tcPr>
          <w:p w14:paraId="54781303">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0.15</w:t>
            </w:r>
          </w:p>
        </w:tc>
        <w:tc>
          <w:tcPr>
            <w:tcW w:w="661" w:type="pct"/>
            <w:shd w:val="clear" w:color="auto" w:fill="auto"/>
            <w:noWrap/>
            <w:vAlign w:val="center"/>
          </w:tcPr>
          <w:p w14:paraId="242BFA98">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 xml:space="preserve">14.04 </w:t>
            </w:r>
          </w:p>
        </w:tc>
        <w:tc>
          <w:tcPr>
            <w:tcW w:w="1241" w:type="pct"/>
            <w:shd w:val="clear" w:color="auto" w:fill="auto"/>
            <w:noWrap/>
            <w:vAlign w:val="center"/>
          </w:tcPr>
          <w:p w14:paraId="6E39E386">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hint="eastAsia" w:ascii="仿宋_GB2312" w:cs="Times New Roman"/>
                <w:color w:val="000000" w:themeColor="text1"/>
                <w:sz w:val="22"/>
                <w:szCs w:val="22"/>
                <w14:textFill>
                  <w14:solidFill>
                    <w14:schemeClr w14:val="tx1"/>
                  </w14:solidFill>
                </w14:textFill>
              </w:rPr>
              <w:t>该地块后期绿化覆土</w:t>
            </w:r>
          </w:p>
        </w:tc>
      </w:tr>
      <w:tr w14:paraId="05AC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41" w:type="pct"/>
            <w:vMerge w:val="continue"/>
            <w:vAlign w:val="center"/>
          </w:tcPr>
          <w:p w14:paraId="5BA295C1">
            <w:pPr>
              <w:spacing w:line="240" w:lineRule="auto"/>
              <w:ind w:firstLine="0" w:firstLineChars="0"/>
              <w:jc w:val="left"/>
              <w:rPr>
                <w:rFonts w:eastAsia="宋体" w:cs="Times New Roman"/>
                <w:color w:val="000000" w:themeColor="text1"/>
                <w:sz w:val="22"/>
                <w:szCs w:val="22"/>
                <w14:textFill>
                  <w14:solidFill>
                    <w14:schemeClr w14:val="tx1"/>
                  </w14:solidFill>
                </w14:textFill>
              </w:rPr>
            </w:pPr>
          </w:p>
        </w:tc>
        <w:tc>
          <w:tcPr>
            <w:tcW w:w="619" w:type="pct"/>
            <w:shd w:val="clear" w:color="auto" w:fill="auto"/>
            <w:noWrap/>
            <w:vAlign w:val="center"/>
          </w:tcPr>
          <w:p w14:paraId="2E96B4F2">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hint="eastAsia" w:ascii="仿宋_GB2312" w:cs="Times New Roman"/>
                <w:color w:val="000000" w:themeColor="text1"/>
                <w:sz w:val="22"/>
                <w:szCs w:val="22"/>
                <w14:textFill>
                  <w14:solidFill>
                    <w14:schemeClr w14:val="tx1"/>
                  </w14:solidFill>
                </w14:textFill>
              </w:rPr>
              <w:t>耕地</w:t>
            </w:r>
          </w:p>
        </w:tc>
        <w:tc>
          <w:tcPr>
            <w:tcW w:w="619" w:type="pct"/>
            <w:shd w:val="clear" w:color="auto" w:fill="auto"/>
            <w:noWrap/>
            <w:vAlign w:val="center"/>
          </w:tcPr>
          <w:p w14:paraId="6C590BC8">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 xml:space="preserve">76.86 </w:t>
            </w:r>
          </w:p>
        </w:tc>
        <w:tc>
          <w:tcPr>
            <w:tcW w:w="619" w:type="pct"/>
            <w:shd w:val="clear" w:color="auto" w:fill="auto"/>
            <w:noWrap/>
            <w:vAlign w:val="center"/>
          </w:tcPr>
          <w:p w14:paraId="3EEFF2DC">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0.3</w:t>
            </w:r>
          </w:p>
        </w:tc>
        <w:tc>
          <w:tcPr>
            <w:tcW w:w="661" w:type="pct"/>
            <w:shd w:val="clear" w:color="auto" w:fill="auto"/>
            <w:noWrap/>
            <w:vAlign w:val="center"/>
          </w:tcPr>
          <w:p w14:paraId="39E0F334">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 xml:space="preserve">23.06 </w:t>
            </w:r>
          </w:p>
        </w:tc>
        <w:tc>
          <w:tcPr>
            <w:tcW w:w="1241" w:type="pct"/>
            <w:shd w:val="clear" w:color="auto" w:fill="auto"/>
            <w:noWrap/>
            <w:vAlign w:val="center"/>
          </w:tcPr>
          <w:p w14:paraId="69E97AAD">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hint="eastAsia" w:ascii="仿宋_GB2312" w:cs="Times New Roman"/>
                <w:color w:val="000000" w:themeColor="text1"/>
                <w:sz w:val="22"/>
                <w:szCs w:val="22"/>
                <w14:textFill>
                  <w14:solidFill>
                    <w14:schemeClr w14:val="tx1"/>
                  </w14:solidFill>
                </w14:textFill>
              </w:rPr>
              <w:t>该地块后期绿化覆土</w:t>
            </w:r>
          </w:p>
        </w:tc>
      </w:tr>
      <w:tr w14:paraId="2EF9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41" w:type="pct"/>
            <w:shd w:val="clear" w:color="auto" w:fill="auto"/>
            <w:noWrap/>
            <w:vAlign w:val="center"/>
          </w:tcPr>
          <w:p w14:paraId="69C3E4DD">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hint="eastAsia" w:ascii="仿宋_GB2312" w:cs="Times New Roman"/>
                <w:color w:val="000000" w:themeColor="text1"/>
                <w:sz w:val="22"/>
                <w:szCs w:val="22"/>
                <w14:textFill>
                  <w14:solidFill>
                    <w14:schemeClr w14:val="tx1"/>
                  </w14:solidFill>
                </w14:textFill>
              </w:rPr>
              <w:t>小计</w:t>
            </w:r>
          </w:p>
        </w:tc>
        <w:tc>
          <w:tcPr>
            <w:tcW w:w="619" w:type="pct"/>
            <w:shd w:val="clear" w:color="auto" w:fill="auto"/>
            <w:noWrap/>
            <w:vAlign w:val="center"/>
          </w:tcPr>
          <w:p w14:paraId="683ED3AB">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　</w:t>
            </w:r>
          </w:p>
        </w:tc>
        <w:tc>
          <w:tcPr>
            <w:tcW w:w="619" w:type="pct"/>
            <w:shd w:val="clear" w:color="auto" w:fill="auto"/>
            <w:noWrap/>
            <w:vAlign w:val="center"/>
          </w:tcPr>
          <w:p w14:paraId="5B751785">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 xml:space="preserve">230.57 </w:t>
            </w:r>
          </w:p>
        </w:tc>
        <w:tc>
          <w:tcPr>
            <w:tcW w:w="619" w:type="pct"/>
            <w:shd w:val="clear" w:color="auto" w:fill="auto"/>
            <w:noWrap/>
            <w:vAlign w:val="center"/>
          </w:tcPr>
          <w:p w14:paraId="4AD5D4FA">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　</w:t>
            </w:r>
          </w:p>
        </w:tc>
        <w:tc>
          <w:tcPr>
            <w:tcW w:w="661" w:type="pct"/>
            <w:shd w:val="clear" w:color="auto" w:fill="auto"/>
            <w:noWrap/>
            <w:vAlign w:val="center"/>
          </w:tcPr>
          <w:p w14:paraId="3493C19F">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 xml:space="preserve">46.12 </w:t>
            </w:r>
          </w:p>
        </w:tc>
        <w:tc>
          <w:tcPr>
            <w:tcW w:w="1241" w:type="pct"/>
            <w:shd w:val="clear" w:color="auto" w:fill="auto"/>
            <w:noWrap/>
            <w:vAlign w:val="center"/>
          </w:tcPr>
          <w:p w14:paraId="61F6C433">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　</w:t>
            </w:r>
          </w:p>
        </w:tc>
      </w:tr>
      <w:tr w14:paraId="71CD5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41" w:type="pct"/>
            <w:shd w:val="clear" w:color="auto" w:fill="auto"/>
            <w:vAlign w:val="center"/>
          </w:tcPr>
          <w:p w14:paraId="624EB394">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hint="eastAsia" w:ascii="仿宋_GB2312" w:cs="Times New Roman"/>
                <w:color w:val="000000" w:themeColor="text1"/>
                <w:sz w:val="22"/>
                <w:szCs w:val="22"/>
                <w14:textFill>
                  <w14:solidFill>
                    <w14:schemeClr w14:val="tx1"/>
                  </w14:solidFill>
                </w14:textFill>
              </w:rPr>
              <w:t>地块</w:t>
            </w:r>
            <w:r>
              <w:rPr>
                <w:rFonts w:eastAsia="宋体" w:cs="Times New Roman"/>
                <w:color w:val="000000" w:themeColor="text1"/>
                <w:sz w:val="22"/>
                <w:szCs w:val="22"/>
                <w14:textFill>
                  <w14:solidFill>
                    <w14:schemeClr w14:val="tx1"/>
                  </w14:solidFill>
                </w14:textFill>
              </w:rPr>
              <w:t>2</w:t>
            </w:r>
            <w:r>
              <w:rPr>
                <w:rFonts w:eastAsia="宋体" w:cs="Times New Roman"/>
                <w:color w:val="000000" w:themeColor="text1"/>
                <w:sz w:val="22"/>
                <w:szCs w:val="22"/>
                <w14:textFill>
                  <w14:solidFill>
                    <w14:schemeClr w14:val="tx1"/>
                  </w14:solidFill>
                </w14:textFill>
              </w:rPr>
              <w:br w:type="textWrapping"/>
            </w:r>
            <w:r>
              <w:rPr>
                <w:rFonts w:hint="eastAsia" w:ascii="仿宋_GB2312" w:cs="Times New Roman"/>
                <w:color w:val="000000" w:themeColor="text1"/>
                <w:sz w:val="22"/>
                <w:szCs w:val="22"/>
                <w14:textFill>
                  <w14:solidFill>
                    <w14:schemeClr w14:val="tx1"/>
                  </w14:solidFill>
                </w14:textFill>
              </w:rPr>
              <w:t>（下湿壕片区）</w:t>
            </w:r>
          </w:p>
        </w:tc>
        <w:tc>
          <w:tcPr>
            <w:tcW w:w="619" w:type="pct"/>
            <w:shd w:val="clear" w:color="auto" w:fill="auto"/>
            <w:noWrap/>
            <w:vAlign w:val="center"/>
          </w:tcPr>
          <w:p w14:paraId="46C0D4DB">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hint="eastAsia" w:ascii="仿宋_GB2312" w:cs="Times New Roman"/>
                <w:color w:val="000000" w:themeColor="text1"/>
                <w:sz w:val="22"/>
                <w:szCs w:val="22"/>
                <w14:textFill>
                  <w14:solidFill>
                    <w14:schemeClr w14:val="tx1"/>
                  </w14:solidFill>
                </w14:textFill>
              </w:rPr>
              <w:t>草地</w:t>
            </w:r>
          </w:p>
        </w:tc>
        <w:tc>
          <w:tcPr>
            <w:tcW w:w="619" w:type="pct"/>
            <w:shd w:val="clear" w:color="auto" w:fill="auto"/>
            <w:noWrap/>
            <w:vAlign w:val="center"/>
          </w:tcPr>
          <w:p w14:paraId="46EA374A">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 xml:space="preserve">23.11 </w:t>
            </w:r>
          </w:p>
        </w:tc>
        <w:tc>
          <w:tcPr>
            <w:tcW w:w="619" w:type="pct"/>
            <w:shd w:val="clear" w:color="auto" w:fill="auto"/>
            <w:noWrap/>
            <w:vAlign w:val="center"/>
          </w:tcPr>
          <w:p w14:paraId="4F6155F4">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0.2</w:t>
            </w:r>
          </w:p>
        </w:tc>
        <w:tc>
          <w:tcPr>
            <w:tcW w:w="661" w:type="pct"/>
            <w:shd w:val="clear" w:color="auto" w:fill="auto"/>
            <w:noWrap/>
            <w:vAlign w:val="center"/>
          </w:tcPr>
          <w:p w14:paraId="75B293AD">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 xml:space="preserve">4.62 </w:t>
            </w:r>
          </w:p>
        </w:tc>
        <w:tc>
          <w:tcPr>
            <w:tcW w:w="1241" w:type="pct"/>
            <w:shd w:val="clear" w:color="auto" w:fill="auto"/>
            <w:noWrap/>
            <w:vAlign w:val="center"/>
          </w:tcPr>
          <w:p w14:paraId="57A27249">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hint="eastAsia" w:ascii="仿宋_GB2312" w:cs="Times New Roman"/>
                <w:color w:val="000000" w:themeColor="text1"/>
                <w:sz w:val="22"/>
                <w:szCs w:val="22"/>
                <w14:textFill>
                  <w14:solidFill>
                    <w14:schemeClr w14:val="tx1"/>
                  </w14:solidFill>
                </w14:textFill>
              </w:rPr>
              <w:t>该地块后期绿化覆土</w:t>
            </w:r>
          </w:p>
        </w:tc>
      </w:tr>
      <w:tr w14:paraId="4C15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41" w:type="pct"/>
            <w:shd w:val="clear" w:color="auto" w:fill="auto"/>
            <w:noWrap/>
            <w:vAlign w:val="center"/>
          </w:tcPr>
          <w:p w14:paraId="183F244D">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hint="eastAsia" w:ascii="仿宋_GB2312" w:cs="Times New Roman"/>
                <w:color w:val="000000" w:themeColor="text1"/>
                <w:sz w:val="22"/>
                <w:szCs w:val="22"/>
                <w14:textFill>
                  <w14:solidFill>
                    <w14:schemeClr w14:val="tx1"/>
                  </w14:solidFill>
                </w14:textFill>
              </w:rPr>
              <w:t>合计</w:t>
            </w:r>
          </w:p>
        </w:tc>
        <w:tc>
          <w:tcPr>
            <w:tcW w:w="619" w:type="pct"/>
            <w:shd w:val="clear" w:color="auto" w:fill="auto"/>
            <w:noWrap/>
            <w:vAlign w:val="center"/>
          </w:tcPr>
          <w:p w14:paraId="78F471F1">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　</w:t>
            </w:r>
          </w:p>
        </w:tc>
        <w:tc>
          <w:tcPr>
            <w:tcW w:w="619" w:type="pct"/>
            <w:shd w:val="clear" w:color="auto" w:fill="auto"/>
            <w:noWrap/>
            <w:vAlign w:val="center"/>
          </w:tcPr>
          <w:p w14:paraId="34E0B669">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 xml:space="preserve">253.69 </w:t>
            </w:r>
          </w:p>
        </w:tc>
        <w:tc>
          <w:tcPr>
            <w:tcW w:w="619" w:type="pct"/>
            <w:shd w:val="clear" w:color="auto" w:fill="auto"/>
            <w:noWrap/>
            <w:vAlign w:val="center"/>
          </w:tcPr>
          <w:p w14:paraId="5D64DFFD">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　</w:t>
            </w:r>
          </w:p>
        </w:tc>
        <w:tc>
          <w:tcPr>
            <w:tcW w:w="661" w:type="pct"/>
            <w:shd w:val="clear" w:color="auto" w:fill="auto"/>
            <w:noWrap/>
            <w:vAlign w:val="center"/>
          </w:tcPr>
          <w:p w14:paraId="319C3BBD">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 xml:space="preserve">50.74 </w:t>
            </w:r>
          </w:p>
        </w:tc>
        <w:tc>
          <w:tcPr>
            <w:tcW w:w="1241" w:type="pct"/>
            <w:shd w:val="clear" w:color="auto" w:fill="auto"/>
            <w:noWrap/>
            <w:vAlign w:val="center"/>
          </w:tcPr>
          <w:p w14:paraId="6539CEA5">
            <w:pPr>
              <w:spacing w:line="240" w:lineRule="auto"/>
              <w:ind w:firstLine="0" w:firstLineChars="0"/>
              <w:jc w:val="center"/>
              <w:rPr>
                <w:rFonts w:eastAsia="宋体" w:cs="Times New Roman"/>
                <w:color w:val="000000" w:themeColor="text1"/>
                <w:sz w:val="22"/>
                <w:szCs w:val="22"/>
                <w14:textFill>
                  <w14:solidFill>
                    <w14:schemeClr w14:val="tx1"/>
                  </w14:solidFill>
                </w14:textFill>
              </w:rPr>
            </w:pPr>
            <w:r>
              <w:rPr>
                <w:rFonts w:eastAsia="宋体" w:cs="Times New Roman"/>
                <w:color w:val="000000" w:themeColor="text1"/>
                <w:sz w:val="22"/>
                <w:szCs w:val="22"/>
                <w14:textFill>
                  <w14:solidFill>
                    <w14:schemeClr w14:val="tx1"/>
                  </w14:solidFill>
                </w14:textFill>
              </w:rPr>
              <w:t>　</w:t>
            </w:r>
          </w:p>
        </w:tc>
      </w:tr>
    </w:tbl>
    <w:p w14:paraId="1513D8E1">
      <w:pPr>
        <w:ind w:firstLine="480"/>
        <w:rPr>
          <w:rFonts w:cs="Times New Roman"/>
          <w:color w:val="000000" w:themeColor="text1"/>
          <w14:textFill>
            <w14:solidFill>
              <w14:schemeClr w14:val="tx1"/>
            </w14:solidFill>
          </w14:textFill>
        </w:rPr>
      </w:pPr>
    </w:p>
    <w:p w14:paraId="0257101A">
      <w:pPr>
        <w:ind w:firstLine="480"/>
        <w:rPr>
          <w:rFonts w:cs="Times New Roman"/>
          <w:color w:val="000000" w:themeColor="text1"/>
          <w14:textFill>
            <w14:solidFill>
              <w14:schemeClr w14:val="tx1"/>
            </w14:solidFill>
          </w14:textFill>
        </w:rPr>
      </w:pPr>
    </w:p>
    <w:p w14:paraId="11F72A0B">
      <w:pPr>
        <w:ind w:firstLine="480"/>
        <w:rPr>
          <w:rFonts w:cs="Times New Roman"/>
          <w:color w:val="000000" w:themeColor="text1"/>
          <w14:textFill>
            <w14:solidFill>
              <w14:schemeClr w14:val="tx1"/>
            </w14:solidFill>
          </w14:textFill>
        </w:rPr>
      </w:pPr>
    </w:p>
    <w:p w14:paraId="2EE79BDA">
      <w:pPr>
        <w:ind w:firstLine="480"/>
        <w:rPr>
          <w:rFonts w:cs="Times New Roman"/>
          <w:color w:val="000000" w:themeColor="text1"/>
          <w14:textFill>
            <w14:solidFill>
              <w14:schemeClr w14:val="tx1"/>
            </w14:solidFill>
          </w14:textFill>
        </w:rPr>
        <w:sectPr>
          <w:headerReference r:id="rId41" w:type="default"/>
          <w:footerReference r:id="rId42" w:type="default"/>
          <w:pgSz w:w="11907" w:h="16839"/>
          <w:pgMar w:top="1418" w:right="1418" w:bottom="1418" w:left="1418" w:header="850" w:footer="850" w:gutter="0"/>
          <w:cols w:space="720" w:num="1"/>
          <w:docGrid w:linePitch="326" w:charSpace="0"/>
        </w:sectPr>
      </w:pPr>
    </w:p>
    <w:p w14:paraId="73B33E23">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表1-20                                       园区表土平衡汇总表</w:t>
      </w:r>
    </w:p>
    <w:tbl>
      <w:tblPr>
        <w:tblStyle w:val="27"/>
        <w:tblW w:w="0" w:type="auto"/>
        <w:tblInd w:w="0" w:type="dxa"/>
        <w:tblLayout w:type="autofit"/>
        <w:tblCellMar>
          <w:top w:w="0" w:type="dxa"/>
          <w:left w:w="108" w:type="dxa"/>
          <w:bottom w:w="0" w:type="dxa"/>
          <w:right w:w="108" w:type="dxa"/>
        </w:tblCellMar>
      </w:tblPr>
      <w:tblGrid>
        <w:gridCol w:w="1559"/>
        <w:gridCol w:w="1473"/>
        <w:gridCol w:w="1082"/>
        <w:gridCol w:w="991"/>
        <w:gridCol w:w="1054"/>
        <w:gridCol w:w="1082"/>
        <w:gridCol w:w="991"/>
        <w:gridCol w:w="1054"/>
      </w:tblGrid>
      <w:tr w14:paraId="6263174A">
        <w:tblPrEx>
          <w:tblCellMar>
            <w:top w:w="0" w:type="dxa"/>
            <w:left w:w="108" w:type="dxa"/>
            <w:bottom w:w="0" w:type="dxa"/>
            <w:right w:w="108" w:type="dxa"/>
          </w:tblCellMar>
        </w:tblPrEx>
        <w:trPr>
          <w:trHeight w:val="397" w:hRule="atLeast"/>
        </w:trPr>
        <w:tc>
          <w:tcPr>
            <w:tcW w:w="0" w:type="auto"/>
            <w:gridSpan w:val="2"/>
            <w:tcBorders>
              <w:top w:val="single" w:color="auto" w:sz="4" w:space="0"/>
              <w:left w:val="single" w:color="auto" w:sz="4" w:space="0"/>
              <w:bottom w:val="double" w:color="auto" w:sz="4" w:space="0"/>
              <w:right w:val="single" w:color="auto" w:sz="4" w:space="0"/>
            </w:tcBorders>
            <w:shd w:val="clear" w:color="auto" w:fill="auto"/>
            <w:noWrap/>
            <w:vAlign w:val="center"/>
          </w:tcPr>
          <w:p w14:paraId="1E8F313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分区</w:t>
            </w:r>
          </w:p>
        </w:tc>
        <w:tc>
          <w:tcPr>
            <w:tcW w:w="0" w:type="auto"/>
            <w:tcBorders>
              <w:top w:val="single" w:color="auto" w:sz="4" w:space="0"/>
              <w:left w:val="nil"/>
              <w:bottom w:val="double" w:color="auto" w:sz="4" w:space="0"/>
              <w:right w:val="single" w:color="auto" w:sz="4" w:space="0"/>
            </w:tcBorders>
            <w:shd w:val="clear" w:color="auto" w:fill="auto"/>
            <w:noWrap/>
            <w:vAlign w:val="center"/>
          </w:tcPr>
          <w:p w14:paraId="597EE86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剥离面积（hm²）</w:t>
            </w:r>
          </w:p>
        </w:tc>
        <w:tc>
          <w:tcPr>
            <w:tcW w:w="0" w:type="auto"/>
            <w:tcBorders>
              <w:top w:val="single" w:color="auto" w:sz="4" w:space="0"/>
              <w:left w:val="nil"/>
              <w:bottom w:val="double" w:color="auto" w:sz="4" w:space="0"/>
              <w:right w:val="single" w:color="auto" w:sz="4" w:space="0"/>
            </w:tcBorders>
            <w:shd w:val="clear" w:color="auto" w:fill="auto"/>
            <w:noWrap/>
            <w:vAlign w:val="center"/>
          </w:tcPr>
          <w:p w14:paraId="2B98B2E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剥离厚度（m）</w:t>
            </w:r>
          </w:p>
        </w:tc>
        <w:tc>
          <w:tcPr>
            <w:tcW w:w="0" w:type="auto"/>
            <w:tcBorders>
              <w:top w:val="single" w:color="auto" w:sz="4" w:space="0"/>
              <w:left w:val="nil"/>
              <w:bottom w:val="double" w:color="auto" w:sz="4" w:space="0"/>
              <w:right w:val="single" w:color="auto" w:sz="4" w:space="0"/>
            </w:tcBorders>
            <w:shd w:val="clear" w:color="auto" w:fill="auto"/>
            <w:noWrap/>
            <w:vAlign w:val="center"/>
          </w:tcPr>
          <w:p w14:paraId="47160AE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剥离量（万m³）</w:t>
            </w:r>
          </w:p>
        </w:tc>
        <w:tc>
          <w:tcPr>
            <w:tcW w:w="0" w:type="auto"/>
            <w:tcBorders>
              <w:top w:val="single" w:color="auto" w:sz="4" w:space="0"/>
              <w:left w:val="nil"/>
              <w:bottom w:val="double" w:color="auto" w:sz="4" w:space="0"/>
              <w:right w:val="single" w:color="auto" w:sz="4" w:space="0"/>
            </w:tcBorders>
            <w:shd w:val="clear" w:color="auto" w:fill="auto"/>
            <w:noWrap/>
            <w:vAlign w:val="center"/>
          </w:tcPr>
          <w:p w14:paraId="7A66D8F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回填面积（hm²）</w:t>
            </w:r>
          </w:p>
        </w:tc>
        <w:tc>
          <w:tcPr>
            <w:tcW w:w="0" w:type="auto"/>
            <w:tcBorders>
              <w:top w:val="single" w:color="auto" w:sz="4" w:space="0"/>
              <w:left w:val="nil"/>
              <w:bottom w:val="double" w:color="auto" w:sz="4" w:space="0"/>
              <w:right w:val="single" w:color="auto" w:sz="4" w:space="0"/>
            </w:tcBorders>
            <w:shd w:val="clear" w:color="auto" w:fill="auto"/>
            <w:noWrap/>
            <w:vAlign w:val="center"/>
          </w:tcPr>
          <w:p w14:paraId="4D9C572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回填厚度（m）</w:t>
            </w:r>
          </w:p>
        </w:tc>
        <w:tc>
          <w:tcPr>
            <w:tcW w:w="0" w:type="auto"/>
            <w:tcBorders>
              <w:top w:val="single" w:color="auto" w:sz="4" w:space="0"/>
              <w:left w:val="nil"/>
              <w:bottom w:val="double" w:color="auto" w:sz="4" w:space="0"/>
              <w:right w:val="single" w:color="auto" w:sz="4" w:space="0"/>
            </w:tcBorders>
            <w:shd w:val="clear" w:color="auto" w:fill="auto"/>
            <w:noWrap/>
            <w:vAlign w:val="center"/>
          </w:tcPr>
          <w:p w14:paraId="21ED992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回填量（万m³）</w:t>
            </w:r>
          </w:p>
        </w:tc>
      </w:tr>
      <w:tr w14:paraId="52D88DDE">
        <w:tblPrEx>
          <w:tblCellMar>
            <w:top w:w="0" w:type="dxa"/>
            <w:left w:w="108" w:type="dxa"/>
            <w:bottom w:w="0" w:type="dxa"/>
            <w:right w:w="108" w:type="dxa"/>
          </w:tblCellMar>
        </w:tblPrEx>
        <w:trPr>
          <w:trHeight w:val="397" w:hRule="atLeast"/>
        </w:trPr>
        <w:tc>
          <w:tcPr>
            <w:tcW w:w="0" w:type="auto"/>
            <w:gridSpan w:val="2"/>
            <w:tcBorders>
              <w:top w:val="double" w:color="auto" w:sz="4" w:space="0"/>
              <w:left w:val="single" w:color="auto" w:sz="4" w:space="0"/>
              <w:bottom w:val="single" w:color="auto" w:sz="4" w:space="0"/>
              <w:right w:val="single" w:color="000000" w:sz="4" w:space="0"/>
            </w:tcBorders>
            <w:shd w:val="clear" w:color="auto" w:fill="auto"/>
            <w:noWrap/>
            <w:vAlign w:val="center"/>
          </w:tcPr>
          <w:p w14:paraId="09F547A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第一部分 已建区</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7D063C1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2290FCD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719C0D0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69AC091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1AA8332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double" w:color="auto" w:sz="4" w:space="0"/>
              <w:left w:val="nil"/>
              <w:bottom w:val="single" w:color="auto" w:sz="4" w:space="0"/>
              <w:right w:val="single" w:color="auto" w:sz="4" w:space="0"/>
            </w:tcBorders>
            <w:shd w:val="clear" w:color="auto" w:fill="auto"/>
            <w:noWrap/>
            <w:vAlign w:val="center"/>
          </w:tcPr>
          <w:p w14:paraId="42FE66F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1A53DEB8">
        <w:tblPrEx>
          <w:tblCellMar>
            <w:top w:w="0" w:type="dxa"/>
            <w:left w:w="108" w:type="dxa"/>
            <w:bottom w:w="0" w:type="dxa"/>
            <w:right w:w="108" w:type="dxa"/>
          </w:tblCellMar>
        </w:tblPrEx>
        <w:trPr>
          <w:trHeight w:val="397" w:hRule="atLeast"/>
        </w:trPr>
        <w:tc>
          <w:tcPr>
            <w:tcW w:w="0" w:type="auto"/>
            <w:vMerge w:val="restart"/>
            <w:tcBorders>
              <w:top w:val="nil"/>
              <w:left w:val="single" w:color="auto" w:sz="4" w:space="0"/>
              <w:bottom w:val="nil"/>
              <w:right w:val="single" w:color="auto" w:sz="4" w:space="0"/>
            </w:tcBorders>
            <w:shd w:val="clear" w:color="auto" w:fill="auto"/>
            <w:noWrap/>
            <w:vAlign w:val="center"/>
          </w:tcPr>
          <w:p w14:paraId="6F3A997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0" w:type="auto"/>
            <w:tcBorders>
              <w:top w:val="nil"/>
              <w:left w:val="nil"/>
              <w:bottom w:val="single" w:color="auto" w:sz="4" w:space="0"/>
              <w:right w:val="single" w:color="auto" w:sz="4" w:space="0"/>
            </w:tcBorders>
            <w:shd w:val="clear" w:color="auto" w:fill="auto"/>
            <w:noWrap/>
            <w:vAlign w:val="center"/>
          </w:tcPr>
          <w:p w14:paraId="4C3C424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公共管理与公共服务用地</w:t>
            </w:r>
          </w:p>
        </w:tc>
        <w:tc>
          <w:tcPr>
            <w:tcW w:w="0" w:type="auto"/>
            <w:tcBorders>
              <w:top w:val="nil"/>
              <w:left w:val="nil"/>
              <w:bottom w:val="single" w:color="auto" w:sz="4" w:space="0"/>
              <w:right w:val="single" w:color="auto" w:sz="4" w:space="0"/>
            </w:tcBorders>
            <w:shd w:val="clear" w:color="auto" w:fill="auto"/>
            <w:noWrap/>
            <w:vAlign w:val="center"/>
          </w:tcPr>
          <w:p w14:paraId="38A0DEB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0.56 </w:t>
            </w:r>
          </w:p>
        </w:tc>
        <w:tc>
          <w:tcPr>
            <w:tcW w:w="0" w:type="auto"/>
            <w:tcBorders>
              <w:top w:val="nil"/>
              <w:left w:val="nil"/>
              <w:bottom w:val="single" w:color="auto" w:sz="4" w:space="0"/>
              <w:right w:val="single" w:color="auto" w:sz="4" w:space="0"/>
            </w:tcBorders>
            <w:shd w:val="clear" w:color="auto" w:fill="auto"/>
            <w:noWrap/>
            <w:vAlign w:val="center"/>
          </w:tcPr>
          <w:p w14:paraId="65867EA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0.20 </w:t>
            </w:r>
          </w:p>
        </w:tc>
        <w:tc>
          <w:tcPr>
            <w:tcW w:w="0" w:type="auto"/>
            <w:tcBorders>
              <w:top w:val="nil"/>
              <w:left w:val="nil"/>
              <w:bottom w:val="single" w:color="auto" w:sz="4" w:space="0"/>
              <w:right w:val="single" w:color="auto" w:sz="4" w:space="0"/>
            </w:tcBorders>
            <w:shd w:val="clear" w:color="auto" w:fill="auto"/>
            <w:noWrap/>
            <w:vAlign w:val="center"/>
          </w:tcPr>
          <w:p w14:paraId="495EC0F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0.11 </w:t>
            </w:r>
          </w:p>
        </w:tc>
        <w:tc>
          <w:tcPr>
            <w:tcW w:w="0" w:type="auto"/>
            <w:tcBorders>
              <w:top w:val="nil"/>
              <w:left w:val="nil"/>
              <w:bottom w:val="single" w:color="auto" w:sz="4" w:space="0"/>
              <w:right w:val="single" w:color="auto" w:sz="4" w:space="0"/>
            </w:tcBorders>
            <w:shd w:val="clear" w:color="auto" w:fill="auto"/>
            <w:noWrap/>
            <w:vAlign w:val="center"/>
          </w:tcPr>
          <w:p w14:paraId="740C4F9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0.37 </w:t>
            </w:r>
          </w:p>
        </w:tc>
        <w:tc>
          <w:tcPr>
            <w:tcW w:w="0" w:type="auto"/>
            <w:tcBorders>
              <w:top w:val="nil"/>
              <w:left w:val="nil"/>
              <w:bottom w:val="single" w:color="auto" w:sz="4" w:space="0"/>
              <w:right w:val="single" w:color="auto" w:sz="4" w:space="0"/>
            </w:tcBorders>
            <w:shd w:val="clear" w:color="auto" w:fill="auto"/>
            <w:noWrap/>
            <w:vAlign w:val="center"/>
          </w:tcPr>
          <w:p w14:paraId="4E58C35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0.30 </w:t>
            </w:r>
          </w:p>
        </w:tc>
        <w:tc>
          <w:tcPr>
            <w:tcW w:w="0" w:type="auto"/>
            <w:tcBorders>
              <w:top w:val="nil"/>
              <w:left w:val="nil"/>
              <w:bottom w:val="single" w:color="auto" w:sz="4" w:space="0"/>
              <w:right w:val="single" w:color="auto" w:sz="4" w:space="0"/>
            </w:tcBorders>
            <w:shd w:val="clear" w:color="auto" w:fill="auto"/>
            <w:noWrap/>
            <w:vAlign w:val="center"/>
          </w:tcPr>
          <w:p w14:paraId="5A9C466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0.11 </w:t>
            </w:r>
          </w:p>
        </w:tc>
      </w:tr>
      <w:tr w14:paraId="408A2284">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nil"/>
              <w:right w:val="single" w:color="auto" w:sz="4" w:space="0"/>
            </w:tcBorders>
            <w:vAlign w:val="center"/>
          </w:tcPr>
          <w:p w14:paraId="39F55A3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vAlign w:val="center"/>
          </w:tcPr>
          <w:p w14:paraId="76160C1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商业服务业用地</w:t>
            </w:r>
          </w:p>
        </w:tc>
        <w:tc>
          <w:tcPr>
            <w:tcW w:w="0" w:type="auto"/>
            <w:tcBorders>
              <w:top w:val="nil"/>
              <w:left w:val="nil"/>
              <w:bottom w:val="single" w:color="auto" w:sz="4" w:space="0"/>
              <w:right w:val="single" w:color="auto" w:sz="4" w:space="0"/>
            </w:tcBorders>
            <w:shd w:val="clear" w:color="auto" w:fill="auto"/>
            <w:noWrap/>
            <w:vAlign w:val="center"/>
          </w:tcPr>
          <w:p w14:paraId="4E081A7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1.64 </w:t>
            </w:r>
          </w:p>
        </w:tc>
        <w:tc>
          <w:tcPr>
            <w:tcW w:w="0" w:type="auto"/>
            <w:tcBorders>
              <w:top w:val="nil"/>
              <w:left w:val="nil"/>
              <w:bottom w:val="single" w:color="auto" w:sz="4" w:space="0"/>
              <w:right w:val="single" w:color="auto" w:sz="4" w:space="0"/>
            </w:tcBorders>
            <w:shd w:val="clear" w:color="auto" w:fill="auto"/>
            <w:noWrap/>
            <w:vAlign w:val="center"/>
          </w:tcPr>
          <w:p w14:paraId="21B6E0A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0.20 </w:t>
            </w:r>
          </w:p>
        </w:tc>
        <w:tc>
          <w:tcPr>
            <w:tcW w:w="0" w:type="auto"/>
            <w:tcBorders>
              <w:top w:val="nil"/>
              <w:left w:val="nil"/>
              <w:bottom w:val="single" w:color="auto" w:sz="4" w:space="0"/>
              <w:right w:val="single" w:color="auto" w:sz="4" w:space="0"/>
            </w:tcBorders>
            <w:shd w:val="clear" w:color="auto" w:fill="auto"/>
            <w:noWrap/>
            <w:vAlign w:val="center"/>
          </w:tcPr>
          <w:p w14:paraId="6134698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0.33 </w:t>
            </w:r>
          </w:p>
        </w:tc>
        <w:tc>
          <w:tcPr>
            <w:tcW w:w="0" w:type="auto"/>
            <w:tcBorders>
              <w:top w:val="nil"/>
              <w:left w:val="nil"/>
              <w:bottom w:val="single" w:color="auto" w:sz="4" w:space="0"/>
              <w:right w:val="single" w:color="auto" w:sz="4" w:space="0"/>
            </w:tcBorders>
            <w:shd w:val="clear" w:color="auto" w:fill="auto"/>
            <w:noWrap/>
            <w:vAlign w:val="center"/>
          </w:tcPr>
          <w:p w14:paraId="65ADBAC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1.09 </w:t>
            </w:r>
          </w:p>
        </w:tc>
        <w:tc>
          <w:tcPr>
            <w:tcW w:w="0" w:type="auto"/>
            <w:tcBorders>
              <w:top w:val="nil"/>
              <w:left w:val="nil"/>
              <w:bottom w:val="single" w:color="auto" w:sz="4" w:space="0"/>
              <w:right w:val="single" w:color="auto" w:sz="4" w:space="0"/>
            </w:tcBorders>
            <w:shd w:val="clear" w:color="auto" w:fill="auto"/>
            <w:noWrap/>
            <w:vAlign w:val="center"/>
          </w:tcPr>
          <w:p w14:paraId="4EAB2BC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0.30 </w:t>
            </w:r>
          </w:p>
        </w:tc>
        <w:tc>
          <w:tcPr>
            <w:tcW w:w="0" w:type="auto"/>
            <w:tcBorders>
              <w:top w:val="nil"/>
              <w:left w:val="nil"/>
              <w:bottom w:val="single" w:color="auto" w:sz="4" w:space="0"/>
              <w:right w:val="single" w:color="auto" w:sz="4" w:space="0"/>
            </w:tcBorders>
            <w:shd w:val="clear" w:color="auto" w:fill="auto"/>
            <w:noWrap/>
            <w:vAlign w:val="center"/>
          </w:tcPr>
          <w:p w14:paraId="6057235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0.33 </w:t>
            </w:r>
          </w:p>
        </w:tc>
      </w:tr>
      <w:tr w14:paraId="701DEC16">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nil"/>
              <w:right w:val="single" w:color="auto" w:sz="4" w:space="0"/>
            </w:tcBorders>
            <w:vAlign w:val="center"/>
          </w:tcPr>
          <w:p w14:paraId="1159C81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vAlign w:val="center"/>
          </w:tcPr>
          <w:p w14:paraId="3F647BF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0" w:type="auto"/>
            <w:tcBorders>
              <w:top w:val="nil"/>
              <w:left w:val="nil"/>
              <w:bottom w:val="single" w:color="auto" w:sz="4" w:space="0"/>
              <w:right w:val="single" w:color="auto" w:sz="4" w:space="0"/>
            </w:tcBorders>
            <w:shd w:val="clear" w:color="auto" w:fill="auto"/>
            <w:noWrap/>
            <w:vAlign w:val="center"/>
          </w:tcPr>
          <w:p w14:paraId="1E4E3A0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104.41 </w:t>
            </w:r>
          </w:p>
        </w:tc>
        <w:tc>
          <w:tcPr>
            <w:tcW w:w="0" w:type="auto"/>
            <w:tcBorders>
              <w:top w:val="nil"/>
              <w:left w:val="nil"/>
              <w:bottom w:val="single" w:color="auto" w:sz="4" w:space="0"/>
              <w:right w:val="single" w:color="auto" w:sz="4" w:space="0"/>
            </w:tcBorders>
            <w:shd w:val="clear" w:color="auto" w:fill="auto"/>
            <w:noWrap/>
            <w:vAlign w:val="center"/>
          </w:tcPr>
          <w:p w14:paraId="5B4A9A8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0.20 </w:t>
            </w:r>
          </w:p>
        </w:tc>
        <w:tc>
          <w:tcPr>
            <w:tcW w:w="0" w:type="auto"/>
            <w:tcBorders>
              <w:top w:val="nil"/>
              <w:left w:val="nil"/>
              <w:bottom w:val="single" w:color="auto" w:sz="4" w:space="0"/>
              <w:right w:val="single" w:color="auto" w:sz="4" w:space="0"/>
            </w:tcBorders>
            <w:shd w:val="clear" w:color="auto" w:fill="auto"/>
            <w:noWrap/>
            <w:vAlign w:val="center"/>
          </w:tcPr>
          <w:p w14:paraId="18B3DDE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20.89 </w:t>
            </w:r>
          </w:p>
        </w:tc>
        <w:tc>
          <w:tcPr>
            <w:tcW w:w="0" w:type="auto"/>
            <w:tcBorders>
              <w:top w:val="nil"/>
              <w:left w:val="nil"/>
              <w:bottom w:val="single" w:color="auto" w:sz="4" w:space="0"/>
              <w:right w:val="single" w:color="auto" w:sz="4" w:space="0"/>
            </w:tcBorders>
            <w:shd w:val="clear" w:color="auto" w:fill="auto"/>
            <w:noWrap/>
            <w:vAlign w:val="center"/>
          </w:tcPr>
          <w:p w14:paraId="0CD7243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69.61 </w:t>
            </w:r>
          </w:p>
        </w:tc>
        <w:tc>
          <w:tcPr>
            <w:tcW w:w="0" w:type="auto"/>
            <w:tcBorders>
              <w:top w:val="nil"/>
              <w:left w:val="nil"/>
              <w:bottom w:val="single" w:color="auto" w:sz="4" w:space="0"/>
              <w:right w:val="single" w:color="auto" w:sz="4" w:space="0"/>
            </w:tcBorders>
            <w:shd w:val="clear" w:color="auto" w:fill="auto"/>
            <w:noWrap/>
            <w:vAlign w:val="center"/>
          </w:tcPr>
          <w:p w14:paraId="1F04E40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0.30 </w:t>
            </w:r>
          </w:p>
        </w:tc>
        <w:tc>
          <w:tcPr>
            <w:tcW w:w="0" w:type="auto"/>
            <w:tcBorders>
              <w:top w:val="nil"/>
              <w:left w:val="nil"/>
              <w:bottom w:val="single" w:color="auto" w:sz="4" w:space="0"/>
              <w:right w:val="single" w:color="auto" w:sz="4" w:space="0"/>
            </w:tcBorders>
            <w:shd w:val="clear" w:color="auto" w:fill="auto"/>
            <w:noWrap/>
            <w:vAlign w:val="center"/>
          </w:tcPr>
          <w:p w14:paraId="11284A4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20.88 </w:t>
            </w:r>
          </w:p>
        </w:tc>
      </w:tr>
      <w:tr w14:paraId="1806D978">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nil"/>
              <w:right w:val="single" w:color="auto" w:sz="4" w:space="0"/>
            </w:tcBorders>
            <w:vAlign w:val="center"/>
          </w:tcPr>
          <w:p w14:paraId="3DA939E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vAlign w:val="center"/>
          </w:tcPr>
          <w:p w14:paraId="7604888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0" w:type="auto"/>
            <w:tcBorders>
              <w:top w:val="nil"/>
              <w:left w:val="nil"/>
              <w:bottom w:val="single" w:color="auto" w:sz="4" w:space="0"/>
              <w:right w:val="single" w:color="auto" w:sz="4" w:space="0"/>
            </w:tcBorders>
            <w:shd w:val="clear" w:color="auto" w:fill="auto"/>
            <w:noWrap/>
            <w:vAlign w:val="center"/>
          </w:tcPr>
          <w:p w14:paraId="7C52BC8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72.11 </w:t>
            </w:r>
          </w:p>
        </w:tc>
        <w:tc>
          <w:tcPr>
            <w:tcW w:w="0" w:type="auto"/>
            <w:tcBorders>
              <w:top w:val="nil"/>
              <w:left w:val="nil"/>
              <w:bottom w:val="single" w:color="auto" w:sz="4" w:space="0"/>
              <w:right w:val="single" w:color="auto" w:sz="4" w:space="0"/>
            </w:tcBorders>
            <w:shd w:val="clear" w:color="auto" w:fill="auto"/>
            <w:noWrap/>
            <w:vAlign w:val="center"/>
          </w:tcPr>
          <w:p w14:paraId="487E72D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0.20 </w:t>
            </w:r>
          </w:p>
        </w:tc>
        <w:tc>
          <w:tcPr>
            <w:tcW w:w="0" w:type="auto"/>
            <w:tcBorders>
              <w:top w:val="nil"/>
              <w:left w:val="nil"/>
              <w:bottom w:val="single" w:color="auto" w:sz="4" w:space="0"/>
              <w:right w:val="single" w:color="auto" w:sz="4" w:space="0"/>
            </w:tcBorders>
            <w:shd w:val="clear" w:color="auto" w:fill="auto"/>
            <w:noWrap/>
            <w:vAlign w:val="center"/>
          </w:tcPr>
          <w:p w14:paraId="160A379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14.42 </w:t>
            </w:r>
          </w:p>
        </w:tc>
        <w:tc>
          <w:tcPr>
            <w:tcW w:w="0" w:type="auto"/>
            <w:tcBorders>
              <w:top w:val="nil"/>
              <w:left w:val="nil"/>
              <w:bottom w:val="single" w:color="auto" w:sz="4" w:space="0"/>
              <w:right w:val="single" w:color="auto" w:sz="4" w:space="0"/>
            </w:tcBorders>
            <w:shd w:val="clear" w:color="auto" w:fill="auto"/>
            <w:noWrap/>
            <w:vAlign w:val="center"/>
          </w:tcPr>
          <w:p w14:paraId="7D211B7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48.08 </w:t>
            </w:r>
          </w:p>
        </w:tc>
        <w:tc>
          <w:tcPr>
            <w:tcW w:w="0" w:type="auto"/>
            <w:tcBorders>
              <w:top w:val="nil"/>
              <w:left w:val="nil"/>
              <w:bottom w:val="single" w:color="auto" w:sz="4" w:space="0"/>
              <w:right w:val="single" w:color="auto" w:sz="4" w:space="0"/>
            </w:tcBorders>
            <w:shd w:val="clear" w:color="auto" w:fill="auto"/>
            <w:noWrap/>
            <w:vAlign w:val="center"/>
          </w:tcPr>
          <w:p w14:paraId="32E8602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0.30 </w:t>
            </w:r>
          </w:p>
        </w:tc>
        <w:tc>
          <w:tcPr>
            <w:tcW w:w="0" w:type="auto"/>
            <w:tcBorders>
              <w:top w:val="nil"/>
              <w:left w:val="nil"/>
              <w:bottom w:val="single" w:color="auto" w:sz="4" w:space="0"/>
              <w:right w:val="single" w:color="auto" w:sz="4" w:space="0"/>
            </w:tcBorders>
            <w:shd w:val="clear" w:color="auto" w:fill="auto"/>
            <w:noWrap/>
            <w:vAlign w:val="center"/>
          </w:tcPr>
          <w:p w14:paraId="0F1EB1F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14.42 </w:t>
            </w:r>
          </w:p>
        </w:tc>
      </w:tr>
      <w:tr w14:paraId="2F264D43">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nil"/>
              <w:right w:val="single" w:color="auto" w:sz="4" w:space="0"/>
            </w:tcBorders>
            <w:vAlign w:val="center"/>
          </w:tcPr>
          <w:p w14:paraId="1E50CE9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vAlign w:val="center"/>
          </w:tcPr>
          <w:p w14:paraId="3506051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公用设施用地</w:t>
            </w:r>
          </w:p>
        </w:tc>
        <w:tc>
          <w:tcPr>
            <w:tcW w:w="0" w:type="auto"/>
            <w:tcBorders>
              <w:top w:val="nil"/>
              <w:left w:val="nil"/>
              <w:bottom w:val="single" w:color="auto" w:sz="4" w:space="0"/>
              <w:right w:val="single" w:color="auto" w:sz="4" w:space="0"/>
            </w:tcBorders>
            <w:shd w:val="clear" w:color="auto" w:fill="auto"/>
            <w:noWrap/>
            <w:vAlign w:val="center"/>
          </w:tcPr>
          <w:p w14:paraId="498440A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4.00 </w:t>
            </w:r>
          </w:p>
        </w:tc>
        <w:tc>
          <w:tcPr>
            <w:tcW w:w="0" w:type="auto"/>
            <w:tcBorders>
              <w:top w:val="nil"/>
              <w:left w:val="nil"/>
              <w:bottom w:val="single" w:color="auto" w:sz="4" w:space="0"/>
              <w:right w:val="single" w:color="auto" w:sz="4" w:space="0"/>
            </w:tcBorders>
            <w:shd w:val="clear" w:color="auto" w:fill="auto"/>
            <w:noWrap/>
            <w:vAlign w:val="center"/>
          </w:tcPr>
          <w:p w14:paraId="31C1DF2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0.20 </w:t>
            </w:r>
          </w:p>
        </w:tc>
        <w:tc>
          <w:tcPr>
            <w:tcW w:w="0" w:type="auto"/>
            <w:tcBorders>
              <w:top w:val="nil"/>
              <w:left w:val="nil"/>
              <w:bottom w:val="single" w:color="auto" w:sz="4" w:space="0"/>
              <w:right w:val="single" w:color="auto" w:sz="4" w:space="0"/>
            </w:tcBorders>
            <w:shd w:val="clear" w:color="auto" w:fill="auto"/>
            <w:noWrap/>
            <w:vAlign w:val="center"/>
          </w:tcPr>
          <w:p w14:paraId="3F0BA2E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0.80 </w:t>
            </w:r>
          </w:p>
        </w:tc>
        <w:tc>
          <w:tcPr>
            <w:tcW w:w="0" w:type="auto"/>
            <w:tcBorders>
              <w:top w:val="nil"/>
              <w:left w:val="nil"/>
              <w:bottom w:val="single" w:color="auto" w:sz="4" w:space="0"/>
              <w:right w:val="single" w:color="auto" w:sz="4" w:space="0"/>
            </w:tcBorders>
            <w:shd w:val="clear" w:color="auto" w:fill="auto"/>
            <w:noWrap/>
            <w:vAlign w:val="center"/>
          </w:tcPr>
          <w:p w14:paraId="1812E9C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2.67 </w:t>
            </w:r>
          </w:p>
        </w:tc>
        <w:tc>
          <w:tcPr>
            <w:tcW w:w="0" w:type="auto"/>
            <w:tcBorders>
              <w:top w:val="nil"/>
              <w:left w:val="nil"/>
              <w:bottom w:val="single" w:color="auto" w:sz="4" w:space="0"/>
              <w:right w:val="single" w:color="auto" w:sz="4" w:space="0"/>
            </w:tcBorders>
            <w:shd w:val="clear" w:color="auto" w:fill="auto"/>
            <w:noWrap/>
            <w:vAlign w:val="center"/>
          </w:tcPr>
          <w:p w14:paraId="66CD379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0.30 </w:t>
            </w:r>
          </w:p>
        </w:tc>
        <w:tc>
          <w:tcPr>
            <w:tcW w:w="0" w:type="auto"/>
            <w:tcBorders>
              <w:top w:val="nil"/>
              <w:left w:val="nil"/>
              <w:bottom w:val="single" w:color="auto" w:sz="4" w:space="0"/>
              <w:right w:val="single" w:color="auto" w:sz="4" w:space="0"/>
            </w:tcBorders>
            <w:shd w:val="clear" w:color="auto" w:fill="auto"/>
            <w:noWrap/>
            <w:vAlign w:val="center"/>
          </w:tcPr>
          <w:p w14:paraId="35F6848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0.80 </w:t>
            </w:r>
          </w:p>
        </w:tc>
      </w:tr>
      <w:tr w14:paraId="70C66C89">
        <w:tblPrEx>
          <w:tblCellMar>
            <w:top w:w="0" w:type="dxa"/>
            <w:left w:w="108" w:type="dxa"/>
            <w:bottom w:w="0" w:type="dxa"/>
            <w:right w:w="108" w:type="dxa"/>
          </w:tblCellMar>
        </w:tblPrEx>
        <w:trPr>
          <w:trHeight w:val="397" w:hRule="atLeast"/>
        </w:trPr>
        <w:tc>
          <w:tcPr>
            <w:tcW w:w="0" w:type="auto"/>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3A4D7DA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小计</w:t>
            </w:r>
          </w:p>
        </w:tc>
        <w:tc>
          <w:tcPr>
            <w:tcW w:w="0" w:type="auto"/>
            <w:tcBorders>
              <w:top w:val="nil"/>
              <w:left w:val="nil"/>
              <w:bottom w:val="single" w:color="auto" w:sz="4" w:space="0"/>
              <w:right w:val="single" w:color="auto" w:sz="4" w:space="0"/>
            </w:tcBorders>
            <w:shd w:val="clear" w:color="auto" w:fill="auto"/>
            <w:noWrap/>
            <w:vAlign w:val="center"/>
          </w:tcPr>
          <w:p w14:paraId="4261D22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182.72 </w:t>
            </w:r>
          </w:p>
        </w:tc>
        <w:tc>
          <w:tcPr>
            <w:tcW w:w="0" w:type="auto"/>
            <w:tcBorders>
              <w:top w:val="nil"/>
              <w:left w:val="nil"/>
              <w:bottom w:val="single" w:color="auto" w:sz="4" w:space="0"/>
              <w:right w:val="single" w:color="auto" w:sz="4" w:space="0"/>
            </w:tcBorders>
            <w:shd w:val="clear" w:color="auto" w:fill="auto"/>
            <w:noWrap/>
            <w:vAlign w:val="center"/>
          </w:tcPr>
          <w:p w14:paraId="5D1982F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E085DF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36.54 </w:t>
            </w:r>
          </w:p>
        </w:tc>
        <w:tc>
          <w:tcPr>
            <w:tcW w:w="0" w:type="auto"/>
            <w:tcBorders>
              <w:top w:val="nil"/>
              <w:left w:val="nil"/>
              <w:bottom w:val="single" w:color="auto" w:sz="4" w:space="0"/>
              <w:right w:val="single" w:color="auto" w:sz="4" w:space="0"/>
            </w:tcBorders>
            <w:shd w:val="clear" w:color="auto" w:fill="auto"/>
            <w:noWrap/>
            <w:vAlign w:val="center"/>
          </w:tcPr>
          <w:p w14:paraId="0B25004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121.82 </w:t>
            </w:r>
          </w:p>
        </w:tc>
        <w:tc>
          <w:tcPr>
            <w:tcW w:w="0" w:type="auto"/>
            <w:tcBorders>
              <w:top w:val="nil"/>
              <w:left w:val="nil"/>
              <w:bottom w:val="single" w:color="auto" w:sz="4" w:space="0"/>
              <w:right w:val="single" w:color="auto" w:sz="4" w:space="0"/>
            </w:tcBorders>
            <w:shd w:val="clear" w:color="auto" w:fill="auto"/>
            <w:noWrap/>
            <w:vAlign w:val="center"/>
          </w:tcPr>
          <w:p w14:paraId="7E4D391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80E36B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36.54 </w:t>
            </w:r>
          </w:p>
        </w:tc>
      </w:tr>
      <w:tr w14:paraId="5503C1CE">
        <w:tblPrEx>
          <w:tblCellMar>
            <w:top w:w="0" w:type="dxa"/>
            <w:left w:w="108" w:type="dxa"/>
            <w:bottom w:w="0" w:type="dxa"/>
            <w:right w:w="108" w:type="dxa"/>
          </w:tblCellMar>
        </w:tblPrEx>
        <w:trPr>
          <w:trHeight w:val="397" w:hRule="atLeast"/>
        </w:trPr>
        <w:tc>
          <w:tcPr>
            <w:tcW w:w="0" w:type="auto"/>
            <w:vMerge w:val="restart"/>
            <w:tcBorders>
              <w:top w:val="nil"/>
              <w:left w:val="single" w:color="auto" w:sz="4" w:space="0"/>
              <w:bottom w:val="single" w:color="auto" w:sz="4" w:space="0"/>
              <w:right w:val="single" w:color="auto" w:sz="4" w:space="0"/>
            </w:tcBorders>
            <w:shd w:val="clear" w:color="auto" w:fill="auto"/>
            <w:noWrap/>
            <w:vAlign w:val="center"/>
          </w:tcPr>
          <w:p w14:paraId="7CD3E03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0" w:type="auto"/>
            <w:tcBorders>
              <w:top w:val="nil"/>
              <w:left w:val="nil"/>
              <w:bottom w:val="single" w:color="auto" w:sz="4" w:space="0"/>
              <w:right w:val="single" w:color="auto" w:sz="4" w:space="0"/>
            </w:tcBorders>
            <w:shd w:val="clear" w:color="auto" w:fill="auto"/>
            <w:noWrap/>
            <w:vAlign w:val="center"/>
          </w:tcPr>
          <w:p w14:paraId="293D1B5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0" w:type="auto"/>
            <w:tcBorders>
              <w:top w:val="nil"/>
              <w:left w:val="nil"/>
              <w:bottom w:val="single" w:color="auto" w:sz="4" w:space="0"/>
              <w:right w:val="single" w:color="auto" w:sz="4" w:space="0"/>
            </w:tcBorders>
            <w:shd w:val="clear" w:color="auto" w:fill="auto"/>
            <w:noWrap/>
            <w:vAlign w:val="center"/>
          </w:tcPr>
          <w:p w14:paraId="0342F7F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21.60 </w:t>
            </w:r>
          </w:p>
        </w:tc>
        <w:tc>
          <w:tcPr>
            <w:tcW w:w="0" w:type="auto"/>
            <w:tcBorders>
              <w:top w:val="nil"/>
              <w:left w:val="nil"/>
              <w:bottom w:val="single" w:color="auto" w:sz="4" w:space="0"/>
              <w:right w:val="single" w:color="auto" w:sz="4" w:space="0"/>
            </w:tcBorders>
            <w:shd w:val="clear" w:color="auto" w:fill="auto"/>
            <w:noWrap/>
            <w:vAlign w:val="center"/>
          </w:tcPr>
          <w:p w14:paraId="7268E8F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0.20 </w:t>
            </w:r>
          </w:p>
        </w:tc>
        <w:tc>
          <w:tcPr>
            <w:tcW w:w="0" w:type="auto"/>
            <w:tcBorders>
              <w:top w:val="nil"/>
              <w:left w:val="nil"/>
              <w:bottom w:val="single" w:color="auto" w:sz="4" w:space="0"/>
              <w:right w:val="single" w:color="auto" w:sz="4" w:space="0"/>
            </w:tcBorders>
            <w:shd w:val="clear" w:color="auto" w:fill="auto"/>
            <w:noWrap/>
            <w:vAlign w:val="center"/>
          </w:tcPr>
          <w:p w14:paraId="7C7AC8B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4.32 </w:t>
            </w:r>
          </w:p>
        </w:tc>
        <w:tc>
          <w:tcPr>
            <w:tcW w:w="0" w:type="auto"/>
            <w:tcBorders>
              <w:top w:val="nil"/>
              <w:left w:val="nil"/>
              <w:bottom w:val="single" w:color="auto" w:sz="4" w:space="0"/>
              <w:right w:val="single" w:color="auto" w:sz="4" w:space="0"/>
            </w:tcBorders>
            <w:shd w:val="clear" w:color="auto" w:fill="auto"/>
            <w:noWrap/>
            <w:vAlign w:val="center"/>
          </w:tcPr>
          <w:p w14:paraId="62871FA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14.40 </w:t>
            </w:r>
          </w:p>
        </w:tc>
        <w:tc>
          <w:tcPr>
            <w:tcW w:w="0" w:type="auto"/>
            <w:tcBorders>
              <w:top w:val="nil"/>
              <w:left w:val="nil"/>
              <w:bottom w:val="single" w:color="auto" w:sz="4" w:space="0"/>
              <w:right w:val="single" w:color="auto" w:sz="4" w:space="0"/>
            </w:tcBorders>
            <w:shd w:val="clear" w:color="auto" w:fill="auto"/>
            <w:noWrap/>
            <w:vAlign w:val="center"/>
          </w:tcPr>
          <w:p w14:paraId="2B2F98C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0.30 </w:t>
            </w:r>
          </w:p>
        </w:tc>
        <w:tc>
          <w:tcPr>
            <w:tcW w:w="0" w:type="auto"/>
            <w:tcBorders>
              <w:top w:val="nil"/>
              <w:left w:val="nil"/>
              <w:bottom w:val="single" w:color="auto" w:sz="4" w:space="0"/>
              <w:right w:val="single" w:color="auto" w:sz="4" w:space="0"/>
            </w:tcBorders>
            <w:shd w:val="clear" w:color="auto" w:fill="auto"/>
            <w:noWrap/>
            <w:vAlign w:val="center"/>
          </w:tcPr>
          <w:p w14:paraId="6FB7C49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4.32 </w:t>
            </w:r>
          </w:p>
        </w:tc>
      </w:tr>
      <w:tr w14:paraId="402861BF">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71A433F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vAlign w:val="center"/>
          </w:tcPr>
          <w:p w14:paraId="0976AE6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0" w:type="auto"/>
            <w:tcBorders>
              <w:top w:val="nil"/>
              <w:left w:val="nil"/>
              <w:bottom w:val="single" w:color="auto" w:sz="4" w:space="0"/>
              <w:right w:val="single" w:color="auto" w:sz="4" w:space="0"/>
            </w:tcBorders>
            <w:shd w:val="clear" w:color="auto" w:fill="auto"/>
            <w:noWrap/>
            <w:vAlign w:val="center"/>
          </w:tcPr>
          <w:p w14:paraId="098974F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1.52 </w:t>
            </w:r>
          </w:p>
        </w:tc>
        <w:tc>
          <w:tcPr>
            <w:tcW w:w="0" w:type="auto"/>
            <w:tcBorders>
              <w:top w:val="nil"/>
              <w:left w:val="nil"/>
              <w:bottom w:val="single" w:color="auto" w:sz="4" w:space="0"/>
              <w:right w:val="single" w:color="auto" w:sz="4" w:space="0"/>
            </w:tcBorders>
            <w:shd w:val="clear" w:color="auto" w:fill="auto"/>
            <w:noWrap/>
            <w:vAlign w:val="center"/>
          </w:tcPr>
          <w:p w14:paraId="7BBDAA7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0.20 </w:t>
            </w:r>
          </w:p>
        </w:tc>
        <w:tc>
          <w:tcPr>
            <w:tcW w:w="0" w:type="auto"/>
            <w:tcBorders>
              <w:top w:val="nil"/>
              <w:left w:val="nil"/>
              <w:bottom w:val="single" w:color="auto" w:sz="4" w:space="0"/>
              <w:right w:val="single" w:color="auto" w:sz="4" w:space="0"/>
            </w:tcBorders>
            <w:shd w:val="clear" w:color="auto" w:fill="auto"/>
            <w:noWrap/>
            <w:vAlign w:val="center"/>
          </w:tcPr>
          <w:p w14:paraId="1639775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0.30 </w:t>
            </w:r>
          </w:p>
        </w:tc>
        <w:tc>
          <w:tcPr>
            <w:tcW w:w="0" w:type="auto"/>
            <w:tcBorders>
              <w:top w:val="nil"/>
              <w:left w:val="nil"/>
              <w:bottom w:val="single" w:color="auto" w:sz="4" w:space="0"/>
              <w:right w:val="single" w:color="auto" w:sz="4" w:space="0"/>
            </w:tcBorders>
            <w:shd w:val="clear" w:color="auto" w:fill="auto"/>
            <w:noWrap/>
            <w:vAlign w:val="center"/>
          </w:tcPr>
          <w:p w14:paraId="09E4628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1.01 </w:t>
            </w:r>
          </w:p>
        </w:tc>
        <w:tc>
          <w:tcPr>
            <w:tcW w:w="0" w:type="auto"/>
            <w:tcBorders>
              <w:top w:val="nil"/>
              <w:left w:val="nil"/>
              <w:bottom w:val="single" w:color="auto" w:sz="4" w:space="0"/>
              <w:right w:val="single" w:color="auto" w:sz="4" w:space="0"/>
            </w:tcBorders>
            <w:shd w:val="clear" w:color="auto" w:fill="auto"/>
            <w:noWrap/>
            <w:vAlign w:val="center"/>
          </w:tcPr>
          <w:p w14:paraId="5557C0D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0.30 </w:t>
            </w:r>
          </w:p>
        </w:tc>
        <w:tc>
          <w:tcPr>
            <w:tcW w:w="0" w:type="auto"/>
            <w:tcBorders>
              <w:top w:val="nil"/>
              <w:left w:val="nil"/>
              <w:bottom w:val="single" w:color="auto" w:sz="4" w:space="0"/>
              <w:right w:val="single" w:color="auto" w:sz="4" w:space="0"/>
            </w:tcBorders>
            <w:shd w:val="clear" w:color="auto" w:fill="auto"/>
            <w:noWrap/>
            <w:vAlign w:val="center"/>
          </w:tcPr>
          <w:p w14:paraId="2493FA6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0.30 </w:t>
            </w:r>
          </w:p>
        </w:tc>
      </w:tr>
      <w:tr w14:paraId="14E3B6D6">
        <w:tblPrEx>
          <w:tblCellMar>
            <w:top w:w="0" w:type="dxa"/>
            <w:left w:w="108" w:type="dxa"/>
            <w:bottom w:w="0" w:type="dxa"/>
            <w:right w:w="108" w:type="dxa"/>
          </w:tblCellMar>
        </w:tblPrEx>
        <w:trPr>
          <w:trHeight w:val="397" w:hRule="atLeast"/>
        </w:trPr>
        <w:tc>
          <w:tcPr>
            <w:tcW w:w="0" w:type="auto"/>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099A2D9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小计</w:t>
            </w:r>
          </w:p>
        </w:tc>
        <w:tc>
          <w:tcPr>
            <w:tcW w:w="0" w:type="auto"/>
            <w:tcBorders>
              <w:top w:val="nil"/>
              <w:left w:val="nil"/>
              <w:bottom w:val="single" w:color="auto" w:sz="4" w:space="0"/>
              <w:right w:val="single" w:color="auto" w:sz="4" w:space="0"/>
            </w:tcBorders>
            <w:shd w:val="clear" w:color="auto" w:fill="auto"/>
            <w:noWrap/>
            <w:vAlign w:val="center"/>
          </w:tcPr>
          <w:p w14:paraId="27A179D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23.11 </w:t>
            </w:r>
          </w:p>
        </w:tc>
        <w:tc>
          <w:tcPr>
            <w:tcW w:w="0" w:type="auto"/>
            <w:tcBorders>
              <w:top w:val="nil"/>
              <w:left w:val="nil"/>
              <w:bottom w:val="single" w:color="auto" w:sz="4" w:space="0"/>
              <w:right w:val="single" w:color="auto" w:sz="4" w:space="0"/>
            </w:tcBorders>
            <w:shd w:val="clear" w:color="auto" w:fill="auto"/>
            <w:noWrap/>
            <w:vAlign w:val="center"/>
          </w:tcPr>
          <w:p w14:paraId="3A5BFEB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0CE5EE5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4.62 </w:t>
            </w:r>
          </w:p>
        </w:tc>
        <w:tc>
          <w:tcPr>
            <w:tcW w:w="0" w:type="auto"/>
            <w:tcBorders>
              <w:top w:val="nil"/>
              <w:left w:val="nil"/>
              <w:bottom w:val="single" w:color="auto" w:sz="4" w:space="0"/>
              <w:right w:val="single" w:color="auto" w:sz="4" w:space="0"/>
            </w:tcBorders>
            <w:shd w:val="clear" w:color="auto" w:fill="auto"/>
            <w:noWrap/>
            <w:vAlign w:val="center"/>
          </w:tcPr>
          <w:p w14:paraId="3A325FE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15.41 </w:t>
            </w:r>
          </w:p>
        </w:tc>
        <w:tc>
          <w:tcPr>
            <w:tcW w:w="0" w:type="auto"/>
            <w:tcBorders>
              <w:top w:val="nil"/>
              <w:left w:val="nil"/>
              <w:bottom w:val="single" w:color="auto" w:sz="4" w:space="0"/>
              <w:right w:val="single" w:color="auto" w:sz="4" w:space="0"/>
            </w:tcBorders>
            <w:shd w:val="clear" w:color="auto" w:fill="auto"/>
            <w:noWrap/>
            <w:vAlign w:val="center"/>
          </w:tcPr>
          <w:p w14:paraId="6DE8324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A47D1D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4.62 </w:t>
            </w:r>
          </w:p>
        </w:tc>
      </w:tr>
      <w:tr w14:paraId="0F198C7B">
        <w:tblPrEx>
          <w:tblCellMar>
            <w:top w:w="0" w:type="dxa"/>
            <w:left w:w="108" w:type="dxa"/>
            <w:bottom w:w="0" w:type="dxa"/>
            <w:right w:w="108" w:type="dxa"/>
          </w:tblCellMar>
        </w:tblPrEx>
        <w:trPr>
          <w:trHeight w:val="397" w:hRule="atLeast"/>
        </w:trPr>
        <w:tc>
          <w:tcPr>
            <w:tcW w:w="0" w:type="auto"/>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3901FC3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已建区小计</w:t>
            </w:r>
          </w:p>
        </w:tc>
        <w:tc>
          <w:tcPr>
            <w:tcW w:w="0" w:type="auto"/>
            <w:tcBorders>
              <w:top w:val="nil"/>
              <w:left w:val="nil"/>
              <w:bottom w:val="single" w:color="auto" w:sz="4" w:space="0"/>
              <w:right w:val="single" w:color="auto" w:sz="4" w:space="0"/>
            </w:tcBorders>
            <w:shd w:val="clear" w:color="auto" w:fill="auto"/>
            <w:noWrap/>
            <w:vAlign w:val="center"/>
          </w:tcPr>
          <w:p w14:paraId="757016E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205.84 </w:t>
            </w:r>
          </w:p>
        </w:tc>
        <w:tc>
          <w:tcPr>
            <w:tcW w:w="0" w:type="auto"/>
            <w:tcBorders>
              <w:top w:val="nil"/>
              <w:left w:val="nil"/>
              <w:bottom w:val="single" w:color="auto" w:sz="4" w:space="0"/>
              <w:right w:val="single" w:color="auto" w:sz="4" w:space="0"/>
            </w:tcBorders>
            <w:shd w:val="clear" w:color="auto" w:fill="auto"/>
            <w:noWrap/>
            <w:vAlign w:val="center"/>
          </w:tcPr>
          <w:p w14:paraId="5DD7F2B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5938DC1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41.17 </w:t>
            </w:r>
          </w:p>
        </w:tc>
        <w:tc>
          <w:tcPr>
            <w:tcW w:w="0" w:type="auto"/>
            <w:tcBorders>
              <w:top w:val="nil"/>
              <w:left w:val="nil"/>
              <w:bottom w:val="single" w:color="auto" w:sz="4" w:space="0"/>
              <w:right w:val="single" w:color="auto" w:sz="4" w:space="0"/>
            </w:tcBorders>
            <w:shd w:val="clear" w:color="auto" w:fill="auto"/>
            <w:noWrap/>
            <w:vAlign w:val="center"/>
          </w:tcPr>
          <w:p w14:paraId="657F1D4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137.23 </w:t>
            </w:r>
          </w:p>
        </w:tc>
        <w:tc>
          <w:tcPr>
            <w:tcW w:w="0" w:type="auto"/>
            <w:tcBorders>
              <w:top w:val="nil"/>
              <w:left w:val="nil"/>
              <w:bottom w:val="single" w:color="auto" w:sz="4" w:space="0"/>
              <w:right w:val="single" w:color="auto" w:sz="4" w:space="0"/>
            </w:tcBorders>
            <w:shd w:val="clear" w:color="auto" w:fill="auto"/>
            <w:noWrap/>
            <w:vAlign w:val="center"/>
          </w:tcPr>
          <w:p w14:paraId="1D5E129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33A4F4C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41.17 </w:t>
            </w:r>
          </w:p>
        </w:tc>
      </w:tr>
      <w:tr w14:paraId="47B4BF11">
        <w:tblPrEx>
          <w:tblCellMar>
            <w:top w:w="0" w:type="dxa"/>
            <w:left w:w="108" w:type="dxa"/>
            <w:bottom w:w="0" w:type="dxa"/>
            <w:right w:w="108" w:type="dxa"/>
          </w:tblCellMar>
        </w:tblPrEx>
        <w:trPr>
          <w:trHeight w:val="397" w:hRule="atLeast"/>
        </w:trPr>
        <w:tc>
          <w:tcPr>
            <w:tcW w:w="0" w:type="auto"/>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3F550D6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第二部分未建区</w:t>
            </w:r>
          </w:p>
        </w:tc>
        <w:tc>
          <w:tcPr>
            <w:tcW w:w="0" w:type="auto"/>
            <w:tcBorders>
              <w:top w:val="nil"/>
              <w:left w:val="nil"/>
              <w:bottom w:val="single" w:color="auto" w:sz="4" w:space="0"/>
              <w:right w:val="single" w:color="auto" w:sz="4" w:space="0"/>
            </w:tcBorders>
            <w:shd w:val="clear" w:color="auto" w:fill="auto"/>
            <w:noWrap/>
            <w:vAlign w:val="center"/>
          </w:tcPr>
          <w:p w14:paraId="734FEF5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BB094C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259BD3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3F87FDD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26AEA05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1ED22A8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255ED9EA">
        <w:tblPrEx>
          <w:tblCellMar>
            <w:top w:w="0" w:type="dxa"/>
            <w:left w:w="108" w:type="dxa"/>
            <w:bottom w:w="0" w:type="dxa"/>
            <w:right w:w="108" w:type="dxa"/>
          </w:tblCellMar>
        </w:tblPrEx>
        <w:trPr>
          <w:trHeight w:val="397" w:hRule="atLeast"/>
        </w:trPr>
        <w:tc>
          <w:tcPr>
            <w:tcW w:w="0" w:type="auto"/>
            <w:vMerge w:val="restart"/>
            <w:tcBorders>
              <w:top w:val="nil"/>
              <w:left w:val="single" w:color="auto" w:sz="4" w:space="0"/>
              <w:bottom w:val="nil"/>
              <w:right w:val="single" w:color="auto" w:sz="4" w:space="0"/>
            </w:tcBorders>
            <w:shd w:val="clear" w:color="auto" w:fill="auto"/>
            <w:noWrap/>
            <w:vAlign w:val="center"/>
          </w:tcPr>
          <w:p w14:paraId="221697F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0" w:type="auto"/>
            <w:tcBorders>
              <w:top w:val="nil"/>
              <w:left w:val="nil"/>
              <w:bottom w:val="single" w:color="auto" w:sz="4" w:space="0"/>
              <w:right w:val="single" w:color="auto" w:sz="4" w:space="0"/>
            </w:tcBorders>
            <w:shd w:val="clear" w:color="auto" w:fill="auto"/>
            <w:noWrap/>
            <w:vAlign w:val="center"/>
          </w:tcPr>
          <w:p w14:paraId="7CC309C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0" w:type="auto"/>
            <w:tcBorders>
              <w:top w:val="nil"/>
              <w:left w:val="nil"/>
              <w:bottom w:val="single" w:color="auto" w:sz="4" w:space="0"/>
              <w:right w:val="single" w:color="auto" w:sz="4" w:space="0"/>
            </w:tcBorders>
            <w:shd w:val="clear" w:color="auto" w:fill="auto"/>
            <w:noWrap/>
            <w:vAlign w:val="center"/>
          </w:tcPr>
          <w:p w14:paraId="323D328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46.23 </w:t>
            </w:r>
          </w:p>
        </w:tc>
        <w:tc>
          <w:tcPr>
            <w:tcW w:w="0" w:type="auto"/>
            <w:tcBorders>
              <w:top w:val="nil"/>
              <w:left w:val="nil"/>
              <w:bottom w:val="single" w:color="auto" w:sz="4" w:space="0"/>
              <w:right w:val="single" w:color="auto" w:sz="4" w:space="0"/>
            </w:tcBorders>
            <w:shd w:val="clear" w:color="auto" w:fill="auto"/>
            <w:noWrap/>
            <w:vAlign w:val="center"/>
          </w:tcPr>
          <w:p w14:paraId="383D397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0.20 </w:t>
            </w:r>
          </w:p>
        </w:tc>
        <w:tc>
          <w:tcPr>
            <w:tcW w:w="0" w:type="auto"/>
            <w:tcBorders>
              <w:top w:val="nil"/>
              <w:left w:val="nil"/>
              <w:bottom w:val="single" w:color="auto" w:sz="4" w:space="0"/>
              <w:right w:val="single" w:color="auto" w:sz="4" w:space="0"/>
            </w:tcBorders>
            <w:shd w:val="clear" w:color="auto" w:fill="auto"/>
            <w:noWrap/>
            <w:vAlign w:val="center"/>
          </w:tcPr>
          <w:p w14:paraId="3286507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9.25 </w:t>
            </w:r>
          </w:p>
        </w:tc>
        <w:tc>
          <w:tcPr>
            <w:tcW w:w="0" w:type="auto"/>
            <w:tcBorders>
              <w:top w:val="nil"/>
              <w:left w:val="nil"/>
              <w:bottom w:val="single" w:color="auto" w:sz="4" w:space="0"/>
              <w:right w:val="single" w:color="auto" w:sz="4" w:space="0"/>
            </w:tcBorders>
            <w:shd w:val="clear" w:color="auto" w:fill="auto"/>
            <w:noWrap/>
            <w:vAlign w:val="center"/>
          </w:tcPr>
          <w:p w14:paraId="03D359E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30.82 </w:t>
            </w:r>
          </w:p>
        </w:tc>
        <w:tc>
          <w:tcPr>
            <w:tcW w:w="0" w:type="auto"/>
            <w:tcBorders>
              <w:top w:val="nil"/>
              <w:left w:val="nil"/>
              <w:bottom w:val="single" w:color="auto" w:sz="4" w:space="0"/>
              <w:right w:val="single" w:color="auto" w:sz="4" w:space="0"/>
            </w:tcBorders>
            <w:shd w:val="clear" w:color="auto" w:fill="auto"/>
            <w:noWrap/>
            <w:vAlign w:val="center"/>
          </w:tcPr>
          <w:p w14:paraId="46875CF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0.30 </w:t>
            </w:r>
          </w:p>
        </w:tc>
        <w:tc>
          <w:tcPr>
            <w:tcW w:w="0" w:type="auto"/>
            <w:tcBorders>
              <w:top w:val="nil"/>
              <w:left w:val="nil"/>
              <w:bottom w:val="single" w:color="auto" w:sz="4" w:space="0"/>
              <w:right w:val="single" w:color="auto" w:sz="4" w:space="0"/>
            </w:tcBorders>
            <w:shd w:val="clear" w:color="auto" w:fill="auto"/>
            <w:noWrap/>
            <w:vAlign w:val="center"/>
          </w:tcPr>
          <w:p w14:paraId="7C5EC51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9.25 </w:t>
            </w:r>
          </w:p>
        </w:tc>
      </w:tr>
      <w:tr w14:paraId="54760DB8">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nil"/>
              <w:right w:val="single" w:color="auto" w:sz="4" w:space="0"/>
            </w:tcBorders>
            <w:vAlign w:val="center"/>
          </w:tcPr>
          <w:p w14:paraId="053DF0D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noWrap/>
            <w:vAlign w:val="center"/>
          </w:tcPr>
          <w:p w14:paraId="77A5365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0" w:type="auto"/>
            <w:tcBorders>
              <w:top w:val="nil"/>
              <w:left w:val="nil"/>
              <w:bottom w:val="single" w:color="auto" w:sz="4" w:space="0"/>
              <w:right w:val="single" w:color="auto" w:sz="4" w:space="0"/>
            </w:tcBorders>
            <w:shd w:val="clear" w:color="auto" w:fill="auto"/>
            <w:noWrap/>
            <w:vAlign w:val="center"/>
          </w:tcPr>
          <w:p w14:paraId="11F632F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1.62 </w:t>
            </w:r>
          </w:p>
        </w:tc>
        <w:tc>
          <w:tcPr>
            <w:tcW w:w="0" w:type="auto"/>
            <w:tcBorders>
              <w:top w:val="nil"/>
              <w:left w:val="nil"/>
              <w:bottom w:val="single" w:color="auto" w:sz="4" w:space="0"/>
              <w:right w:val="single" w:color="auto" w:sz="4" w:space="0"/>
            </w:tcBorders>
            <w:shd w:val="clear" w:color="auto" w:fill="auto"/>
            <w:noWrap/>
            <w:vAlign w:val="center"/>
          </w:tcPr>
          <w:p w14:paraId="755F9F3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0.20 </w:t>
            </w:r>
          </w:p>
        </w:tc>
        <w:tc>
          <w:tcPr>
            <w:tcW w:w="0" w:type="auto"/>
            <w:tcBorders>
              <w:top w:val="nil"/>
              <w:left w:val="nil"/>
              <w:bottom w:val="single" w:color="auto" w:sz="4" w:space="0"/>
              <w:right w:val="single" w:color="auto" w:sz="4" w:space="0"/>
            </w:tcBorders>
            <w:shd w:val="clear" w:color="auto" w:fill="auto"/>
            <w:noWrap/>
            <w:vAlign w:val="center"/>
          </w:tcPr>
          <w:p w14:paraId="35C70B7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0.32 </w:t>
            </w:r>
          </w:p>
        </w:tc>
        <w:tc>
          <w:tcPr>
            <w:tcW w:w="0" w:type="auto"/>
            <w:tcBorders>
              <w:top w:val="nil"/>
              <w:left w:val="nil"/>
              <w:bottom w:val="single" w:color="auto" w:sz="4" w:space="0"/>
              <w:right w:val="single" w:color="auto" w:sz="4" w:space="0"/>
            </w:tcBorders>
            <w:shd w:val="clear" w:color="auto" w:fill="auto"/>
            <w:noWrap/>
            <w:vAlign w:val="center"/>
          </w:tcPr>
          <w:p w14:paraId="76CE2F2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1.08 </w:t>
            </w:r>
          </w:p>
        </w:tc>
        <w:tc>
          <w:tcPr>
            <w:tcW w:w="0" w:type="auto"/>
            <w:tcBorders>
              <w:top w:val="nil"/>
              <w:left w:val="nil"/>
              <w:bottom w:val="single" w:color="auto" w:sz="4" w:space="0"/>
              <w:right w:val="single" w:color="auto" w:sz="4" w:space="0"/>
            </w:tcBorders>
            <w:shd w:val="clear" w:color="auto" w:fill="auto"/>
            <w:noWrap/>
            <w:vAlign w:val="center"/>
          </w:tcPr>
          <w:p w14:paraId="4C65568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0.30 </w:t>
            </w:r>
          </w:p>
        </w:tc>
        <w:tc>
          <w:tcPr>
            <w:tcW w:w="0" w:type="auto"/>
            <w:tcBorders>
              <w:top w:val="nil"/>
              <w:left w:val="nil"/>
              <w:bottom w:val="single" w:color="auto" w:sz="4" w:space="0"/>
              <w:right w:val="single" w:color="auto" w:sz="4" w:space="0"/>
            </w:tcBorders>
            <w:shd w:val="clear" w:color="auto" w:fill="auto"/>
            <w:noWrap/>
            <w:vAlign w:val="center"/>
          </w:tcPr>
          <w:p w14:paraId="50D0260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0.32 </w:t>
            </w:r>
          </w:p>
        </w:tc>
      </w:tr>
      <w:tr w14:paraId="75D6A38B">
        <w:tblPrEx>
          <w:tblCellMar>
            <w:top w:w="0" w:type="dxa"/>
            <w:left w:w="108" w:type="dxa"/>
            <w:bottom w:w="0" w:type="dxa"/>
            <w:right w:w="108" w:type="dxa"/>
          </w:tblCellMar>
        </w:tblPrEx>
        <w:trPr>
          <w:trHeight w:val="397" w:hRule="atLeast"/>
        </w:trPr>
        <w:tc>
          <w:tcPr>
            <w:tcW w:w="0" w:type="auto"/>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5365683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未建区小计</w:t>
            </w:r>
          </w:p>
        </w:tc>
        <w:tc>
          <w:tcPr>
            <w:tcW w:w="0" w:type="auto"/>
            <w:tcBorders>
              <w:top w:val="nil"/>
              <w:left w:val="nil"/>
              <w:bottom w:val="single" w:color="auto" w:sz="4" w:space="0"/>
              <w:right w:val="single" w:color="auto" w:sz="4" w:space="0"/>
            </w:tcBorders>
            <w:shd w:val="clear" w:color="auto" w:fill="auto"/>
            <w:noWrap/>
            <w:vAlign w:val="center"/>
          </w:tcPr>
          <w:p w14:paraId="5F915DD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47.85 </w:t>
            </w:r>
          </w:p>
        </w:tc>
        <w:tc>
          <w:tcPr>
            <w:tcW w:w="0" w:type="auto"/>
            <w:tcBorders>
              <w:top w:val="nil"/>
              <w:left w:val="nil"/>
              <w:bottom w:val="single" w:color="auto" w:sz="4" w:space="0"/>
              <w:right w:val="single" w:color="auto" w:sz="4" w:space="0"/>
            </w:tcBorders>
            <w:shd w:val="clear" w:color="auto" w:fill="auto"/>
            <w:noWrap/>
            <w:vAlign w:val="center"/>
          </w:tcPr>
          <w:p w14:paraId="2D6A11E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1A97821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9.57 </w:t>
            </w:r>
          </w:p>
        </w:tc>
        <w:tc>
          <w:tcPr>
            <w:tcW w:w="0" w:type="auto"/>
            <w:tcBorders>
              <w:top w:val="nil"/>
              <w:left w:val="nil"/>
              <w:bottom w:val="single" w:color="auto" w:sz="4" w:space="0"/>
              <w:right w:val="single" w:color="auto" w:sz="4" w:space="0"/>
            </w:tcBorders>
            <w:shd w:val="clear" w:color="auto" w:fill="auto"/>
            <w:noWrap/>
            <w:vAlign w:val="center"/>
          </w:tcPr>
          <w:p w14:paraId="6E587E6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31.90 </w:t>
            </w:r>
          </w:p>
        </w:tc>
        <w:tc>
          <w:tcPr>
            <w:tcW w:w="0" w:type="auto"/>
            <w:tcBorders>
              <w:top w:val="nil"/>
              <w:left w:val="nil"/>
              <w:bottom w:val="single" w:color="auto" w:sz="4" w:space="0"/>
              <w:right w:val="single" w:color="auto" w:sz="4" w:space="0"/>
            </w:tcBorders>
            <w:shd w:val="clear" w:color="auto" w:fill="auto"/>
            <w:noWrap/>
            <w:vAlign w:val="center"/>
          </w:tcPr>
          <w:p w14:paraId="0870659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354F489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9.57 </w:t>
            </w:r>
          </w:p>
        </w:tc>
      </w:tr>
      <w:tr w14:paraId="789A5E4E">
        <w:tblPrEx>
          <w:tblCellMar>
            <w:top w:w="0" w:type="dxa"/>
            <w:left w:w="108" w:type="dxa"/>
            <w:bottom w:w="0" w:type="dxa"/>
            <w:right w:w="108" w:type="dxa"/>
          </w:tblCellMar>
        </w:tblPrEx>
        <w:trPr>
          <w:trHeight w:val="397" w:hRule="atLeast"/>
        </w:trPr>
        <w:tc>
          <w:tcPr>
            <w:tcW w:w="0" w:type="auto"/>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3FF7123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总合计</w:t>
            </w:r>
          </w:p>
        </w:tc>
        <w:tc>
          <w:tcPr>
            <w:tcW w:w="0" w:type="auto"/>
            <w:tcBorders>
              <w:top w:val="nil"/>
              <w:left w:val="nil"/>
              <w:bottom w:val="single" w:color="auto" w:sz="4" w:space="0"/>
              <w:right w:val="single" w:color="auto" w:sz="4" w:space="0"/>
            </w:tcBorders>
            <w:shd w:val="clear" w:color="auto" w:fill="auto"/>
            <w:noWrap/>
            <w:vAlign w:val="center"/>
          </w:tcPr>
          <w:p w14:paraId="3E4CE93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253.69 </w:t>
            </w:r>
          </w:p>
        </w:tc>
        <w:tc>
          <w:tcPr>
            <w:tcW w:w="0" w:type="auto"/>
            <w:tcBorders>
              <w:top w:val="nil"/>
              <w:left w:val="nil"/>
              <w:bottom w:val="single" w:color="auto" w:sz="4" w:space="0"/>
              <w:right w:val="single" w:color="auto" w:sz="4" w:space="0"/>
            </w:tcBorders>
            <w:shd w:val="clear" w:color="auto" w:fill="auto"/>
            <w:noWrap/>
            <w:vAlign w:val="center"/>
          </w:tcPr>
          <w:p w14:paraId="4F63EE3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7517F16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50.74 </w:t>
            </w:r>
          </w:p>
        </w:tc>
        <w:tc>
          <w:tcPr>
            <w:tcW w:w="0" w:type="auto"/>
            <w:tcBorders>
              <w:top w:val="nil"/>
              <w:left w:val="nil"/>
              <w:bottom w:val="single" w:color="auto" w:sz="4" w:space="0"/>
              <w:right w:val="single" w:color="auto" w:sz="4" w:space="0"/>
            </w:tcBorders>
            <w:shd w:val="clear" w:color="auto" w:fill="auto"/>
            <w:noWrap/>
            <w:vAlign w:val="center"/>
          </w:tcPr>
          <w:p w14:paraId="6C69829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169.13 </w:t>
            </w:r>
          </w:p>
        </w:tc>
        <w:tc>
          <w:tcPr>
            <w:tcW w:w="0" w:type="auto"/>
            <w:tcBorders>
              <w:top w:val="nil"/>
              <w:left w:val="nil"/>
              <w:bottom w:val="single" w:color="auto" w:sz="4" w:space="0"/>
              <w:right w:val="single" w:color="auto" w:sz="4" w:space="0"/>
            </w:tcBorders>
            <w:shd w:val="clear" w:color="auto" w:fill="auto"/>
            <w:noWrap/>
            <w:vAlign w:val="center"/>
          </w:tcPr>
          <w:p w14:paraId="4CC799F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noWrap/>
            <w:vAlign w:val="center"/>
          </w:tcPr>
          <w:p w14:paraId="4870CB7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50.74 </w:t>
            </w:r>
          </w:p>
        </w:tc>
      </w:tr>
    </w:tbl>
    <w:p w14:paraId="60925F62">
      <w:pPr>
        <w:ind w:left="480" w:firstLine="0" w:firstLineChars="0"/>
        <w:rPr>
          <w:lang w:bidi="ar"/>
        </w:rPr>
      </w:pPr>
    </w:p>
    <w:p w14:paraId="480CB721">
      <w:pPr>
        <w:pStyle w:val="4"/>
        <w:spacing w:before="120" w:after="120"/>
        <w:rPr>
          <w:lang w:bidi="ar"/>
        </w:rPr>
      </w:pPr>
      <w:r>
        <w:rPr>
          <w:lang w:bidi="ar"/>
        </w:rPr>
        <w:t>土方中转场和表土堆存场布置</w:t>
      </w:r>
      <w:bookmarkEnd w:id="143"/>
    </w:p>
    <w:p w14:paraId="364A31B0">
      <w:pPr>
        <w:widowControl w:val="0"/>
        <w:autoSpaceDE w:val="0"/>
        <w:autoSpaceDN w:val="0"/>
        <w:adjustRightInd w:val="0"/>
        <w:snapToGrid w:val="0"/>
        <w:ind w:firstLine="480"/>
        <w:rPr>
          <w:rFonts w:cs="Times New Roman"/>
          <w:color w:val="000000" w:themeColor="text1"/>
          <w:lang w:val="zh-CN"/>
          <w14:textFill>
            <w14:solidFill>
              <w14:schemeClr w14:val="tx1"/>
            </w14:solidFill>
          </w14:textFill>
        </w:rPr>
      </w:pPr>
      <w:bookmarkStart w:id="150" w:name="_Hlk88142382"/>
      <w:r>
        <w:rPr>
          <w:rFonts w:cs="Times New Roman"/>
          <w:color w:val="000000" w:themeColor="text1"/>
          <w:lang w:val="zh-CN"/>
          <w14:textFill>
            <w14:solidFill>
              <w14:schemeClr w14:val="tx1"/>
            </w14:solidFill>
          </w14:textFill>
        </w:rPr>
        <w:t>根据调查，产业园已建区未设置专门的表土堆放场地和土方中转场，开挖土石全部随挖随用，建设单位将临时堆土场布置在项目本身用地范围内，并做好临时拦挡和临时苫盖措施。</w:t>
      </w:r>
    </w:p>
    <w:p w14:paraId="4A7E1A44">
      <w:pPr>
        <w:widowControl w:val="0"/>
        <w:autoSpaceDE w:val="0"/>
        <w:autoSpaceDN w:val="0"/>
        <w:adjustRightInd w:val="0"/>
        <w:snapToGrid w:val="0"/>
        <w:ind w:firstLine="480"/>
        <w:rPr>
          <w:rFonts w:cs="Times New Roman"/>
          <w:color w:val="000000" w:themeColor="text1"/>
          <w:lang w:val="zh-CN"/>
          <w14:textFill>
            <w14:solidFill>
              <w14:schemeClr w14:val="tx1"/>
            </w14:solidFill>
          </w14:textFill>
        </w:rPr>
      </w:pPr>
      <w:r>
        <w:rPr>
          <w:rFonts w:cs="Times New Roman"/>
          <w:color w:val="000000" w:themeColor="text1"/>
          <w:lang w:val="zh-CN"/>
          <w14:textFill>
            <w14:solidFill>
              <w14:schemeClr w14:val="tx1"/>
            </w14:solidFill>
          </w14:textFill>
        </w:rPr>
        <w:t>考虑到区块内各地块开发时间不一，各个地块将存在无法及时利用的土石方情况，因此布置临时堆土场用于堆置无法及时利用的土石方，防止乱堆乱弃造成二次水土流失。经预测，园区内未建区建设过程中挖方量172.23万m³，需周转土方总量按30%计，为51.67万m³，按平均堆高不超过3.0m考虑，共需临时占地约17.22hm²。</w:t>
      </w:r>
    </w:p>
    <w:p w14:paraId="31B608AE">
      <w:pPr>
        <w:widowControl w:val="0"/>
        <w:autoSpaceDE w:val="0"/>
        <w:autoSpaceDN w:val="0"/>
        <w:adjustRightInd w:val="0"/>
        <w:snapToGrid w:val="0"/>
        <w:ind w:firstLine="480"/>
        <w:rPr>
          <w:rFonts w:cs="Times New Roman"/>
          <w:color w:val="000000" w:themeColor="text1"/>
          <w:lang w:val="zh-CN"/>
          <w14:textFill>
            <w14:solidFill>
              <w14:schemeClr w14:val="tx1"/>
            </w14:solidFill>
          </w14:textFill>
        </w:rPr>
      </w:pPr>
      <w:r>
        <w:rPr>
          <w:rFonts w:cs="Times New Roman"/>
          <w:color w:val="000000" w:themeColor="text1"/>
          <w:lang w:val="zh-CN"/>
          <w14:textFill>
            <w14:solidFill>
              <w14:schemeClr w14:val="tx1"/>
            </w14:solidFill>
          </w14:textFill>
        </w:rPr>
        <w:t>表土是极其珍贵的土壤资源，含有丰富的腐殖质，其利于绿化植物生长，故本园区在临时堆土场旁设置表土堆存区，主要用于堆置工程施工前剥离的表土，后期用于工程绿化覆土。经预测，园区内未建区清表过程中产生表土总量为9.57万m³，</w:t>
      </w:r>
      <w:bookmarkStart w:id="151" w:name="_Hlk88416642"/>
      <w:r>
        <w:rPr>
          <w:rFonts w:cs="Times New Roman"/>
          <w:color w:val="000000" w:themeColor="text1"/>
          <w:lang w:val="zh-CN"/>
          <w14:textFill>
            <w14:solidFill>
              <w14:schemeClr w14:val="tx1"/>
            </w14:solidFill>
          </w14:textFill>
        </w:rPr>
        <w:t>考虑到园区内各地块不是同时施工建设，故表土堆存量按总量的80%计算，约为7.66万m³，</w:t>
      </w:r>
      <w:bookmarkEnd w:id="151"/>
      <w:r>
        <w:rPr>
          <w:rFonts w:cs="Times New Roman"/>
          <w:color w:val="000000" w:themeColor="text1"/>
          <w:lang w:val="zh-CN"/>
          <w14:textFill>
            <w14:solidFill>
              <w14:schemeClr w14:val="tx1"/>
            </w14:solidFill>
          </w14:textFill>
        </w:rPr>
        <w:t>在用于绿化覆土前需临时堆置，按平均堆高不超过3.0m考虑，共需临时占地约2.57hm²。</w:t>
      </w:r>
    </w:p>
    <w:bookmarkEnd w:id="150"/>
    <w:p w14:paraId="338CC49B">
      <w:pPr>
        <w:widowControl w:val="0"/>
        <w:autoSpaceDE w:val="0"/>
        <w:autoSpaceDN w:val="0"/>
        <w:adjustRightInd w:val="0"/>
        <w:snapToGrid w:val="0"/>
        <w:ind w:firstLine="480"/>
        <w:rPr>
          <w:rFonts w:cs="Times New Roman"/>
          <w:color w:val="000000" w:themeColor="text1"/>
          <w:lang w:val="zh-CN"/>
          <w14:textFill>
            <w14:solidFill>
              <w14:schemeClr w14:val="tx1"/>
            </w14:solidFill>
          </w14:textFill>
        </w:rPr>
      </w:pPr>
      <w:r>
        <w:rPr>
          <w:rFonts w:cs="Times New Roman"/>
          <w:color w:val="000000" w:themeColor="text1"/>
          <w:lang w:val="zh-CN"/>
          <w14:textFill>
            <w14:solidFill>
              <w14:schemeClr w14:val="tx1"/>
            </w14:solidFill>
          </w14:textFill>
        </w:rPr>
        <w:t>综合考虑，方案共布置7处表土堆存场和7处土方中转场，占地面积19.79hm²，可满足临时堆土要求。</w:t>
      </w:r>
      <w:r>
        <w:rPr>
          <w:rFonts w:hint="eastAsia" w:cs="Times New Roman"/>
          <w:color w:val="000000" w:themeColor="text1"/>
          <w:lang w:val="zh-CN"/>
          <w14:textFill>
            <w14:solidFill>
              <w14:schemeClr w14:val="tx1"/>
            </w14:solidFill>
          </w14:textFill>
        </w:rPr>
        <w:t>土方堆存场</w:t>
      </w:r>
      <w:r>
        <w:rPr>
          <w:rFonts w:cs="Times New Roman"/>
          <w:color w:val="000000" w:themeColor="text1"/>
          <w:lang w:val="zh-CN"/>
          <w14:textFill>
            <w14:solidFill>
              <w14:schemeClr w14:val="tx1"/>
            </w14:solidFill>
          </w14:textFill>
        </w:rPr>
        <w:t>布设情况见表1-21，</w:t>
      </w:r>
      <w:r>
        <w:rPr>
          <w:rFonts w:hint="eastAsia" w:cs="Times New Roman"/>
          <w:color w:val="000000" w:themeColor="text1"/>
          <w:lang w:val="zh-CN"/>
          <w14:textFill>
            <w14:solidFill>
              <w14:schemeClr w14:val="tx1"/>
            </w14:solidFill>
          </w14:textFill>
        </w:rPr>
        <w:t>土方中转场、表土堆存场</w:t>
      </w:r>
      <w:r>
        <w:rPr>
          <w:rFonts w:cs="Times New Roman"/>
          <w:color w:val="000000" w:themeColor="text1"/>
          <w:lang w:val="zh-CN"/>
          <w14:textFill>
            <w14:solidFill>
              <w14:schemeClr w14:val="tx1"/>
            </w14:solidFill>
          </w14:textFill>
        </w:rPr>
        <w:t>典型设计见附图34。</w:t>
      </w:r>
    </w:p>
    <w:p w14:paraId="6CF445C8">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表1-21                                   土</w:t>
      </w:r>
      <w:r>
        <w:rPr>
          <w:rFonts w:hint="eastAsia"/>
          <w:color w:val="000000" w:themeColor="text1"/>
          <w:lang w:eastAsia="zh-CN"/>
          <w14:textFill>
            <w14:solidFill>
              <w14:schemeClr w14:val="tx1"/>
            </w14:solidFill>
          </w14:textFill>
        </w:rPr>
        <w:t>方</w:t>
      </w:r>
      <w:r>
        <w:rPr>
          <w:color w:val="000000" w:themeColor="text1"/>
          <w:lang w:eastAsia="zh-CN"/>
          <w14:textFill>
            <w14:solidFill>
              <w14:schemeClr w14:val="tx1"/>
            </w14:solidFill>
          </w14:textFill>
        </w:rPr>
        <w:t>堆存场布置一览表</w:t>
      </w:r>
    </w:p>
    <w:tbl>
      <w:tblPr>
        <w:tblStyle w:val="27"/>
        <w:tblW w:w="5000" w:type="pct"/>
        <w:jc w:val="center"/>
        <w:tblLayout w:type="autofit"/>
        <w:tblCellMar>
          <w:top w:w="0" w:type="dxa"/>
          <w:left w:w="108" w:type="dxa"/>
          <w:bottom w:w="0" w:type="dxa"/>
          <w:right w:w="108" w:type="dxa"/>
        </w:tblCellMar>
      </w:tblPr>
      <w:tblGrid>
        <w:gridCol w:w="427"/>
        <w:gridCol w:w="643"/>
        <w:gridCol w:w="427"/>
        <w:gridCol w:w="1263"/>
        <w:gridCol w:w="812"/>
        <w:gridCol w:w="983"/>
        <w:gridCol w:w="697"/>
        <w:gridCol w:w="628"/>
        <w:gridCol w:w="1739"/>
        <w:gridCol w:w="1667"/>
      </w:tblGrid>
      <w:tr w14:paraId="34805CA8">
        <w:tblPrEx>
          <w:tblCellMar>
            <w:top w:w="0" w:type="dxa"/>
            <w:left w:w="108" w:type="dxa"/>
            <w:bottom w:w="0" w:type="dxa"/>
            <w:right w:w="108" w:type="dxa"/>
          </w:tblCellMar>
        </w:tblPrEx>
        <w:trPr>
          <w:trHeight w:val="397" w:hRule="atLeast"/>
          <w:jc w:val="center"/>
        </w:trPr>
        <w:tc>
          <w:tcPr>
            <w:tcW w:w="235" w:type="pct"/>
            <w:tcBorders>
              <w:top w:val="single" w:color="auto" w:sz="4" w:space="0"/>
              <w:left w:val="single" w:color="auto" w:sz="4" w:space="0"/>
              <w:bottom w:val="double" w:color="auto" w:sz="4" w:space="0"/>
              <w:right w:val="single" w:color="auto" w:sz="4" w:space="0"/>
            </w:tcBorders>
            <w:shd w:val="clear" w:color="auto" w:fill="auto"/>
            <w:vAlign w:val="center"/>
          </w:tcPr>
          <w:p w14:paraId="64FAF0C9">
            <w:pPr>
              <w:spacing w:line="240" w:lineRule="auto"/>
              <w:ind w:firstLine="0" w:firstLineChars="0"/>
              <w:jc w:val="center"/>
              <w:rPr>
                <w:rFonts w:cs="Times New Roman"/>
                <w:sz w:val="21"/>
                <w:szCs w:val="21"/>
              </w:rPr>
            </w:pPr>
            <w:r>
              <w:rPr>
                <w:rFonts w:cs="Times New Roman"/>
                <w:sz w:val="21"/>
                <w:szCs w:val="21"/>
              </w:rPr>
              <w:t>分区</w:t>
            </w:r>
          </w:p>
        </w:tc>
        <w:tc>
          <w:tcPr>
            <w:tcW w:w="351" w:type="pct"/>
            <w:tcBorders>
              <w:top w:val="single" w:color="auto" w:sz="4" w:space="0"/>
              <w:left w:val="nil"/>
              <w:bottom w:val="double" w:color="auto" w:sz="4" w:space="0"/>
              <w:right w:val="single" w:color="auto" w:sz="4" w:space="0"/>
            </w:tcBorders>
            <w:shd w:val="clear" w:color="auto" w:fill="auto"/>
            <w:vAlign w:val="center"/>
          </w:tcPr>
          <w:p w14:paraId="1AEB11DA">
            <w:pPr>
              <w:spacing w:line="240" w:lineRule="auto"/>
              <w:ind w:firstLine="0" w:firstLineChars="0"/>
              <w:jc w:val="center"/>
              <w:rPr>
                <w:rFonts w:cs="Times New Roman"/>
                <w:sz w:val="21"/>
                <w:szCs w:val="21"/>
              </w:rPr>
            </w:pPr>
            <w:r>
              <w:rPr>
                <w:rFonts w:cs="Times New Roman"/>
                <w:sz w:val="21"/>
                <w:szCs w:val="21"/>
              </w:rPr>
              <w:t>名称</w:t>
            </w:r>
          </w:p>
        </w:tc>
        <w:tc>
          <w:tcPr>
            <w:tcW w:w="235" w:type="pct"/>
            <w:tcBorders>
              <w:top w:val="single" w:color="auto" w:sz="4" w:space="0"/>
              <w:left w:val="nil"/>
              <w:bottom w:val="double" w:color="auto" w:sz="4" w:space="0"/>
              <w:right w:val="single" w:color="auto" w:sz="4" w:space="0"/>
            </w:tcBorders>
            <w:shd w:val="clear" w:color="auto" w:fill="auto"/>
            <w:vAlign w:val="center"/>
          </w:tcPr>
          <w:p w14:paraId="1C04F4B3">
            <w:pPr>
              <w:spacing w:line="240" w:lineRule="auto"/>
              <w:ind w:firstLine="0" w:firstLineChars="0"/>
              <w:jc w:val="center"/>
              <w:rPr>
                <w:rFonts w:cs="Times New Roman"/>
                <w:sz w:val="21"/>
                <w:szCs w:val="21"/>
              </w:rPr>
            </w:pPr>
            <w:r>
              <w:rPr>
                <w:rFonts w:cs="Times New Roman"/>
                <w:sz w:val="21"/>
                <w:szCs w:val="21"/>
              </w:rPr>
              <w:t>数量</w:t>
            </w:r>
          </w:p>
        </w:tc>
        <w:tc>
          <w:tcPr>
            <w:tcW w:w="685" w:type="pct"/>
            <w:tcBorders>
              <w:top w:val="single" w:color="auto" w:sz="4" w:space="0"/>
              <w:left w:val="nil"/>
              <w:bottom w:val="double" w:color="auto" w:sz="4" w:space="0"/>
              <w:right w:val="single" w:color="auto" w:sz="4" w:space="0"/>
            </w:tcBorders>
            <w:shd w:val="clear" w:color="auto" w:fill="auto"/>
            <w:vAlign w:val="center"/>
          </w:tcPr>
          <w:p w14:paraId="246760BE">
            <w:pPr>
              <w:spacing w:line="240" w:lineRule="auto"/>
              <w:ind w:firstLine="0" w:firstLineChars="0"/>
              <w:jc w:val="center"/>
              <w:rPr>
                <w:rFonts w:cs="Times New Roman"/>
                <w:sz w:val="21"/>
                <w:szCs w:val="21"/>
              </w:rPr>
            </w:pPr>
            <w:r>
              <w:rPr>
                <w:rFonts w:cs="Times New Roman"/>
                <w:sz w:val="21"/>
                <w:szCs w:val="21"/>
              </w:rPr>
              <w:t>位置</w:t>
            </w:r>
          </w:p>
        </w:tc>
        <w:tc>
          <w:tcPr>
            <w:tcW w:w="442" w:type="pct"/>
            <w:tcBorders>
              <w:top w:val="single" w:color="auto" w:sz="4" w:space="0"/>
              <w:left w:val="nil"/>
              <w:bottom w:val="double" w:color="auto" w:sz="4" w:space="0"/>
              <w:right w:val="single" w:color="auto" w:sz="4" w:space="0"/>
            </w:tcBorders>
            <w:shd w:val="clear" w:color="auto" w:fill="auto"/>
            <w:vAlign w:val="center"/>
          </w:tcPr>
          <w:p w14:paraId="2D30FFF0">
            <w:pPr>
              <w:spacing w:line="240" w:lineRule="auto"/>
              <w:ind w:firstLine="0" w:firstLineChars="0"/>
              <w:jc w:val="center"/>
              <w:rPr>
                <w:rFonts w:cs="Times New Roman"/>
                <w:sz w:val="21"/>
                <w:szCs w:val="21"/>
              </w:rPr>
            </w:pPr>
            <w:r>
              <w:rPr>
                <w:rFonts w:cs="Times New Roman"/>
                <w:sz w:val="21"/>
                <w:szCs w:val="21"/>
              </w:rPr>
              <w:t>最大堆放高度（m）</w:t>
            </w:r>
          </w:p>
        </w:tc>
        <w:tc>
          <w:tcPr>
            <w:tcW w:w="534" w:type="pct"/>
            <w:tcBorders>
              <w:top w:val="single" w:color="auto" w:sz="4" w:space="0"/>
              <w:left w:val="nil"/>
              <w:bottom w:val="double" w:color="auto" w:sz="4" w:space="0"/>
              <w:right w:val="single" w:color="auto" w:sz="4" w:space="0"/>
            </w:tcBorders>
            <w:shd w:val="clear" w:color="auto" w:fill="auto"/>
            <w:vAlign w:val="center"/>
          </w:tcPr>
          <w:p w14:paraId="5D3061F3">
            <w:pPr>
              <w:spacing w:line="240" w:lineRule="auto"/>
              <w:ind w:firstLine="0" w:firstLineChars="0"/>
              <w:jc w:val="center"/>
              <w:rPr>
                <w:rFonts w:cs="Times New Roman"/>
                <w:sz w:val="21"/>
                <w:szCs w:val="21"/>
              </w:rPr>
            </w:pPr>
            <w:r>
              <w:rPr>
                <w:rFonts w:cs="Times New Roman"/>
                <w:sz w:val="21"/>
                <w:szCs w:val="21"/>
              </w:rPr>
              <w:t>占地面积（hm²）</w:t>
            </w:r>
          </w:p>
        </w:tc>
        <w:tc>
          <w:tcPr>
            <w:tcW w:w="380" w:type="pct"/>
            <w:tcBorders>
              <w:top w:val="single" w:color="auto" w:sz="4" w:space="0"/>
              <w:left w:val="nil"/>
              <w:bottom w:val="double" w:color="auto" w:sz="4" w:space="0"/>
              <w:right w:val="single" w:color="auto" w:sz="4" w:space="0"/>
            </w:tcBorders>
            <w:shd w:val="clear" w:color="auto" w:fill="auto"/>
            <w:vAlign w:val="center"/>
          </w:tcPr>
          <w:p w14:paraId="0614FF4D">
            <w:pPr>
              <w:spacing w:line="240" w:lineRule="auto"/>
              <w:ind w:firstLine="0" w:firstLineChars="0"/>
              <w:jc w:val="center"/>
              <w:rPr>
                <w:rFonts w:cs="Times New Roman"/>
                <w:sz w:val="21"/>
                <w:szCs w:val="21"/>
              </w:rPr>
            </w:pPr>
            <w:r>
              <w:rPr>
                <w:rFonts w:cs="Times New Roman"/>
                <w:sz w:val="21"/>
                <w:szCs w:val="21"/>
              </w:rPr>
              <w:t>中转最大堆存量（万 m³）</w:t>
            </w:r>
          </w:p>
        </w:tc>
        <w:tc>
          <w:tcPr>
            <w:tcW w:w="343" w:type="pct"/>
            <w:tcBorders>
              <w:top w:val="single" w:color="auto" w:sz="4" w:space="0"/>
              <w:left w:val="nil"/>
              <w:bottom w:val="double" w:color="auto" w:sz="4" w:space="0"/>
              <w:right w:val="single" w:color="auto" w:sz="4" w:space="0"/>
            </w:tcBorders>
            <w:shd w:val="clear" w:color="auto" w:fill="auto"/>
            <w:vAlign w:val="center"/>
          </w:tcPr>
          <w:p w14:paraId="573C305B">
            <w:pPr>
              <w:spacing w:line="240" w:lineRule="auto"/>
              <w:ind w:firstLine="0" w:firstLineChars="0"/>
              <w:jc w:val="center"/>
              <w:rPr>
                <w:rFonts w:cs="Times New Roman"/>
                <w:sz w:val="21"/>
                <w:szCs w:val="21"/>
              </w:rPr>
            </w:pPr>
            <w:r>
              <w:rPr>
                <w:rFonts w:cs="Times New Roman"/>
                <w:sz w:val="21"/>
                <w:szCs w:val="21"/>
              </w:rPr>
              <w:t>边坡系数</w:t>
            </w:r>
          </w:p>
        </w:tc>
        <w:tc>
          <w:tcPr>
            <w:tcW w:w="893" w:type="pct"/>
            <w:tcBorders>
              <w:top w:val="single" w:color="auto" w:sz="4" w:space="0"/>
              <w:left w:val="nil"/>
              <w:bottom w:val="double" w:color="auto" w:sz="4" w:space="0"/>
              <w:right w:val="single" w:color="auto" w:sz="4" w:space="0"/>
            </w:tcBorders>
            <w:vAlign w:val="center"/>
          </w:tcPr>
          <w:p w14:paraId="2D67DCE2">
            <w:pPr>
              <w:spacing w:line="240" w:lineRule="auto"/>
              <w:ind w:firstLine="0" w:firstLineChars="0"/>
              <w:jc w:val="center"/>
              <w:rPr>
                <w:rFonts w:cs="Times New Roman"/>
                <w:sz w:val="21"/>
                <w:szCs w:val="21"/>
              </w:rPr>
            </w:pPr>
            <w:r>
              <w:rPr>
                <w:rFonts w:hint="eastAsia" w:cs="Times New Roman"/>
                <w:sz w:val="21"/>
                <w:szCs w:val="21"/>
              </w:rPr>
              <w:t>中心经度</w:t>
            </w:r>
          </w:p>
        </w:tc>
        <w:tc>
          <w:tcPr>
            <w:tcW w:w="902" w:type="pct"/>
            <w:tcBorders>
              <w:top w:val="single" w:color="auto" w:sz="4" w:space="0"/>
              <w:left w:val="nil"/>
              <w:bottom w:val="double" w:color="auto" w:sz="4" w:space="0"/>
              <w:right w:val="single" w:color="auto" w:sz="4" w:space="0"/>
            </w:tcBorders>
            <w:vAlign w:val="center"/>
          </w:tcPr>
          <w:p w14:paraId="74DF4323">
            <w:pPr>
              <w:spacing w:line="240" w:lineRule="auto"/>
              <w:ind w:firstLine="0" w:firstLineChars="0"/>
              <w:jc w:val="center"/>
              <w:rPr>
                <w:rFonts w:cs="Times New Roman"/>
                <w:sz w:val="21"/>
                <w:szCs w:val="21"/>
              </w:rPr>
            </w:pPr>
            <w:r>
              <w:rPr>
                <w:rFonts w:hint="eastAsia" w:cs="Times New Roman"/>
                <w:sz w:val="21"/>
                <w:szCs w:val="21"/>
              </w:rPr>
              <w:t>中心纬度</w:t>
            </w:r>
          </w:p>
        </w:tc>
      </w:tr>
      <w:tr w14:paraId="1E75D1DC">
        <w:tblPrEx>
          <w:tblCellMar>
            <w:top w:w="0" w:type="dxa"/>
            <w:left w:w="108" w:type="dxa"/>
            <w:bottom w:w="0" w:type="dxa"/>
            <w:right w:w="108" w:type="dxa"/>
          </w:tblCellMar>
        </w:tblPrEx>
        <w:trPr>
          <w:trHeight w:val="397" w:hRule="atLeast"/>
          <w:jc w:val="center"/>
        </w:trPr>
        <w:tc>
          <w:tcPr>
            <w:tcW w:w="235" w:type="pct"/>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368B16DE">
            <w:pPr>
              <w:spacing w:line="240" w:lineRule="auto"/>
              <w:ind w:firstLine="0" w:firstLineChars="0"/>
              <w:jc w:val="center"/>
              <w:rPr>
                <w:rFonts w:cs="Times New Roman"/>
                <w:sz w:val="21"/>
                <w:szCs w:val="21"/>
              </w:rPr>
            </w:pPr>
            <w:r>
              <w:rPr>
                <w:rFonts w:hint="eastAsia" w:cs="Times New Roman"/>
                <w:sz w:val="21"/>
                <w:szCs w:val="21"/>
              </w:rPr>
              <w:t>包头金山经济开发区</w:t>
            </w:r>
          </w:p>
        </w:tc>
        <w:tc>
          <w:tcPr>
            <w:tcW w:w="351" w:type="pct"/>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218C900F">
            <w:pPr>
              <w:spacing w:line="240" w:lineRule="auto"/>
              <w:ind w:firstLine="0" w:firstLineChars="0"/>
              <w:jc w:val="center"/>
              <w:rPr>
                <w:rFonts w:cs="Times New Roman"/>
                <w:sz w:val="21"/>
                <w:szCs w:val="21"/>
              </w:rPr>
            </w:pPr>
            <w:r>
              <w:rPr>
                <w:rFonts w:cs="Times New Roman"/>
                <w:sz w:val="21"/>
                <w:szCs w:val="21"/>
              </w:rPr>
              <w:t>表土堆存场</w:t>
            </w:r>
          </w:p>
        </w:tc>
        <w:tc>
          <w:tcPr>
            <w:tcW w:w="235" w:type="pct"/>
            <w:tcBorders>
              <w:top w:val="double" w:color="auto" w:sz="4" w:space="0"/>
              <w:left w:val="nil"/>
              <w:bottom w:val="single" w:color="auto" w:sz="4" w:space="0"/>
              <w:right w:val="single" w:color="auto" w:sz="4" w:space="0"/>
            </w:tcBorders>
            <w:shd w:val="clear" w:color="auto" w:fill="auto"/>
            <w:vAlign w:val="center"/>
          </w:tcPr>
          <w:p w14:paraId="34D8617F">
            <w:pPr>
              <w:spacing w:line="240" w:lineRule="auto"/>
              <w:ind w:firstLine="0" w:firstLineChars="0"/>
              <w:jc w:val="center"/>
              <w:rPr>
                <w:rFonts w:cs="Times New Roman"/>
                <w:sz w:val="21"/>
                <w:szCs w:val="21"/>
              </w:rPr>
            </w:pPr>
            <w:r>
              <w:rPr>
                <w:rFonts w:cs="Times New Roman"/>
                <w:sz w:val="21"/>
                <w:szCs w:val="21"/>
              </w:rPr>
              <w:t>1</w:t>
            </w:r>
          </w:p>
        </w:tc>
        <w:tc>
          <w:tcPr>
            <w:tcW w:w="685" w:type="pct"/>
            <w:tcBorders>
              <w:top w:val="double" w:color="auto" w:sz="4" w:space="0"/>
              <w:left w:val="nil"/>
              <w:bottom w:val="single" w:color="auto" w:sz="4" w:space="0"/>
              <w:right w:val="single" w:color="auto" w:sz="4" w:space="0"/>
            </w:tcBorders>
            <w:shd w:val="clear" w:color="auto" w:fill="auto"/>
            <w:vAlign w:val="center"/>
          </w:tcPr>
          <w:p w14:paraId="3F0D8445">
            <w:pPr>
              <w:spacing w:line="240" w:lineRule="auto"/>
              <w:ind w:firstLine="0" w:firstLineChars="0"/>
              <w:jc w:val="center"/>
              <w:rPr>
                <w:rFonts w:cs="Times New Roman"/>
                <w:sz w:val="21"/>
                <w:szCs w:val="21"/>
              </w:rPr>
            </w:pPr>
            <w:r>
              <w:rPr>
                <w:rFonts w:cs="Times New Roman"/>
                <w:sz w:val="21"/>
                <w:szCs w:val="21"/>
              </w:rPr>
              <w:t>北区南侧地块北侧</w:t>
            </w:r>
          </w:p>
        </w:tc>
        <w:tc>
          <w:tcPr>
            <w:tcW w:w="442" w:type="pct"/>
            <w:tcBorders>
              <w:top w:val="double" w:color="auto" w:sz="4" w:space="0"/>
              <w:left w:val="nil"/>
              <w:bottom w:val="single" w:color="auto" w:sz="4" w:space="0"/>
              <w:right w:val="single" w:color="auto" w:sz="4" w:space="0"/>
            </w:tcBorders>
            <w:shd w:val="clear" w:color="auto" w:fill="auto"/>
            <w:vAlign w:val="center"/>
          </w:tcPr>
          <w:p w14:paraId="6DB7A9ED">
            <w:pPr>
              <w:spacing w:line="240" w:lineRule="auto"/>
              <w:ind w:firstLine="0" w:firstLineChars="0"/>
              <w:jc w:val="center"/>
              <w:rPr>
                <w:rFonts w:cs="Times New Roman"/>
                <w:sz w:val="21"/>
                <w:szCs w:val="21"/>
              </w:rPr>
            </w:pPr>
            <w:r>
              <w:rPr>
                <w:rFonts w:cs="Times New Roman"/>
                <w:sz w:val="21"/>
                <w:szCs w:val="21"/>
              </w:rPr>
              <w:t>3</w:t>
            </w:r>
          </w:p>
        </w:tc>
        <w:tc>
          <w:tcPr>
            <w:tcW w:w="534" w:type="pct"/>
            <w:tcBorders>
              <w:top w:val="double" w:color="auto" w:sz="4" w:space="0"/>
              <w:left w:val="nil"/>
              <w:bottom w:val="single" w:color="auto" w:sz="4" w:space="0"/>
              <w:right w:val="single" w:color="auto" w:sz="4" w:space="0"/>
            </w:tcBorders>
            <w:shd w:val="clear" w:color="auto" w:fill="auto"/>
            <w:vAlign w:val="center"/>
          </w:tcPr>
          <w:p w14:paraId="0D982EAA">
            <w:pPr>
              <w:spacing w:line="240" w:lineRule="auto"/>
              <w:ind w:firstLine="0" w:firstLineChars="0"/>
              <w:jc w:val="center"/>
              <w:rPr>
                <w:rFonts w:cs="Times New Roman"/>
                <w:sz w:val="21"/>
                <w:szCs w:val="21"/>
              </w:rPr>
            </w:pPr>
            <w:r>
              <w:rPr>
                <w:rFonts w:cs="Times New Roman"/>
                <w:sz w:val="21"/>
                <w:szCs w:val="21"/>
              </w:rPr>
              <w:t xml:space="preserve">0.28 </w:t>
            </w:r>
          </w:p>
        </w:tc>
        <w:tc>
          <w:tcPr>
            <w:tcW w:w="380" w:type="pct"/>
            <w:tcBorders>
              <w:top w:val="double" w:color="auto" w:sz="4" w:space="0"/>
              <w:left w:val="nil"/>
              <w:bottom w:val="single" w:color="auto" w:sz="4" w:space="0"/>
              <w:right w:val="single" w:color="auto" w:sz="4" w:space="0"/>
            </w:tcBorders>
            <w:shd w:val="clear" w:color="auto" w:fill="auto"/>
            <w:vAlign w:val="center"/>
          </w:tcPr>
          <w:p w14:paraId="0D8977CC">
            <w:pPr>
              <w:spacing w:line="240" w:lineRule="auto"/>
              <w:ind w:firstLine="0" w:firstLineChars="0"/>
              <w:jc w:val="center"/>
              <w:rPr>
                <w:rFonts w:cs="Times New Roman"/>
                <w:sz w:val="21"/>
                <w:szCs w:val="21"/>
              </w:rPr>
            </w:pPr>
            <w:r>
              <w:rPr>
                <w:rFonts w:cs="Times New Roman"/>
                <w:sz w:val="21"/>
                <w:szCs w:val="21"/>
              </w:rPr>
              <w:t xml:space="preserve">0.83 </w:t>
            </w:r>
          </w:p>
        </w:tc>
        <w:tc>
          <w:tcPr>
            <w:tcW w:w="343" w:type="pct"/>
            <w:tcBorders>
              <w:top w:val="double" w:color="auto" w:sz="4" w:space="0"/>
              <w:left w:val="nil"/>
              <w:bottom w:val="single" w:color="auto" w:sz="4" w:space="0"/>
              <w:right w:val="single" w:color="auto" w:sz="4" w:space="0"/>
            </w:tcBorders>
            <w:shd w:val="clear" w:color="auto" w:fill="auto"/>
            <w:vAlign w:val="center"/>
          </w:tcPr>
          <w:p w14:paraId="6927D97D">
            <w:pPr>
              <w:spacing w:line="240" w:lineRule="auto"/>
              <w:ind w:firstLine="0" w:firstLineChars="0"/>
              <w:jc w:val="center"/>
              <w:rPr>
                <w:rFonts w:cs="Times New Roman"/>
                <w:sz w:val="21"/>
                <w:szCs w:val="21"/>
              </w:rPr>
            </w:pPr>
            <w:r>
              <w:rPr>
                <w:rFonts w:cs="Times New Roman"/>
                <w:sz w:val="21"/>
                <w:szCs w:val="21"/>
              </w:rPr>
              <w:t>1</w:t>
            </w:r>
          </w:p>
        </w:tc>
        <w:tc>
          <w:tcPr>
            <w:tcW w:w="893" w:type="pct"/>
            <w:tcBorders>
              <w:top w:val="double" w:color="auto" w:sz="4" w:space="0"/>
              <w:left w:val="nil"/>
              <w:bottom w:val="single" w:color="auto" w:sz="4" w:space="0"/>
              <w:right w:val="single" w:color="auto" w:sz="4" w:space="0"/>
            </w:tcBorders>
            <w:vAlign w:val="center"/>
          </w:tcPr>
          <w:p w14:paraId="249BC2F0">
            <w:pPr>
              <w:spacing w:line="240" w:lineRule="auto"/>
              <w:ind w:firstLine="0" w:firstLineChars="0"/>
              <w:jc w:val="center"/>
              <w:rPr>
                <w:rFonts w:cs="Times New Roman"/>
                <w:sz w:val="21"/>
                <w:szCs w:val="21"/>
              </w:rPr>
            </w:pPr>
            <w:r>
              <w:rPr>
                <w:rFonts w:cs="Times New Roman"/>
                <w:sz w:val="21"/>
                <w:szCs w:val="21"/>
              </w:rPr>
              <w:t>110.042665198</w:t>
            </w:r>
            <w:r>
              <w:rPr>
                <w:rFonts w:hint="eastAsia" w:cs="Times New Roman"/>
                <w:sz w:val="21"/>
                <w:szCs w:val="21"/>
              </w:rPr>
              <w:t>°</w:t>
            </w:r>
          </w:p>
        </w:tc>
        <w:tc>
          <w:tcPr>
            <w:tcW w:w="902" w:type="pct"/>
            <w:tcBorders>
              <w:top w:val="double" w:color="auto" w:sz="4" w:space="0"/>
              <w:left w:val="nil"/>
              <w:bottom w:val="single" w:color="auto" w:sz="4" w:space="0"/>
              <w:right w:val="single" w:color="auto" w:sz="4" w:space="0"/>
            </w:tcBorders>
            <w:vAlign w:val="center"/>
          </w:tcPr>
          <w:p w14:paraId="33B47E2F">
            <w:pPr>
              <w:spacing w:line="240" w:lineRule="auto"/>
              <w:ind w:firstLine="0" w:firstLineChars="0"/>
              <w:jc w:val="center"/>
              <w:rPr>
                <w:rFonts w:cs="Times New Roman"/>
                <w:sz w:val="21"/>
                <w:szCs w:val="21"/>
              </w:rPr>
            </w:pPr>
            <w:r>
              <w:rPr>
                <w:rFonts w:cs="Times New Roman"/>
                <w:sz w:val="21"/>
                <w:szCs w:val="21"/>
              </w:rPr>
              <w:t>40.954033388</w:t>
            </w:r>
            <w:r>
              <w:rPr>
                <w:rFonts w:hint="eastAsia" w:cs="Times New Roman"/>
                <w:sz w:val="21"/>
                <w:szCs w:val="21"/>
              </w:rPr>
              <w:t>°</w:t>
            </w:r>
          </w:p>
        </w:tc>
      </w:tr>
      <w:tr w14:paraId="3B669BAD">
        <w:tblPrEx>
          <w:tblCellMar>
            <w:top w:w="0" w:type="dxa"/>
            <w:left w:w="108" w:type="dxa"/>
            <w:bottom w:w="0" w:type="dxa"/>
            <w:right w:w="108" w:type="dxa"/>
          </w:tblCellMar>
        </w:tblPrEx>
        <w:trPr>
          <w:trHeight w:val="397" w:hRule="atLeast"/>
          <w:jc w:val="center"/>
        </w:trPr>
        <w:tc>
          <w:tcPr>
            <w:tcW w:w="235" w:type="pct"/>
            <w:vMerge w:val="continue"/>
            <w:tcBorders>
              <w:top w:val="nil"/>
              <w:left w:val="single" w:color="auto" w:sz="4" w:space="0"/>
              <w:bottom w:val="single" w:color="auto" w:sz="4" w:space="0"/>
              <w:right w:val="single" w:color="auto" w:sz="4" w:space="0"/>
            </w:tcBorders>
            <w:vAlign w:val="center"/>
          </w:tcPr>
          <w:p w14:paraId="7A9E3496">
            <w:pPr>
              <w:spacing w:line="240" w:lineRule="auto"/>
              <w:ind w:firstLine="0" w:firstLineChars="0"/>
              <w:jc w:val="left"/>
              <w:rPr>
                <w:rFonts w:cs="Times New Roman"/>
                <w:sz w:val="21"/>
                <w:szCs w:val="21"/>
              </w:rPr>
            </w:pPr>
          </w:p>
        </w:tc>
        <w:tc>
          <w:tcPr>
            <w:tcW w:w="351" w:type="pct"/>
            <w:vMerge w:val="continue"/>
            <w:tcBorders>
              <w:top w:val="nil"/>
              <w:left w:val="single" w:color="auto" w:sz="4" w:space="0"/>
              <w:bottom w:val="single" w:color="auto" w:sz="4" w:space="0"/>
              <w:right w:val="single" w:color="auto" w:sz="4" w:space="0"/>
            </w:tcBorders>
            <w:vAlign w:val="center"/>
          </w:tcPr>
          <w:p w14:paraId="316A7297">
            <w:pPr>
              <w:spacing w:line="240" w:lineRule="auto"/>
              <w:ind w:firstLine="0" w:firstLineChars="0"/>
              <w:jc w:val="left"/>
              <w:rPr>
                <w:rFonts w:cs="Times New Roman"/>
                <w:sz w:val="21"/>
                <w:szCs w:val="21"/>
              </w:rPr>
            </w:pPr>
          </w:p>
        </w:tc>
        <w:tc>
          <w:tcPr>
            <w:tcW w:w="235" w:type="pct"/>
            <w:tcBorders>
              <w:top w:val="nil"/>
              <w:left w:val="nil"/>
              <w:bottom w:val="single" w:color="auto" w:sz="4" w:space="0"/>
              <w:right w:val="single" w:color="auto" w:sz="4" w:space="0"/>
            </w:tcBorders>
            <w:shd w:val="clear" w:color="auto" w:fill="auto"/>
            <w:vAlign w:val="center"/>
          </w:tcPr>
          <w:p w14:paraId="190BE767">
            <w:pPr>
              <w:spacing w:line="240" w:lineRule="auto"/>
              <w:ind w:firstLine="0" w:firstLineChars="0"/>
              <w:jc w:val="center"/>
              <w:rPr>
                <w:rFonts w:cs="Times New Roman"/>
                <w:sz w:val="21"/>
                <w:szCs w:val="21"/>
              </w:rPr>
            </w:pPr>
            <w:r>
              <w:rPr>
                <w:rFonts w:cs="Times New Roman"/>
                <w:sz w:val="21"/>
                <w:szCs w:val="21"/>
              </w:rPr>
              <w:t>2</w:t>
            </w:r>
          </w:p>
        </w:tc>
        <w:tc>
          <w:tcPr>
            <w:tcW w:w="685" w:type="pct"/>
            <w:tcBorders>
              <w:top w:val="nil"/>
              <w:left w:val="nil"/>
              <w:bottom w:val="single" w:color="auto" w:sz="4" w:space="0"/>
              <w:right w:val="single" w:color="auto" w:sz="4" w:space="0"/>
            </w:tcBorders>
            <w:shd w:val="clear" w:color="auto" w:fill="auto"/>
            <w:vAlign w:val="center"/>
          </w:tcPr>
          <w:p w14:paraId="78265619">
            <w:pPr>
              <w:spacing w:line="240" w:lineRule="auto"/>
              <w:ind w:firstLine="0" w:firstLineChars="0"/>
              <w:jc w:val="center"/>
              <w:rPr>
                <w:rFonts w:cs="Times New Roman"/>
                <w:sz w:val="21"/>
                <w:szCs w:val="21"/>
              </w:rPr>
            </w:pPr>
            <w:r>
              <w:rPr>
                <w:rFonts w:cs="Times New Roman"/>
                <w:sz w:val="21"/>
                <w:szCs w:val="21"/>
              </w:rPr>
              <w:t>北区纬三路西段北侧</w:t>
            </w:r>
          </w:p>
        </w:tc>
        <w:tc>
          <w:tcPr>
            <w:tcW w:w="442" w:type="pct"/>
            <w:tcBorders>
              <w:top w:val="nil"/>
              <w:left w:val="nil"/>
              <w:bottom w:val="single" w:color="auto" w:sz="4" w:space="0"/>
              <w:right w:val="single" w:color="auto" w:sz="4" w:space="0"/>
            </w:tcBorders>
            <w:shd w:val="clear" w:color="auto" w:fill="auto"/>
            <w:vAlign w:val="center"/>
          </w:tcPr>
          <w:p w14:paraId="7D35FE10">
            <w:pPr>
              <w:spacing w:line="240" w:lineRule="auto"/>
              <w:ind w:firstLine="0" w:firstLineChars="0"/>
              <w:jc w:val="center"/>
              <w:rPr>
                <w:rFonts w:cs="Times New Roman"/>
                <w:sz w:val="21"/>
                <w:szCs w:val="21"/>
              </w:rPr>
            </w:pPr>
            <w:r>
              <w:rPr>
                <w:rFonts w:cs="Times New Roman"/>
                <w:sz w:val="21"/>
                <w:szCs w:val="21"/>
              </w:rPr>
              <w:t>3</w:t>
            </w:r>
          </w:p>
        </w:tc>
        <w:tc>
          <w:tcPr>
            <w:tcW w:w="534" w:type="pct"/>
            <w:tcBorders>
              <w:top w:val="nil"/>
              <w:left w:val="nil"/>
              <w:bottom w:val="single" w:color="auto" w:sz="4" w:space="0"/>
              <w:right w:val="single" w:color="auto" w:sz="4" w:space="0"/>
            </w:tcBorders>
            <w:shd w:val="clear" w:color="auto" w:fill="auto"/>
            <w:vAlign w:val="center"/>
          </w:tcPr>
          <w:p w14:paraId="24031511">
            <w:pPr>
              <w:spacing w:line="240" w:lineRule="auto"/>
              <w:ind w:firstLine="0" w:firstLineChars="0"/>
              <w:jc w:val="center"/>
              <w:rPr>
                <w:rFonts w:cs="Times New Roman"/>
                <w:sz w:val="21"/>
                <w:szCs w:val="21"/>
              </w:rPr>
            </w:pPr>
            <w:r>
              <w:rPr>
                <w:rFonts w:cs="Times New Roman"/>
                <w:sz w:val="21"/>
                <w:szCs w:val="21"/>
              </w:rPr>
              <w:t xml:space="preserve">0.55 </w:t>
            </w:r>
          </w:p>
        </w:tc>
        <w:tc>
          <w:tcPr>
            <w:tcW w:w="380" w:type="pct"/>
            <w:tcBorders>
              <w:top w:val="nil"/>
              <w:left w:val="nil"/>
              <w:bottom w:val="single" w:color="auto" w:sz="4" w:space="0"/>
              <w:right w:val="single" w:color="auto" w:sz="4" w:space="0"/>
            </w:tcBorders>
            <w:shd w:val="clear" w:color="auto" w:fill="auto"/>
            <w:vAlign w:val="center"/>
          </w:tcPr>
          <w:p w14:paraId="5E288890">
            <w:pPr>
              <w:spacing w:line="240" w:lineRule="auto"/>
              <w:ind w:firstLine="0" w:firstLineChars="0"/>
              <w:jc w:val="center"/>
              <w:rPr>
                <w:rFonts w:cs="Times New Roman"/>
                <w:sz w:val="21"/>
                <w:szCs w:val="21"/>
              </w:rPr>
            </w:pPr>
            <w:r>
              <w:rPr>
                <w:rFonts w:cs="Times New Roman"/>
                <w:sz w:val="21"/>
                <w:szCs w:val="21"/>
              </w:rPr>
              <w:t xml:space="preserve">1.66 </w:t>
            </w:r>
          </w:p>
        </w:tc>
        <w:tc>
          <w:tcPr>
            <w:tcW w:w="343" w:type="pct"/>
            <w:tcBorders>
              <w:top w:val="nil"/>
              <w:left w:val="nil"/>
              <w:bottom w:val="single" w:color="auto" w:sz="4" w:space="0"/>
              <w:right w:val="single" w:color="auto" w:sz="4" w:space="0"/>
            </w:tcBorders>
            <w:shd w:val="clear" w:color="auto" w:fill="auto"/>
            <w:vAlign w:val="center"/>
          </w:tcPr>
          <w:p w14:paraId="5427BD48">
            <w:pPr>
              <w:spacing w:line="240" w:lineRule="auto"/>
              <w:ind w:firstLine="0" w:firstLineChars="0"/>
              <w:jc w:val="center"/>
              <w:rPr>
                <w:rFonts w:cs="Times New Roman"/>
                <w:sz w:val="21"/>
                <w:szCs w:val="21"/>
              </w:rPr>
            </w:pPr>
            <w:r>
              <w:rPr>
                <w:rFonts w:cs="Times New Roman"/>
                <w:sz w:val="21"/>
                <w:szCs w:val="21"/>
              </w:rPr>
              <w:t>1</w:t>
            </w:r>
          </w:p>
        </w:tc>
        <w:tc>
          <w:tcPr>
            <w:tcW w:w="893" w:type="pct"/>
            <w:tcBorders>
              <w:top w:val="nil"/>
              <w:left w:val="nil"/>
              <w:bottom w:val="single" w:color="auto" w:sz="4" w:space="0"/>
              <w:right w:val="single" w:color="auto" w:sz="4" w:space="0"/>
            </w:tcBorders>
            <w:vAlign w:val="center"/>
          </w:tcPr>
          <w:p w14:paraId="0C11ECA4">
            <w:pPr>
              <w:spacing w:line="240" w:lineRule="auto"/>
              <w:ind w:firstLine="0" w:firstLineChars="0"/>
              <w:jc w:val="center"/>
              <w:rPr>
                <w:rFonts w:cs="Times New Roman"/>
                <w:sz w:val="21"/>
                <w:szCs w:val="21"/>
              </w:rPr>
            </w:pPr>
            <w:r>
              <w:rPr>
                <w:rFonts w:cs="Times New Roman"/>
                <w:sz w:val="21"/>
                <w:szCs w:val="21"/>
              </w:rPr>
              <w:t>110.051140978</w:t>
            </w:r>
            <w:r>
              <w:rPr>
                <w:rFonts w:hint="eastAsia" w:cs="Times New Roman"/>
                <w:sz w:val="21"/>
                <w:szCs w:val="21"/>
              </w:rPr>
              <w:t>°</w:t>
            </w:r>
          </w:p>
        </w:tc>
        <w:tc>
          <w:tcPr>
            <w:tcW w:w="902" w:type="pct"/>
            <w:tcBorders>
              <w:top w:val="nil"/>
              <w:left w:val="nil"/>
              <w:bottom w:val="single" w:color="auto" w:sz="4" w:space="0"/>
              <w:right w:val="single" w:color="auto" w:sz="4" w:space="0"/>
            </w:tcBorders>
            <w:vAlign w:val="center"/>
          </w:tcPr>
          <w:p w14:paraId="0DCF8A15">
            <w:pPr>
              <w:spacing w:line="240" w:lineRule="auto"/>
              <w:ind w:firstLine="0" w:firstLineChars="0"/>
              <w:jc w:val="center"/>
              <w:rPr>
                <w:rFonts w:cs="Times New Roman"/>
                <w:sz w:val="21"/>
                <w:szCs w:val="21"/>
              </w:rPr>
            </w:pPr>
            <w:r>
              <w:rPr>
                <w:rFonts w:cs="Times New Roman"/>
                <w:sz w:val="21"/>
                <w:szCs w:val="21"/>
              </w:rPr>
              <w:t>40.969933523</w:t>
            </w:r>
            <w:r>
              <w:rPr>
                <w:rFonts w:hint="eastAsia" w:cs="Times New Roman"/>
                <w:sz w:val="21"/>
                <w:szCs w:val="21"/>
              </w:rPr>
              <w:t>°</w:t>
            </w:r>
          </w:p>
        </w:tc>
      </w:tr>
      <w:tr w14:paraId="25E4A80E">
        <w:tblPrEx>
          <w:tblCellMar>
            <w:top w:w="0" w:type="dxa"/>
            <w:left w:w="108" w:type="dxa"/>
            <w:bottom w:w="0" w:type="dxa"/>
            <w:right w:w="108" w:type="dxa"/>
          </w:tblCellMar>
        </w:tblPrEx>
        <w:trPr>
          <w:trHeight w:val="397" w:hRule="atLeast"/>
          <w:jc w:val="center"/>
        </w:trPr>
        <w:tc>
          <w:tcPr>
            <w:tcW w:w="235" w:type="pct"/>
            <w:vMerge w:val="continue"/>
            <w:tcBorders>
              <w:top w:val="nil"/>
              <w:left w:val="single" w:color="auto" w:sz="4" w:space="0"/>
              <w:bottom w:val="single" w:color="auto" w:sz="4" w:space="0"/>
              <w:right w:val="single" w:color="auto" w:sz="4" w:space="0"/>
            </w:tcBorders>
            <w:vAlign w:val="center"/>
          </w:tcPr>
          <w:p w14:paraId="5A6ABFC2">
            <w:pPr>
              <w:spacing w:line="240" w:lineRule="auto"/>
              <w:ind w:firstLine="0" w:firstLineChars="0"/>
              <w:jc w:val="left"/>
              <w:rPr>
                <w:rFonts w:cs="Times New Roman"/>
                <w:sz w:val="21"/>
                <w:szCs w:val="21"/>
              </w:rPr>
            </w:pPr>
          </w:p>
        </w:tc>
        <w:tc>
          <w:tcPr>
            <w:tcW w:w="351" w:type="pct"/>
            <w:vMerge w:val="continue"/>
            <w:tcBorders>
              <w:top w:val="nil"/>
              <w:left w:val="single" w:color="auto" w:sz="4" w:space="0"/>
              <w:bottom w:val="single" w:color="auto" w:sz="4" w:space="0"/>
              <w:right w:val="single" w:color="auto" w:sz="4" w:space="0"/>
            </w:tcBorders>
            <w:vAlign w:val="center"/>
          </w:tcPr>
          <w:p w14:paraId="4208475D">
            <w:pPr>
              <w:spacing w:line="240" w:lineRule="auto"/>
              <w:ind w:firstLine="0" w:firstLineChars="0"/>
              <w:jc w:val="left"/>
              <w:rPr>
                <w:rFonts w:cs="Times New Roman"/>
                <w:sz w:val="21"/>
                <w:szCs w:val="21"/>
              </w:rPr>
            </w:pPr>
          </w:p>
        </w:tc>
        <w:tc>
          <w:tcPr>
            <w:tcW w:w="235" w:type="pct"/>
            <w:tcBorders>
              <w:top w:val="nil"/>
              <w:left w:val="nil"/>
              <w:bottom w:val="single" w:color="auto" w:sz="4" w:space="0"/>
              <w:right w:val="single" w:color="auto" w:sz="4" w:space="0"/>
            </w:tcBorders>
            <w:shd w:val="clear" w:color="auto" w:fill="auto"/>
            <w:vAlign w:val="center"/>
          </w:tcPr>
          <w:p w14:paraId="081C8FC2">
            <w:pPr>
              <w:spacing w:line="240" w:lineRule="auto"/>
              <w:ind w:firstLine="0" w:firstLineChars="0"/>
              <w:jc w:val="center"/>
              <w:rPr>
                <w:rFonts w:cs="Times New Roman"/>
                <w:sz w:val="21"/>
                <w:szCs w:val="21"/>
              </w:rPr>
            </w:pPr>
            <w:r>
              <w:rPr>
                <w:rFonts w:cs="Times New Roman"/>
                <w:sz w:val="21"/>
                <w:szCs w:val="21"/>
              </w:rPr>
              <w:t>3</w:t>
            </w:r>
          </w:p>
        </w:tc>
        <w:tc>
          <w:tcPr>
            <w:tcW w:w="685" w:type="pct"/>
            <w:tcBorders>
              <w:top w:val="nil"/>
              <w:left w:val="nil"/>
              <w:bottom w:val="single" w:color="auto" w:sz="4" w:space="0"/>
              <w:right w:val="single" w:color="auto" w:sz="4" w:space="0"/>
            </w:tcBorders>
            <w:shd w:val="clear" w:color="auto" w:fill="auto"/>
            <w:vAlign w:val="center"/>
          </w:tcPr>
          <w:p w14:paraId="7D131717">
            <w:pPr>
              <w:spacing w:line="240" w:lineRule="auto"/>
              <w:ind w:firstLine="0" w:firstLineChars="0"/>
              <w:jc w:val="center"/>
              <w:rPr>
                <w:rFonts w:cs="Times New Roman"/>
                <w:sz w:val="21"/>
                <w:szCs w:val="21"/>
              </w:rPr>
            </w:pPr>
            <w:r>
              <w:rPr>
                <w:rFonts w:cs="Times New Roman"/>
                <w:sz w:val="21"/>
                <w:szCs w:val="21"/>
              </w:rPr>
              <w:t>经二路与纬二路交叉口东南侧</w:t>
            </w:r>
          </w:p>
        </w:tc>
        <w:tc>
          <w:tcPr>
            <w:tcW w:w="442" w:type="pct"/>
            <w:tcBorders>
              <w:top w:val="nil"/>
              <w:left w:val="nil"/>
              <w:bottom w:val="single" w:color="auto" w:sz="4" w:space="0"/>
              <w:right w:val="single" w:color="auto" w:sz="4" w:space="0"/>
            </w:tcBorders>
            <w:shd w:val="clear" w:color="auto" w:fill="auto"/>
            <w:vAlign w:val="center"/>
          </w:tcPr>
          <w:p w14:paraId="415FFB7D">
            <w:pPr>
              <w:spacing w:line="240" w:lineRule="auto"/>
              <w:ind w:firstLine="0" w:firstLineChars="0"/>
              <w:jc w:val="center"/>
              <w:rPr>
                <w:rFonts w:cs="Times New Roman"/>
                <w:sz w:val="21"/>
                <w:szCs w:val="21"/>
              </w:rPr>
            </w:pPr>
            <w:r>
              <w:rPr>
                <w:rFonts w:cs="Times New Roman"/>
                <w:sz w:val="21"/>
                <w:szCs w:val="21"/>
              </w:rPr>
              <w:t>3</w:t>
            </w:r>
          </w:p>
        </w:tc>
        <w:tc>
          <w:tcPr>
            <w:tcW w:w="534" w:type="pct"/>
            <w:tcBorders>
              <w:top w:val="nil"/>
              <w:left w:val="nil"/>
              <w:bottom w:val="single" w:color="auto" w:sz="4" w:space="0"/>
              <w:right w:val="single" w:color="auto" w:sz="4" w:space="0"/>
            </w:tcBorders>
            <w:shd w:val="clear" w:color="auto" w:fill="auto"/>
            <w:vAlign w:val="center"/>
          </w:tcPr>
          <w:p w14:paraId="16C97944">
            <w:pPr>
              <w:spacing w:line="240" w:lineRule="auto"/>
              <w:ind w:firstLine="0" w:firstLineChars="0"/>
              <w:jc w:val="center"/>
              <w:rPr>
                <w:rFonts w:cs="Times New Roman"/>
                <w:sz w:val="21"/>
                <w:szCs w:val="21"/>
              </w:rPr>
            </w:pPr>
            <w:r>
              <w:rPr>
                <w:rFonts w:cs="Times New Roman"/>
                <w:sz w:val="21"/>
                <w:szCs w:val="21"/>
              </w:rPr>
              <w:t xml:space="preserve">0.10 </w:t>
            </w:r>
          </w:p>
        </w:tc>
        <w:tc>
          <w:tcPr>
            <w:tcW w:w="380" w:type="pct"/>
            <w:tcBorders>
              <w:top w:val="nil"/>
              <w:left w:val="nil"/>
              <w:bottom w:val="single" w:color="auto" w:sz="4" w:space="0"/>
              <w:right w:val="single" w:color="auto" w:sz="4" w:space="0"/>
            </w:tcBorders>
            <w:shd w:val="clear" w:color="auto" w:fill="auto"/>
            <w:vAlign w:val="center"/>
          </w:tcPr>
          <w:p w14:paraId="0A67682F">
            <w:pPr>
              <w:spacing w:line="240" w:lineRule="auto"/>
              <w:ind w:firstLine="0" w:firstLineChars="0"/>
              <w:jc w:val="center"/>
              <w:rPr>
                <w:rFonts w:cs="Times New Roman"/>
                <w:sz w:val="21"/>
                <w:szCs w:val="21"/>
              </w:rPr>
            </w:pPr>
            <w:r>
              <w:rPr>
                <w:rFonts w:cs="Times New Roman"/>
                <w:sz w:val="21"/>
                <w:szCs w:val="21"/>
              </w:rPr>
              <w:t xml:space="preserve">0.29 </w:t>
            </w:r>
          </w:p>
        </w:tc>
        <w:tc>
          <w:tcPr>
            <w:tcW w:w="343" w:type="pct"/>
            <w:tcBorders>
              <w:top w:val="nil"/>
              <w:left w:val="nil"/>
              <w:bottom w:val="single" w:color="auto" w:sz="4" w:space="0"/>
              <w:right w:val="single" w:color="auto" w:sz="4" w:space="0"/>
            </w:tcBorders>
            <w:shd w:val="clear" w:color="auto" w:fill="auto"/>
            <w:vAlign w:val="center"/>
          </w:tcPr>
          <w:p w14:paraId="5BBBB3F7">
            <w:pPr>
              <w:spacing w:line="240" w:lineRule="auto"/>
              <w:ind w:firstLine="0" w:firstLineChars="0"/>
              <w:jc w:val="center"/>
              <w:rPr>
                <w:rFonts w:cs="Times New Roman"/>
                <w:sz w:val="21"/>
                <w:szCs w:val="21"/>
              </w:rPr>
            </w:pPr>
            <w:r>
              <w:rPr>
                <w:rFonts w:cs="Times New Roman"/>
                <w:sz w:val="21"/>
                <w:szCs w:val="21"/>
              </w:rPr>
              <w:t>1</w:t>
            </w:r>
          </w:p>
        </w:tc>
        <w:tc>
          <w:tcPr>
            <w:tcW w:w="893" w:type="pct"/>
            <w:tcBorders>
              <w:top w:val="nil"/>
              <w:left w:val="nil"/>
              <w:bottom w:val="single" w:color="auto" w:sz="4" w:space="0"/>
              <w:right w:val="single" w:color="auto" w:sz="4" w:space="0"/>
            </w:tcBorders>
            <w:vAlign w:val="center"/>
          </w:tcPr>
          <w:p w14:paraId="5E97EE4F">
            <w:pPr>
              <w:spacing w:line="240" w:lineRule="auto"/>
              <w:ind w:firstLine="0" w:firstLineChars="0"/>
              <w:jc w:val="center"/>
              <w:rPr>
                <w:rFonts w:cs="Times New Roman"/>
                <w:sz w:val="21"/>
                <w:szCs w:val="21"/>
              </w:rPr>
            </w:pPr>
            <w:r>
              <w:rPr>
                <w:rFonts w:cs="Times New Roman"/>
                <w:sz w:val="21"/>
                <w:szCs w:val="21"/>
              </w:rPr>
              <w:t>110.067405894</w:t>
            </w:r>
            <w:r>
              <w:rPr>
                <w:rFonts w:hint="eastAsia" w:cs="Times New Roman"/>
                <w:sz w:val="21"/>
                <w:szCs w:val="21"/>
              </w:rPr>
              <w:t>°</w:t>
            </w:r>
          </w:p>
        </w:tc>
        <w:tc>
          <w:tcPr>
            <w:tcW w:w="902" w:type="pct"/>
            <w:tcBorders>
              <w:top w:val="nil"/>
              <w:left w:val="nil"/>
              <w:bottom w:val="single" w:color="auto" w:sz="4" w:space="0"/>
              <w:right w:val="single" w:color="auto" w:sz="4" w:space="0"/>
            </w:tcBorders>
            <w:vAlign w:val="center"/>
          </w:tcPr>
          <w:p w14:paraId="3F45DDBD">
            <w:pPr>
              <w:spacing w:line="240" w:lineRule="auto"/>
              <w:ind w:firstLine="0" w:firstLineChars="0"/>
              <w:jc w:val="center"/>
              <w:rPr>
                <w:rFonts w:cs="Times New Roman"/>
                <w:sz w:val="21"/>
                <w:szCs w:val="21"/>
              </w:rPr>
            </w:pPr>
            <w:r>
              <w:rPr>
                <w:rFonts w:cs="Times New Roman"/>
                <w:sz w:val="21"/>
                <w:szCs w:val="21"/>
              </w:rPr>
              <w:t>40.970888389</w:t>
            </w:r>
            <w:r>
              <w:rPr>
                <w:rFonts w:hint="eastAsia" w:cs="Times New Roman"/>
                <w:sz w:val="21"/>
                <w:szCs w:val="21"/>
              </w:rPr>
              <w:t>°</w:t>
            </w:r>
          </w:p>
        </w:tc>
      </w:tr>
      <w:tr w14:paraId="49FB5269">
        <w:tblPrEx>
          <w:tblCellMar>
            <w:top w:w="0" w:type="dxa"/>
            <w:left w:w="108" w:type="dxa"/>
            <w:bottom w:w="0" w:type="dxa"/>
            <w:right w:w="108" w:type="dxa"/>
          </w:tblCellMar>
        </w:tblPrEx>
        <w:trPr>
          <w:trHeight w:val="397" w:hRule="atLeast"/>
          <w:jc w:val="center"/>
        </w:trPr>
        <w:tc>
          <w:tcPr>
            <w:tcW w:w="235" w:type="pct"/>
            <w:vMerge w:val="continue"/>
            <w:tcBorders>
              <w:top w:val="nil"/>
              <w:left w:val="single" w:color="auto" w:sz="4" w:space="0"/>
              <w:bottom w:val="single" w:color="auto" w:sz="4" w:space="0"/>
              <w:right w:val="single" w:color="auto" w:sz="4" w:space="0"/>
            </w:tcBorders>
            <w:vAlign w:val="center"/>
          </w:tcPr>
          <w:p w14:paraId="4407A570">
            <w:pPr>
              <w:spacing w:line="240" w:lineRule="auto"/>
              <w:ind w:firstLine="0" w:firstLineChars="0"/>
              <w:jc w:val="left"/>
              <w:rPr>
                <w:rFonts w:cs="Times New Roman"/>
                <w:sz w:val="21"/>
                <w:szCs w:val="21"/>
              </w:rPr>
            </w:pPr>
          </w:p>
        </w:tc>
        <w:tc>
          <w:tcPr>
            <w:tcW w:w="351" w:type="pct"/>
            <w:vMerge w:val="continue"/>
            <w:tcBorders>
              <w:top w:val="nil"/>
              <w:left w:val="single" w:color="auto" w:sz="4" w:space="0"/>
              <w:bottom w:val="single" w:color="auto" w:sz="4" w:space="0"/>
              <w:right w:val="single" w:color="auto" w:sz="4" w:space="0"/>
            </w:tcBorders>
            <w:vAlign w:val="center"/>
          </w:tcPr>
          <w:p w14:paraId="5B50FE85">
            <w:pPr>
              <w:spacing w:line="240" w:lineRule="auto"/>
              <w:ind w:firstLine="0" w:firstLineChars="0"/>
              <w:jc w:val="left"/>
              <w:rPr>
                <w:rFonts w:cs="Times New Roman"/>
                <w:sz w:val="21"/>
                <w:szCs w:val="21"/>
              </w:rPr>
            </w:pPr>
          </w:p>
        </w:tc>
        <w:tc>
          <w:tcPr>
            <w:tcW w:w="235" w:type="pct"/>
            <w:tcBorders>
              <w:top w:val="nil"/>
              <w:left w:val="nil"/>
              <w:bottom w:val="single" w:color="auto" w:sz="4" w:space="0"/>
              <w:right w:val="single" w:color="auto" w:sz="4" w:space="0"/>
            </w:tcBorders>
            <w:shd w:val="clear" w:color="auto" w:fill="auto"/>
            <w:vAlign w:val="center"/>
          </w:tcPr>
          <w:p w14:paraId="3445A8D7">
            <w:pPr>
              <w:spacing w:line="240" w:lineRule="auto"/>
              <w:ind w:firstLine="0" w:firstLineChars="0"/>
              <w:jc w:val="center"/>
              <w:rPr>
                <w:rFonts w:cs="Times New Roman"/>
                <w:sz w:val="21"/>
                <w:szCs w:val="21"/>
              </w:rPr>
            </w:pPr>
            <w:r>
              <w:rPr>
                <w:rFonts w:cs="Times New Roman"/>
                <w:sz w:val="21"/>
                <w:szCs w:val="21"/>
              </w:rPr>
              <w:t>4</w:t>
            </w:r>
          </w:p>
        </w:tc>
        <w:tc>
          <w:tcPr>
            <w:tcW w:w="685" w:type="pct"/>
            <w:tcBorders>
              <w:top w:val="nil"/>
              <w:left w:val="nil"/>
              <w:bottom w:val="single" w:color="auto" w:sz="4" w:space="0"/>
              <w:right w:val="single" w:color="auto" w:sz="4" w:space="0"/>
            </w:tcBorders>
            <w:shd w:val="clear" w:color="auto" w:fill="auto"/>
            <w:vAlign w:val="center"/>
          </w:tcPr>
          <w:p w14:paraId="6D27DD34">
            <w:pPr>
              <w:spacing w:line="240" w:lineRule="auto"/>
              <w:ind w:firstLine="0" w:firstLineChars="0"/>
              <w:jc w:val="center"/>
              <w:rPr>
                <w:rFonts w:cs="Times New Roman"/>
                <w:sz w:val="21"/>
                <w:szCs w:val="21"/>
              </w:rPr>
            </w:pPr>
            <w:r>
              <w:rPr>
                <w:rFonts w:cs="Times New Roman"/>
                <w:sz w:val="21"/>
                <w:szCs w:val="21"/>
              </w:rPr>
              <w:t>经四路和纬一路交叉口西南侧</w:t>
            </w:r>
          </w:p>
        </w:tc>
        <w:tc>
          <w:tcPr>
            <w:tcW w:w="442" w:type="pct"/>
            <w:tcBorders>
              <w:top w:val="nil"/>
              <w:left w:val="nil"/>
              <w:bottom w:val="single" w:color="auto" w:sz="4" w:space="0"/>
              <w:right w:val="single" w:color="auto" w:sz="4" w:space="0"/>
            </w:tcBorders>
            <w:shd w:val="clear" w:color="auto" w:fill="auto"/>
            <w:vAlign w:val="center"/>
          </w:tcPr>
          <w:p w14:paraId="2C2514B7">
            <w:pPr>
              <w:spacing w:line="240" w:lineRule="auto"/>
              <w:ind w:firstLine="0" w:firstLineChars="0"/>
              <w:jc w:val="center"/>
              <w:rPr>
                <w:rFonts w:cs="Times New Roman"/>
                <w:sz w:val="21"/>
                <w:szCs w:val="21"/>
              </w:rPr>
            </w:pPr>
            <w:r>
              <w:rPr>
                <w:rFonts w:cs="Times New Roman"/>
                <w:sz w:val="21"/>
                <w:szCs w:val="21"/>
              </w:rPr>
              <w:t>3</w:t>
            </w:r>
          </w:p>
        </w:tc>
        <w:tc>
          <w:tcPr>
            <w:tcW w:w="534" w:type="pct"/>
            <w:tcBorders>
              <w:top w:val="nil"/>
              <w:left w:val="nil"/>
              <w:bottom w:val="single" w:color="auto" w:sz="4" w:space="0"/>
              <w:right w:val="single" w:color="auto" w:sz="4" w:space="0"/>
            </w:tcBorders>
            <w:shd w:val="clear" w:color="auto" w:fill="auto"/>
            <w:vAlign w:val="center"/>
          </w:tcPr>
          <w:p w14:paraId="7936C012">
            <w:pPr>
              <w:spacing w:line="240" w:lineRule="auto"/>
              <w:ind w:firstLine="0" w:firstLineChars="0"/>
              <w:jc w:val="center"/>
              <w:rPr>
                <w:rFonts w:cs="Times New Roman"/>
                <w:sz w:val="21"/>
                <w:szCs w:val="21"/>
              </w:rPr>
            </w:pPr>
            <w:r>
              <w:rPr>
                <w:rFonts w:cs="Times New Roman"/>
                <w:sz w:val="21"/>
                <w:szCs w:val="21"/>
              </w:rPr>
              <w:t xml:space="preserve">0.21 </w:t>
            </w:r>
          </w:p>
        </w:tc>
        <w:tc>
          <w:tcPr>
            <w:tcW w:w="380" w:type="pct"/>
            <w:tcBorders>
              <w:top w:val="nil"/>
              <w:left w:val="nil"/>
              <w:bottom w:val="single" w:color="auto" w:sz="4" w:space="0"/>
              <w:right w:val="single" w:color="auto" w:sz="4" w:space="0"/>
            </w:tcBorders>
            <w:shd w:val="clear" w:color="auto" w:fill="auto"/>
            <w:vAlign w:val="center"/>
          </w:tcPr>
          <w:p w14:paraId="19222B2C">
            <w:pPr>
              <w:spacing w:line="240" w:lineRule="auto"/>
              <w:ind w:firstLine="0" w:firstLineChars="0"/>
              <w:jc w:val="center"/>
              <w:rPr>
                <w:rFonts w:cs="Times New Roman"/>
                <w:sz w:val="21"/>
                <w:szCs w:val="21"/>
              </w:rPr>
            </w:pPr>
            <w:r>
              <w:rPr>
                <w:rFonts w:cs="Times New Roman"/>
                <w:sz w:val="21"/>
                <w:szCs w:val="21"/>
              </w:rPr>
              <w:t xml:space="preserve">0.62 </w:t>
            </w:r>
          </w:p>
        </w:tc>
        <w:tc>
          <w:tcPr>
            <w:tcW w:w="343" w:type="pct"/>
            <w:tcBorders>
              <w:top w:val="nil"/>
              <w:left w:val="nil"/>
              <w:bottom w:val="single" w:color="auto" w:sz="4" w:space="0"/>
              <w:right w:val="single" w:color="auto" w:sz="4" w:space="0"/>
            </w:tcBorders>
            <w:shd w:val="clear" w:color="auto" w:fill="auto"/>
            <w:vAlign w:val="center"/>
          </w:tcPr>
          <w:p w14:paraId="6940C77A">
            <w:pPr>
              <w:spacing w:line="240" w:lineRule="auto"/>
              <w:ind w:firstLine="0" w:firstLineChars="0"/>
              <w:jc w:val="center"/>
              <w:rPr>
                <w:rFonts w:cs="Times New Roman"/>
                <w:sz w:val="21"/>
                <w:szCs w:val="21"/>
              </w:rPr>
            </w:pPr>
            <w:r>
              <w:rPr>
                <w:rFonts w:cs="Times New Roman"/>
                <w:sz w:val="21"/>
                <w:szCs w:val="21"/>
              </w:rPr>
              <w:t>1</w:t>
            </w:r>
          </w:p>
        </w:tc>
        <w:tc>
          <w:tcPr>
            <w:tcW w:w="893" w:type="pct"/>
            <w:tcBorders>
              <w:top w:val="nil"/>
              <w:left w:val="nil"/>
              <w:bottom w:val="single" w:color="auto" w:sz="4" w:space="0"/>
              <w:right w:val="single" w:color="auto" w:sz="4" w:space="0"/>
            </w:tcBorders>
            <w:vAlign w:val="center"/>
          </w:tcPr>
          <w:p w14:paraId="3F130063">
            <w:pPr>
              <w:spacing w:line="240" w:lineRule="auto"/>
              <w:ind w:firstLine="0" w:firstLineChars="0"/>
              <w:jc w:val="center"/>
              <w:rPr>
                <w:rFonts w:cs="Times New Roman"/>
                <w:sz w:val="21"/>
                <w:szCs w:val="21"/>
              </w:rPr>
            </w:pPr>
            <w:r>
              <w:rPr>
                <w:rFonts w:cs="Times New Roman"/>
                <w:sz w:val="21"/>
                <w:szCs w:val="21"/>
              </w:rPr>
              <w:t>110.102199509</w:t>
            </w:r>
            <w:r>
              <w:rPr>
                <w:rFonts w:hint="eastAsia" w:cs="Times New Roman"/>
                <w:sz w:val="21"/>
                <w:szCs w:val="21"/>
              </w:rPr>
              <w:t>°</w:t>
            </w:r>
          </w:p>
        </w:tc>
        <w:tc>
          <w:tcPr>
            <w:tcW w:w="902" w:type="pct"/>
            <w:tcBorders>
              <w:top w:val="nil"/>
              <w:left w:val="nil"/>
              <w:bottom w:val="single" w:color="auto" w:sz="4" w:space="0"/>
              <w:right w:val="single" w:color="auto" w:sz="4" w:space="0"/>
            </w:tcBorders>
            <w:vAlign w:val="center"/>
          </w:tcPr>
          <w:p w14:paraId="1F59A3C0">
            <w:pPr>
              <w:spacing w:line="240" w:lineRule="auto"/>
              <w:ind w:firstLine="0" w:firstLineChars="0"/>
              <w:jc w:val="center"/>
              <w:rPr>
                <w:rFonts w:cs="Times New Roman"/>
                <w:sz w:val="21"/>
                <w:szCs w:val="21"/>
              </w:rPr>
            </w:pPr>
            <w:r>
              <w:rPr>
                <w:rFonts w:cs="Times New Roman"/>
                <w:sz w:val="21"/>
                <w:szCs w:val="21"/>
              </w:rPr>
              <w:t>40.970437778</w:t>
            </w:r>
            <w:r>
              <w:rPr>
                <w:rFonts w:hint="eastAsia" w:cs="Times New Roman"/>
                <w:sz w:val="21"/>
                <w:szCs w:val="21"/>
              </w:rPr>
              <w:t>°</w:t>
            </w:r>
          </w:p>
        </w:tc>
      </w:tr>
      <w:tr w14:paraId="785E3D43">
        <w:tblPrEx>
          <w:tblCellMar>
            <w:top w:w="0" w:type="dxa"/>
            <w:left w:w="108" w:type="dxa"/>
            <w:bottom w:w="0" w:type="dxa"/>
            <w:right w:w="108" w:type="dxa"/>
          </w:tblCellMar>
        </w:tblPrEx>
        <w:trPr>
          <w:trHeight w:val="397" w:hRule="atLeast"/>
          <w:jc w:val="center"/>
        </w:trPr>
        <w:tc>
          <w:tcPr>
            <w:tcW w:w="235" w:type="pct"/>
            <w:vMerge w:val="continue"/>
            <w:tcBorders>
              <w:top w:val="nil"/>
              <w:left w:val="single" w:color="auto" w:sz="4" w:space="0"/>
              <w:bottom w:val="single" w:color="auto" w:sz="4" w:space="0"/>
              <w:right w:val="single" w:color="auto" w:sz="4" w:space="0"/>
            </w:tcBorders>
            <w:vAlign w:val="center"/>
          </w:tcPr>
          <w:p w14:paraId="1204BD16">
            <w:pPr>
              <w:spacing w:line="240" w:lineRule="auto"/>
              <w:ind w:firstLine="0" w:firstLineChars="0"/>
              <w:jc w:val="left"/>
              <w:rPr>
                <w:rFonts w:cs="Times New Roman"/>
                <w:sz w:val="21"/>
                <w:szCs w:val="21"/>
              </w:rPr>
            </w:pPr>
          </w:p>
        </w:tc>
        <w:tc>
          <w:tcPr>
            <w:tcW w:w="351" w:type="pct"/>
            <w:vMerge w:val="continue"/>
            <w:tcBorders>
              <w:top w:val="nil"/>
              <w:left w:val="single" w:color="auto" w:sz="4" w:space="0"/>
              <w:bottom w:val="single" w:color="auto" w:sz="4" w:space="0"/>
              <w:right w:val="single" w:color="auto" w:sz="4" w:space="0"/>
            </w:tcBorders>
            <w:vAlign w:val="center"/>
          </w:tcPr>
          <w:p w14:paraId="5C29E1C3">
            <w:pPr>
              <w:spacing w:line="240" w:lineRule="auto"/>
              <w:ind w:firstLine="0" w:firstLineChars="0"/>
              <w:jc w:val="left"/>
              <w:rPr>
                <w:rFonts w:cs="Times New Roman"/>
                <w:sz w:val="21"/>
                <w:szCs w:val="21"/>
              </w:rPr>
            </w:pPr>
          </w:p>
        </w:tc>
        <w:tc>
          <w:tcPr>
            <w:tcW w:w="235" w:type="pct"/>
            <w:tcBorders>
              <w:top w:val="nil"/>
              <w:left w:val="nil"/>
              <w:bottom w:val="single" w:color="auto" w:sz="4" w:space="0"/>
              <w:right w:val="single" w:color="auto" w:sz="4" w:space="0"/>
            </w:tcBorders>
            <w:shd w:val="clear" w:color="auto" w:fill="auto"/>
            <w:vAlign w:val="center"/>
          </w:tcPr>
          <w:p w14:paraId="6DF360CD">
            <w:pPr>
              <w:spacing w:line="240" w:lineRule="auto"/>
              <w:ind w:firstLine="0" w:firstLineChars="0"/>
              <w:jc w:val="center"/>
              <w:rPr>
                <w:rFonts w:cs="Times New Roman"/>
                <w:sz w:val="21"/>
                <w:szCs w:val="21"/>
              </w:rPr>
            </w:pPr>
            <w:r>
              <w:rPr>
                <w:rFonts w:cs="Times New Roman"/>
                <w:sz w:val="21"/>
                <w:szCs w:val="21"/>
              </w:rPr>
              <w:t>5</w:t>
            </w:r>
          </w:p>
        </w:tc>
        <w:tc>
          <w:tcPr>
            <w:tcW w:w="685" w:type="pct"/>
            <w:tcBorders>
              <w:top w:val="nil"/>
              <w:left w:val="nil"/>
              <w:bottom w:val="single" w:color="auto" w:sz="4" w:space="0"/>
              <w:right w:val="single" w:color="auto" w:sz="4" w:space="0"/>
            </w:tcBorders>
            <w:shd w:val="clear" w:color="auto" w:fill="auto"/>
            <w:vAlign w:val="center"/>
          </w:tcPr>
          <w:p w14:paraId="2EB1D341">
            <w:pPr>
              <w:spacing w:line="240" w:lineRule="auto"/>
              <w:ind w:firstLine="0" w:firstLineChars="0"/>
              <w:jc w:val="center"/>
              <w:rPr>
                <w:rFonts w:cs="Times New Roman"/>
                <w:sz w:val="21"/>
                <w:szCs w:val="21"/>
              </w:rPr>
            </w:pPr>
            <w:r>
              <w:rPr>
                <w:rFonts w:cs="Times New Roman"/>
                <w:sz w:val="21"/>
                <w:szCs w:val="21"/>
              </w:rPr>
              <w:t>经四路和纬一路交叉口东南侧</w:t>
            </w:r>
          </w:p>
        </w:tc>
        <w:tc>
          <w:tcPr>
            <w:tcW w:w="442" w:type="pct"/>
            <w:tcBorders>
              <w:top w:val="nil"/>
              <w:left w:val="nil"/>
              <w:bottom w:val="single" w:color="auto" w:sz="4" w:space="0"/>
              <w:right w:val="single" w:color="auto" w:sz="4" w:space="0"/>
            </w:tcBorders>
            <w:shd w:val="clear" w:color="auto" w:fill="auto"/>
            <w:vAlign w:val="center"/>
          </w:tcPr>
          <w:p w14:paraId="5F80A535">
            <w:pPr>
              <w:spacing w:line="240" w:lineRule="auto"/>
              <w:ind w:firstLine="0" w:firstLineChars="0"/>
              <w:jc w:val="center"/>
              <w:rPr>
                <w:rFonts w:cs="Times New Roman"/>
                <w:sz w:val="21"/>
                <w:szCs w:val="21"/>
              </w:rPr>
            </w:pPr>
            <w:r>
              <w:rPr>
                <w:rFonts w:cs="Times New Roman"/>
                <w:sz w:val="21"/>
                <w:szCs w:val="21"/>
              </w:rPr>
              <w:t>3</w:t>
            </w:r>
          </w:p>
        </w:tc>
        <w:tc>
          <w:tcPr>
            <w:tcW w:w="534" w:type="pct"/>
            <w:tcBorders>
              <w:top w:val="nil"/>
              <w:left w:val="nil"/>
              <w:bottom w:val="single" w:color="auto" w:sz="4" w:space="0"/>
              <w:right w:val="single" w:color="auto" w:sz="4" w:space="0"/>
            </w:tcBorders>
            <w:shd w:val="clear" w:color="auto" w:fill="auto"/>
            <w:vAlign w:val="center"/>
          </w:tcPr>
          <w:p w14:paraId="428891FB">
            <w:pPr>
              <w:spacing w:line="240" w:lineRule="auto"/>
              <w:ind w:firstLine="0" w:firstLineChars="0"/>
              <w:jc w:val="center"/>
              <w:rPr>
                <w:rFonts w:cs="Times New Roman"/>
                <w:sz w:val="21"/>
                <w:szCs w:val="21"/>
              </w:rPr>
            </w:pPr>
            <w:r>
              <w:rPr>
                <w:rFonts w:cs="Times New Roman"/>
                <w:sz w:val="21"/>
                <w:szCs w:val="21"/>
              </w:rPr>
              <w:t xml:space="preserve">0.50 </w:t>
            </w:r>
          </w:p>
        </w:tc>
        <w:tc>
          <w:tcPr>
            <w:tcW w:w="380" w:type="pct"/>
            <w:tcBorders>
              <w:top w:val="nil"/>
              <w:left w:val="nil"/>
              <w:bottom w:val="single" w:color="auto" w:sz="4" w:space="0"/>
              <w:right w:val="single" w:color="auto" w:sz="4" w:space="0"/>
            </w:tcBorders>
            <w:shd w:val="clear" w:color="auto" w:fill="auto"/>
            <w:vAlign w:val="center"/>
          </w:tcPr>
          <w:p w14:paraId="6BB142D5">
            <w:pPr>
              <w:spacing w:line="240" w:lineRule="auto"/>
              <w:ind w:firstLine="0" w:firstLineChars="0"/>
              <w:jc w:val="center"/>
              <w:rPr>
                <w:rFonts w:cs="Times New Roman"/>
                <w:sz w:val="21"/>
                <w:szCs w:val="21"/>
              </w:rPr>
            </w:pPr>
            <w:r>
              <w:rPr>
                <w:rFonts w:cs="Times New Roman"/>
                <w:sz w:val="21"/>
                <w:szCs w:val="21"/>
              </w:rPr>
              <w:t xml:space="preserve">1.49 </w:t>
            </w:r>
          </w:p>
        </w:tc>
        <w:tc>
          <w:tcPr>
            <w:tcW w:w="343" w:type="pct"/>
            <w:tcBorders>
              <w:top w:val="nil"/>
              <w:left w:val="nil"/>
              <w:bottom w:val="single" w:color="auto" w:sz="4" w:space="0"/>
              <w:right w:val="single" w:color="auto" w:sz="4" w:space="0"/>
            </w:tcBorders>
            <w:shd w:val="clear" w:color="auto" w:fill="auto"/>
            <w:vAlign w:val="center"/>
          </w:tcPr>
          <w:p w14:paraId="0DB3B1C5">
            <w:pPr>
              <w:spacing w:line="240" w:lineRule="auto"/>
              <w:ind w:firstLine="0" w:firstLineChars="0"/>
              <w:jc w:val="center"/>
              <w:rPr>
                <w:rFonts w:cs="Times New Roman"/>
                <w:sz w:val="21"/>
                <w:szCs w:val="21"/>
              </w:rPr>
            </w:pPr>
            <w:r>
              <w:rPr>
                <w:rFonts w:cs="Times New Roman"/>
                <w:sz w:val="21"/>
                <w:szCs w:val="21"/>
              </w:rPr>
              <w:t>1</w:t>
            </w:r>
          </w:p>
        </w:tc>
        <w:tc>
          <w:tcPr>
            <w:tcW w:w="893" w:type="pct"/>
            <w:tcBorders>
              <w:top w:val="nil"/>
              <w:left w:val="nil"/>
              <w:bottom w:val="single" w:color="auto" w:sz="4" w:space="0"/>
              <w:right w:val="single" w:color="auto" w:sz="4" w:space="0"/>
            </w:tcBorders>
            <w:vAlign w:val="center"/>
          </w:tcPr>
          <w:p w14:paraId="77F78479">
            <w:pPr>
              <w:spacing w:line="240" w:lineRule="auto"/>
              <w:ind w:firstLine="0" w:firstLineChars="0"/>
              <w:jc w:val="center"/>
              <w:rPr>
                <w:rFonts w:cs="Times New Roman"/>
                <w:sz w:val="21"/>
                <w:szCs w:val="21"/>
              </w:rPr>
            </w:pPr>
            <w:r>
              <w:rPr>
                <w:rFonts w:cs="Times New Roman"/>
                <w:sz w:val="21"/>
                <w:szCs w:val="21"/>
              </w:rPr>
              <w:t>110.104538395</w:t>
            </w:r>
            <w:r>
              <w:rPr>
                <w:rFonts w:hint="eastAsia" w:cs="Times New Roman"/>
                <w:sz w:val="21"/>
                <w:szCs w:val="21"/>
              </w:rPr>
              <w:t>°</w:t>
            </w:r>
          </w:p>
        </w:tc>
        <w:tc>
          <w:tcPr>
            <w:tcW w:w="902" w:type="pct"/>
            <w:tcBorders>
              <w:top w:val="nil"/>
              <w:left w:val="nil"/>
              <w:bottom w:val="single" w:color="auto" w:sz="4" w:space="0"/>
              <w:right w:val="single" w:color="auto" w:sz="4" w:space="0"/>
            </w:tcBorders>
            <w:vAlign w:val="center"/>
          </w:tcPr>
          <w:p w14:paraId="7C7C0695">
            <w:pPr>
              <w:spacing w:line="240" w:lineRule="auto"/>
              <w:ind w:firstLine="0" w:firstLineChars="0"/>
              <w:jc w:val="center"/>
              <w:rPr>
                <w:rFonts w:cs="Times New Roman"/>
                <w:sz w:val="21"/>
                <w:szCs w:val="21"/>
              </w:rPr>
            </w:pPr>
            <w:r>
              <w:rPr>
                <w:rFonts w:cs="Times New Roman"/>
                <w:sz w:val="21"/>
                <w:szCs w:val="21"/>
              </w:rPr>
              <w:t>40.969987167</w:t>
            </w:r>
            <w:r>
              <w:rPr>
                <w:rFonts w:hint="eastAsia" w:cs="Times New Roman"/>
                <w:sz w:val="21"/>
                <w:szCs w:val="21"/>
              </w:rPr>
              <w:t>°</w:t>
            </w:r>
          </w:p>
        </w:tc>
      </w:tr>
      <w:tr w14:paraId="292D8C30">
        <w:tblPrEx>
          <w:tblCellMar>
            <w:top w:w="0" w:type="dxa"/>
            <w:left w:w="108" w:type="dxa"/>
            <w:bottom w:w="0" w:type="dxa"/>
            <w:right w:w="108" w:type="dxa"/>
          </w:tblCellMar>
        </w:tblPrEx>
        <w:trPr>
          <w:trHeight w:val="397" w:hRule="atLeast"/>
          <w:jc w:val="center"/>
        </w:trPr>
        <w:tc>
          <w:tcPr>
            <w:tcW w:w="235" w:type="pct"/>
            <w:vMerge w:val="continue"/>
            <w:tcBorders>
              <w:top w:val="nil"/>
              <w:left w:val="single" w:color="auto" w:sz="4" w:space="0"/>
              <w:bottom w:val="single" w:color="auto" w:sz="4" w:space="0"/>
              <w:right w:val="single" w:color="auto" w:sz="4" w:space="0"/>
            </w:tcBorders>
            <w:vAlign w:val="center"/>
          </w:tcPr>
          <w:p w14:paraId="108F692C">
            <w:pPr>
              <w:spacing w:line="240" w:lineRule="auto"/>
              <w:ind w:firstLine="0" w:firstLineChars="0"/>
              <w:jc w:val="left"/>
              <w:rPr>
                <w:rFonts w:cs="Times New Roman"/>
                <w:sz w:val="21"/>
                <w:szCs w:val="21"/>
              </w:rPr>
            </w:pPr>
          </w:p>
        </w:tc>
        <w:tc>
          <w:tcPr>
            <w:tcW w:w="351" w:type="pct"/>
            <w:vMerge w:val="continue"/>
            <w:tcBorders>
              <w:top w:val="nil"/>
              <w:left w:val="single" w:color="auto" w:sz="4" w:space="0"/>
              <w:bottom w:val="single" w:color="auto" w:sz="4" w:space="0"/>
              <w:right w:val="single" w:color="auto" w:sz="4" w:space="0"/>
            </w:tcBorders>
            <w:vAlign w:val="center"/>
          </w:tcPr>
          <w:p w14:paraId="0466F734">
            <w:pPr>
              <w:spacing w:line="240" w:lineRule="auto"/>
              <w:ind w:firstLine="0" w:firstLineChars="0"/>
              <w:jc w:val="left"/>
              <w:rPr>
                <w:rFonts w:cs="Times New Roman"/>
                <w:sz w:val="21"/>
                <w:szCs w:val="21"/>
              </w:rPr>
            </w:pPr>
          </w:p>
        </w:tc>
        <w:tc>
          <w:tcPr>
            <w:tcW w:w="235" w:type="pct"/>
            <w:tcBorders>
              <w:top w:val="nil"/>
              <w:left w:val="nil"/>
              <w:bottom w:val="single" w:color="auto" w:sz="4" w:space="0"/>
              <w:right w:val="single" w:color="auto" w:sz="4" w:space="0"/>
            </w:tcBorders>
            <w:shd w:val="clear" w:color="auto" w:fill="auto"/>
            <w:vAlign w:val="center"/>
          </w:tcPr>
          <w:p w14:paraId="526C0515">
            <w:pPr>
              <w:spacing w:line="240" w:lineRule="auto"/>
              <w:ind w:firstLine="0" w:firstLineChars="0"/>
              <w:jc w:val="center"/>
              <w:rPr>
                <w:rFonts w:cs="Times New Roman"/>
                <w:sz w:val="21"/>
                <w:szCs w:val="21"/>
              </w:rPr>
            </w:pPr>
            <w:r>
              <w:rPr>
                <w:rFonts w:cs="Times New Roman"/>
                <w:sz w:val="21"/>
                <w:szCs w:val="21"/>
              </w:rPr>
              <w:t>6</w:t>
            </w:r>
          </w:p>
        </w:tc>
        <w:tc>
          <w:tcPr>
            <w:tcW w:w="685" w:type="pct"/>
            <w:tcBorders>
              <w:top w:val="nil"/>
              <w:left w:val="nil"/>
              <w:bottom w:val="single" w:color="auto" w:sz="4" w:space="0"/>
              <w:right w:val="single" w:color="auto" w:sz="4" w:space="0"/>
            </w:tcBorders>
            <w:shd w:val="clear" w:color="auto" w:fill="auto"/>
            <w:vAlign w:val="center"/>
          </w:tcPr>
          <w:p w14:paraId="75550DCA">
            <w:pPr>
              <w:spacing w:line="240" w:lineRule="auto"/>
              <w:ind w:firstLine="0" w:firstLineChars="0"/>
              <w:jc w:val="center"/>
              <w:rPr>
                <w:rFonts w:cs="Times New Roman"/>
                <w:sz w:val="21"/>
                <w:szCs w:val="21"/>
              </w:rPr>
            </w:pPr>
            <w:r>
              <w:rPr>
                <w:rFonts w:cs="Times New Roman"/>
                <w:sz w:val="21"/>
                <w:szCs w:val="21"/>
              </w:rPr>
              <w:t>纬二路东段北侧</w:t>
            </w:r>
          </w:p>
        </w:tc>
        <w:tc>
          <w:tcPr>
            <w:tcW w:w="442" w:type="pct"/>
            <w:tcBorders>
              <w:top w:val="nil"/>
              <w:left w:val="nil"/>
              <w:bottom w:val="single" w:color="auto" w:sz="4" w:space="0"/>
              <w:right w:val="single" w:color="auto" w:sz="4" w:space="0"/>
            </w:tcBorders>
            <w:shd w:val="clear" w:color="auto" w:fill="auto"/>
            <w:vAlign w:val="center"/>
          </w:tcPr>
          <w:p w14:paraId="6C091F09">
            <w:pPr>
              <w:spacing w:line="240" w:lineRule="auto"/>
              <w:ind w:firstLine="0" w:firstLineChars="0"/>
              <w:jc w:val="center"/>
              <w:rPr>
                <w:rFonts w:cs="Times New Roman"/>
                <w:sz w:val="21"/>
                <w:szCs w:val="21"/>
              </w:rPr>
            </w:pPr>
            <w:r>
              <w:rPr>
                <w:rFonts w:cs="Times New Roman"/>
                <w:sz w:val="21"/>
                <w:szCs w:val="21"/>
              </w:rPr>
              <w:t>3</w:t>
            </w:r>
          </w:p>
        </w:tc>
        <w:tc>
          <w:tcPr>
            <w:tcW w:w="534" w:type="pct"/>
            <w:tcBorders>
              <w:top w:val="nil"/>
              <w:left w:val="nil"/>
              <w:bottom w:val="single" w:color="auto" w:sz="4" w:space="0"/>
              <w:right w:val="single" w:color="auto" w:sz="4" w:space="0"/>
            </w:tcBorders>
            <w:shd w:val="clear" w:color="auto" w:fill="auto"/>
            <w:vAlign w:val="center"/>
          </w:tcPr>
          <w:p w14:paraId="637C91C3">
            <w:pPr>
              <w:spacing w:line="240" w:lineRule="auto"/>
              <w:ind w:firstLine="0" w:firstLineChars="0"/>
              <w:jc w:val="center"/>
              <w:rPr>
                <w:rFonts w:cs="Times New Roman"/>
                <w:sz w:val="21"/>
                <w:szCs w:val="21"/>
              </w:rPr>
            </w:pPr>
            <w:r>
              <w:rPr>
                <w:rFonts w:cs="Times New Roman"/>
                <w:sz w:val="21"/>
                <w:szCs w:val="21"/>
              </w:rPr>
              <w:t xml:space="preserve">0.65 </w:t>
            </w:r>
          </w:p>
        </w:tc>
        <w:tc>
          <w:tcPr>
            <w:tcW w:w="380" w:type="pct"/>
            <w:tcBorders>
              <w:top w:val="nil"/>
              <w:left w:val="nil"/>
              <w:bottom w:val="single" w:color="auto" w:sz="4" w:space="0"/>
              <w:right w:val="single" w:color="auto" w:sz="4" w:space="0"/>
            </w:tcBorders>
            <w:shd w:val="clear" w:color="auto" w:fill="auto"/>
            <w:vAlign w:val="center"/>
          </w:tcPr>
          <w:p w14:paraId="624A8B4B">
            <w:pPr>
              <w:spacing w:line="240" w:lineRule="auto"/>
              <w:ind w:firstLine="0" w:firstLineChars="0"/>
              <w:jc w:val="center"/>
              <w:rPr>
                <w:rFonts w:cs="Times New Roman"/>
                <w:sz w:val="21"/>
                <w:szCs w:val="21"/>
              </w:rPr>
            </w:pPr>
            <w:r>
              <w:rPr>
                <w:rFonts w:cs="Times New Roman"/>
                <w:sz w:val="21"/>
                <w:szCs w:val="21"/>
              </w:rPr>
              <w:t xml:space="preserve">1.95 </w:t>
            </w:r>
          </w:p>
        </w:tc>
        <w:tc>
          <w:tcPr>
            <w:tcW w:w="343" w:type="pct"/>
            <w:tcBorders>
              <w:top w:val="nil"/>
              <w:left w:val="nil"/>
              <w:bottom w:val="single" w:color="auto" w:sz="4" w:space="0"/>
              <w:right w:val="single" w:color="auto" w:sz="4" w:space="0"/>
            </w:tcBorders>
            <w:shd w:val="clear" w:color="auto" w:fill="auto"/>
            <w:vAlign w:val="center"/>
          </w:tcPr>
          <w:p w14:paraId="63C1AC3A">
            <w:pPr>
              <w:spacing w:line="240" w:lineRule="auto"/>
              <w:ind w:firstLine="0" w:firstLineChars="0"/>
              <w:jc w:val="center"/>
              <w:rPr>
                <w:rFonts w:cs="Times New Roman"/>
                <w:sz w:val="21"/>
                <w:szCs w:val="21"/>
              </w:rPr>
            </w:pPr>
            <w:r>
              <w:rPr>
                <w:rFonts w:cs="Times New Roman"/>
                <w:sz w:val="21"/>
                <w:szCs w:val="21"/>
              </w:rPr>
              <w:t>1</w:t>
            </w:r>
          </w:p>
        </w:tc>
        <w:tc>
          <w:tcPr>
            <w:tcW w:w="893" w:type="pct"/>
            <w:tcBorders>
              <w:top w:val="nil"/>
              <w:left w:val="nil"/>
              <w:bottom w:val="single" w:color="auto" w:sz="4" w:space="0"/>
              <w:right w:val="single" w:color="auto" w:sz="4" w:space="0"/>
            </w:tcBorders>
            <w:vAlign w:val="center"/>
          </w:tcPr>
          <w:p w14:paraId="7830F6E5">
            <w:pPr>
              <w:spacing w:line="240" w:lineRule="auto"/>
              <w:ind w:firstLine="0" w:firstLineChars="0"/>
              <w:jc w:val="center"/>
              <w:rPr>
                <w:rFonts w:cs="Times New Roman"/>
                <w:sz w:val="21"/>
                <w:szCs w:val="21"/>
              </w:rPr>
            </w:pPr>
            <w:r>
              <w:rPr>
                <w:rFonts w:cs="Times New Roman"/>
                <w:sz w:val="21"/>
                <w:szCs w:val="21"/>
              </w:rPr>
              <w:t>110.117327168</w:t>
            </w:r>
            <w:r>
              <w:rPr>
                <w:rFonts w:hint="eastAsia" w:cs="Times New Roman"/>
                <w:sz w:val="21"/>
                <w:szCs w:val="21"/>
              </w:rPr>
              <w:t>°</w:t>
            </w:r>
          </w:p>
        </w:tc>
        <w:tc>
          <w:tcPr>
            <w:tcW w:w="902" w:type="pct"/>
            <w:tcBorders>
              <w:top w:val="nil"/>
              <w:left w:val="nil"/>
              <w:bottom w:val="single" w:color="auto" w:sz="4" w:space="0"/>
              <w:right w:val="single" w:color="auto" w:sz="4" w:space="0"/>
            </w:tcBorders>
            <w:vAlign w:val="center"/>
          </w:tcPr>
          <w:p w14:paraId="77A89501">
            <w:pPr>
              <w:spacing w:line="240" w:lineRule="auto"/>
              <w:ind w:firstLine="0" w:firstLineChars="0"/>
              <w:jc w:val="center"/>
              <w:rPr>
                <w:rFonts w:cs="Times New Roman"/>
                <w:sz w:val="21"/>
                <w:szCs w:val="21"/>
              </w:rPr>
            </w:pPr>
            <w:r>
              <w:rPr>
                <w:rFonts w:cs="Times New Roman"/>
                <w:sz w:val="21"/>
                <w:szCs w:val="21"/>
              </w:rPr>
              <w:t>40.963506950</w:t>
            </w:r>
            <w:r>
              <w:rPr>
                <w:rFonts w:hint="eastAsia" w:cs="Times New Roman"/>
                <w:sz w:val="21"/>
                <w:szCs w:val="21"/>
              </w:rPr>
              <w:t>°</w:t>
            </w:r>
          </w:p>
        </w:tc>
      </w:tr>
      <w:tr w14:paraId="1248E245">
        <w:tblPrEx>
          <w:tblCellMar>
            <w:top w:w="0" w:type="dxa"/>
            <w:left w:w="108" w:type="dxa"/>
            <w:bottom w:w="0" w:type="dxa"/>
            <w:right w:w="108" w:type="dxa"/>
          </w:tblCellMar>
        </w:tblPrEx>
        <w:trPr>
          <w:trHeight w:val="397" w:hRule="atLeast"/>
          <w:jc w:val="center"/>
        </w:trPr>
        <w:tc>
          <w:tcPr>
            <w:tcW w:w="235" w:type="pct"/>
            <w:vMerge w:val="continue"/>
            <w:tcBorders>
              <w:top w:val="nil"/>
              <w:left w:val="single" w:color="auto" w:sz="4" w:space="0"/>
              <w:bottom w:val="single" w:color="auto" w:sz="4" w:space="0"/>
              <w:right w:val="single" w:color="auto" w:sz="4" w:space="0"/>
            </w:tcBorders>
            <w:vAlign w:val="center"/>
          </w:tcPr>
          <w:p w14:paraId="0634936A">
            <w:pPr>
              <w:spacing w:line="240" w:lineRule="auto"/>
              <w:ind w:firstLine="0" w:firstLineChars="0"/>
              <w:jc w:val="left"/>
              <w:rPr>
                <w:rFonts w:cs="Times New Roman"/>
                <w:sz w:val="21"/>
                <w:szCs w:val="21"/>
              </w:rPr>
            </w:pPr>
          </w:p>
        </w:tc>
        <w:tc>
          <w:tcPr>
            <w:tcW w:w="351" w:type="pct"/>
            <w:vMerge w:val="continue"/>
            <w:tcBorders>
              <w:top w:val="nil"/>
              <w:left w:val="single" w:color="auto" w:sz="4" w:space="0"/>
              <w:bottom w:val="single" w:color="auto" w:sz="4" w:space="0"/>
              <w:right w:val="single" w:color="auto" w:sz="4" w:space="0"/>
            </w:tcBorders>
            <w:vAlign w:val="center"/>
          </w:tcPr>
          <w:p w14:paraId="2201FF38">
            <w:pPr>
              <w:spacing w:line="240" w:lineRule="auto"/>
              <w:ind w:firstLine="0" w:firstLineChars="0"/>
              <w:jc w:val="left"/>
              <w:rPr>
                <w:rFonts w:cs="Times New Roman"/>
                <w:sz w:val="21"/>
                <w:szCs w:val="21"/>
              </w:rPr>
            </w:pPr>
          </w:p>
        </w:tc>
        <w:tc>
          <w:tcPr>
            <w:tcW w:w="235" w:type="pct"/>
            <w:tcBorders>
              <w:top w:val="nil"/>
              <w:left w:val="nil"/>
              <w:bottom w:val="single" w:color="auto" w:sz="4" w:space="0"/>
              <w:right w:val="single" w:color="auto" w:sz="4" w:space="0"/>
            </w:tcBorders>
            <w:shd w:val="clear" w:color="auto" w:fill="auto"/>
            <w:vAlign w:val="center"/>
          </w:tcPr>
          <w:p w14:paraId="5E62CBCB">
            <w:pPr>
              <w:spacing w:line="240" w:lineRule="auto"/>
              <w:ind w:firstLine="0" w:firstLineChars="0"/>
              <w:jc w:val="center"/>
              <w:rPr>
                <w:rFonts w:cs="Times New Roman"/>
                <w:sz w:val="21"/>
                <w:szCs w:val="21"/>
              </w:rPr>
            </w:pPr>
            <w:r>
              <w:rPr>
                <w:rFonts w:cs="Times New Roman"/>
                <w:sz w:val="21"/>
                <w:szCs w:val="21"/>
              </w:rPr>
              <w:t>7</w:t>
            </w:r>
          </w:p>
        </w:tc>
        <w:tc>
          <w:tcPr>
            <w:tcW w:w="685" w:type="pct"/>
            <w:tcBorders>
              <w:top w:val="nil"/>
              <w:left w:val="nil"/>
              <w:bottom w:val="single" w:color="auto" w:sz="4" w:space="0"/>
              <w:right w:val="single" w:color="auto" w:sz="4" w:space="0"/>
            </w:tcBorders>
            <w:shd w:val="clear" w:color="auto" w:fill="auto"/>
            <w:vAlign w:val="center"/>
          </w:tcPr>
          <w:p w14:paraId="3B9A3040">
            <w:pPr>
              <w:spacing w:line="240" w:lineRule="auto"/>
              <w:ind w:firstLine="0" w:firstLineChars="0"/>
              <w:jc w:val="center"/>
              <w:rPr>
                <w:rFonts w:cs="Times New Roman"/>
                <w:sz w:val="21"/>
                <w:szCs w:val="21"/>
              </w:rPr>
            </w:pPr>
            <w:r>
              <w:rPr>
                <w:rFonts w:cs="Times New Roman"/>
                <w:sz w:val="21"/>
                <w:szCs w:val="21"/>
              </w:rPr>
              <w:t>经二路和纬一路交叉口东南侧</w:t>
            </w:r>
          </w:p>
        </w:tc>
        <w:tc>
          <w:tcPr>
            <w:tcW w:w="442" w:type="pct"/>
            <w:tcBorders>
              <w:top w:val="nil"/>
              <w:left w:val="nil"/>
              <w:bottom w:val="single" w:color="auto" w:sz="4" w:space="0"/>
              <w:right w:val="single" w:color="auto" w:sz="4" w:space="0"/>
            </w:tcBorders>
            <w:shd w:val="clear" w:color="auto" w:fill="auto"/>
            <w:vAlign w:val="center"/>
          </w:tcPr>
          <w:p w14:paraId="60B22EB8">
            <w:pPr>
              <w:spacing w:line="240" w:lineRule="auto"/>
              <w:ind w:firstLine="0" w:firstLineChars="0"/>
              <w:jc w:val="center"/>
              <w:rPr>
                <w:rFonts w:cs="Times New Roman"/>
                <w:sz w:val="21"/>
                <w:szCs w:val="21"/>
              </w:rPr>
            </w:pPr>
            <w:r>
              <w:rPr>
                <w:rFonts w:cs="Times New Roman"/>
                <w:sz w:val="21"/>
                <w:szCs w:val="21"/>
              </w:rPr>
              <w:t>3</w:t>
            </w:r>
          </w:p>
        </w:tc>
        <w:tc>
          <w:tcPr>
            <w:tcW w:w="534" w:type="pct"/>
            <w:tcBorders>
              <w:top w:val="nil"/>
              <w:left w:val="nil"/>
              <w:bottom w:val="single" w:color="auto" w:sz="4" w:space="0"/>
              <w:right w:val="single" w:color="auto" w:sz="4" w:space="0"/>
            </w:tcBorders>
            <w:shd w:val="clear" w:color="auto" w:fill="auto"/>
            <w:vAlign w:val="center"/>
          </w:tcPr>
          <w:p w14:paraId="2F0834BF">
            <w:pPr>
              <w:spacing w:line="240" w:lineRule="auto"/>
              <w:ind w:firstLine="0" w:firstLineChars="0"/>
              <w:jc w:val="center"/>
              <w:rPr>
                <w:rFonts w:cs="Times New Roman"/>
                <w:sz w:val="21"/>
                <w:szCs w:val="21"/>
              </w:rPr>
            </w:pPr>
            <w:r>
              <w:rPr>
                <w:rFonts w:cs="Times New Roman"/>
                <w:sz w:val="21"/>
                <w:szCs w:val="21"/>
              </w:rPr>
              <w:t xml:space="preserve">0.29 </w:t>
            </w:r>
          </w:p>
        </w:tc>
        <w:tc>
          <w:tcPr>
            <w:tcW w:w="380" w:type="pct"/>
            <w:tcBorders>
              <w:top w:val="nil"/>
              <w:left w:val="nil"/>
              <w:bottom w:val="single" w:color="auto" w:sz="4" w:space="0"/>
              <w:right w:val="single" w:color="auto" w:sz="4" w:space="0"/>
            </w:tcBorders>
            <w:shd w:val="clear" w:color="auto" w:fill="auto"/>
            <w:vAlign w:val="center"/>
          </w:tcPr>
          <w:p w14:paraId="2244B741">
            <w:pPr>
              <w:spacing w:line="240" w:lineRule="auto"/>
              <w:ind w:firstLine="0" w:firstLineChars="0"/>
              <w:jc w:val="center"/>
              <w:rPr>
                <w:rFonts w:cs="Times New Roman"/>
                <w:sz w:val="21"/>
                <w:szCs w:val="21"/>
              </w:rPr>
            </w:pPr>
            <w:r>
              <w:rPr>
                <w:rFonts w:cs="Times New Roman"/>
                <w:sz w:val="21"/>
                <w:szCs w:val="21"/>
              </w:rPr>
              <w:t xml:space="preserve">0.86 </w:t>
            </w:r>
          </w:p>
        </w:tc>
        <w:tc>
          <w:tcPr>
            <w:tcW w:w="343" w:type="pct"/>
            <w:tcBorders>
              <w:top w:val="nil"/>
              <w:left w:val="nil"/>
              <w:bottom w:val="single" w:color="auto" w:sz="4" w:space="0"/>
              <w:right w:val="single" w:color="auto" w:sz="4" w:space="0"/>
            </w:tcBorders>
            <w:shd w:val="clear" w:color="auto" w:fill="auto"/>
            <w:vAlign w:val="center"/>
          </w:tcPr>
          <w:p w14:paraId="5E92E531">
            <w:pPr>
              <w:spacing w:line="240" w:lineRule="auto"/>
              <w:ind w:firstLine="0" w:firstLineChars="0"/>
              <w:jc w:val="center"/>
              <w:rPr>
                <w:rFonts w:cs="Times New Roman"/>
                <w:sz w:val="21"/>
                <w:szCs w:val="21"/>
              </w:rPr>
            </w:pPr>
            <w:r>
              <w:rPr>
                <w:rFonts w:cs="Times New Roman"/>
                <w:sz w:val="21"/>
                <w:szCs w:val="21"/>
              </w:rPr>
              <w:t>1</w:t>
            </w:r>
          </w:p>
        </w:tc>
        <w:tc>
          <w:tcPr>
            <w:tcW w:w="893" w:type="pct"/>
            <w:tcBorders>
              <w:top w:val="nil"/>
              <w:left w:val="nil"/>
              <w:bottom w:val="single" w:color="auto" w:sz="4" w:space="0"/>
              <w:right w:val="single" w:color="auto" w:sz="4" w:space="0"/>
            </w:tcBorders>
            <w:vAlign w:val="center"/>
          </w:tcPr>
          <w:p w14:paraId="649E0D9E">
            <w:pPr>
              <w:spacing w:line="240" w:lineRule="auto"/>
              <w:ind w:firstLine="0" w:firstLineChars="0"/>
              <w:jc w:val="center"/>
              <w:rPr>
                <w:rFonts w:cs="Times New Roman"/>
                <w:sz w:val="21"/>
                <w:szCs w:val="21"/>
              </w:rPr>
            </w:pPr>
            <w:r>
              <w:rPr>
                <w:rFonts w:cs="Times New Roman"/>
                <w:sz w:val="21"/>
                <w:szCs w:val="21"/>
              </w:rPr>
              <w:t>110.075516894</w:t>
            </w:r>
            <w:r>
              <w:rPr>
                <w:rFonts w:hint="eastAsia" w:cs="Times New Roman"/>
                <w:sz w:val="21"/>
                <w:szCs w:val="21"/>
              </w:rPr>
              <w:t>°</w:t>
            </w:r>
          </w:p>
        </w:tc>
        <w:tc>
          <w:tcPr>
            <w:tcW w:w="902" w:type="pct"/>
            <w:tcBorders>
              <w:top w:val="nil"/>
              <w:left w:val="nil"/>
              <w:bottom w:val="single" w:color="auto" w:sz="4" w:space="0"/>
              <w:right w:val="single" w:color="auto" w:sz="4" w:space="0"/>
            </w:tcBorders>
            <w:vAlign w:val="center"/>
          </w:tcPr>
          <w:p w14:paraId="4F2E8426">
            <w:pPr>
              <w:spacing w:line="240" w:lineRule="auto"/>
              <w:ind w:firstLine="0" w:firstLineChars="0"/>
              <w:jc w:val="center"/>
              <w:rPr>
                <w:rFonts w:cs="Times New Roman"/>
                <w:sz w:val="21"/>
                <w:szCs w:val="21"/>
              </w:rPr>
            </w:pPr>
            <w:r>
              <w:rPr>
                <w:rFonts w:cs="Times New Roman"/>
                <w:sz w:val="21"/>
                <w:szCs w:val="21"/>
              </w:rPr>
              <w:t>40.974353803</w:t>
            </w:r>
            <w:r>
              <w:rPr>
                <w:rFonts w:hint="eastAsia" w:cs="Times New Roman"/>
                <w:sz w:val="21"/>
                <w:szCs w:val="21"/>
              </w:rPr>
              <w:t>°</w:t>
            </w:r>
          </w:p>
        </w:tc>
      </w:tr>
      <w:tr w14:paraId="51295ACC">
        <w:tblPrEx>
          <w:tblCellMar>
            <w:top w:w="0" w:type="dxa"/>
            <w:left w:w="108" w:type="dxa"/>
            <w:bottom w:w="0" w:type="dxa"/>
            <w:right w:w="108" w:type="dxa"/>
          </w:tblCellMar>
        </w:tblPrEx>
        <w:trPr>
          <w:trHeight w:val="397" w:hRule="atLeast"/>
          <w:jc w:val="center"/>
        </w:trPr>
        <w:tc>
          <w:tcPr>
            <w:tcW w:w="235" w:type="pct"/>
            <w:vMerge w:val="continue"/>
            <w:tcBorders>
              <w:top w:val="nil"/>
              <w:left w:val="single" w:color="auto" w:sz="4" w:space="0"/>
              <w:bottom w:val="single" w:color="auto" w:sz="4" w:space="0"/>
              <w:right w:val="single" w:color="auto" w:sz="4" w:space="0"/>
            </w:tcBorders>
            <w:vAlign w:val="center"/>
          </w:tcPr>
          <w:p w14:paraId="16E01DBD">
            <w:pPr>
              <w:spacing w:line="240" w:lineRule="auto"/>
              <w:ind w:firstLine="0" w:firstLineChars="0"/>
              <w:jc w:val="left"/>
              <w:rPr>
                <w:rFonts w:cs="Times New Roman"/>
                <w:sz w:val="21"/>
                <w:szCs w:val="21"/>
              </w:rPr>
            </w:pPr>
          </w:p>
        </w:tc>
        <w:tc>
          <w:tcPr>
            <w:tcW w:w="351" w:type="pct"/>
            <w:tcBorders>
              <w:top w:val="nil"/>
              <w:left w:val="nil"/>
              <w:bottom w:val="single" w:color="auto" w:sz="4" w:space="0"/>
              <w:right w:val="single" w:color="auto" w:sz="4" w:space="0"/>
            </w:tcBorders>
            <w:shd w:val="clear" w:color="auto" w:fill="auto"/>
            <w:vAlign w:val="center"/>
          </w:tcPr>
          <w:p w14:paraId="12D16640">
            <w:pPr>
              <w:spacing w:line="240" w:lineRule="auto"/>
              <w:ind w:firstLine="0" w:firstLineChars="0"/>
              <w:jc w:val="center"/>
              <w:rPr>
                <w:rFonts w:cs="Times New Roman"/>
                <w:sz w:val="21"/>
                <w:szCs w:val="21"/>
              </w:rPr>
            </w:pPr>
            <w:r>
              <w:rPr>
                <w:rFonts w:cs="Times New Roman"/>
                <w:sz w:val="21"/>
                <w:szCs w:val="21"/>
              </w:rPr>
              <w:t>小计</w:t>
            </w:r>
          </w:p>
        </w:tc>
        <w:tc>
          <w:tcPr>
            <w:tcW w:w="235" w:type="pct"/>
            <w:tcBorders>
              <w:top w:val="nil"/>
              <w:left w:val="nil"/>
              <w:bottom w:val="single" w:color="auto" w:sz="4" w:space="0"/>
              <w:right w:val="single" w:color="auto" w:sz="4" w:space="0"/>
            </w:tcBorders>
            <w:shd w:val="clear" w:color="auto" w:fill="auto"/>
            <w:vAlign w:val="center"/>
          </w:tcPr>
          <w:p w14:paraId="56D1F80F">
            <w:pPr>
              <w:spacing w:line="240" w:lineRule="auto"/>
              <w:ind w:firstLine="0" w:firstLineChars="0"/>
              <w:jc w:val="center"/>
              <w:rPr>
                <w:rFonts w:cs="Times New Roman"/>
                <w:sz w:val="21"/>
                <w:szCs w:val="21"/>
              </w:rPr>
            </w:pPr>
            <w:r>
              <w:rPr>
                <w:rFonts w:cs="Times New Roman"/>
                <w:sz w:val="21"/>
                <w:szCs w:val="21"/>
              </w:rPr>
              <w:t>　</w:t>
            </w:r>
          </w:p>
        </w:tc>
        <w:tc>
          <w:tcPr>
            <w:tcW w:w="685" w:type="pct"/>
            <w:tcBorders>
              <w:top w:val="nil"/>
              <w:left w:val="nil"/>
              <w:bottom w:val="single" w:color="auto" w:sz="4" w:space="0"/>
              <w:right w:val="single" w:color="auto" w:sz="4" w:space="0"/>
            </w:tcBorders>
            <w:shd w:val="clear" w:color="auto" w:fill="auto"/>
            <w:vAlign w:val="center"/>
          </w:tcPr>
          <w:p w14:paraId="0AEDA154">
            <w:pPr>
              <w:spacing w:line="240" w:lineRule="auto"/>
              <w:ind w:firstLine="0" w:firstLineChars="0"/>
              <w:jc w:val="center"/>
              <w:rPr>
                <w:rFonts w:cs="Times New Roman"/>
                <w:sz w:val="21"/>
                <w:szCs w:val="21"/>
              </w:rPr>
            </w:pPr>
            <w:r>
              <w:rPr>
                <w:rFonts w:cs="Times New Roman"/>
                <w:sz w:val="21"/>
                <w:szCs w:val="21"/>
              </w:rPr>
              <w:t>　</w:t>
            </w:r>
          </w:p>
        </w:tc>
        <w:tc>
          <w:tcPr>
            <w:tcW w:w="442" w:type="pct"/>
            <w:tcBorders>
              <w:top w:val="nil"/>
              <w:left w:val="nil"/>
              <w:bottom w:val="single" w:color="auto" w:sz="4" w:space="0"/>
              <w:right w:val="single" w:color="auto" w:sz="4" w:space="0"/>
            </w:tcBorders>
            <w:shd w:val="clear" w:color="auto" w:fill="auto"/>
            <w:vAlign w:val="center"/>
          </w:tcPr>
          <w:p w14:paraId="78D0428C">
            <w:pPr>
              <w:spacing w:line="240" w:lineRule="auto"/>
              <w:ind w:firstLine="0" w:firstLineChars="0"/>
              <w:jc w:val="center"/>
              <w:rPr>
                <w:rFonts w:cs="Times New Roman"/>
                <w:sz w:val="21"/>
                <w:szCs w:val="21"/>
              </w:rPr>
            </w:pPr>
            <w:r>
              <w:rPr>
                <w:rFonts w:cs="Times New Roman"/>
                <w:sz w:val="21"/>
                <w:szCs w:val="21"/>
              </w:rPr>
              <w:t>　</w:t>
            </w:r>
          </w:p>
        </w:tc>
        <w:tc>
          <w:tcPr>
            <w:tcW w:w="534" w:type="pct"/>
            <w:tcBorders>
              <w:top w:val="nil"/>
              <w:left w:val="nil"/>
              <w:bottom w:val="single" w:color="auto" w:sz="4" w:space="0"/>
              <w:right w:val="single" w:color="auto" w:sz="4" w:space="0"/>
            </w:tcBorders>
            <w:shd w:val="clear" w:color="auto" w:fill="auto"/>
            <w:vAlign w:val="center"/>
          </w:tcPr>
          <w:p w14:paraId="7EC078D4">
            <w:pPr>
              <w:spacing w:line="240" w:lineRule="auto"/>
              <w:ind w:firstLine="0" w:firstLineChars="0"/>
              <w:jc w:val="center"/>
              <w:rPr>
                <w:rFonts w:cs="Times New Roman"/>
                <w:sz w:val="21"/>
                <w:szCs w:val="21"/>
              </w:rPr>
            </w:pPr>
            <w:r>
              <w:rPr>
                <w:rFonts w:cs="Times New Roman"/>
                <w:sz w:val="21"/>
                <w:szCs w:val="21"/>
              </w:rPr>
              <w:t xml:space="preserve">2.57 </w:t>
            </w:r>
          </w:p>
        </w:tc>
        <w:tc>
          <w:tcPr>
            <w:tcW w:w="380" w:type="pct"/>
            <w:tcBorders>
              <w:top w:val="nil"/>
              <w:left w:val="nil"/>
              <w:bottom w:val="single" w:color="auto" w:sz="4" w:space="0"/>
              <w:right w:val="single" w:color="auto" w:sz="4" w:space="0"/>
            </w:tcBorders>
            <w:shd w:val="clear" w:color="auto" w:fill="auto"/>
            <w:vAlign w:val="center"/>
          </w:tcPr>
          <w:p w14:paraId="58C913A4">
            <w:pPr>
              <w:spacing w:line="240" w:lineRule="auto"/>
              <w:ind w:firstLine="0" w:firstLineChars="0"/>
              <w:jc w:val="center"/>
              <w:rPr>
                <w:rFonts w:cs="Times New Roman"/>
                <w:sz w:val="21"/>
                <w:szCs w:val="21"/>
              </w:rPr>
            </w:pPr>
            <w:r>
              <w:rPr>
                <w:rFonts w:cs="Times New Roman"/>
                <w:sz w:val="21"/>
                <w:szCs w:val="21"/>
              </w:rPr>
              <w:t xml:space="preserve">7.70 </w:t>
            </w:r>
          </w:p>
        </w:tc>
        <w:tc>
          <w:tcPr>
            <w:tcW w:w="343" w:type="pct"/>
            <w:tcBorders>
              <w:top w:val="nil"/>
              <w:left w:val="nil"/>
              <w:bottom w:val="single" w:color="auto" w:sz="4" w:space="0"/>
              <w:right w:val="single" w:color="auto" w:sz="4" w:space="0"/>
            </w:tcBorders>
            <w:shd w:val="clear" w:color="auto" w:fill="auto"/>
            <w:vAlign w:val="center"/>
          </w:tcPr>
          <w:p w14:paraId="2F92F8D1">
            <w:pPr>
              <w:spacing w:line="240" w:lineRule="auto"/>
              <w:ind w:firstLine="0" w:firstLineChars="0"/>
              <w:jc w:val="center"/>
              <w:rPr>
                <w:rFonts w:cs="Times New Roman"/>
                <w:sz w:val="21"/>
                <w:szCs w:val="21"/>
              </w:rPr>
            </w:pPr>
            <w:r>
              <w:rPr>
                <w:rFonts w:cs="Times New Roman"/>
                <w:sz w:val="21"/>
                <w:szCs w:val="21"/>
              </w:rPr>
              <w:t>　</w:t>
            </w:r>
          </w:p>
        </w:tc>
        <w:tc>
          <w:tcPr>
            <w:tcW w:w="893" w:type="pct"/>
            <w:tcBorders>
              <w:top w:val="nil"/>
              <w:left w:val="nil"/>
              <w:bottom w:val="single" w:color="auto" w:sz="4" w:space="0"/>
              <w:right w:val="single" w:color="auto" w:sz="4" w:space="0"/>
            </w:tcBorders>
            <w:vAlign w:val="center"/>
          </w:tcPr>
          <w:p w14:paraId="06ADA924">
            <w:pPr>
              <w:spacing w:line="240" w:lineRule="auto"/>
              <w:ind w:firstLine="0" w:firstLineChars="0"/>
              <w:jc w:val="center"/>
              <w:rPr>
                <w:rFonts w:cs="Times New Roman"/>
                <w:sz w:val="21"/>
                <w:szCs w:val="21"/>
              </w:rPr>
            </w:pPr>
          </w:p>
        </w:tc>
        <w:tc>
          <w:tcPr>
            <w:tcW w:w="902" w:type="pct"/>
            <w:tcBorders>
              <w:top w:val="nil"/>
              <w:left w:val="nil"/>
              <w:bottom w:val="single" w:color="auto" w:sz="4" w:space="0"/>
              <w:right w:val="single" w:color="auto" w:sz="4" w:space="0"/>
            </w:tcBorders>
            <w:vAlign w:val="center"/>
          </w:tcPr>
          <w:p w14:paraId="338C12C0">
            <w:pPr>
              <w:spacing w:line="240" w:lineRule="auto"/>
              <w:ind w:firstLine="0" w:firstLineChars="0"/>
              <w:jc w:val="center"/>
              <w:rPr>
                <w:rFonts w:cs="Times New Roman"/>
                <w:sz w:val="21"/>
                <w:szCs w:val="21"/>
              </w:rPr>
            </w:pPr>
          </w:p>
        </w:tc>
      </w:tr>
      <w:tr w14:paraId="077BFA14">
        <w:tblPrEx>
          <w:tblCellMar>
            <w:top w:w="0" w:type="dxa"/>
            <w:left w:w="108" w:type="dxa"/>
            <w:bottom w:w="0" w:type="dxa"/>
            <w:right w:w="108" w:type="dxa"/>
          </w:tblCellMar>
        </w:tblPrEx>
        <w:trPr>
          <w:trHeight w:val="397" w:hRule="atLeast"/>
          <w:jc w:val="center"/>
        </w:trPr>
        <w:tc>
          <w:tcPr>
            <w:tcW w:w="235" w:type="pct"/>
            <w:vMerge w:val="continue"/>
            <w:tcBorders>
              <w:top w:val="nil"/>
              <w:left w:val="single" w:color="auto" w:sz="4" w:space="0"/>
              <w:bottom w:val="single" w:color="auto" w:sz="4" w:space="0"/>
              <w:right w:val="single" w:color="auto" w:sz="4" w:space="0"/>
            </w:tcBorders>
            <w:vAlign w:val="center"/>
          </w:tcPr>
          <w:p w14:paraId="1BED2AE1">
            <w:pPr>
              <w:spacing w:line="240" w:lineRule="auto"/>
              <w:ind w:firstLine="0" w:firstLineChars="0"/>
              <w:jc w:val="left"/>
              <w:rPr>
                <w:rFonts w:cs="Times New Roman"/>
                <w:sz w:val="21"/>
                <w:szCs w:val="21"/>
              </w:rPr>
            </w:pPr>
          </w:p>
        </w:tc>
        <w:tc>
          <w:tcPr>
            <w:tcW w:w="351" w:type="pct"/>
            <w:vMerge w:val="restart"/>
            <w:tcBorders>
              <w:top w:val="nil"/>
              <w:left w:val="single" w:color="auto" w:sz="4" w:space="0"/>
              <w:bottom w:val="single" w:color="auto" w:sz="4" w:space="0"/>
              <w:right w:val="single" w:color="auto" w:sz="4" w:space="0"/>
            </w:tcBorders>
            <w:shd w:val="clear" w:color="auto" w:fill="auto"/>
            <w:vAlign w:val="center"/>
          </w:tcPr>
          <w:p w14:paraId="35A3559B">
            <w:pPr>
              <w:spacing w:line="240" w:lineRule="auto"/>
              <w:ind w:firstLine="0" w:firstLineChars="0"/>
              <w:jc w:val="center"/>
              <w:rPr>
                <w:rFonts w:cs="Times New Roman"/>
                <w:sz w:val="21"/>
                <w:szCs w:val="21"/>
              </w:rPr>
            </w:pPr>
            <w:r>
              <w:rPr>
                <w:rFonts w:cs="Times New Roman"/>
                <w:sz w:val="21"/>
                <w:szCs w:val="21"/>
              </w:rPr>
              <w:t>土石中转场</w:t>
            </w:r>
          </w:p>
        </w:tc>
        <w:tc>
          <w:tcPr>
            <w:tcW w:w="235" w:type="pct"/>
            <w:tcBorders>
              <w:top w:val="nil"/>
              <w:left w:val="nil"/>
              <w:bottom w:val="single" w:color="auto" w:sz="4" w:space="0"/>
              <w:right w:val="single" w:color="auto" w:sz="4" w:space="0"/>
            </w:tcBorders>
            <w:shd w:val="clear" w:color="auto" w:fill="auto"/>
            <w:vAlign w:val="center"/>
          </w:tcPr>
          <w:p w14:paraId="455C5239">
            <w:pPr>
              <w:spacing w:line="240" w:lineRule="auto"/>
              <w:ind w:firstLine="0" w:firstLineChars="0"/>
              <w:jc w:val="center"/>
              <w:rPr>
                <w:rFonts w:cs="Times New Roman"/>
                <w:sz w:val="21"/>
                <w:szCs w:val="21"/>
              </w:rPr>
            </w:pPr>
            <w:r>
              <w:rPr>
                <w:rFonts w:cs="Times New Roman"/>
                <w:sz w:val="21"/>
                <w:szCs w:val="21"/>
              </w:rPr>
              <w:t>1</w:t>
            </w:r>
          </w:p>
        </w:tc>
        <w:tc>
          <w:tcPr>
            <w:tcW w:w="685" w:type="pct"/>
            <w:tcBorders>
              <w:top w:val="nil"/>
              <w:left w:val="nil"/>
              <w:bottom w:val="single" w:color="auto" w:sz="4" w:space="0"/>
              <w:right w:val="single" w:color="auto" w:sz="4" w:space="0"/>
            </w:tcBorders>
            <w:shd w:val="clear" w:color="auto" w:fill="auto"/>
            <w:vAlign w:val="center"/>
          </w:tcPr>
          <w:p w14:paraId="59FD5509">
            <w:pPr>
              <w:spacing w:line="240" w:lineRule="auto"/>
              <w:ind w:firstLine="0" w:firstLineChars="0"/>
              <w:jc w:val="center"/>
              <w:rPr>
                <w:rFonts w:cs="Times New Roman"/>
                <w:sz w:val="21"/>
                <w:szCs w:val="21"/>
              </w:rPr>
            </w:pPr>
            <w:r>
              <w:rPr>
                <w:rFonts w:cs="Times New Roman"/>
                <w:sz w:val="21"/>
                <w:szCs w:val="21"/>
              </w:rPr>
              <w:t>北区南侧地块北侧</w:t>
            </w:r>
          </w:p>
        </w:tc>
        <w:tc>
          <w:tcPr>
            <w:tcW w:w="442" w:type="pct"/>
            <w:tcBorders>
              <w:top w:val="nil"/>
              <w:left w:val="nil"/>
              <w:bottom w:val="single" w:color="auto" w:sz="4" w:space="0"/>
              <w:right w:val="single" w:color="auto" w:sz="4" w:space="0"/>
            </w:tcBorders>
            <w:shd w:val="clear" w:color="auto" w:fill="auto"/>
            <w:vAlign w:val="center"/>
          </w:tcPr>
          <w:p w14:paraId="74B32194">
            <w:pPr>
              <w:spacing w:line="240" w:lineRule="auto"/>
              <w:ind w:firstLine="0" w:firstLineChars="0"/>
              <w:jc w:val="center"/>
              <w:rPr>
                <w:rFonts w:cs="Times New Roman"/>
                <w:sz w:val="21"/>
                <w:szCs w:val="21"/>
              </w:rPr>
            </w:pPr>
            <w:r>
              <w:rPr>
                <w:rFonts w:cs="Times New Roman"/>
                <w:sz w:val="21"/>
                <w:szCs w:val="21"/>
              </w:rPr>
              <w:t>3</w:t>
            </w:r>
          </w:p>
        </w:tc>
        <w:tc>
          <w:tcPr>
            <w:tcW w:w="534" w:type="pct"/>
            <w:tcBorders>
              <w:top w:val="nil"/>
              <w:left w:val="nil"/>
              <w:bottom w:val="single" w:color="auto" w:sz="4" w:space="0"/>
              <w:right w:val="single" w:color="auto" w:sz="4" w:space="0"/>
            </w:tcBorders>
            <w:shd w:val="clear" w:color="auto" w:fill="auto"/>
            <w:vAlign w:val="center"/>
          </w:tcPr>
          <w:p w14:paraId="66757671">
            <w:pPr>
              <w:spacing w:line="240" w:lineRule="auto"/>
              <w:ind w:firstLine="0" w:firstLineChars="0"/>
              <w:jc w:val="center"/>
              <w:rPr>
                <w:rFonts w:cs="Times New Roman"/>
                <w:sz w:val="21"/>
                <w:szCs w:val="21"/>
              </w:rPr>
            </w:pPr>
            <w:r>
              <w:rPr>
                <w:rFonts w:cs="Times New Roman"/>
                <w:sz w:val="21"/>
                <w:szCs w:val="21"/>
              </w:rPr>
              <w:t xml:space="preserve">2.00 </w:t>
            </w:r>
          </w:p>
        </w:tc>
        <w:tc>
          <w:tcPr>
            <w:tcW w:w="380" w:type="pct"/>
            <w:tcBorders>
              <w:top w:val="nil"/>
              <w:left w:val="nil"/>
              <w:bottom w:val="single" w:color="auto" w:sz="4" w:space="0"/>
              <w:right w:val="single" w:color="auto" w:sz="4" w:space="0"/>
            </w:tcBorders>
            <w:shd w:val="clear" w:color="auto" w:fill="auto"/>
            <w:vAlign w:val="center"/>
          </w:tcPr>
          <w:p w14:paraId="0B50C09F">
            <w:pPr>
              <w:spacing w:line="240" w:lineRule="auto"/>
              <w:ind w:firstLine="0" w:firstLineChars="0"/>
              <w:jc w:val="center"/>
              <w:rPr>
                <w:rFonts w:cs="Times New Roman"/>
                <w:sz w:val="21"/>
                <w:szCs w:val="21"/>
              </w:rPr>
            </w:pPr>
            <w:r>
              <w:rPr>
                <w:rFonts w:cs="Times New Roman"/>
                <w:sz w:val="21"/>
                <w:szCs w:val="21"/>
              </w:rPr>
              <w:t xml:space="preserve">6.01 </w:t>
            </w:r>
          </w:p>
        </w:tc>
        <w:tc>
          <w:tcPr>
            <w:tcW w:w="343" w:type="pct"/>
            <w:tcBorders>
              <w:top w:val="nil"/>
              <w:left w:val="nil"/>
              <w:bottom w:val="single" w:color="auto" w:sz="4" w:space="0"/>
              <w:right w:val="single" w:color="auto" w:sz="4" w:space="0"/>
            </w:tcBorders>
            <w:shd w:val="clear" w:color="auto" w:fill="auto"/>
            <w:vAlign w:val="center"/>
          </w:tcPr>
          <w:p w14:paraId="4D36D218">
            <w:pPr>
              <w:spacing w:line="240" w:lineRule="auto"/>
              <w:ind w:firstLine="0" w:firstLineChars="0"/>
              <w:jc w:val="center"/>
              <w:rPr>
                <w:rFonts w:cs="Times New Roman"/>
                <w:sz w:val="21"/>
                <w:szCs w:val="21"/>
              </w:rPr>
            </w:pPr>
            <w:r>
              <w:rPr>
                <w:rFonts w:cs="Times New Roman"/>
                <w:sz w:val="21"/>
                <w:szCs w:val="21"/>
              </w:rPr>
              <w:t>1</w:t>
            </w:r>
          </w:p>
        </w:tc>
        <w:tc>
          <w:tcPr>
            <w:tcW w:w="893" w:type="pct"/>
            <w:tcBorders>
              <w:top w:val="nil"/>
              <w:left w:val="nil"/>
              <w:bottom w:val="single" w:color="auto" w:sz="4" w:space="0"/>
              <w:right w:val="single" w:color="auto" w:sz="4" w:space="0"/>
            </w:tcBorders>
            <w:vAlign w:val="center"/>
          </w:tcPr>
          <w:p w14:paraId="51C4BFE3">
            <w:pPr>
              <w:spacing w:line="240" w:lineRule="auto"/>
              <w:ind w:firstLine="0" w:firstLineChars="0"/>
              <w:jc w:val="center"/>
              <w:rPr>
                <w:rFonts w:cs="Times New Roman"/>
                <w:sz w:val="21"/>
                <w:szCs w:val="21"/>
              </w:rPr>
            </w:pPr>
            <w:r>
              <w:rPr>
                <w:rFonts w:cs="Times New Roman"/>
                <w:sz w:val="21"/>
                <w:szCs w:val="21"/>
              </w:rPr>
              <w:t>110.042858317</w:t>
            </w:r>
            <w:r>
              <w:rPr>
                <w:rFonts w:hint="eastAsia" w:cs="Times New Roman"/>
                <w:sz w:val="21"/>
                <w:szCs w:val="21"/>
              </w:rPr>
              <w:t>°</w:t>
            </w:r>
          </w:p>
        </w:tc>
        <w:tc>
          <w:tcPr>
            <w:tcW w:w="902" w:type="pct"/>
            <w:tcBorders>
              <w:top w:val="nil"/>
              <w:left w:val="nil"/>
              <w:bottom w:val="single" w:color="auto" w:sz="4" w:space="0"/>
              <w:right w:val="single" w:color="auto" w:sz="4" w:space="0"/>
            </w:tcBorders>
            <w:vAlign w:val="center"/>
          </w:tcPr>
          <w:p w14:paraId="669E9BCA">
            <w:pPr>
              <w:spacing w:line="240" w:lineRule="auto"/>
              <w:ind w:firstLine="0" w:firstLineChars="0"/>
              <w:jc w:val="center"/>
              <w:rPr>
                <w:rFonts w:cs="Times New Roman"/>
                <w:sz w:val="21"/>
                <w:szCs w:val="21"/>
              </w:rPr>
            </w:pPr>
            <w:r>
              <w:rPr>
                <w:rFonts w:cs="Times New Roman"/>
                <w:sz w:val="21"/>
                <w:szCs w:val="21"/>
              </w:rPr>
              <w:t>40.954247965</w:t>
            </w:r>
            <w:r>
              <w:rPr>
                <w:rFonts w:hint="eastAsia" w:cs="Times New Roman"/>
                <w:sz w:val="21"/>
                <w:szCs w:val="21"/>
              </w:rPr>
              <w:t>°</w:t>
            </w:r>
          </w:p>
        </w:tc>
      </w:tr>
      <w:tr w14:paraId="6F17B8C2">
        <w:tblPrEx>
          <w:tblCellMar>
            <w:top w:w="0" w:type="dxa"/>
            <w:left w:w="108" w:type="dxa"/>
            <w:bottom w:w="0" w:type="dxa"/>
            <w:right w:w="108" w:type="dxa"/>
          </w:tblCellMar>
        </w:tblPrEx>
        <w:trPr>
          <w:trHeight w:val="397" w:hRule="atLeast"/>
          <w:jc w:val="center"/>
        </w:trPr>
        <w:tc>
          <w:tcPr>
            <w:tcW w:w="235" w:type="pct"/>
            <w:vMerge w:val="continue"/>
            <w:tcBorders>
              <w:top w:val="nil"/>
              <w:left w:val="single" w:color="auto" w:sz="4" w:space="0"/>
              <w:bottom w:val="single" w:color="auto" w:sz="4" w:space="0"/>
              <w:right w:val="single" w:color="auto" w:sz="4" w:space="0"/>
            </w:tcBorders>
            <w:vAlign w:val="center"/>
          </w:tcPr>
          <w:p w14:paraId="200F56DD">
            <w:pPr>
              <w:spacing w:line="240" w:lineRule="auto"/>
              <w:ind w:firstLine="0" w:firstLineChars="0"/>
              <w:jc w:val="left"/>
              <w:rPr>
                <w:rFonts w:cs="Times New Roman"/>
                <w:sz w:val="21"/>
                <w:szCs w:val="21"/>
              </w:rPr>
            </w:pPr>
          </w:p>
        </w:tc>
        <w:tc>
          <w:tcPr>
            <w:tcW w:w="351" w:type="pct"/>
            <w:vMerge w:val="continue"/>
            <w:tcBorders>
              <w:top w:val="nil"/>
              <w:left w:val="single" w:color="auto" w:sz="4" w:space="0"/>
              <w:bottom w:val="single" w:color="auto" w:sz="4" w:space="0"/>
              <w:right w:val="single" w:color="auto" w:sz="4" w:space="0"/>
            </w:tcBorders>
            <w:vAlign w:val="center"/>
          </w:tcPr>
          <w:p w14:paraId="1B90E86E">
            <w:pPr>
              <w:spacing w:line="240" w:lineRule="auto"/>
              <w:ind w:firstLine="0" w:firstLineChars="0"/>
              <w:jc w:val="left"/>
              <w:rPr>
                <w:rFonts w:cs="Times New Roman"/>
                <w:sz w:val="21"/>
                <w:szCs w:val="21"/>
              </w:rPr>
            </w:pPr>
          </w:p>
        </w:tc>
        <w:tc>
          <w:tcPr>
            <w:tcW w:w="235" w:type="pct"/>
            <w:tcBorders>
              <w:top w:val="nil"/>
              <w:left w:val="nil"/>
              <w:bottom w:val="single" w:color="auto" w:sz="4" w:space="0"/>
              <w:right w:val="single" w:color="auto" w:sz="4" w:space="0"/>
            </w:tcBorders>
            <w:shd w:val="clear" w:color="auto" w:fill="auto"/>
            <w:vAlign w:val="center"/>
          </w:tcPr>
          <w:p w14:paraId="777F9374">
            <w:pPr>
              <w:spacing w:line="240" w:lineRule="auto"/>
              <w:ind w:firstLine="0" w:firstLineChars="0"/>
              <w:jc w:val="center"/>
              <w:rPr>
                <w:rFonts w:cs="Times New Roman"/>
                <w:sz w:val="21"/>
                <w:szCs w:val="21"/>
              </w:rPr>
            </w:pPr>
            <w:r>
              <w:rPr>
                <w:rFonts w:cs="Times New Roman"/>
                <w:sz w:val="21"/>
                <w:szCs w:val="21"/>
              </w:rPr>
              <w:t>2</w:t>
            </w:r>
          </w:p>
        </w:tc>
        <w:tc>
          <w:tcPr>
            <w:tcW w:w="685" w:type="pct"/>
            <w:tcBorders>
              <w:top w:val="nil"/>
              <w:left w:val="nil"/>
              <w:bottom w:val="single" w:color="auto" w:sz="4" w:space="0"/>
              <w:right w:val="single" w:color="auto" w:sz="4" w:space="0"/>
            </w:tcBorders>
            <w:shd w:val="clear" w:color="auto" w:fill="auto"/>
            <w:vAlign w:val="center"/>
          </w:tcPr>
          <w:p w14:paraId="3EEE5631">
            <w:pPr>
              <w:spacing w:line="240" w:lineRule="auto"/>
              <w:ind w:firstLine="0" w:firstLineChars="0"/>
              <w:jc w:val="center"/>
              <w:rPr>
                <w:rFonts w:cs="Times New Roman"/>
                <w:sz w:val="21"/>
                <w:szCs w:val="21"/>
              </w:rPr>
            </w:pPr>
            <w:r>
              <w:rPr>
                <w:rFonts w:cs="Times New Roman"/>
                <w:sz w:val="21"/>
                <w:szCs w:val="21"/>
              </w:rPr>
              <w:t>北区纬三路西段北侧</w:t>
            </w:r>
          </w:p>
        </w:tc>
        <w:tc>
          <w:tcPr>
            <w:tcW w:w="442" w:type="pct"/>
            <w:tcBorders>
              <w:top w:val="nil"/>
              <w:left w:val="nil"/>
              <w:bottom w:val="single" w:color="auto" w:sz="4" w:space="0"/>
              <w:right w:val="single" w:color="auto" w:sz="4" w:space="0"/>
            </w:tcBorders>
            <w:shd w:val="clear" w:color="auto" w:fill="auto"/>
            <w:vAlign w:val="center"/>
          </w:tcPr>
          <w:p w14:paraId="039DB3C0">
            <w:pPr>
              <w:spacing w:line="240" w:lineRule="auto"/>
              <w:ind w:firstLine="0" w:firstLineChars="0"/>
              <w:jc w:val="center"/>
              <w:rPr>
                <w:rFonts w:cs="Times New Roman"/>
                <w:sz w:val="21"/>
                <w:szCs w:val="21"/>
              </w:rPr>
            </w:pPr>
            <w:r>
              <w:rPr>
                <w:rFonts w:cs="Times New Roman"/>
                <w:sz w:val="21"/>
                <w:szCs w:val="21"/>
              </w:rPr>
              <w:t>3</w:t>
            </w:r>
          </w:p>
        </w:tc>
        <w:tc>
          <w:tcPr>
            <w:tcW w:w="534" w:type="pct"/>
            <w:tcBorders>
              <w:top w:val="nil"/>
              <w:left w:val="nil"/>
              <w:bottom w:val="single" w:color="auto" w:sz="4" w:space="0"/>
              <w:right w:val="single" w:color="auto" w:sz="4" w:space="0"/>
            </w:tcBorders>
            <w:shd w:val="clear" w:color="auto" w:fill="auto"/>
            <w:vAlign w:val="center"/>
          </w:tcPr>
          <w:p w14:paraId="65BB2AC0">
            <w:pPr>
              <w:spacing w:line="240" w:lineRule="auto"/>
              <w:ind w:firstLine="0" w:firstLineChars="0"/>
              <w:jc w:val="center"/>
              <w:rPr>
                <w:rFonts w:cs="Times New Roman"/>
                <w:sz w:val="21"/>
                <w:szCs w:val="21"/>
              </w:rPr>
            </w:pPr>
            <w:r>
              <w:rPr>
                <w:rFonts w:cs="Times New Roman"/>
                <w:sz w:val="21"/>
                <w:szCs w:val="21"/>
              </w:rPr>
              <w:t xml:space="preserve">3.99 </w:t>
            </w:r>
          </w:p>
        </w:tc>
        <w:tc>
          <w:tcPr>
            <w:tcW w:w="380" w:type="pct"/>
            <w:tcBorders>
              <w:top w:val="nil"/>
              <w:left w:val="nil"/>
              <w:bottom w:val="single" w:color="auto" w:sz="4" w:space="0"/>
              <w:right w:val="single" w:color="auto" w:sz="4" w:space="0"/>
            </w:tcBorders>
            <w:shd w:val="clear" w:color="auto" w:fill="auto"/>
            <w:vAlign w:val="center"/>
          </w:tcPr>
          <w:p w14:paraId="0DF215E1">
            <w:pPr>
              <w:spacing w:line="240" w:lineRule="auto"/>
              <w:ind w:firstLine="0" w:firstLineChars="0"/>
              <w:jc w:val="center"/>
              <w:rPr>
                <w:rFonts w:cs="Times New Roman"/>
                <w:sz w:val="21"/>
                <w:szCs w:val="21"/>
              </w:rPr>
            </w:pPr>
            <w:r>
              <w:rPr>
                <w:rFonts w:cs="Times New Roman"/>
                <w:sz w:val="21"/>
                <w:szCs w:val="21"/>
              </w:rPr>
              <w:t xml:space="preserve">11.96 </w:t>
            </w:r>
          </w:p>
        </w:tc>
        <w:tc>
          <w:tcPr>
            <w:tcW w:w="343" w:type="pct"/>
            <w:tcBorders>
              <w:top w:val="nil"/>
              <w:left w:val="nil"/>
              <w:bottom w:val="single" w:color="auto" w:sz="4" w:space="0"/>
              <w:right w:val="single" w:color="auto" w:sz="4" w:space="0"/>
            </w:tcBorders>
            <w:shd w:val="clear" w:color="auto" w:fill="auto"/>
            <w:vAlign w:val="center"/>
          </w:tcPr>
          <w:p w14:paraId="56A3D430">
            <w:pPr>
              <w:spacing w:line="240" w:lineRule="auto"/>
              <w:ind w:firstLine="0" w:firstLineChars="0"/>
              <w:jc w:val="center"/>
              <w:rPr>
                <w:rFonts w:cs="Times New Roman"/>
                <w:sz w:val="21"/>
                <w:szCs w:val="21"/>
              </w:rPr>
            </w:pPr>
            <w:r>
              <w:rPr>
                <w:rFonts w:cs="Times New Roman"/>
                <w:sz w:val="21"/>
                <w:szCs w:val="21"/>
              </w:rPr>
              <w:t>1</w:t>
            </w:r>
          </w:p>
        </w:tc>
        <w:tc>
          <w:tcPr>
            <w:tcW w:w="893" w:type="pct"/>
            <w:tcBorders>
              <w:top w:val="nil"/>
              <w:left w:val="nil"/>
              <w:bottom w:val="single" w:color="auto" w:sz="4" w:space="0"/>
              <w:right w:val="single" w:color="auto" w:sz="4" w:space="0"/>
            </w:tcBorders>
            <w:vAlign w:val="center"/>
          </w:tcPr>
          <w:p w14:paraId="1607692C">
            <w:pPr>
              <w:spacing w:line="240" w:lineRule="auto"/>
              <w:ind w:firstLine="0" w:firstLineChars="0"/>
              <w:jc w:val="center"/>
              <w:rPr>
                <w:rFonts w:cs="Times New Roman"/>
                <w:sz w:val="21"/>
                <w:szCs w:val="21"/>
              </w:rPr>
            </w:pPr>
            <w:r>
              <w:rPr>
                <w:rFonts w:cs="Times New Roman"/>
                <w:sz w:val="21"/>
                <w:szCs w:val="21"/>
              </w:rPr>
              <w:t>110.050690367</w:t>
            </w:r>
            <w:r>
              <w:rPr>
                <w:rFonts w:hint="eastAsia" w:cs="Times New Roman"/>
                <w:sz w:val="21"/>
                <w:szCs w:val="21"/>
              </w:rPr>
              <w:t>°</w:t>
            </w:r>
          </w:p>
        </w:tc>
        <w:tc>
          <w:tcPr>
            <w:tcW w:w="902" w:type="pct"/>
            <w:tcBorders>
              <w:top w:val="nil"/>
              <w:left w:val="nil"/>
              <w:bottom w:val="single" w:color="auto" w:sz="4" w:space="0"/>
              <w:right w:val="single" w:color="auto" w:sz="4" w:space="0"/>
            </w:tcBorders>
            <w:vAlign w:val="center"/>
          </w:tcPr>
          <w:p w14:paraId="4B6B685A">
            <w:pPr>
              <w:spacing w:line="240" w:lineRule="auto"/>
              <w:ind w:firstLine="0" w:firstLineChars="0"/>
              <w:jc w:val="center"/>
              <w:rPr>
                <w:rFonts w:cs="Times New Roman"/>
                <w:sz w:val="21"/>
                <w:szCs w:val="21"/>
              </w:rPr>
            </w:pPr>
            <w:r>
              <w:rPr>
                <w:rFonts w:cs="Times New Roman"/>
                <w:sz w:val="21"/>
                <w:szCs w:val="21"/>
              </w:rPr>
              <w:t>40.970105184</w:t>
            </w:r>
            <w:r>
              <w:rPr>
                <w:rFonts w:hint="eastAsia" w:cs="Times New Roman"/>
                <w:sz w:val="21"/>
                <w:szCs w:val="21"/>
              </w:rPr>
              <w:t>°</w:t>
            </w:r>
          </w:p>
        </w:tc>
      </w:tr>
      <w:tr w14:paraId="564CD0C5">
        <w:tblPrEx>
          <w:tblCellMar>
            <w:top w:w="0" w:type="dxa"/>
            <w:left w:w="108" w:type="dxa"/>
            <w:bottom w:w="0" w:type="dxa"/>
            <w:right w:w="108" w:type="dxa"/>
          </w:tblCellMar>
        </w:tblPrEx>
        <w:trPr>
          <w:trHeight w:val="397" w:hRule="atLeast"/>
          <w:jc w:val="center"/>
        </w:trPr>
        <w:tc>
          <w:tcPr>
            <w:tcW w:w="235" w:type="pct"/>
            <w:vMerge w:val="continue"/>
            <w:tcBorders>
              <w:top w:val="nil"/>
              <w:left w:val="single" w:color="auto" w:sz="4" w:space="0"/>
              <w:bottom w:val="single" w:color="auto" w:sz="4" w:space="0"/>
              <w:right w:val="single" w:color="auto" w:sz="4" w:space="0"/>
            </w:tcBorders>
            <w:vAlign w:val="center"/>
          </w:tcPr>
          <w:p w14:paraId="5C6816CD">
            <w:pPr>
              <w:spacing w:line="240" w:lineRule="auto"/>
              <w:ind w:firstLine="0" w:firstLineChars="0"/>
              <w:jc w:val="left"/>
              <w:rPr>
                <w:rFonts w:cs="Times New Roman"/>
                <w:sz w:val="21"/>
                <w:szCs w:val="21"/>
              </w:rPr>
            </w:pPr>
          </w:p>
        </w:tc>
        <w:tc>
          <w:tcPr>
            <w:tcW w:w="351" w:type="pct"/>
            <w:vMerge w:val="continue"/>
            <w:tcBorders>
              <w:top w:val="nil"/>
              <w:left w:val="single" w:color="auto" w:sz="4" w:space="0"/>
              <w:bottom w:val="single" w:color="auto" w:sz="4" w:space="0"/>
              <w:right w:val="single" w:color="auto" w:sz="4" w:space="0"/>
            </w:tcBorders>
            <w:vAlign w:val="center"/>
          </w:tcPr>
          <w:p w14:paraId="50831C14">
            <w:pPr>
              <w:spacing w:line="240" w:lineRule="auto"/>
              <w:ind w:firstLine="0" w:firstLineChars="0"/>
              <w:jc w:val="left"/>
              <w:rPr>
                <w:rFonts w:cs="Times New Roman"/>
                <w:sz w:val="21"/>
                <w:szCs w:val="21"/>
              </w:rPr>
            </w:pPr>
          </w:p>
        </w:tc>
        <w:tc>
          <w:tcPr>
            <w:tcW w:w="235" w:type="pct"/>
            <w:tcBorders>
              <w:top w:val="nil"/>
              <w:left w:val="nil"/>
              <w:bottom w:val="single" w:color="auto" w:sz="4" w:space="0"/>
              <w:right w:val="single" w:color="auto" w:sz="4" w:space="0"/>
            </w:tcBorders>
            <w:shd w:val="clear" w:color="auto" w:fill="auto"/>
            <w:vAlign w:val="center"/>
          </w:tcPr>
          <w:p w14:paraId="051FFA10">
            <w:pPr>
              <w:spacing w:line="240" w:lineRule="auto"/>
              <w:ind w:firstLine="0" w:firstLineChars="0"/>
              <w:jc w:val="center"/>
              <w:rPr>
                <w:rFonts w:cs="Times New Roman"/>
                <w:sz w:val="21"/>
                <w:szCs w:val="21"/>
              </w:rPr>
            </w:pPr>
            <w:r>
              <w:rPr>
                <w:rFonts w:cs="Times New Roman"/>
                <w:sz w:val="21"/>
                <w:szCs w:val="21"/>
              </w:rPr>
              <w:t>3</w:t>
            </w:r>
          </w:p>
        </w:tc>
        <w:tc>
          <w:tcPr>
            <w:tcW w:w="685" w:type="pct"/>
            <w:tcBorders>
              <w:top w:val="nil"/>
              <w:left w:val="nil"/>
              <w:bottom w:val="single" w:color="auto" w:sz="4" w:space="0"/>
              <w:right w:val="single" w:color="auto" w:sz="4" w:space="0"/>
            </w:tcBorders>
            <w:shd w:val="clear" w:color="auto" w:fill="auto"/>
            <w:vAlign w:val="center"/>
          </w:tcPr>
          <w:p w14:paraId="001161F8">
            <w:pPr>
              <w:spacing w:line="240" w:lineRule="auto"/>
              <w:ind w:firstLine="0" w:firstLineChars="0"/>
              <w:jc w:val="center"/>
              <w:rPr>
                <w:rFonts w:cs="Times New Roman"/>
                <w:sz w:val="21"/>
                <w:szCs w:val="21"/>
              </w:rPr>
            </w:pPr>
            <w:r>
              <w:rPr>
                <w:rFonts w:cs="Times New Roman"/>
                <w:sz w:val="21"/>
                <w:szCs w:val="21"/>
              </w:rPr>
              <w:t>经二路与纬二路交叉口东南侧</w:t>
            </w:r>
          </w:p>
        </w:tc>
        <w:tc>
          <w:tcPr>
            <w:tcW w:w="442" w:type="pct"/>
            <w:tcBorders>
              <w:top w:val="nil"/>
              <w:left w:val="nil"/>
              <w:bottom w:val="single" w:color="auto" w:sz="4" w:space="0"/>
              <w:right w:val="single" w:color="auto" w:sz="4" w:space="0"/>
            </w:tcBorders>
            <w:shd w:val="clear" w:color="auto" w:fill="auto"/>
            <w:vAlign w:val="center"/>
          </w:tcPr>
          <w:p w14:paraId="2B340911">
            <w:pPr>
              <w:spacing w:line="240" w:lineRule="auto"/>
              <w:ind w:firstLine="0" w:firstLineChars="0"/>
              <w:jc w:val="center"/>
              <w:rPr>
                <w:rFonts w:cs="Times New Roman"/>
                <w:sz w:val="21"/>
                <w:szCs w:val="21"/>
              </w:rPr>
            </w:pPr>
            <w:r>
              <w:rPr>
                <w:rFonts w:cs="Times New Roman"/>
                <w:sz w:val="21"/>
                <w:szCs w:val="21"/>
              </w:rPr>
              <w:t>3</w:t>
            </w:r>
          </w:p>
        </w:tc>
        <w:tc>
          <w:tcPr>
            <w:tcW w:w="534" w:type="pct"/>
            <w:tcBorders>
              <w:top w:val="nil"/>
              <w:left w:val="nil"/>
              <w:bottom w:val="single" w:color="auto" w:sz="4" w:space="0"/>
              <w:right w:val="single" w:color="auto" w:sz="4" w:space="0"/>
            </w:tcBorders>
            <w:shd w:val="clear" w:color="auto" w:fill="auto"/>
            <w:vAlign w:val="center"/>
          </w:tcPr>
          <w:p w14:paraId="6AD6DEFF">
            <w:pPr>
              <w:spacing w:line="240" w:lineRule="auto"/>
              <w:ind w:firstLine="0" w:firstLineChars="0"/>
              <w:jc w:val="center"/>
              <w:rPr>
                <w:rFonts w:cs="Times New Roman"/>
                <w:sz w:val="21"/>
                <w:szCs w:val="21"/>
              </w:rPr>
            </w:pPr>
            <w:r>
              <w:rPr>
                <w:rFonts w:cs="Times New Roman"/>
                <w:sz w:val="21"/>
                <w:szCs w:val="21"/>
              </w:rPr>
              <w:t xml:space="preserve">0.69 </w:t>
            </w:r>
          </w:p>
        </w:tc>
        <w:tc>
          <w:tcPr>
            <w:tcW w:w="380" w:type="pct"/>
            <w:tcBorders>
              <w:top w:val="nil"/>
              <w:left w:val="nil"/>
              <w:bottom w:val="single" w:color="auto" w:sz="4" w:space="0"/>
              <w:right w:val="single" w:color="auto" w:sz="4" w:space="0"/>
            </w:tcBorders>
            <w:shd w:val="clear" w:color="auto" w:fill="auto"/>
            <w:vAlign w:val="center"/>
          </w:tcPr>
          <w:p w14:paraId="62580981">
            <w:pPr>
              <w:spacing w:line="240" w:lineRule="auto"/>
              <w:ind w:firstLine="0" w:firstLineChars="0"/>
              <w:jc w:val="center"/>
              <w:rPr>
                <w:rFonts w:cs="Times New Roman"/>
                <w:sz w:val="21"/>
                <w:szCs w:val="21"/>
              </w:rPr>
            </w:pPr>
            <w:r>
              <w:rPr>
                <w:rFonts w:cs="Times New Roman"/>
                <w:sz w:val="21"/>
                <w:szCs w:val="21"/>
              </w:rPr>
              <w:t xml:space="preserve">2.08 </w:t>
            </w:r>
          </w:p>
        </w:tc>
        <w:tc>
          <w:tcPr>
            <w:tcW w:w="343" w:type="pct"/>
            <w:tcBorders>
              <w:top w:val="nil"/>
              <w:left w:val="nil"/>
              <w:bottom w:val="single" w:color="auto" w:sz="4" w:space="0"/>
              <w:right w:val="single" w:color="auto" w:sz="4" w:space="0"/>
            </w:tcBorders>
            <w:shd w:val="clear" w:color="auto" w:fill="auto"/>
            <w:vAlign w:val="center"/>
          </w:tcPr>
          <w:p w14:paraId="1571B143">
            <w:pPr>
              <w:spacing w:line="240" w:lineRule="auto"/>
              <w:ind w:firstLine="0" w:firstLineChars="0"/>
              <w:jc w:val="center"/>
              <w:rPr>
                <w:rFonts w:cs="Times New Roman"/>
                <w:sz w:val="21"/>
                <w:szCs w:val="21"/>
              </w:rPr>
            </w:pPr>
            <w:r>
              <w:rPr>
                <w:rFonts w:cs="Times New Roman"/>
                <w:sz w:val="21"/>
                <w:szCs w:val="21"/>
              </w:rPr>
              <w:t>1</w:t>
            </w:r>
          </w:p>
        </w:tc>
        <w:tc>
          <w:tcPr>
            <w:tcW w:w="893" w:type="pct"/>
            <w:tcBorders>
              <w:top w:val="nil"/>
              <w:left w:val="nil"/>
              <w:bottom w:val="single" w:color="auto" w:sz="4" w:space="0"/>
              <w:right w:val="single" w:color="auto" w:sz="4" w:space="0"/>
            </w:tcBorders>
            <w:vAlign w:val="center"/>
          </w:tcPr>
          <w:p w14:paraId="6E8B9694">
            <w:pPr>
              <w:spacing w:line="240" w:lineRule="auto"/>
              <w:ind w:firstLine="0" w:firstLineChars="0"/>
              <w:jc w:val="center"/>
              <w:rPr>
                <w:rFonts w:cs="Times New Roman"/>
                <w:sz w:val="21"/>
                <w:szCs w:val="21"/>
              </w:rPr>
            </w:pPr>
            <w:r>
              <w:rPr>
                <w:rFonts w:cs="Times New Roman"/>
                <w:sz w:val="21"/>
                <w:szCs w:val="21"/>
              </w:rPr>
              <w:t>110.067556097</w:t>
            </w:r>
            <w:r>
              <w:rPr>
                <w:rFonts w:hint="eastAsia" w:cs="Times New Roman"/>
                <w:sz w:val="21"/>
                <w:szCs w:val="21"/>
              </w:rPr>
              <w:t>°</w:t>
            </w:r>
          </w:p>
        </w:tc>
        <w:tc>
          <w:tcPr>
            <w:tcW w:w="902" w:type="pct"/>
            <w:tcBorders>
              <w:top w:val="nil"/>
              <w:left w:val="nil"/>
              <w:bottom w:val="single" w:color="auto" w:sz="4" w:space="0"/>
              <w:right w:val="single" w:color="auto" w:sz="4" w:space="0"/>
            </w:tcBorders>
            <w:vAlign w:val="center"/>
          </w:tcPr>
          <w:p w14:paraId="6D33ACFD">
            <w:pPr>
              <w:spacing w:line="240" w:lineRule="auto"/>
              <w:ind w:firstLine="0" w:firstLineChars="0"/>
              <w:jc w:val="center"/>
              <w:rPr>
                <w:rFonts w:cs="Times New Roman"/>
                <w:sz w:val="21"/>
                <w:szCs w:val="21"/>
              </w:rPr>
            </w:pPr>
            <w:r>
              <w:rPr>
                <w:rFonts w:cs="Times New Roman"/>
                <w:sz w:val="21"/>
                <w:szCs w:val="21"/>
              </w:rPr>
              <w:t>40.970942033</w:t>
            </w:r>
            <w:r>
              <w:rPr>
                <w:rFonts w:hint="eastAsia" w:cs="Times New Roman"/>
                <w:sz w:val="21"/>
                <w:szCs w:val="21"/>
              </w:rPr>
              <w:t>°</w:t>
            </w:r>
          </w:p>
        </w:tc>
      </w:tr>
      <w:tr w14:paraId="6AE7D0EE">
        <w:tblPrEx>
          <w:tblCellMar>
            <w:top w:w="0" w:type="dxa"/>
            <w:left w:w="108" w:type="dxa"/>
            <w:bottom w:w="0" w:type="dxa"/>
            <w:right w:w="108" w:type="dxa"/>
          </w:tblCellMar>
        </w:tblPrEx>
        <w:trPr>
          <w:trHeight w:val="397" w:hRule="atLeast"/>
          <w:jc w:val="center"/>
        </w:trPr>
        <w:tc>
          <w:tcPr>
            <w:tcW w:w="235" w:type="pct"/>
            <w:vMerge w:val="continue"/>
            <w:tcBorders>
              <w:top w:val="nil"/>
              <w:left w:val="single" w:color="auto" w:sz="4" w:space="0"/>
              <w:bottom w:val="single" w:color="auto" w:sz="4" w:space="0"/>
              <w:right w:val="single" w:color="auto" w:sz="4" w:space="0"/>
            </w:tcBorders>
            <w:vAlign w:val="center"/>
          </w:tcPr>
          <w:p w14:paraId="78009AEB">
            <w:pPr>
              <w:spacing w:line="240" w:lineRule="auto"/>
              <w:ind w:firstLine="0" w:firstLineChars="0"/>
              <w:jc w:val="left"/>
              <w:rPr>
                <w:rFonts w:cs="Times New Roman"/>
                <w:sz w:val="21"/>
                <w:szCs w:val="21"/>
              </w:rPr>
            </w:pPr>
          </w:p>
        </w:tc>
        <w:tc>
          <w:tcPr>
            <w:tcW w:w="351" w:type="pct"/>
            <w:vMerge w:val="continue"/>
            <w:tcBorders>
              <w:top w:val="nil"/>
              <w:left w:val="single" w:color="auto" w:sz="4" w:space="0"/>
              <w:bottom w:val="single" w:color="auto" w:sz="4" w:space="0"/>
              <w:right w:val="single" w:color="auto" w:sz="4" w:space="0"/>
            </w:tcBorders>
            <w:vAlign w:val="center"/>
          </w:tcPr>
          <w:p w14:paraId="4211B219">
            <w:pPr>
              <w:spacing w:line="240" w:lineRule="auto"/>
              <w:ind w:firstLine="0" w:firstLineChars="0"/>
              <w:jc w:val="left"/>
              <w:rPr>
                <w:rFonts w:cs="Times New Roman"/>
                <w:sz w:val="21"/>
                <w:szCs w:val="21"/>
              </w:rPr>
            </w:pPr>
          </w:p>
        </w:tc>
        <w:tc>
          <w:tcPr>
            <w:tcW w:w="235" w:type="pct"/>
            <w:tcBorders>
              <w:top w:val="nil"/>
              <w:left w:val="nil"/>
              <w:bottom w:val="single" w:color="auto" w:sz="4" w:space="0"/>
              <w:right w:val="single" w:color="auto" w:sz="4" w:space="0"/>
            </w:tcBorders>
            <w:shd w:val="clear" w:color="auto" w:fill="auto"/>
            <w:vAlign w:val="center"/>
          </w:tcPr>
          <w:p w14:paraId="27EA4BB6">
            <w:pPr>
              <w:spacing w:line="240" w:lineRule="auto"/>
              <w:ind w:firstLine="0" w:firstLineChars="0"/>
              <w:jc w:val="center"/>
              <w:rPr>
                <w:rFonts w:cs="Times New Roman"/>
                <w:sz w:val="21"/>
                <w:szCs w:val="21"/>
              </w:rPr>
            </w:pPr>
            <w:r>
              <w:rPr>
                <w:rFonts w:cs="Times New Roman"/>
                <w:sz w:val="21"/>
                <w:szCs w:val="21"/>
              </w:rPr>
              <w:t>4</w:t>
            </w:r>
          </w:p>
        </w:tc>
        <w:tc>
          <w:tcPr>
            <w:tcW w:w="685" w:type="pct"/>
            <w:tcBorders>
              <w:top w:val="nil"/>
              <w:left w:val="nil"/>
              <w:bottom w:val="single" w:color="auto" w:sz="4" w:space="0"/>
              <w:right w:val="single" w:color="auto" w:sz="4" w:space="0"/>
            </w:tcBorders>
            <w:shd w:val="clear" w:color="auto" w:fill="auto"/>
            <w:vAlign w:val="center"/>
          </w:tcPr>
          <w:p w14:paraId="69451E6F">
            <w:pPr>
              <w:spacing w:line="240" w:lineRule="auto"/>
              <w:ind w:firstLine="0" w:firstLineChars="0"/>
              <w:jc w:val="center"/>
              <w:rPr>
                <w:rFonts w:cs="Times New Roman"/>
                <w:sz w:val="21"/>
                <w:szCs w:val="21"/>
              </w:rPr>
            </w:pPr>
            <w:r>
              <w:rPr>
                <w:rFonts w:cs="Times New Roman"/>
                <w:sz w:val="21"/>
                <w:szCs w:val="21"/>
              </w:rPr>
              <w:t>经四路和纬一路交叉口西南侧</w:t>
            </w:r>
          </w:p>
        </w:tc>
        <w:tc>
          <w:tcPr>
            <w:tcW w:w="442" w:type="pct"/>
            <w:tcBorders>
              <w:top w:val="nil"/>
              <w:left w:val="nil"/>
              <w:bottom w:val="single" w:color="auto" w:sz="4" w:space="0"/>
              <w:right w:val="single" w:color="auto" w:sz="4" w:space="0"/>
            </w:tcBorders>
            <w:shd w:val="clear" w:color="auto" w:fill="auto"/>
            <w:vAlign w:val="center"/>
          </w:tcPr>
          <w:p w14:paraId="4A7BA61C">
            <w:pPr>
              <w:spacing w:line="240" w:lineRule="auto"/>
              <w:ind w:firstLine="0" w:firstLineChars="0"/>
              <w:jc w:val="center"/>
              <w:rPr>
                <w:rFonts w:cs="Times New Roman"/>
                <w:sz w:val="21"/>
                <w:szCs w:val="21"/>
              </w:rPr>
            </w:pPr>
            <w:r>
              <w:rPr>
                <w:rFonts w:cs="Times New Roman"/>
                <w:sz w:val="21"/>
                <w:szCs w:val="21"/>
              </w:rPr>
              <w:t>3</w:t>
            </w:r>
          </w:p>
        </w:tc>
        <w:tc>
          <w:tcPr>
            <w:tcW w:w="534" w:type="pct"/>
            <w:tcBorders>
              <w:top w:val="nil"/>
              <w:left w:val="nil"/>
              <w:bottom w:val="single" w:color="auto" w:sz="4" w:space="0"/>
              <w:right w:val="single" w:color="auto" w:sz="4" w:space="0"/>
            </w:tcBorders>
            <w:shd w:val="clear" w:color="auto" w:fill="auto"/>
            <w:vAlign w:val="center"/>
          </w:tcPr>
          <w:p w14:paraId="02C7BD33">
            <w:pPr>
              <w:spacing w:line="240" w:lineRule="auto"/>
              <w:ind w:firstLine="0" w:firstLineChars="0"/>
              <w:jc w:val="center"/>
              <w:rPr>
                <w:rFonts w:cs="Times New Roman"/>
                <w:sz w:val="21"/>
                <w:szCs w:val="21"/>
              </w:rPr>
            </w:pPr>
            <w:r>
              <w:rPr>
                <w:rFonts w:cs="Times New Roman"/>
                <w:sz w:val="21"/>
                <w:szCs w:val="21"/>
              </w:rPr>
              <w:t xml:space="preserve">1.49 </w:t>
            </w:r>
          </w:p>
        </w:tc>
        <w:tc>
          <w:tcPr>
            <w:tcW w:w="380" w:type="pct"/>
            <w:tcBorders>
              <w:top w:val="nil"/>
              <w:left w:val="nil"/>
              <w:bottom w:val="single" w:color="auto" w:sz="4" w:space="0"/>
              <w:right w:val="single" w:color="auto" w:sz="4" w:space="0"/>
            </w:tcBorders>
            <w:shd w:val="clear" w:color="auto" w:fill="auto"/>
            <w:vAlign w:val="center"/>
          </w:tcPr>
          <w:p w14:paraId="31128413">
            <w:pPr>
              <w:spacing w:line="240" w:lineRule="auto"/>
              <w:ind w:firstLine="0" w:firstLineChars="0"/>
              <w:jc w:val="center"/>
              <w:rPr>
                <w:rFonts w:cs="Times New Roman"/>
                <w:sz w:val="21"/>
                <w:szCs w:val="21"/>
              </w:rPr>
            </w:pPr>
            <w:r>
              <w:rPr>
                <w:rFonts w:cs="Times New Roman"/>
                <w:sz w:val="21"/>
                <w:szCs w:val="21"/>
              </w:rPr>
              <w:t xml:space="preserve">4.48 </w:t>
            </w:r>
          </w:p>
        </w:tc>
        <w:tc>
          <w:tcPr>
            <w:tcW w:w="343" w:type="pct"/>
            <w:tcBorders>
              <w:top w:val="nil"/>
              <w:left w:val="nil"/>
              <w:bottom w:val="single" w:color="auto" w:sz="4" w:space="0"/>
              <w:right w:val="single" w:color="auto" w:sz="4" w:space="0"/>
            </w:tcBorders>
            <w:shd w:val="clear" w:color="auto" w:fill="auto"/>
            <w:vAlign w:val="center"/>
          </w:tcPr>
          <w:p w14:paraId="1BF9BA6C">
            <w:pPr>
              <w:spacing w:line="240" w:lineRule="auto"/>
              <w:ind w:firstLine="0" w:firstLineChars="0"/>
              <w:jc w:val="center"/>
              <w:rPr>
                <w:rFonts w:cs="Times New Roman"/>
                <w:sz w:val="21"/>
                <w:szCs w:val="21"/>
              </w:rPr>
            </w:pPr>
            <w:r>
              <w:rPr>
                <w:rFonts w:cs="Times New Roman"/>
                <w:sz w:val="21"/>
                <w:szCs w:val="21"/>
              </w:rPr>
              <w:t>1</w:t>
            </w:r>
          </w:p>
        </w:tc>
        <w:tc>
          <w:tcPr>
            <w:tcW w:w="893" w:type="pct"/>
            <w:tcBorders>
              <w:top w:val="nil"/>
              <w:left w:val="nil"/>
              <w:bottom w:val="single" w:color="auto" w:sz="4" w:space="0"/>
              <w:right w:val="single" w:color="auto" w:sz="4" w:space="0"/>
            </w:tcBorders>
            <w:vAlign w:val="center"/>
          </w:tcPr>
          <w:p w14:paraId="6C969219">
            <w:pPr>
              <w:spacing w:line="240" w:lineRule="auto"/>
              <w:ind w:firstLine="0" w:firstLineChars="0"/>
              <w:jc w:val="center"/>
              <w:rPr>
                <w:rFonts w:cs="Times New Roman"/>
                <w:sz w:val="21"/>
                <w:szCs w:val="21"/>
              </w:rPr>
            </w:pPr>
            <w:r>
              <w:rPr>
                <w:rFonts w:cs="Times New Roman"/>
                <w:sz w:val="21"/>
                <w:szCs w:val="21"/>
              </w:rPr>
              <w:t>110.102092221</w:t>
            </w:r>
            <w:r>
              <w:rPr>
                <w:rFonts w:hint="eastAsia" w:cs="Times New Roman"/>
                <w:sz w:val="21"/>
                <w:szCs w:val="21"/>
              </w:rPr>
              <w:t>°</w:t>
            </w:r>
          </w:p>
        </w:tc>
        <w:tc>
          <w:tcPr>
            <w:tcW w:w="902" w:type="pct"/>
            <w:tcBorders>
              <w:top w:val="nil"/>
              <w:left w:val="nil"/>
              <w:bottom w:val="single" w:color="auto" w:sz="4" w:space="0"/>
              <w:right w:val="single" w:color="auto" w:sz="4" w:space="0"/>
            </w:tcBorders>
            <w:vAlign w:val="center"/>
          </w:tcPr>
          <w:p w14:paraId="4A5F4A04">
            <w:pPr>
              <w:spacing w:line="240" w:lineRule="auto"/>
              <w:ind w:firstLine="0" w:firstLineChars="0"/>
              <w:jc w:val="center"/>
              <w:rPr>
                <w:rFonts w:cs="Times New Roman"/>
                <w:sz w:val="21"/>
                <w:szCs w:val="21"/>
              </w:rPr>
            </w:pPr>
            <w:r>
              <w:rPr>
                <w:rFonts w:cs="Times New Roman"/>
                <w:sz w:val="21"/>
                <w:szCs w:val="21"/>
              </w:rPr>
              <w:t>40.969965709</w:t>
            </w:r>
            <w:r>
              <w:rPr>
                <w:rFonts w:hint="eastAsia" w:cs="Times New Roman"/>
                <w:sz w:val="21"/>
                <w:szCs w:val="21"/>
              </w:rPr>
              <w:t>°</w:t>
            </w:r>
          </w:p>
        </w:tc>
      </w:tr>
      <w:tr w14:paraId="390ECDFB">
        <w:tblPrEx>
          <w:tblCellMar>
            <w:top w:w="0" w:type="dxa"/>
            <w:left w:w="108" w:type="dxa"/>
            <w:bottom w:w="0" w:type="dxa"/>
            <w:right w:w="108" w:type="dxa"/>
          </w:tblCellMar>
        </w:tblPrEx>
        <w:trPr>
          <w:trHeight w:val="397" w:hRule="atLeast"/>
          <w:jc w:val="center"/>
        </w:trPr>
        <w:tc>
          <w:tcPr>
            <w:tcW w:w="235" w:type="pct"/>
            <w:vMerge w:val="continue"/>
            <w:tcBorders>
              <w:top w:val="nil"/>
              <w:left w:val="single" w:color="auto" w:sz="4" w:space="0"/>
              <w:bottom w:val="single" w:color="auto" w:sz="4" w:space="0"/>
              <w:right w:val="single" w:color="auto" w:sz="4" w:space="0"/>
            </w:tcBorders>
            <w:vAlign w:val="center"/>
          </w:tcPr>
          <w:p w14:paraId="51C63671">
            <w:pPr>
              <w:spacing w:line="240" w:lineRule="auto"/>
              <w:ind w:firstLine="0" w:firstLineChars="0"/>
              <w:jc w:val="left"/>
              <w:rPr>
                <w:rFonts w:cs="Times New Roman"/>
                <w:sz w:val="21"/>
                <w:szCs w:val="21"/>
              </w:rPr>
            </w:pPr>
          </w:p>
        </w:tc>
        <w:tc>
          <w:tcPr>
            <w:tcW w:w="351" w:type="pct"/>
            <w:vMerge w:val="continue"/>
            <w:tcBorders>
              <w:top w:val="nil"/>
              <w:left w:val="single" w:color="auto" w:sz="4" w:space="0"/>
              <w:bottom w:val="single" w:color="auto" w:sz="4" w:space="0"/>
              <w:right w:val="single" w:color="auto" w:sz="4" w:space="0"/>
            </w:tcBorders>
            <w:vAlign w:val="center"/>
          </w:tcPr>
          <w:p w14:paraId="60B693A2">
            <w:pPr>
              <w:spacing w:line="240" w:lineRule="auto"/>
              <w:ind w:firstLine="0" w:firstLineChars="0"/>
              <w:jc w:val="left"/>
              <w:rPr>
                <w:rFonts w:cs="Times New Roman"/>
                <w:sz w:val="21"/>
                <w:szCs w:val="21"/>
              </w:rPr>
            </w:pPr>
          </w:p>
        </w:tc>
        <w:tc>
          <w:tcPr>
            <w:tcW w:w="235" w:type="pct"/>
            <w:tcBorders>
              <w:top w:val="nil"/>
              <w:left w:val="nil"/>
              <w:bottom w:val="single" w:color="auto" w:sz="4" w:space="0"/>
              <w:right w:val="single" w:color="auto" w:sz="4" w:space="0"/>
            </w:tcBorders>
            <w:shd w:val="clear" w:color="auto" w:fill="auto"/>
            <w:vAlign w:val="center"/>
          </w:tcPr>
          <w:p w14:paraId="34942AB1">
            <w:pPr>
              <w:spacing w:line="240" w:lineRule="auto"/>
              <w:ind w:firstLine="0" w:firstLineChars="0"/>
              <w:jc w:val="center"/>
              <w:rPr>
                <w:rFonts w:cs="Times New Roman"/>
                <w:sz w:val="21"/>
                <w:szCs w:val="21"/>
              </w:rPr>
            </w:pPr>
            <w:r>
              <w:rPr>
                <w:rFonts w:cs="Times New Roman"/>
                <w:sz w:val="21"/>
                <w:szCs w:val="21"/>
              </w:rPr>
              <w:t>5</w:t>
            </w:r>
          </w:p>
        </w:tc>
        <w:tc>
          <w:tcPr>
            <w:tcW w:w="685" w:type="pct"/>
            <w:tcBorders>
              <w:top w:val="nil"/>
              <w:left w:val="nil"/>
              <w:bottom w:val="single" w:color="auto" w:sz="4" w:space="0"/>
              <w:right w:val="single" w:color="auto" w:sz="4" w:space="0"/>
            </w:tcBorders>
            <w:shd w:val="clear" w:color="auto" w:fill="auto"/>
            <w:vAlign w:val="center"/>
          </w:tcPr>
          <w:p w14:paraId="0E646725">
            <w:pPr>
              <w:spacing w:line="240" w:lineRule="auto"/>
              <w:ind w:firstLine="0" w:firstLineChars="0"/>
              <w:jc w:val="center"/>
              <w:rPr>
                <w:rFonts w:cs="Times New Roman"/>
                <w:sz w:val="21"/>
                <w:szCs w:val="21"/>
              </w:rPr>
            </w:pPr>
            <w:r>
              <w:rPr>
                <w:rFonts w:cs="Times New Roman"/>
                <w:sz w:val="21"/>
                <w:szCs w:val="21"/>
              </w:rPr>
              <w:t>经四路和纬一路交叉口东南侧</w:t>
            </w:r>
          </w:p>
        </w:tc>
        <w:tc>
          <w:tcPr>
            <w:tcW w:w="442" w:type="pct"/>
            <w:tcBorders>
              <w:top w:val="nil"/>
              <w:left w:val="nil"/>
              <w:bottom w:val="single" w:color="auto" w:sz="4" w:space="0"/>
              <w:right w:val="single" w:color="auto" w:sz="4" w:space="0"/>
            </w:tcBorders>
            <w:shd w:val="clear" w:color="auto" w:fill="auto"/>
            <w:vAlign w:val="center"/>
          </w:tcPr>
          <w:p w14:paraId="1EBAC028">
            <w:pPr>
              <w:spacing w:line="240" w:lineRule="auto"/>
              <w:ind w:firstLine="0" w:firstLineChars="0"/>
              <w:jc w:val="center"/>
              <w:rPr>
                <w:rFonts w:cs="Times New Roman"/>
                <w:sz w:val="21"/>
                <w:szCs w:val="21"/>
              </w:rPr>
            </w:pPr>
            <w:r>
              <w:rPr>
                <w:rFonts w:cs="Times New Roman"/>
                <w:sz w:val="21"/>
                <w:szCs w:val="21"/>
              </w:rPr>
              <w:t>3</w:t>
            </w:r>
          </w:p>
        </w:tc>
        <w:tc>
          <w:tcPr>
            <w:tcW w:w="534" w:type="pct"/>
            <w:tcBorders>
              <w:top w:val="nil"/>
              <w:left w:val="nil"/>
              <w:bottom w:val="single" w:color="auto" w:sz="4" w:space="0"/>
              <w:right w:val="single" w:color="auto" w:sz="4" w:space="0"/>
            </w:tcBorders>
            <w:shd w:val="clear" w:color="auto" w:fill="auto"/>
            <w:vAlign w:val="center"/>
          </w:tcPr>
          <w:p w14:paraId="44F5564A">
            <w:pPr>
              <w:spacing w:line="240" w:lineRule="auto"/>
              <w:ind w:firstLine="0" w:firstLineChars="0"/>
              <w:jc w:val="center"/>
              <w:rPr>
                <w:rFonts w:cs="Times New Roman"/>
                <w:sz w:val="21"/>
                <w:szCs w:val="21"/>
              </w:rPr>
            </w:pPr>
            <w:r>
              <w:rPr>
                <w:rFonts w:cs="Times New Roman"/>
                <w:sz w:val="21"/>
                <w:szCs w:val="21"/>
              </w:rPr>
              <w:t xml:space="preserve">3.56 </w:t>
            </w:r>
          </w:p>
        </w:tc>
        <w:tc>
          <w:tcPr>
            <w:tcW w:w="380" w:type="pct"/>
            <w:tcBorders>
              <w:top w:val="nil"/>
              <w:left w:val="nil"/>
              <w:bottom w:val="single" w:color="auto" w:sz="4" w:space="0"/>
              <w:right w:val="single" w:color="auto" w:sz="4" w:space="0"/>
            </w:tcBorders>
            <w:shd w:val="clear" w:color="auto" w:fill="auto"/>
            <w:vAlign w:val="center"/>
          </w:tcPr>
          <w:p w14:paraId="38E1A452">
            <w:pPr>
              <w:spacing w:line="240" w:lineRule="auto"/>
              <w:ind w:firstLine="0" w:firstLineChars="0"/>
              <w:jc w:val="center"/>
              <w:rPr>
                <w:rFonts w:cs="Times New Roman"/>
                <w:sz w:val="21"/>
                <w:szCs w:val="21"/>
              </w:rPr>
            </w:pPr>
            <w:r>
              <w:rPr>
                <w:rFonts w:cs="Times New Roman"/>
                <w:sz w:val="21"/>
                <w:szCs w:val="21"/>
              </w:rPr>
              <w:t xml:space="preserve">10.69 </w:t>
            </w:r>
          </w:p>
        </w:tc>
        <w:tc>
          <w:tcPr>
            <w:tcW w:w="343" w:type="pct"/>
            <w:tcBorders>
              <w:top w:val="nil"/>
              <w:left w:val="nil"/>
              <w:bottom w:val="single" w:color="auto" w:sz="4" w:space="0"/>
              <w:right w:val="single" w:color="auto" w:sz="4" w:space="0"/>
            </w:tcBorders>
            <w:shd w:val="clear" w:color="auto" w:fill="auto"/>
            <w:vAlign w:val="center"/>
          </w:tcPr>
          <w:p w14:paraId="6BDFD8EE">
            <w:pPr>
              <w:spacing w:line="240" w:lineRule="auto"/>
              <w:ind w:firstLine="0" w:firstLineChars="0"/>
              <w:jc w:val="center"/>
              <w:rPr>
                <w:rFonts w:cs="Times New Roman"/>
                <w:sz w:val="21"/>
                <w:szCs w:val="21"/>
              </w:rPr>
            </w:pPr>
            <w:r>
              <w:rPr>
                <w:rFonts w:cs="Times New Roman"/>
                <w:sz w:val="21"/>
                <w:szCs w:val="21"/>
              </w:rPr>
              <w:t>1</w:t>
            </w:r>
          </w:p>
        </w:tc>
        <w:tc>
          <w:tcPr>
            <w:tcW w:w="893" w:type="pct"/>
            <w:tcBorders>
              <w:top w:val="nil"/>
              <w:left w:val="nil"/>
              <w:bottom w:val="single" w:color="auto" w:sz="4" w:space="0"/>
              <w:right w:val="single" w:color="auto" w:sz="4" w:space="0"/>
            </w:tcBorders>
            <w:vAlign w:val="center"/>
          </w:tcPr>
          <w:p w14:paraId="2BF6D94D">
            <w:pPr>
              <w:spacing w:line="240" w:lineRule="auto"/>
              <w:ind w:firstLine="0" w:firstLineChars="0"/>
              <w:jc w:val="center"/>
              <w:rPr>
                <w:rFonts w:cs="Times New Roman"/>
                <w:sz w:val="21"/>
                <w:szCs w:val="21"/>
              </w:rPr>
            </w:pPr>
            <w:r>
              <w:rPr>
                <w:rFonts w:cs="Times New Roman"/>
                <w:sz w:val="21"/>
                <w:szCs w:val="21"/>
              </w:rPr>
              <w:t>110.104409649</w:t>
            </w:r>
            <w:r>
              <w:rPr>
                <w:rFonts w:hint="eastAsia" w:cs="Times New Roman"/>
                <w:sz w:val="21"/>
                <w:szCs w:val="21"/>
              </w:rPr>
              <w:t>°</w:t>
            </w:r>
          </w:p>
        </w:tc>
        <w:tc>
          <w:tcPr>
            <w:tcW w:w="902" w:type="pct"/>
            <w:tcBorders>
              <w:top w:val="nil"/>
              <w:left w:val="nil"/>
              <w:bottom w:val="single" w:color="auto" w:sz="4" w:space="0"/>
              <w:right w:val="single" w:color="auto" w:sz="4" w:space="0"/>
            </w:tcBorders>
            <w:vAlign w:val="center"/>
          </w:tcPr>
          <w:p w14:paraId="11545B6F">
            <w:pPr>
              <w:spacing w:line="240" w:lineRule="auto"/>
              <w:ind w:firstLine="0" w:firstLineChars="0"/>
              <w:jc w:val="center"/>
              <w:rPr>
                <w:rFonts w:cs="Times New Roman"/>
                <w:sz w:val="21"/>
                <w:szCs w:val="21"/>
              </w:rPr>
            </w:pPr>
            <w:r>
              <w:rPr>
                <w:rFonts w:cs="Times New Roman"/>
                <w:sz w:val="21"/>
                <w:szCs w:val="21"/>
              </w:rPr>
              <w:t>40.969300522</w:t>
            </w:r>
            <w:r>
              <w:rPr>
                <w:rFonts w:hint="eastAsia" w:cs="Times New Roman"/>
                <w:sz w:val="21"/>
                <w:szCs w:val="21"/>
              </w:rPr>
              <w:t>°</w:t>
            </w:r>
          </w:p>
        </w:tc>
      </w:tr>
      <w:tr w14:paraId="353CF1F3">
        <w:tblPrEx>
          <w:tblCellMar>
            <w:top w:w="0" w:type="dxa"/>
            <w:left w:w="108" w:type="dxa"/>
            <w:bottom w:w="0" w:type="dxa"/>
            <w:right w:w="108" w:type="dxa"/>
          </w:tblCellMar>
        </w:tblPrEx>
        <w:trPr>
          <w:trHeight w:val="397" w:hRule="atLeast"/>
          <w:jc w:val="center"/>
        </w:trPr>
        <w:tc>
          <w:tcPr>
            <w:tcW w:w="235" w:type="pct"/>
            <w:vMerge w:val="continue"/>
            <w:tcBorders>
              <w:top w:val="nil"/>
              <w:left w:val="single" w:color="auto" w:sz="4" w:space="0"/>
              <w:bottom w:val="single" w:color="auto" w:sz="4" w:space="0"/>
              <w:right w:val="single" w:color="auto" w:sz="4" w:space="0"/>
            </w:tcBorders>
            <w:vAlign w:val="center"/>
          </w:tcPr>
          <w:p w14:paraId="29C0273F">
            <w:pPr>
              <w:spacing w:line="240" w:lineRule="auto"/>
              <w:ind w:firstLine="0" w:firstLineChars="0"/>
              <w:jc w:val="left"/>
              <w:rPr>
                <w:rFonts w:cs="Times New Roman"/>
                <w:sz w:val="21"/>
                <w:szCs w:val="21"/>
              </w:rPr>
            </w:pPr>
          </w:p>
        </w:tc>
        <w:tc>
          <w:tcPr>
            <w:tcW w:w="351" w:type="pct"/>
            <w:vMerge w:val="continue"/>
            <w:tcBorders>
              <w:top w:val="nil"/>
              <w:left w:val="single" w:color="auto" w:sz="4" w:space="0"/>
              <w:bottom w:val="single" w:color="auto" w:sz="4" w:space="0"/>
              <w:right w:val="single" w:color="auto" w:sz="4" w:space="0"/>
            </w:tcBorders>
            <w:vAlign w:val="center"/>
          </w:tcPr>
          <w:p w14:paraId="05BC2C3B">
            <w:pPr>
              <w:spacing w:line="240" w:lineRule="auto"/>
              <w:ind w:firstLine="0" w:firstLineChars="0"/>
              <w:jc w:val="left"/>
              <w:rPr>
                <w:rFonts w:cs="Times New Roman"/>
                <w:sz w:val="21"/>
                <w:szCs w:val="21"/>
              </w:rPr>
            </w:pPr>
          </w:p>
        </w:tc>
        <w:tc>
          <w:tcPr>
            <w:tcW w:w="235" w:type="pct"/>
            <w:tcBorders>
              <w:top w:val="nil"/>
              <w:left w:val="nil"/>
              <w:bottom w:val="single" w:color="auto" w:sz="4" w:space="0"/>
              <w:right w:val="single" w:color="auto" w:sz="4" w:space="0"/>
            </w:tcBorders>
            <w:shd w:val="clear" w:color="auto" w:fill="auto"/>
            <w:vAlign w:val="center"/>
          </w:tcPr>
          <w:p w14:paraId="712F26CF">
            <w:pPr>
              <w:spacing w:line="240" w:lineRule="auto"/>
              <w:ind w:firstLine="0" w:firstLineChars="0"/>
              <w:jc w:val="center"/>
              <w:rPr>
                <w:rFonts w:cs="Times New Roman"/>
                <w:sz w:val="21"/>
                <w:szCs w:val="21"/>
              </w:rPr>
            </w:pPr>
            <w:r>
              <w:rPr>
                <w:rFonts w:cs="Times New Roman"/>
                <w:sz w:val="21"/>
                <w:szCs w:val="21"/>
              </w:rPr>
              <w:t>6</w:t>
            </w:r>
          </w:p>
        </w:tc>
        <w:tc>
          <w:tcPr>
            <w:tcW w:w="685" w:type="pct"/>
            <w:tcBorders>
              <w:top w:val="nil"/>
              <w:left w:val="nil"/>
              <w:bottom w:val="single" w:color="auto" w:sz="4" w:space="0"/>
              <w:right w:val="single" w:color="auto" w:sz="4" w:space="0"/>
            </w:tcBorders>
            <w:shd w:val="clear" w:color="auto" w:fill="auto"/>
            <w:vAlign w:val="center"/>
          </w:tcPr>
          <w:p w14:paraId="34F013BE">
            <w:pPr>
              <w:spacing w:line="240" w:lineRule="auto"/>
              <w:ind w:firstLine="0" w:firstLineChars="0"/>
              <w:jc w:val="center"/>
              <w:rPr>
                <w:rFonts w:cs="Times New Roman"/>
                <w:sz w:val="21"/>
                <w:szCs w:val="21"/>
              </w:rPr>
            </w:pPr>
            <w:r>
              <w:rPr>
                <w:rFonts w:cs="Times New Roman"/>
                <w:sz w:val="21"/>
                <w:szCs w:val="21"/>
              </w:rPr>
              <w:t>纬二路东段北侧</w:t>
            </w:r>
          </w:p>
        </w:tc>
        <w:tc>
          <w:tcPr>
            <w:tcW w:w="442" w:type="pct"/>
            <w:tcBorders>
              <w:top w:val="nil"/>
              <w:left w:val="nil"/>
              <w:bottom w:val="single" w:color="auto" w:sz="4" w:space="0"/>
              <w:right w:val="single" w:color="auto" w:sz="4" w:space="0"/>
            </w:tcBorders>
            <w:shd w:val="clear" w:color="auto" w:fill="auto"/>
            <w:vAlign w:val="center"/>
          </w:tcPr>
          <w:p w14:paraId="0F71A1BA">
            <w:pPr>
              <w:spacing w:line="240" w:lineRule="auto"/>
              <w:ind w:firstLine="0" w:firstLineChars="0"/>
              <w:jc w:val="center"/>
              <w:rPr>
                <w:rFonts w:cs="Times New Roman"/>
                <w:sz w:val="21"/>
                <w:szCs w:val="21"/>
              </w:rPr>
            </w:pPr>
            <w:r>
              <w:rPr>
                <w:rFonts w:cs="Times New Roman"/>
                <w:sz w:val="21"/>
                <w:szCs w:val="21"/>
              </w:rPr>
              <w:t>3</w:t>
            </w:r>
          </w:p>
        </w:tc>
        <w:tc>
          <w:tcPr>
            <w:tcW w:w="534" w:type="pct"/>
            <w:tcBorders>
              <w:top w:val="nil"/>
              <w:left w:val="nil"/>
              <w:bottom w:val="single" w:color="auto" w:sz="4" w:space="0"/>
              <w:right w:val="single" w:color="auto" w:sz="4" w:space="0"/>
            </w:tcBorders>
            <w:shd w:val="clear" w:color="auto" w:fill="auto"/>
            <w:vAlign w:val="center"/>
          </w:tcPr>
          <w:p w14:paraId="3B1467E6">
            <w:pPr>
              <w:spacing w:line="240" w:lineRule="auto"/>
              <w:ind w:firstLine="0" w:firstLineChars="0"/>
              <w:jc w:val="center"/>
              <w:rPr>
                <w:rFonts w:cs="Times New Roman"/>
                <w:sz w:val="21"/>
                <w:szCs w:val="21"/>
              </w:rPr>
            </w:pPr>
            <w:r>
              <w:rPr>
                <w:rFonts w:cs="Times New Roman"/>
                <w:sz w:val="21"/>
                <w:szCs w:val="21"/>
              </w:rPr>
              <w:t xml:space="preserve">3.43 </w:t>
            </w:r>
          </w:p>
        </w:tc>
        <w:tc>
          <w:tcPr>
            <w:tcW w:w="380" w:type="pct"/>
            <w:tcBorders>
              <w:top w:val="nil"/>
              <w:left w:val="nil"/>
              <w:bottom w:val="single" w:color="auto" w:sz="4" w:space="0"/>
              <w:right w:val="single" w:color="auto" w:sz="4" w:space="0"/>
            </w:tcBorders>
            <w:shd w:val="clear" w:color="auto" w:fill="auto"/>
            <w:vAlign w:val="center"/>
          </w:tcPr>
          <w:p w14:paraId="0E82BBD3">
            <w:pPr>
              <w:spacing w:line="240" w:lineRule="auto"/>
              <w:ind w:firstLine="0" w:firstLineChars="0"/>
              <w:jc w:val="center"/>
              <w:rPr>
                <w:rFonts w:cs="Times New Roman"/>
                <w:sz w:val="21"/>
                <w:szCs w:val="21"/>
              </w:rPr>
            </w:pPr>
            <w:r>
              <w:rPr>
                <w:rFonts w:cs="Times New Roman"/>
                <w:sz w:val="21"/>
                <w:szCs w:val="21"/>
              </w:rPr>
              <w:t xml:space="preserve">10.29 </w:t>
            </w:r>
          </w:p>
        </w:tc>
        <w:tc>
          <w:tcPr>
            <w:tcW w:w="343" w:type="pct"/>
            <w:tcBorders>
              <w:top w:val="nil"/>
              <w:left w:val="nil"/>
              <w:bottom w:val="single" w:color="auto" w:sz="4" w:space="0"/>
              <w:right w:val="single" w:color="auto" w:sz="4" w:space="0"/>
            </w:tcBorders>
            <w:shd w:val="clear" w:color="auto" w:fill="auto"/>
            <w:vAlign w:val="center"/>
          </w:tcPr>
          <w:p w14:paraId="5B61BEC5">
            <w:pPr>
              <w:spacing w:line="240" w:lineRule="auto"/>
              <w:ind w:firstLine="0" w:firstLineChars="0"/>
              <w:jc w:val="center"/>
              <w:rPr>
                <w:rFonts w:cs="Times New Roman"/>
                <w:sz w:val="21"/>
                <w:szCs w:val="21"/>
              </w:rPr>
            </w:pPr>
            <w:r>
              <w:rPr>
                <w:rFonts w:cs="Times New Roman"/>
                <w:sz w:val="21"/>
                <w:szCs w:val="21"/>
              </w:rPr>
              <w:t>1</w:t>
            </w:r>
          </w:p>
        </w:tc>
        <w:tc>
          <w:tcPr>
            <w:tcW w:w="893" w:type="pct"/>
            <w:tcBorders>
              <w:top w:val="nil"/>
              <w:left w:val="nil"/>
              <w:bottom w:val="single" w:color="auto" w:sz="4" w:space="0"/>
              <w:right w:val="single" w:color="auto" w:sz="4" w:space="0"/>
            </w:tcBorders>
            <w:vAlign w:val="center"/>
          </w:tcPr>
          <w:p w14:paraId="1047BFCC">
            <w:pPr>
              <w:spacing w:line="240" w:lineRule="auto"/>
              <w:ind w:firstLine="0" w:firstLineChars="0"/>
              <w:jc w:val="center"/>
              <w:rPr>
                <w:rFonts w:cs="Times New Roman"/>
                <w:sz w:val="21"/>
                <w:szCs w:val="21"/>
              </w:rPr>
            </w:pPr>
            <w:r>
              <w:rPr>
                <w:rFonts w:cs="Times New Roman"/>
                <w:sz w:val="21"/>
                <w:szCs w:val="21"/>
              </w:rPr>
              <w:t>110.114559128</w:t>
            </w:r>
            <w:r>
              <w:rPr>
                <w:rFonts w:hint="eastAsia" w:cs="Times New Roman"/>
                <w:sz w:val="21"/>
                <w:szCs w:val="21"/>
              </w:rPr>
              <w:t>°</w:t>
            </w:r>
          </w:p>
        </w:tc>
        <w:tc>
          <w:tcPr>
            <w:tcW w:w="902" w:type="pct"/>
            <w:tcBorders>
              <w:top w:val="nil"/>
              <w:left w:val="nil"/>
              <w:bottom w:val="single" w:color="auto" w:sz="4" w:space="0"/>
              <w:right w:val="single" w:color="auto" w:sz="4" w:space="0"/>
            </w:tcBorders>
            <w:vAlign w:val="center"/>
          </w:tcPr>
          <w:p w14:paraId="1B07B27F">
            <w:pPr>
              <w:spacing w:line="240" w:lineRule="auto"/>
              <w:ind w:firstLine="0" w:firstLineChars="0"/>
              <w:jc w:val="center"/>
              <w:rPr>
                <w:rFonts w:cs="Times New Roman"/>
                <w:sz w:val="21"/>
                <w:szCs w:val="21"/>
              </w:rPr>
            </w:pPr>
            <w:r>
              <w:rPr>
                <w:rFonts w:cs="Times New Roman"/>
                <w:sz w:val="21"/>
                <w:szCs w:val="21"/>
              </w:rPr>
              <w:t>40.963399662</w:t>
            </w:r>
            <w:r>
              <w:rPr>
                <w:rFonts w:hint="eastAsia" w:cs="Times New Roman"/>
                <w:sz w:val="21"/>
                <w:szCs w:val="21"/>
              </w:rPr>
              <w:t>°</w:t>
            </w:r>
          </w:p>
        </w:tc>
      </w:tr>
      <w:tr w14:paraId="2DA5A409">
        <w:tblPrEx>
          <w:tblCellMar>
            <w:top w:w="0" w:type="dxa"/>
            <w:left w:w="108" w:type="dxa"/>
            <w:bottom w:w="0" w:type="dxa"/>
            <w:right w:w="108" w:type="dxa"/>
          </w:tblCellMar>
        </w:tblPrEx>
        <w:trPr>
          <w:trHeight w:val="397" w:hRule="atLeast"/>
          <w:jc w:val="center"/>
        </w:trPr>
        <w:tc>
          <w:tcPr>
            <w:tcW w:w="235" w:type="pct"/>
            <w:vMerge w:val="continue"/>
            <w:tcBorders>
              <w:top w:val="nil"/>
              <w:left w:val="single" w:color="auto" w:sz="4" w:space="0"/>
              <w:bottom w:val="single" w:color="auto" w:sz="4" w:space="0"/>
              <w:right w:val="single" w:color="auto" w:sz="4" w:space="0"/>
            </w:tcBorders>
            <w:vAlign w:val="center"/>
          </w:tcPr>
          <w:p w14:paraId="169BAFA9">
            <w:pPr>
              <w:spacing w:line="240" w:lineRule="auto"/>
              <w:ind w:firstLine="0" w:firstLineChars="0"/>
              <w:jc w:val="left"/>
              <w:rPr>
                <w:rFonts w:cs="Times New Roman"/>
                <w:sz w:val="21"/>
                <w:szCs w:val="21"/>
              </w:rPr>
            </w:pPr>
          </w:p>
        </w:tc>
        <w:tc>
          <w:tcPr>
            <w:tcW w:w="351" w:type="pct"/>
            <w:vMerge w:val="continue"/>
            <w:tcBorders>
              <w:top w:val="nil"/>
              <w:left w:val="single" w:color="auto" w:sz="4" w:space="0"/>
              <w:bottom w:val="single" w:color="auto" w:sz="4" w:space="0"/>
              <w:right w:val="single" w:color="auto" w:sz="4" w:space="0"/>
            </w:tcBorders>
            <w:vAlign w:val="center"/>
          </w:tcPr>
          <w:p w14:paraId="45CB4F67">
            <w:pPr>
              <w:spacing w:line="240" w:lineRule="auto"/>
              <w:ind w:firstLine="0" w:firstLineChars="0"/>
              <w:jc w:val="left"/>
              <w:rPr>
                <w:rFonts w:cs="Times New Roman"/>
                <w:sz w:val="21"/>
                <w:szCs w:val="21"/>
              </w:rPr>
            </w:pPr>
          </w:p>
        </w:tc>
        <w:tc>
          <w:tcPr>
            <w:tcW w:w="235" w:type="pct"/>
            <w:tcBorders>
              <w:top w:val="nil"/>
              <w:left w:val="nil"/>
              <w:bottom w:val="single" w:color="auto" w:sz="4" w:space="0"/>
              <w:right w:val="single" w:color="auto" w:sz="4" w:space="0"/>
            </w:tcBorders>
            <w:shd w:val="clear" w:color="auto" w:fill="auto"/>
            <w:vAlign w:val="center"/>
          </w:tcPr>
          <w:p w14:paraId="280B1F59">
            <w:pPr>
              <w:spacing w:line="240" w:lineRule="auto"/>
              <w:ind w:firstLine="0" w:firstLineChars="0"/>
              <w:jc w:val="center"/>
              <w:rPr>
                <w:rFonts w:cs="Times New Roman"/>
                <w:sz w:val="21"/>
                <w:szCs w:val="21"/>
              </w:rPr>
            </w:pPr>
            <w:r>
              <w:rPr>
                <w:rFonts w:cs="Times New Roman"/>
                <w:sz w:val="21"/>
                <w:szCs w:val="21"/>
              </w:rPr>
              <w:t>7</w:t>
            </w:r>
          </w:p>
        </w:tc>
        <w:tc>
          <w:tcPr>
            <w:tcW w:w="685" w:type="pct"/>
            <w:tcBorders>
              <w:top w:val="nil"/>
              <w:left w:val="nil"/>
              <w:bottom w:val="single" w:color="auto" w:sz="4" w:space="0"/>
              <w:right w:val="single" w:color="auto" w:sz="4" w:space="0"/>
            </w:tcBorders>
            <w:shd w:val="clear" w:color="auto" w:fill="auto"/>
            <w:vAlign w:val="center"/>
          </w:tcPr>
          <w:p w14:paraId="0900F279">
            <w:pPr>
              <w:spacing w:line="240" w:lineRule="auto"/>
              <w:ind w:firstLine="0" w:firstLineChars="0"/>
              <w:jc w:val="center"/>
              <w:rPr>
                <w:rFonts w:cs="Times New Roman"/>
                <w:sz w:val="21"/>
                <w:szCs w:val="21"/>
              </w:rPr>
            </w:pPr>
            <w:r>
              <w:rPr>
                <w:rFonts w:cs="Times New Roman"/>
                <w:sz w:val="21"/>
                <w:szCs w:val="21"/>
              </w:rPr>
              <w:t>经二路和纬一路交叉口东南侧</w:t>
            </w:r>
          </w:p>
        </w:tc>
        <w:tc>
          <w:tcPr>
            <w:tcW w:w="442" w:type="pct"/>
            <w:tcBorders>
              <w:top w:val="nil"/>
              <w:left w:val="nil"/>
              <w:bottom w:val="single" w:color="auto" w:sz="4" w:space="0"/>
              <w:right w:val="single" w:color="auto" w:sz="4" w:space="0"/>
            </w:tcBorders>
            <w:shd w:val="clear" w:color="auto" w:fill="auto"/>
            <w:vAlign w:val="center"/>
          </w:tcPr>
          <w:p w14:paraId="67CAE5EF">
            <w:pPr>
              <w:spacing w:line="240" w:lineRule="auto"/>
              <w:ind w:firstLine="0" w:firstLineChars="0"/>
              <w:jc w:val="center"/>
              <w:rPr>
                <w:rFonts w:cs="Times New Roman"/>
                <w:sz w:val="21"/>
                <w:szCs w:val="21"/>
              </w:rPr>
            </w:pPr>
            <w:r>
              <w:rPr>
                <w:rFonts w:cs="Times New Roman"/>
                <w:sz w:val="21"/>
                <w:szCs w:val="21"/>
              </w:rPr>
              <w:t>3</w:t>
            </w:r>
          </w:p>
        </w:tc>
        <w:tc>
          <w:tcPr>
            <w:tcW w:w="534" w:type="pct"/>
            <w:tcBorders>
              <w:top w:val="nil"/>
              <w:left w:val="nil"/>
              <w:bottom w:val="single" w:color="auto" w:sz="4" w:space="0"/>
              <w:right w:val="single" w:color="auto" w:sz="4" w:space="0"/>
            </w:tcBorders>
            <w:shd w:val="clear" w:color="auto" w:fill="auto"/>
            <w:vAlign w:val="center"/>
          </w:tcPr>
          <w:p w14:paraId="5CEBF860">
            <w:pPr>
              <w:spacing w:line="240" w:lineRule="auto"/>
              <w:ind w:firstLine="0" w:firstLineChars="0"/>
              <w:jc w:val="center"/>
              <w:rPr>
                <w:rFonts w:cs="Times New Roman"/>
                <w:sz w:val="21"/>
                <w:szCs w:val="21"/>
              </w:rPr>
            </w:pPr>
            <w:r>
              <w:rPr>
                <w:rFonts w:cs="Times New Roman"/>
                <w:sz w:val="21"/>
                <w:szCs w:val="21"/>
              </w:rPr>
              <w:t xml:space="preserve">2.05 </w:t>
            </w:r>
          </w:p>
        </w:tc>
        <w:tc>
          <w:tcPr>
            <w:tcW w:w="380" w:type="pct"/>
            <w:tcBorders>
              <w:top w:val="nil"/>
              <w:left w:val="nil"/>
              <w:bottom w:val="single" w:color="auto" w:sz="4" w:space="0"/>
              <w:right w:val="single" w:color="auto" w:sz="4" w:space="0"/>
            </w:tcBorders>
            <w:shd w:val="clear" w:color="auto" w:fill="auto"/>
            <w:vAlign w:val="center"/>
          </w:tcPr>
          <w:p w14:paraId="4FC433FC">
            <w:pPr>
              <w:spacing w:line="240" w:lineRule="auto"/>
              <w:ind w:firstLine="0" w:firstLineChars="0"/>
              <w:jc w:val="center"/>
              <w:rPr>
                <w:rFonts w:cs="Times New Roman"/>
                <w:sz w:val="21"/>
                <w:szCs w:val="21"/>
              </w:rPr>
            </w:pPr>
            <w:r>
              <w:rPr>
                <w:rFonts w:cs="Times New Roman"/>
                <w:sz w:val="21"/>
                <w:szCs w:val="21"/>
              </w:rPr>
              <w:t xml:space="preserve">6.16 </w:t>
            </w:r>
          </w:p>
        </w:tc>
        <w:tc>
          <w:tcPr>
            <w:tcW w:w="343" w:type="pct"/>
            <w:tcBorders>
              <w:top w:val="nil"/>
              <w:left w:val="nil"/>
              <w:bottom w:val="single" w:color="auto" w:sz="4" w:space="0"/>
              <w:right w:val="single" w:color="auto" w:sz="4" w:space="0"/>
            </w:tcBorders>
            <w:shd w:val="clear" w:color="auto" w:fill="auto"/>
            <w:vAlign w:val="center"/>
          </w:tcPr>
          <w:p w14:paraId="535016C4">
            <w:pPr>
              <w:spacing w:line="240" w:lineRule="auto"/>
              <w:ind w:firstLine="0" w:firstLineChars="0"/>
              <w:jc w:val="center"/>
              <w:rPr>
                <w:rFonts w:cs="Times New Roman"/>
                <w:sz w:val="21"/>
                <w:szCs w:val="21"/>
              </w:rPr>
            </w:pPr>
            <w:r>
              <w:rPr>
                <w:rFonts w:cs="Times New Roman"/>
                <w:sz w:val="21"/>
                <w:szCs w:val="21"/>
              </w:rPr>
              <w:t>1</w:t>
            </w:r>
          </w:p>
        </w:tc>
        <w:tc>
          <w:tcPr>
            <w:tcW w:w="893" w:type="pct"/>
            <w:tcBorders>
              <w:top w:val="nil"/>
              <w:left w:val="nil"/>
              <w:bottom w:val="single" w:color="auto" w:sz="4" w:space="0"/>
              <w:right w:val="single" w:color="auto" w:sz="4" w:space="0"/>
            </w:tcBorders>
            <w:vAlign w:val="center"/>
          </w:tcPr>
          <w:p w14:paraId="0A637417">
            <w:pPr>
              <w:spacing w:line="240" w:lineRule="auto"/>
              <w:ind w:firstLine="0" w:firstLineChars="0"/>
              <w:jc w:val="center"/>
              <w:rPr>
                <w:rFonts w:cs="Times New Roman"/>
                <w:sz w:val="21"/>
                <w:szCs w:val="21"/>
              </w:rPr>
            </w:pPr>
            <w:r>
              <w:rPr>
                <w:rFonts w:cs="Times New Roman"/>
                <w:sz w:val="21"/>
                <w:szCs w:val="21"/>
              </w:rPr>
              <w:t>110.075098469</w:t>
            </w:r>
            <w:r>
              <w:rPr>
                <w:rFonts w:hint="eastAsia" w:cs="Times New Roman"/>
                <w:sz w:val="21"/>
                <w:szCs w:val="21"/>
              </w:rPr>
              <w:t>°</w:t>
            </w:r>
          </w:p>
        </w:tc>
        <w:tc>
          <w:tcPr>
            <w:tcW w:w="902" w:type="pct"/>
            <w:tcBorders>
              <w:top w:val="nil"/>
              <w:left w:val="nil"/>
              <w:bottom w:val="single" w:color="auto" w:sz="4" w:space="0"/>
              <w:right w:val="single" w:color="auto" w:sz="4" w:space="0"/>
            </w:tcBorders>
            <w:vAlign w:val="center"/>
          </w:tcPr>
          <w:p w14:paraId="6532681A">
            <w:pPr>
              <w:spacing w:line="240" w:lineRule="auto"/>
              <w:ind w:firstLine="0" w:firstLineChars="0"/>
              <w:jc w:val="center"/>
              <w:rPr>
                <w:rFonts w:cs="Times New Roman"/>
                <w:sz w:val="21"/>
                <w:szCs w:val="21"/>
              </w:rPr>
            </w:pPr>
            <w:r>
              <w:rPr>
                <w:rFonts w:cs="Times New Roman"/>
                <w:sz w:val="21"/>
                <w:szCs w:val="21"/>
              </w:rPr>
              <w:t>40.974482549</w:t>
            </w:r>
            <w:r>
              <w:rPr>
                <w:rFonts w:hint="eastAsia" w:cs="Times New Roman"/>
                <w:sz w:val="21"/>
                <w:szCs w:val="21"/>
              </w:rPr>
              <w:t>°</w:t>
            </w:r>
          </w:p>
        </w:tc>
      </w:tr>
      <w:tr w14:paraId="080C15FE">
        <w:tblPrEx>
          <w:tblCellMar>
            <w:top w:w="0" w:type="dxa"/>
            <w:left w:w="108" w:type="dxa"/>
            <w:bottom w:w="0" w:type="dxa"/>
            <w:right w:w="108" w:type="dxa"/>
          </w:tblCellMar>
        </w:tblPrEx>
        <w:trPr>
          <w:trHeight w:val="397" w:hRule="atLeast"/>
          <w:jc w:val="center"/>
        </w:trPr>
        <w:tc>
          <w:tcPr>
            <w:tcW w:w="235" w:type="pct"/>
            <w:tcBorders>
              <w:top w:val="nil"/>
              <w:left w:val="single" w:color="auto" w:sz="4" w:space="0"/>
              <w:bottom w:val="single" w:color="auto" w:sz="4" w:space="0"/>
              <w:right w:val="single" w:color="auto" w:sz="4" w:space="0"/>
            </w:tcBorders>
            <w:shd w:val="clear" w:color="auto" w:fill="auto"/>
            <w:noWrap/>
            <w:vAlign w:val="center"/>
          </w:tcPr>
          <w:p w14:paraId="2F2E5A46">
            <w:pPr>
              <w:spacing w:line="240" w:lineRule="auto"/>
              <w:ind w:firstLine="0" w:firstLineChars="0"/>
              <w:jc w:val="center"/>
              <w:rPr>
                <w:rFonts w:cs="Times New Roman"/>
                <w:sz w:val="21"/>
                <w:szCs w:val="21"/>
              </w:rPr>
            </w:pPr>
            <w:r>
              <w:rPr>
                <w:rFonts w:cs="Times New Roman"/>
                <w:sz w:val="21"/>
                <w:szCs w:val="21"/>
              </w:rPr>
              <w:t>　</w:t>
            </w:r>
          </w:p>
        </w:tc>
        <w:tc>
          <w:tcPr>
            <w:tcW w:w="351" w:type="pct"/>
            <w:tcBorders>
              <w:top w:val="nil"/>
              <w:left w:val="nil"/>
              <w:bottom w:val="single" w:color="auto" w:sz="4" w:space="0"/>
              <w:right w:val="single" w:color="auto" w:sz="4" w:space="0"/>
            </w:tcBorders>
            <w:shd w:val="clear" w:color="auto" w:fill="auto"/>
            <w:noWrap/>
            <w:vAlign w:val="center"/>
          </w:tcPr>
          <w:p w14:paraId="0DE9AC82">
            <w:pPr>
              <w:spacing w:line="240" w:lineRule="auto"/>
              <w:ind w:firstLine="0" w:firstLineChars="0"/>
              <w:jc w:val="center"/>
              <w:rPr>
                <w:rFonts w:cs="Times New Roman"/>
                <w:sz w:val="21"/>
                <w:szCs w:val="21"/>
              </w:rPr>
            </w:pPr>
            <w:r>
              <w:rPr>
                <w:rFonts w:cs="Times New Roman"/>
                <w:sz w:val="21"/>
                <w:szCs w:val="21"/>
              </w:rPr>
              <w:t>小计</w:t>
            </w:r>
          </w:p>
        </w:tc>
        <w:tc>
          <w:tcPr>
            <w:tcW w:w="235" w:type="pct"/>
            <w:tcBorders>
              <w:top w:val="nil"/>
              <w:left w:val="nil"/>
              <w:bottom w:val="single" w:color="auto" w:sz="4" w:space="0"/>
              <w:right w:val="single" w:color="auto" w:sz="4" w:space="0"/>
            </w:tcBorders>
            <w:shd w:val="clear" w:color="auto" w:fill="auto"/>
            <w:noWrap/>
            <w:vAlign w:val="center"/>
          </w:tcPr>
          <w:p w14:paraId="24597BDB">
            <w:pPr>
              <w:spacing w:line="240" w:lineRule="auto"/>
              <w:ind w:firstLine="0" w:firstLineChars="0"/>
              <w:jc w:val="center"/>
              <w:rPr>
                <w:rFonts w:cs="Times New Roman"/>
                <w:sz w:val="21"/>
                <w:szCs w:val="21"/>
              </w:rPr>
            </w:pPr>
            <w:r>
              <w:rPr>
                <w:rFonts w:cs="Times New Roman"/>
                <w:sz w:val="21"/>
                <w:szCs w:val="21"/>
              </w:rPr>
              <w:t>　</w:t>
            </w:r>
          </w:p>
        </w:tc>
        <w:tc>
          <w:tcPr>
            <w:tcW w:w="685" w:type="pct"/>
            <w:tcBorders>
              <w:top w:val="nil"/>
              <w:left w:val="nil"/>
              <w:bottom w:val="single" w:color="auto" w:sz="4" w:space="0"/>
              <w:right w:val="single" w:color="auto" w:sz="4" w:space="0"/>
            </w:tcBorders>
            <w:shd w:val="clear" w:color="auto" w:fill="auto"/>
            <w:noWrap/>
            <w:vAlign w:val="center"/>
          </w:tcPr>
          <w:p w14:paraId="136A1408">
            <w:pPr>
              <w:spacing w:line="240" w:lineRule="auto"/>
              <w:ind w:firstLine="0" w:firstLineChars="0"/>
              <w:jc w:val="center"/>
              <w:rPr>
                <w:rFonts w:cs="Times New Roman"/>
                <w:sz w:val="21"/>
                <w:szCs w:val="21"/>
              </w:rPr>
            </w:pPr>
            <w:r>
              <w:rPr>
                <w:rFonts w:cs="Times New Roman"/>
                <w:sz w:val="21"/>
                <w:szCs w:val="21"/>
              </w:rPr>
              <w:t>　</w:t>
            </w:r>
          </w:p>
        </w:tc>
        <w:tc>
          <w:tcPr>
            <w:tcW w:w="442" w:type="pct"/>
            <w:tcBorders>
              <w:top w:val="nil"/>
              <w:left w:val="nil"/>
              <w:bottom w:val="single" w:color="auto" w:sz="4" w:space="0"/>
              <w:right w:val="single" w:color="auto" w:sz="4" w:space="0"/>
            </w:tcBorders>
            <w:shd w:val="clear" w:color="auto" w:fill="auto"/>
            <w:noWrap/>
            <w:vAlign w:val="center"/>
          </w:tcPr>
          <w:p w14:paraId="52872620">
            <w:pPr>
              <w:spacing w:line="240" w:lineRule="auto"/>
              <w:ind w:firstLine="0" w:firstLineChars="0"/>
              <w:jc w:val="center"/>
              <w:rPr>
                <w:rFonts w:cs="Times New Roman"/>
                <w:sz w:val="21"/>
                <w:szCs w:val="21"/>
              </w:rPr>
            </w:pPr>
            <w:r>
              <w:rPr>
                <w:rFonts w:cs="Times New Roman"/>
                <w:sz w:val="21"/>
                <w:szCs w:val="21"/>
              </w:rPr>
              <w:t>　</w:t>
            </w:r>
          </w:p>
        </w:tc>
        <w:tc>
          <w:tcPr>
            <w:tcW w:w="534" w:type="pct"/>
            <w:tcBorders>
              <w:top w:val="nil"/>
              <w:left w:val="nil"/>
              <w:bottom w:val="single" w:color="auto" w:sz="4" w:space="0"/>
              <w:right w:val="single" w:color="auto" w:sz="4" w:space="0"/>
            </w:tcBorders>
            <w:shd w:val="clear" w:color="auto" w:fill="auto"/>
            <w:noWrap/>
            <w:vAlign w:val="center"/>
          </w:tcPr>
          <w:p w14:paraId="429C1072">
            <w:pPr>
              <w:spacing w:line="240" w:lineRule="auto"/>
              <w:ind w:firstLine="0" w:firstLineChars="0"/>
              <w:jc w:val="center"/>
              <w:rPr>
                <w:rFonts w:cs="Times New Roman"/>
                <w:sz w:val="21"/>
                <w:szCs w:val="21"/>
              </w:rPr>
            </w:pPr>
            <w:r>
              <w:rPr>
                <w:rFonts w:cs="Times New Roman"/>
                <w:sz w:val="21"/>
                <w:szCs w:val="21"/>
              </w:rPr>
              <w:t xml:space="preserve">17.22 </w:t>
            </w:r>
          </w:p>
        </w:tc>
        <w:tc>
          <w:tcPr>
            <w:tcW w:w="380" w:type="pct"/>
            <w:tcBorders>
              <w:top w:val="nil"/>
              <w:left w:val="nil"/>
              <w:bottom w:val="single" w:color="auto" w:sz="4" w:space="0"/>
              <w:right w:val="single" w:color="auto" w:sz="4" w:space="0"/>
            </w:tcBorders>
            <w:shd w:val="clear" w:color="auto" w:fill="auto"/>
            <w:vAlign w:val="center"/>
          </w:tcPr>
          <w:p w14:paraId="760707CE">
            <w:pPr>
              <w:spacing w:line="240" w:lineRule="auto"/>
              <w:ind w:firstLine="0" w:firstLineChars="0"/>
              <w:jc w:val="center"/>
              <w:rPr>
                <w:rFonts w:cs="Times New Roman"/>
                <w:sz w:val="21"/>
                <w:szCs w:val="21"/>
              </w:rPr>
            </w:pPr>
            <w:r>
              <w:rPr>
                <w:rFonts w:cs="Times New Roman"/>
                <w:sz w:val="21"/>
                <w:szCs w:val="21"/>
              </w:rPr>
              <w:t xml:space="preserve">51.67 </w:t>
            </w:r>
          </w:p>
        </w:tc>
        <w:tc>
          <w:tcPr>
            <w:tcW w:w="343" w:type="pct"/>
            <w:tcBorders>
              <w:top w:val="nil"/>
              <w:left w:val="nil"/>
              <w:bottom w:val="single" w:color="auto" w:sz="4" w:space="0"/>
              <w:right w:val="single" w:color="auto" w:sz="4" w:space="0"/>
            </w:tcBorders>
            <w:shd w:val="clear" w:color="auto" w:fill="auto"/>
            <w:noWrap/>
            <w:vAlign w:val="center"/>
          </w:tcPr>
          <w:p w14:paraId="4A31B45B">
            <w:pPr>
              <w:spacing w:line="240" w:lineRule="auto"/>
              <w:ind w:firstLine="0" w:firstLineChars="0"/>
              <w:jc w:val="center"/>
              <w:rPr>
                <w:rFonts w:cs="Times New Roman"/>
                <w:sz w:val="21"/>
                <w:szCs w:val="21"/>
              </w:rPr>
            </w:pPr>
            <w:r>
              <w:rPr>
                <w:rFonts w:cs="Times New Roman"/>
                <w:sz w:val="21"/>
                <w:szCs w:val="21"/>
              </w:rPr>
              <w:t>　</w:t>
            </w:r>
          </w:p>
        </w:tc>
        <w:tc>
          <w:tcPr>
            <w:tcW w:w="893" w:type="pct"/>
            <w:tcBorders>
              <w:top w:val="nil"/>
              <w:left w:val="nil"/>
              <w:bottom w:val="single" w:color="auto" w:sz="4" w:space="0"/>
              <w:right w:val="single" w:color="auto" w:sz="4" w:space="0"/>
            </w:tcBorders>
            <w:vAlign w:val="center"/>
          </w:tcPr>
          <w:p w14:paraId="4524C278">
            <w:pPr>
              <w:spacing w:line="240" w:lineRule="auto"/>
              <w:ind w:firstLine="0" w:firstLineChars="0"/>
              <w:jc w:val="center"/>
              <w:rPr>
                <w:rFonts w:cs="Times New Roman"/>
                <w:sz w:val="21"/>
                <w:szCs w:val="21"/>
              </w:rPr>
            </w:pPr>
          </w:p>
        </w:tc>
        <w:tc>
          <w:tcPr>
            <w:tcW w:w="902" w:type="pct"/>
            <w:tcBorders>
              <w:top w:val="nil"/>
              <w:left w:val="nil"/>
              <w:bottom w:val="single" w:color="auto" w:sz="4" w:space="0"/>
              <w:right w:val="single" w:color="auto" w:sz="4" w:space="0"/>
            </w:tcBorders>
            <w:vAlign w:val="center"/>
          </w:tcPr>
          <w:p w14:paraId="6CC027CF">
            <w:pPr>
              <w:spacing w:line="240" w:lineRule="auto"/>
              <w:ind w:firstLine="0" w:firstLineChars="0"/>
              <w:jc w:val="center"/>
              <w:rPr>
                <w:rFonts w:cs="Times New Roman"/>
                <w:sz w:val="21"/>
                <w:szCs w:val="21"/>
              </w:rPr>
            </w:pPr>
          </w:p>
        </w:tc>
      </w:tr>
      <w:tr w14:paraId="6B34A6B9">
        <w:tblPrEx>
          <w:tblCellMar>
            <w:top w:w="0" w:type="dxa"/>
            <w:left w:w="108" w:type="dxa"/>
            <w:bottom w:w="0" w:type="dxa"/>
            <w:right w:w="108" w:type="dxa"/>
          </w:tblCellMar>
        </w:tblPrEx>
        <w:trPr>
          <w:trHeight w:val="397" w:hRule="atLeast"/>
          <w:jc w:val="center"/>
        </w:trPr>
        <w:tc>
          <w:tcPr>
            <w:tcW w:w="235" w:type="pct"/>
            <w:tcBorders>
              <w:top w:val="nil"/>
              <w:left w:val="single" w:color="auto" w:sz="4" w:space="0"/>
              <w:bottom w:val="single" w:color="auto" w:sz="4" w:space="0"/>
              <w:right w:val="single" w:color="auto" w:sz="4" w:space="0"/>
            </w:tcBorders>
            <w:shd w:val="clear" w:color="auto" w:fill="auto"/>
            <w:noWrap/>
            <w:vAlign w:val="center"/>
          </w:tcPr>
          <w:p w14:paraId="613446B2">
            <w:pPr>
              <w:spacing w:line="240" w:lineRule="auto"/>
              <w:ind w:firstLine="0" w:firstLineChars="0"/>
              <w:jc w:val="center"/>
              <w:rPr>
                <w:rFonts w:cs="Times New Roman"/>
                <w:sz w:val="21"/>
                <w:szCs w:val="21"/>
              </w:rPr>
            </w:pPr>
            <w:r>
              <w:rPr>
                <w:rFonts w:cs="Times New Roman"/>
                <w:sz w:val="21"/>
                <w:szCs w:val="21"/>
              </w:rPr>
              <w:t>　</w:t>
            </w:r>
          </w:p>
        </w:tc>
        <w:tc>
          <w:tcPr>
            <w:tcW w:w="351" w:type="pct"/>
            <w:tcBorders>
              <w:top w:val="nil"/>
              <w:left w:val="nil"/>
              <w:bottom w:val="single" w:color="auto" w:sz="4" w:space="0"/>
              <w:right w:val="single" w:color="auto" w:sz="4" w:space="0"/>
            </w:tcBorders>
            <w:shd w:val="clear" w:color="auto" w:fill="auto"/>
            <w:noWrap/>
            <w:vAlign w:val="center"/>
          </w:tcPr>
          <w:p w14:paraId="104B3FCF">
            <w:pPr>
              <w:spacing w:line="240" w:lineRule="auto"/>
              <w:ind w:firstLine="0" w:firstLineChars="0"/>
              <w:jc w:val="center"/>
              <w:rPr>
                <w:rFonts w:cs="Times New Roman"/>
                <w:sz w:val="21"/>
                <w:szCs w:val="21"/>
              </w:rPr>
            </w:pPr>
            <w:r>
              <w:rPr>
                <w:rFonts w:cs="Times New Roman"/>
                <w:sz w:val="21"/>
                <w:szCs w:val="21"/>
              </w:rPr>
              <w:t>合计</w:t>
            </w:r>
          </w:p>
        </w:tc>
        <w:tc>
          <w:tcPr>
            <w:tcW w:w="235" w:type="pct"/>
            <w:tcBorders>
              <w:top w:val="nil"/>
              <w:left w:val="nil"/>
              <w:bottom w:val="single" w:color="auto" w:sz="4" w:space="0"/>
              <w:right w:val="single" w:color="auto" w:sz="4" w:space="0"/>
            </w:tcBorders>
            <w:shd w:val="clear" w:color="auto" w:fill="auto"/>
            <w:noWrap/>
            <w:vAlign w:val="center"/>
          </w:tcPr>
          <w:p w14:paraId="7C56702A">
            <w:pPr>
              <w:spacing w:line="240" w:lineRule="auto"/>
              <w:ind w:firstLine="0" w:firstLineChars="0"/>
              <w:jc w:val="center"/>
              <w:rPr>
                <w:rFonts w:cs="Times New Roman"/>
                <w:sz w:val="21"/>
                <w:szCs w:val="21"/>
              </w:rPr>
            </w:pPr>
            <w:r>
              <w:rPr>
                <w:rFonts w:cs="Times New Roman"/>
                <w:sz w:val="21"/>
                <w:szCs w:val="21"/>
              </w:rPr>
              <w:t>　</w:t>
            </w:r>
          </w:p>
        </w:tc>
        <w:tc>
          <w:tcPr>
            <w:tcW w:w="685" w:type="pct"/>
            <w:tcBorders>
              <w:top w:val="nil"/>
              <w:left w:val="nil"/>
              <w:bottom w:val="single" w:color="auto" w:sz="4" w:space="0"/>
              <w:right w:val="single" w:color="auto" w:sz="4" w:space="0"/>
            </w:tcBorders>
            <w:shd w:val="clear" w:color="auto" w:fill="auto"/>
            <w:noWrap/>
            <w:vAlign w:val="center"/>
          </w:tcPr>
          <w:p w14:paraId="017907C3">
            <w:pPr>
              <w:spacing w:line="240" w:lineRule="auto"/>
              <w:ind w:firstLine="0" w:firstLineChars="0"/>
              <w:jc w:val="center"/>
              <w:rPr>
                <w:rFonts w:cs="Times New Roman"/>
                <w:sz w:val="21"/>
                <w:szCs w:val="21"/>
              </w:rPr>
            </w:pPr>
            <w:r>
              <w:rPr>
                <w:rFonts w:cs="Times New Roman"/>
                <w:sz w:val="21"/>
                <w:szCs w:val="21"/>
              </w:rPr>
              <w:t>　</w:t>
            </w:r>
          </w:p>
        </w:tc>
        <w:tc>
          <w:tcPr>
            <w:tcW w:w="442" w:type="pct"/>
            <w:tcBorders>
              <w:top w:val="nil"/>
              <w:left w:val="nil"/>
              <w:bottom w:val="single" w:color="auto" w:sz="4" w:space="0"/>
              <w:right w:val="single" w:color="auto" w:sz="4" w:space="0"/>
            </w:tcBorders>
            <w:shd w:val="clear" w:color="auto" w:fill="auto"/>
            <w:noWrap/>
            <w:vAlign w:val="center"/>
          </w:tcPr>
          <w:p w14:paraId="041AEB63">
            <w:pPr>
              <w:spacing w:line="240" w:lineRule="auto"/>
              <w:ind w:firstLine="0" w:firstLineChars="0"/>
              <w:jc w:val="center"/>
              <w:rPr>
                <w:rFonts w:cs="Times New Roman"/>
                <w:sz w:val="21"/>
                <w:szCs w:val="21"/>
              </w:rPr>
            </w:pPr>
            <w:r>
              <w:rPr>
                <w:rFonts w:cs="Times New Roman"/>
                <w:sz w:val="21"/>
                <w:szCs w:val="21"/>
              </w:rPr>
              <w:t>　</w:t>
            </w:r>
          </w:p>
        </w:tc>
        <w:tc>
          <w:tcPr>
            <w:tcW w:w="534" w:type="pct"/>
            <w:tcBorders>
              <w:top w:val="nil"/>
              <w:left w:val="nil"/>
              <w:bottom w:val="single" w:color="auto" w:sz="4" w:space="0"/>
              <w:right w:val="single" w:color="auto" w:sz="4" w:space="0"/>
            </w:tcBorders>
            <w:shd w:val="clear" w:color="auto" w:fill="auto"/>
            <w:noWrap/>
            <w:vAlign w:val="center"/>
          </w:tcPr>
          <w:p w14:paraId="1954B8C7">
            <w:pPr>
              <w:spacing w:line="240" w:lineRule="auto"/>
              <w:ind w:firstLine="0" w:firstLineChars="0"/>
              <w:jc w:val="center"/>
              <w:rPr>
                <w:rFonts w:cs="Times New Roman"/>
                <w:sz w:val="21"/>
                <w:szCs w:val="21"/>
              </w:rPr>
            </w:pPr>
            <w:r>
              <w:rPr>
                <w:rFonts w:cs="Times New Roman"/>
                <w:sz w:val="21"/>
                <w:szCs w:val="21"/>
              </w:rPr>
              <w:t xml:space="preserve">19.79 </w:t>
            </w:r>
          </w:p>
        </w:tc>
        <w:tc>
          <w:tcPr>
            <w:tcW w:w="380" w:type="pct"/>
            <w:tcBorders>
              <w:top w:val="nil"/>
              <w:left w:val="nil"/>
              <w:bottom w:val="single" w:color="auto" w:sz="4" w:space="0"/>
              <w:right w:val="single" w:color="auto" w:sz="4" w:space="0"/>
            </w:tcBorders>
            <w:shd w:val="clear" w:color="auto" w:fill="auto"/>
            <w:noWrap/>
            <w:vAlign w:val="center"/>
          </w:tcPr>
          <w:p w14:paraId="299A9EEE">
            <w:pPr>
              <w:spacing w:line="240" w:lineRule="auto"/>
              <w:ind w:firstLine="0" w:firstLineChars="0"/>
              <w:jc w:val="center"/>
              <w:rPr>
                <w:rFonts w:cs="Times New Roman"/>
                <w:sz w:val="21"/>
                <w:szCs w:val="21"/>
              </w:rPr>
            </w:pPr>
            <w:r>
              <w:rPr>
                <w:rFonts w:cs="Times New Roman"/>
                <w:sz w:val="21"/>
                <w:szCs w:val="21"/>
              </w:rPr>
              <w:t xml:space="preserve">59.37 </w:t>
            </w:r>
          </w:p>
        </w:tc>
        <w:tc>
          <w:tcPr>
            <w:tcW w:w="343" w:type="pct"/>
            <w:tcBorders>
              <w:top w:val="nil"/>
              <w:left w:val="nil"/>
              <w:bottom w:val="single" w:color="auto" w:sz="4" w:space="0"/>
              <w:right w:val="single" w:color="auto" w:sz="4" w:space="0"/>
            </w:tcBorders>
            <w:shd w:val="clear" w:color="auto" w:fill="auto"/>
            <w:noWrap/>
            <w:vAlign w:val="center"/>
          </w:tcPr>
          <w:p w14:paraId="165D6A11">
            <w:pPr>
              <w:spacing w:line="240" w:lineRule="auto"/>
              <w:ind w:firstLine="0" w:firstLineChars="0"/>
              <w:jc w:val="center"/>
              <w:rPr>
                <w:rFonts w:cs="Times New Roman"/>
                <w:sz w:val="21"/>
                <w:szCs w:val="21"/>
              </w:rPr>
            </w:pPr>
            <w:r>
              <w:rPr>
                <w:rFonts w:cs="Times New Roman"/>
                <w:sz w:val="21"/>
                <w:szCs w:val="21"/>
              </w:rPr>
              <w:t>　</w:t>
            </w:r>
          </w:p>
        </w:tc>
        <w:tc>
          <w:tcPr>
            <w:tcW w:w="893" w:type="pct"/>
            <w:tcBorders>
              <w:top w:val="nil"/>
              <w:left w:val="nil"/>
              <w:bottom w:val="single" w:color="auto" w:sz="4" w:space="0"/>
              <w:right w:val="single" w:color="auto" w:sz="4" w:space="0"/>
            </w:tcBorders>
            <w:vAlign w:val="center"/>
          </w:tcPr>
          <w:p w14:paraId="42B15EC7">
            <w:pPr>
              <w:spacing w:line="240" w:lineRule="auto"/>
              <w:ind w:firstLine="0" w:firstLineChars="0"/>
              <w:jc w:val="center"/>
              <w:rPr>
                <w:rFonts w:cs="Times New Roman"/>
                <w:sz w:val="21"/>
                <w:szCs w:val="21"/>
              </w:rPr>
            </w:pPr>
          </w:p>
        </w:tc>
        <w:tc>
          <w:tcPr>
            <w:tcW w:w="902" w:type="pct"/>
            <w:tcBorders>
              <w:top w:val="nil"/>
              <w:left w:val="nil"/>
              <w:bottom w:val="single" w:color="auto" w:sz="4" w:space="0"/>
              <w:right w:val="single" w:color="auto" w:sz="4" w:space="0"/>
            </w:tcBorders>
            <w:vAlign w:val="center"/>
          </w:tcPr>
          <w:p w14:paraId="1DFBF2DF">
            <w:pPr>
              <w:spacing w:line="240" w:lineRule="auto"/>
              <w:ind w:firstLine="0" w:firstLineChars="0"/>
              <w:jc w:val="center"/>
              <w:rPr>
                <w:rFonts w:cs="Times New Roman"/>
                <w:sz w:val="21"/>
                <w:szCs w:val="21"/>
              </w:rPr>
            </w:pPr>
          </w:p>
        </w:tc>
      </w:tr>
    </w:tbl>
    <w:p w14:paraId="608490C1">
      <w:pPr>
        <w:pStyle w:val="44"/>
        <w:rPr>
          <w:color w:val="000000" w:themeColor="text1"/>
          <w14:textFill>
            <w14:solidFill>
              <w14:schemeClr w14:val="tx1"/>
            </w14:solidFill>
          </w14:textFill>
        </w:rPr>
      </w:pPr>
    </w:p>
    <w:p w14:paraId="0EAB9FFE">
      <w:pPr>
        <w:pStyle w:val="4"/>
        <w:spacing w:before="120" w:after="120"/>
        <w:rPr>
          <w:lang w:bidi="ar"/>
        </w:rPr>
      </w:pPr>
      <w:r>
        <w:rPr>
          <w:lang w:bidi="ar"/>
        </w:rPr>
        <w:t>取土场、弃渣场布置</w:t>
      </w:r>
    </w:p>
    <w:p w14:paraId="0CAB9423">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调查，金山产业园基础设施建设和入驻企业建设不设置取土场和弃渣场，建设所需的砂石料全部外购于具有开采资质的厂家，因开采砂石料产生的水土流失由砂石料开采商家负责治理。入驻企业建设过程中土方互相调运，多余土石方弃至园区指定堆土场，不产生大型堆土。根据已建区建设经验，未建区应充分总结经验，加强施工管理，采取相应的水土保持防护措施的前提下，土石方工程做到随挖、随运、随填、随压，以控制水土流失，减少临时堆土场地。</w:t>
      </w:r>
    </w:p>
    <w:p w14:paraId="1F526AFC">
      <w:pPr>
        <w:pStyle w:val="3"/>
        <w:spacing w:before="120" w:after="120"/>
      </w:pPr>
      <w:bookmarkStart w:id="152" w:name="_Toc88833972"/>
      <w:bookmarkStart w:id="153" w:name="_Toc152535468"/>
      <w:bookmarkStart w:id="154" w:name="_Toc88821211"/>
      <w:r>
        <w:t>自然概况</w:t>
      </w:r>
      <w:bookmarkEnd w:id="144"/>
      <w:bookmarkEnd w:id="145"/>
      <w:bookmarkEnd w:id="146"/>
      <w:bookmarkEnd w:id="147"/>
      <w:bookmarkEnd w:id="148"/>
      <w:bookmarkEnd w:id="152"/>
      <w:bookmarkEnd w:id="153"/>
      <w:bookmarkEnd w:id="154"/>
    </w:p>
    <w:p w14:paraId="7CC19F7E">
      <w:pPr>
        <w:ind w:firstLine="482"/>
        <w:rPr>
          <w:rFonts w:cs="Times New Roman"/>
          <w:b/>
          <w:color w:val="000000" w:themeColor="text1"/>
          <w14:textFill>
            <w14:solidFill>
              <w14:schemeClr w14:val="tx1"/>
            </w14:solidFill>
          </w14:textFill>
        </w:rPr>
      </w:pPr>
      <w:bookmarkStart w:id="155" w:name="_Toc85444557"/>
      <w:r>
        <w:rPr>
          <w:rFonts w:cs="Times New Roman"/>
          <w:b/>
          <w:color w:val="000000" w:themeColor="text1"/>
          <w14:textFill>
            <w14:solidFill>
              <w14:schemeClr w14:val="tx1"/>
            </w14:solidFill>
          </w14:textFill>
        </w:rPr>
        <w:t>（1）地形地貌</w:t>
      </w:r>
      <w:bookmarkEnd w:id="155"/>
    </w:p>
    <w:p w14:paraId="79687480">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固阳县处于阴山山脉向蒙古高平原的过渡地带，海拔1240-2340m。境内多山地丘陵，约占总土地面积的90%。山脉多呈东西走向，西部丘陵区最低，东部和东南部山区较高，北部和西北部为高原丘陵区，地势大致为南陡北缓，高度从东南向西部和西北递减，海拔在1300—1800m之间，最高的春坤山海拔向为2321m，大青山和春坤山置于本县东南与包头市分隔，大敖包山横贯东西，将固阳县分割成南北两部分。</w:t>
      </w:r>
    </w:p>
    <w:p w14:paraId="65E1D079">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地块1（金山产业园北区）所在区域为侵蚀构造的丘陵区，地面高差变化较大，地面高程在1334.69-1435.07m之间，最大高差为100.38m。地块2（下湿壕片区）地面高程在1485.59-1538.52m之间，最大高差为52.93m。</w:t>
      </w:r>
    </w:p>
    <w:p w14:paraId="7665762F">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园区地形分析见附图</w:t>
      </w:r>
      <w:r>
        <w:rPr>
          <w:rFonts w:hint="eastAsia" w:cs="Times New Roman"/>
          <w:color w:val="000000" w:themeColor="text1"/>
          <w14:textFill>
            <w14:solidFill>
              <w14:schemeClr w14:val="tx1"/>
            </w14:solidFill>
          </w14:textFill>
        </w:rPr>
        <w:t>3</w:t>
      </w:r>
      <w:r>
        <w:rPr>
          <w:rFonts w:cs="Times New Roman"/>
          <w:color w:val="000000" w:themeColor="text1"/>
          <w14:textFill>
            <w14:solidFill>
              <w14:schemeClr w14:val="tx1"/>
            </w14:solidFill>
          </w14:textFill>
        </w:rPr>
        <w:t>5</w:t>
      </w:r>
      <w:r>
        <w:rPr>
          <w:rFonts w:hint="eastAsia" w:cs="Times New Roman"/>
          <w:color w:val="000000" w:themeColor="text1"/>
          <w14:textFill>
            <w14:solidFill>
              <w14:schemeClr w14:val="tx1"/>
            </w14:solidFill>
          </w14:textFill>
        </w:rPr>
        <w:t>和附图3</w:t>
      </w:r>
      <w:r>
        <w:rPr>
          <w:rFonts w:cs="Times New Roman"/>
          <w:color w:val="000000" w:themeColor="text1"/>
          <w14:textFill>
            <w14:solidFill>
              <w14:schemeClr w14:val="tx1"/>
            </w14:solidFill>
          </w14:textFill>
        </w:rPr>
        <w:t>6。</w:t>
      </w:r>
    </w:p>
    <w:p w14:paraId="0F0B5ACF">
      <w:pPr>
        <w:ind w:firstLine="482"/>
        <w:rPr>
          <w:rFonts w:cs="Times New Roman"/>
          <w:b/>
          <w:color w:val="000000" w:themeColor="text1"/>
          <w14:textFill>
            <w14:solidFill>
              <w14:schemeClr w14:val="tx1"/>
            </w14:solidFill>
          </w14:textFill>
        </w:rPr>
      </w:pPr>
      <w:bookmarkStart w:id="156" w:name="_Toc85444558"/>
      <w:r>
        <w:rPr>
          <w:rFonts w:cs="Times New Roman"/>
          <w:b/>
          <w:color w:val="000000" w:themeColor="text1"/>
          <w14:textFill>
            <w14:solidFill>
              <w14:schemeClr w14:val="tx1"/>
            </w14:solidFill>
          </w14:textFill>
        </w:rPr>
        <w:t>（2）地质</w:t>
      </w:r>
      <w:bookmarkEnd w:id="156"/>
    </w:p>
    <w:p w14:paraId="5FFF4831">
      <w:pPr>
        <w:widowControl w:val="0"/>
        <w:ind w:firstLine="482"/>
        <w:rPr>
          <w:rFonts w:cs="Times New Roman"/>
          <w:b/>
          <w:bCs/>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1）园区地层分析</w:t>
      </w:r>
    </w:p>
    <w:p w14:paraId="5B6301C6">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根据园区岩土工程勘查报告，本区域根据成因及岩性的不同，场地地层可分为以下几个单元层，沿线土层岩性特征分述如下：</w:t>
      </w:r>
    </w:p>
    <w:p w14:paraId="3DF249F4">
      <w:pPr>
        <w:widowControl w:val="0"/>
        <w:spacing w:line="440" w:lineRule="exact"/>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①</w:t>
      </w:r>
      <w:r>
        <w:rPr>
          <w:rFonts w:cs="Times New Roman"/>
          <w:color w:val="000000" w:themeColor="text1"/>
          <w14:textFill>
            <w14:solidFill>
              <w14:schemeClr w14:val="tx1"/>
            </w14:solidFill>
          </w14:textFill>
        </w:rPr>
        <w:t>层杂填土（QmL）</w:t>
      </w:r>
    </w:p>
    <w:p w14:paraId="104D3818">
      <w:pPr>
        <w:widowControl w:val="0"/>
        <w:spacing w:line="44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根据野外踏勘调查结合钻探结果，分布于管线沿线，杂色，稍湿，松散，以湿陷性粉土、粗细砂为主，含建筑垃圾，局部地表为植物土，堆填时间约2年以上。</w:t>
      </w:r>
    </w:p>
    <w:p w14:paraId="6B50A017">
      <w:pPr>
        <w:widowControl w:val="0"/>
        <w:spacing w:line="440" w:lineRule="exact"/>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②</w:t>
      </w:r>
      <w:r>
        <w:rPr>
          <w:rFonts w:cs="Times New Roman"/>
          <w:color w:val="000000" w:themeColor="text1"/>
          <w14:textFill>
            <w14:solidFill>
              <w14:schemeClr w14:val="tx1"/>
            </w14:solidFill>
          </w14:textFill>
        </w:rPr>
        <w:t>层湿陷性粉土（Q4AL+PL）</w:t>
      </w:r>
    </w:p>
    <w:p w14:paraId="4AE50B31">
      <w:pPr>
        <w:widowControl w:val="0"/>
        <w:spacing w:line="44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该层分布于管线沿线，黄褐色，稍湿，中密，层状结构，土质不均匀，手提有砂感，无光泽反应，摇震反应中等，干强度、韧性低，含白色菌丝及大孔隙，与粉砂呈互层分布，局部砾砂夹层，局部地表为植物土。</w:t>
      </w:r>
    </w:p>
    <w:p w14:paraId="20DCDD86">
      <w:pPr>
        <w:widowControl w:val="0"/>
        <w:spacing w:line="440" w:lineRule="exact"/>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②</w:t>
      </w:r>
      <w:r>
        <w:rPr>
          <w:rFonts w:cs="Times New Roman"/>
          <w:color w:val="000000" w:themeColor="text1"/>
          <w14:textFill>
            <w14:solidFill>
              <w14:schemeClr w14:val="tx1"/>
            </w14:solidFill>
          </w14:textFill>
        </w:rPr>
        <w:t>层粗砂（Q4AL+PL）</w:t>
      </w:r>
    </w:p>
    <w:p w14:paraId="079A24F5">
      <w:pPr>
        <w:widowControl w:val="0"/>
        <w:spacing w:line="44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杂色，稍湿，中密，散粒结构，矿物成分以长石、石英等为主，颗粒不均匀，分选性、磨圆度较好，局部含砾。</w:t>
      </w:r>
    </w:p>
    <w:p w14:paraId="32FD5B52">
      <w:pPr>
        <w:widowControl w:val="0"/>
        <w:spacing w:line="440" w:lineRule="exact"/>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③</w:t>
      </w:r>
      <w:r>
        <w:rPr>
          <w:rFonts w:cs="Times New Roman"/>
          <w:color w:val="000000" w:themeColor="text1"/>
          <w14:textFill>
            <w14:solidFill>
              <w14:schemeClr w14:val="tx1"/>
            </w14:solidFill>
          </w14:textFill>
        </w:rPr>
        <w:t>层粉质粘土（Q4AL+PL）</w:t>
      </w:r>
    </w:p>
    <w:p w14:paraId="7CC98171">
      <w:pPr>
        <w:widowControl w:val="0"/>
        <w:spacing w:line="44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黄褐色，稍湿～湿，可塑，层状结构，土质均匀，岩芯呈柱状，切面有光泽，干强度、韧性中等。</w:t>
      </w:r>
    </w:p>
    <w:p w14:paraId="50FA8C63">
      <w:pPr>
        <w:widowControl w:val="0"/>
        <w:spacing w:line="440" w:lineRule="exact"/>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④</w:t>
      </w:r>
      <w:r>
        <w:rPr>
          <w:rFonts w:cs="Times New Roman"/>
          <w:color w:val="000000" w:themeColor="text1"/>
          <w14:textFill>
            <w14:solidFill>
              <w14:schemeClr w14:val="tx1"/>
            </w14:solidFill>
          </w14:textFill>
        </w:rPr>
        <w:t>层细砂（Q4AL+PL）</w:t>
      </w:r>
    </w:p>
    <w:p w14:paraId="2B9BB81B">
      <w:pPr>
        <w:widowControl w:val="0"/>
        <w:spacing w:line="44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黄褐色，稍湿～饱和，中密，散粒结构，矿物成分以长石、石英等为主，颗粒均匀，分选性、磨圆度较好，局部含粉砂、砾砂夹层。</w:t>
      </w:r>
    </w:p>
    <w:p w14:paraId="5B90A207">
      <w:pPr>
        <w:widowControl w:val="0"/>
        <w:spacing w:line="440" w:lineRule="exact"/>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⑤</w:t>
      </w:r>
      <w:r>
        <w:rPr>
          <w:rFonts w:cs="Times New Roman"/>
          <w:color w:val="000000" w:themeColor="text1"/>
          <w14:textFill>
            <w14:solidFill>
              <w14:schemeClr w14:val="tx1"/>
            </w14:solidFill>
          </w14:textFill>
        </w:rPr>
        <w:t>层砾砂（Q4AL+PL）</w:t>
      </w:r>
    </w:p>
    <w:p w14:paraId="5EBE7DCD">
      <w:pPr>
        <w:widowControl w:val="0"/>
        <w:spacing w:line="44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杂色，稍湿~饱和，密实，散粒结构，矿物成分以长石、石英等为主，颗粒不均匀，分选性，磨圆度较好，局部含细砂、角砾夹层。</w:t>
      </w:r>
    </w:p>
    <w:p w14:paraId="151ECE89">
      <w:pPr>
        <w:widowControl w:val="0"/>
        <w:spacing w:line="440" w:lineRule="exact"/>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⑥</w:t>
      </w:r>
      <w:r>
        <w:rPr>
          <w:rFonts w:cs="Times New Roman"/>
          <w:color w:val="000000" w:themeColor="text1"/>
          <w14:textFill>
            <w14:solidFill>
              <w14:schemeClr w14:val="tx1"/>
            </w14:solidFill>
          </w14:textFill>
        </w:rPr>
        <w:t>层粘土</w:t>
      </w:r>
    </w:p>
    <w:p w14:paraId="7F5F9C9B">
      <w:pPr>
        <w:widowControl w:val="0"/>
        <w:spacing w:line="440" w:lineRule="exact"/>
        <w:ind w:firstLine="480"/>
        <w:rPr>
          <w:rFonts w:cs="Times New Roman"/>
          <w:color w:val="000000" w:themeColor="text1"/>
          <w:lang w:val="zh-CN"/>
          <w14:textFill>
            <w14:solidFill>
              <w14:schemeClr w14:val="tx1"/>
            </w14:solidFill>
          </w14:textFill>
        </w:rPr>
      </w:pPr>
      <w:r>
        <w:rPr>
          <w:rFonts w:cs="Times New Roman"/>
          <w:color w:val="000000" w:themeColor="text1"/>
          <w14:textFill>
            <w14:solidFill>
              <w14:schemeClr w14:val="tx1"/>
            </w14:solidFill>
          </w14:textFill>
        </w:rPr>
        <w:t>灰绿－灰黑色，稍湿～湿，硬塑，</w:t>
      </w:r>
      <w:r>
        <w:rPr>
          <w:rFonts w:cs="Times New Roman"/>
          <w:color w:val="000000" w:themeColor="text1"/>
          <w:lang w:val="zh-CN"/>
          <w14:textFill>
            <w14:solidFill>
              <w14:schemeClr w14:val="tx1"/>
            </w14:solidFill>
          </w14:textFill>
        </w:rPr>
        <w:t>土层状结构，土质均匀，岩芯呈柱状，粘粒含量较大，粘性较好，岩芯呈柱状，切面有光泽，干强度、韧性中等，局部含细砂、角砾夹层。</w:t>
      </w:r>
    </w:p>
    <w:p w14:paraId="2659EF9C">
      <w:pPr>
        <w:widowControl w:val="0"/>
        <w:spacing w:line="440" w:lineRule="exact"/>
        <w:ind w:firstLine="480"/>
        <w:rPr>
          <w:rFonts w:cs="Times New Roman"/>
          <w:color w:val="000000" w:themeColor="text1"/>
          <w:lang w:val="zh-CN"/>
          <w14:textFill>
            <w14:solidFill>
              <w14:schemeClr w14:val="tx1"/>
            </w14:solidFill>
          </w14:textFill>
        </w:rPr>
      </w:pPr>
      <w:r>
        <w:rPr>
          <w:rFonts w:hint="eastAsia" w:ascii="宋体" w:hAnsi="宋体" w:eastAsia="宋体"/>
          <w:color w:val="000000" w:themeColor="text1"/>
          <w:lang w:val="zh-CN"/>
          <w14:textFill>
            <w14:solidFill>
              <w14:schemeClr w14:val="tx1"/>
            </w14:solidFill>
          </w14:textFill>
        </w:rPr>
        <w:t>⑦</w:t>
      </w:r>
      <w:r>
        <w:rPr>
          <w:rFonts w:cs="Times New Roman"/>
          <w:color w:val="000000" w:themeColor="text1"/>
          <w:lang w:val="zh-CN"/>
          <w14:textFill>
            <w14:solidFill>
              <w14:schemeClr w14:val="tx1"/>
            </w14:solidFill>
          </w14:textFill>
        </w:rPr>
        <w:t>层角砾</w:t>
      </w:r>
    </w:p>
    <w:p w14:paraId="0F32F9E0">
      <w:pPr>
        <w:widowControl w:val="0"/>
        <w:spacing w:line="440" w:lineRule="exact"/>
        <w:ind w:firstLine="480"/>
        <w:rPr>
          <w:rFonts w:cs="Times New Roman"/>
          <w:color w:val="000000" w:themeColor="text1"/>
          <w:lang w:val="zh-CN"/>
          <w14:textFill>
            <w14:solidFill>
              <w14:schemeClr w14:val="tx1"/>
            </w14:solidFill>
          </w14:textFill>
        </w:rPr>
      </w:pPr>
      <w:r>
        <w:rPr>
          <w:rFonts w:cs="Times New Roman"/>
          <w:color w:val="000000" w:themeColor="text1"/>
          <w:lang w:val="zh-CN"/>
          <w14:textFill>
            <w14:solidFill>
              <w14:schemeClr w14:val="tx1"/>
            </w14:solidFill>
          </w14:textFill>
        </w:rPr>
        <w:t>灰绿－灰黑色，稍湿～饱和，密实，粒径不均，级配良好，由石英岩、灰岩等组成，直径0.2cm~3.0cm，粒径最大为10cm，充填各类砂，局部夹细砂层、砾砂及粘性土夹层。</w:t>
      </w:r>
    </w:p>
    <w:p w14:paraId="3A145C8C">
      <w:pPr>
        <w:widowControl w:val="0"/>
        <w:spacing w:line="440" w:lineRule="exact"/>
        <w:ind w:firstLine="480"/>
        <w:rPr>
          <w:rFonts w:cs="Times New Roman"/>
          <w:color w:val="000000" w:themeColor="text1"/>
          <w:lang w:val="zh-CN"/>
          <w14:textFill>
            <w14:solidFill>
              <w14:schemeClr w14:val="tx1"/>
            </w14:solidFill>
          </w14:textFill>
        </w:rPr>
      </w:pPr>
      <w:r>
        <w:rPr>
          <w:rFonts w:hint="eastAsia" w:ascii="宋体" w:hAnsi="宋体" w:eastAsia="宋体"/>
          <w:color w:val="000000" w:themeColor="text1"/>
          <w:lang w:val="zh-CN"/>
          <w14:textFill>
            <w14:solidFill>
              <w14:schemeClr w14:val="tx1"/>
            </w14:solidFill>
          </w14:textFill>
        </w:rPr>
        <w:t>⑦</w:t>
      </w:r>
      <w:r>
        <w:rPr>
          <w:rFonts w:cs="Times New Roman"/>
          <w:color w:val="000000" w:themeColor="text1"/>
          <w:lang w:val="zh-CN"/>
          <w14:textFill>
            <w14:solidFill>
              <w14:schemeClr w14:val="tx1"/>
            </w14:solidFill>
          </w14:textFill>
        </w:rPr>
        <w:t>层粉土</w:t>
      </w:r>
    </w:p>
    <w:p w14:paraId="44F89EB9">
      <w:pPr>
        <w:widowControl w:val="0"/>
        <w:spacing w:line="440" w:lineRule="exact"/>
        <w:ind w:firstLine="480"/>
        <w:rPr>
          <w:rFonts w:cs="Times New Roman"/>
          <w:color w:val="000000" w:themeColor="text1"/>
          <w:lang w:val="zh-CN"/>
          <w14:textFill>
            <w14:solidFill>
              <w14:schemeClr w14:val="tx1"/>
            </w14:solidFill>
          </w14:textFill>
        </w:rPr>
      </w:pPr>
      <w:r>
        <w:rPr>
          <w:rFonts w:cs="Times New Roman"/>
          <w:color w:val="000000" w:themeColor="text1"/>
          <w:lang w:val="zh-CN"/>
          <w14:textFill>
            <w14:solidFill>
              <w14:schemeClr w14:val="tx1"/>
            </w14:solidFill>
          </w14:textFill>
        </w:rPr>
        <w:t>黄褐色，湿，中密，层状结构，土质不均匀，手搓有砂感，无光泽反应，摇震反应中等，干强度、韧性低，局部含粉砂、砾砂夹层。</w:t>
      </w:r>
    </w:p>
    <w:p w14:paraId="7DD63A8C">
      <w:pPr>
        <w:widowControl w:val="0"/>
        <w:spacing w:line="440" w:lineRule="exact"/>
        <w:ind w:firstLine="480"/>
        <w:rPr>
          <w:rFonts w:cs="Times New Roman"/>
          <w:color w:val="000000" w:themeColor="text1"/>
          <w:lang w:val="zh-CN"/>
          <w14:textFill>
            <w14:solidFill>
              <w14:schemeClr w14:val="tx1"/>
            </w14:solidFill>
          </w14:textFill>
        </w:rPr>
      </w:pPr>
      <w:r>
        <w:rPr>
          <w:rFonts w:hint="eastAsia" w:ascii="宋体" w:hAnsi="宋体" w:eastAsia="宋体"/>
          <w:color w:val="000000" w:themeColor="text1"/>
          <w:lang w:val="zh-CN"/>
          <w14:textFill>
            <w14:solidFill>
              <w14:schemeClr w14:val="tx1"/>
            </w14:solidFill>
          </w14:textFill>
        </w:rPr>
        <w:t>⑧</w:t>
      </w:r>
      <w:r>
        <w:rPr>
          <w:rFonts w:cs="Times New Roman"/>
          <w:color w:val="000000" w:themeColor="text1"/>
          <w:lang w:val="zh-CN"/>
          <w14:textFill>
            <w14:solidFill>
              <w14:schemeClr w14:val="tx1"/>
            </w14:solidFill>
          </w14:textFill>
        </w:rPr>
        <w:t>层全风化泥岩（N)</w:t>
      </w:r>
    </w:p>
    <w:p w14:paraId="2537B35B">
      <w:pPr>
        <w:widowControl w:val="0"/>
        <w:spacing w:line="440" w:lineRule="exact"/>
        <w:ind w:firstLine="480"/>
        <w:rPr>
          <w:rFonts w:cs="Times New Roman"/>
          <w:color w:val="000000" w:themeColor="text1"/>
          <w:lang w:val="zh-CN"/>
          <w14:textFill>
            <w14:solidFill>
              <w14:schemeClr w14:val="tx1"/>
            </w14:solidFill>
          </w14:textFill>
        </w:rPr>
      </w:pPr>
      <w:r>
        <w:rPr>
          <w:rFonts w:cs="Times New Roman"/>
          <w:color w:val="000000" w:themeColor="text1"/>
          <w:lang w:val="zh-CN"/>
          <w14:textFill>
            <w14:solidFill>
              <w14:schemeClr w14:val="tx1"/>
            </w14:solidFill>
          </w14:textFill>
        </w:rPr>
        <w:t>灰绿－灰褐色，泥质结构，层状构造，岩石由泥质和细碎屑组成，遇水软化，渗透性差，局部含砾砂及角砾夹层。</w:t>
      </w:r>
    </w:p>
    <w:p w14:paraId="73125112">
      <w:pPr>
        <w:widowControl w:val="0"/>
        <w:spacing w:line="440" w:lineRule="exact"/>
        <w:ind w:firstLine="480"/>
        <w:rPr>
          <w:rFonts w:cs="Times New Roman"/>
          <w:color w:val="000000" w:themeColor="text1"/>
          <w:lang w:val="zh-CN"/>
          <w14:textFill>
            <w14:solidFill>
              <w14:schemeClr w14:val="tx1"/>
            </w14:solidFill>
          </w14:textFill>
        </w:rPr>
      </w:pPr>
      <w:r>
        <w:rPr>
          <w:rFonts w:hint="eastAsia" w:ascii="宋体" w:hAnsi="宋体" w:eastAsia="宋体"/>
          <w:color w:val="000000" w:themeColor="text1"/>
          <w:lang w:val="zh-CN"/>
          <w14:textFill>
            <w14:solidFill>
              <w14:schemeClr w14:val="tx1"/>
            </w14:solidFill>
          </w14:textFill>
        </w:rPr>
        <w:t>⑨</w:t>
      </w:r>
      <w:r>
        <w:rPr>
          <w:rFonts w:cs="Times New Roman"/>
          <w:color w:val="000000" w:themeColor="text1"/>
          <w:lang w:val="zh-CN"/>
          <w14:textFill>
            <w14:solidFill>
              <w14:schemeClr w14:val="tx1"/>
            </w14:solidFill>
          </w14:textFill>
        </w:rPr>
        <w:t>层全风化砂岩（N)</w:t>
      </w:r>
    </w:p>
    <w:p w14:paraId="736B2501">
      <w:pPr>
        <w:widowControl w:val="0"/>
        <w:spacing w:line="440" w:lineRule="exact"/>
        <w:ind w:firstLine="480"/>
        <w:rPr>
          <w:rFonts w:cs="Times New Roman"/>
          <w:color w:val="000000" w:themeColor="text1"/>
          <w:lang w:val="zh-CN"/>
          <w14:textFill>
            <w14:solidFill>
              <w14:schemeClr w14:val="tx1"/>
            </w14:solidFill>
          </w14:textFill>
        </w:rPr>
      </w:pPr>
      <w:r>
        <w:rPr>
          <w:rFonts w:cs="Times New Roman"/>
          <w:color w:val="000000" w:themeColor="text1"/>
          <w:lang w:val="zh-CN"/>
          <w14:textFill>
            <w14:solidFill>
              <w14:schemeClr w14:val="tx1"/>
            </w14:solidFill>
          </w14:textFill>
        </w:rPr>
        <w:t>灰白色，结构基本破坏，矿物成分主要为石英、长石，岩芯呈砂砾状或碎块状，局部含砾砂及角砾夹层。</w:t>
      </w:r>
    </w:p>
    <w:p w14:paraId="7C66E7BC">
      <w:pPr>
        <w:widowControl w:val="0"/>
        <w:spacing w:line="440" w:lineRule="exact"/>
        <w:ind w:firstLine="480"/>
        <w:rPr>
          <w:rFonts w:cs="Times New Roman"/>
          <w:color w:val="000000" w:themeColor="text1"/>
          <w:lang w:val="zh-CN"/>
          <w14:textFill>
            <w14:solidFill>
              <w14:schemeClr w14:val="tx1"/>
            </w14:solidFill>
          </w14:textFill>
        </w:rPr>
      </w:pPr>
      <w:r>
        <w:rPr>
          <w:rFonts w:hint="eastAsia" w:ascii="宋体" w:hAnsi="宋体" w:eastAsia="宋体"/>
          <w:color w:val="000000" w:themeColor="text1"/>
          <w:lang w:val="zh-CN"/>
          <w14:textFill>
            <w14:solidFill>
              <w14:schemeClr w14:val="tx1"/>
            </w14:solidFill>
          </w14:textFill>
        </w:rPr>
        <w:t>⑩</w:t>
      </w:r>
      <w:r>
        <w:rPr>
          <w:rFonts w:cs="Times New Roman"/>
          <w:color w:val="000000" w:themeColor="text1"/>
          <w:lang w:val="zh-CN"/>
          <w14:textFill>
            <w14:solidFill>
              <w14:schemeClr w14:val="tx1"/>
            </w14:solidFill>
          </w14:textFill>
        </w:rPr>
        <w:t>层全风化泥岩（N)</w:t>
      </w:r>
    </w:p>
    <w:p w14:paraId="542DC0FF">
      <w:pPr>
        <w:pStyle w:val="66"/>
        <w:rPr>
          <w:lang w:val="zh-CN"/>
        </w:rPr>
      </w:pPr>
      <w:r>
        <w:rPr>
          <w:lang w:val="zh-CN"/>
        </w:rPr>
        <w:t>灰绿－灰褐色，泥质结构，层状构造，岩石由泥质和细碎屑组成，遇水软化，渗透性差，局部含砾砂及角砾夹层。</w:t>
      </w:r>
    </w:p>
    <w:p w14:paraId="0EACF09F">
      <w:pPr>
        <w:pStyle w:val="66"/>
        <w:ind w:firstLine="482"/>
        <w:rPr>
          <w:b/>
          <w:bCs/>
          <w:lang w:val="zh-CN"/>
        </w:rPr>
      </w:pPr>
      <w:r>
        <w:rPr>
          <w:rFonts w:hint="eastAsia"/>
          <w:b/>
          <w:bCs/>
          <w:lang w:val="zh-CN"/>
        </w:rPr>
        <w:t>2）园区建设用地适宜性分析</w:t>
      </w:r>
    </w:p>
    <w:p w14:paraId="3A28D88E">
      <w:pPr>
        <w:pStyle w:val="66"/>
        <w:rPr>
          <w:lang w:val="zh-CN"/>
        </w:rPr>
      </w:pPr>
      <w:r>
        <w:rPr>
          <w:rFonts w:hint="eastAsia"/>
          <w:lang w:val="zh-CN"/>
        </w:rPr>
        <w:t>基地范围内不存在活动性断裂，亦不存在滑坡、崩塌、泥石流、地下采空区等不良地质作用，场地稳定性良好;园区范围内绝大部分地段不存在浅埋地下水，无可液化土层存在，属抗震有利地段，是适宜的建筑场地。</w:t>
      </w:r>
    </w:p>
    <w:p w14:paraId="61EB4798">
      <w:pPr>
        <w:pStyle w:val="66"/>
        <w:rPr>
          <w:lang w:val="zh-CN"/>
        </w:rPr>
      </w:pPr>
      <w:r>
        <w:rPr>
          <w:rFonts w:hint="eastAsia"/>
          <w:lang w:val="zh-CN"/>
        </w:rPr>
        <w:t>《固阳县金山镇新型园区初步勘察阶段岩土工程地质勘察报告》（包头市科达勘察工程有限责任公司-2009年7月)中,据《中国地震动参数区划图》(GB-18306-2001),基地范围内抗震烈度可按7度设防，设计基本地震加速度值为0.15g，设计地震分组为第一组，场地多年标准冻深为1.6米。</w:t>
      </w:r>
    </w:p>
    <w:p w14:paraId="4D73C1C2">
      <w:pPr>
        <w:spacing w:line="440" w:lineRule="exact"/>
        <w:ind w:firstLine="482"/>
        <w:rPr>
          <w:rFonts w:cs="Times New Roman"/>
          <w:b/>
          <w:color w:val="000000" w:themeColor="text1"/>
          <w14:textFill>
            <w14:solidFill>
              <w14:schemeClr w14:val="tx1"/>
            </w14:solidFill>
          </w14:textFill>
        </w:rPr>
      </w:pPr>
      <w:bookmarkStart w:id="157" w:name="_Toc85444559"/>
      <w:r>
        <w:rPr>
          <w:rFonts w:cs="Times New Roman"/>
          <w:b/>
          <w:color w:val="000000" w:themeColor="text1"/>
          <w14:textFill>
            <w14:solidFill>
              <w14:schemeClr w14:val="tx1"/>
            </w14:solidFill>
          </w14:textFill>
        </w:rPr>
        <w:t>（3）气象</w:t>
      </w:r>
      <w:bookmarkEnd w:id="157"/>
    </w:p>
    <w:p w14:paraId="1A0DFAA3">
      <w:pPr>
        <w:pStyle w:val="66"/>
      </w:pPr>
      <w:r>
        <w:t>固阳县属</w:t>
      </w:r>
      <w:bookmarkStart w:id="158" w:name="_Hlk79156696"/>
      <w:r>
        <w:t>中温带半干旱大陆性气候，</w:t>
      </w:r>
      <w:bookmarkEnd w:id="158"/>
      <w:r>
        <w:t>其光、热、水资源表现为春季光照充足水热不足；夏季光热充足，水分条件不稳定；秋季光水较好，但热量不适，形成春季干旱多风沙，夏季短，雨量集中，秋季寒旱多冻灾，冬季寒冷漫长。根据固阳县气象站2002-2021年气象观测资料进行统计分析，其主要气象特征如下：多年平均气温5.6℃，累年极端最低气温-33.5℃，累年极端最高气温38.6℃，大于等于10℃的积温为1900℃到2400℃；无霜期95～100d，初霜期在九月上旬，中霜期在五月底至六月初。多年平均降水量为309.8mm，年平均蒸发量在2200～2500mm之间，多集中在6月至9月，多年平均风速为2.4m/s，多年平均大风日数9.9d，风季多集中在春季3月-6月。</w:t>
      </w:r>
    </w:p>
    <w:p w14:paraId="53553649">
      <w:pPr>
        <w:pStyle w:val="66"/>
      </w:pPr>
      <w:r>
        <w:rPr>
          <w:rFonts w:hint="eastAsia"/>
        </w:rPr>
        <w:t>固阳县气象站常规气象项目统计情况见表1</w:t>
      </w:r>
      <w:r>
        <w:t>-22</w:t>
      </w:r>
      <w:r>
        <w:rPr>
          <w:rFonts w:hint="eastAsia"/>
        </w:rPr>
        <w:t>。项目区逐月平均降水及平均风速表见表1</w:t>
      </w:r>
      <w:r>
        <w:t>-23</w:t>
      </w:r>
      <w:r>
        <w:rPr>
          <w:rFonts w:hint="eastAsia"/>
        </w:rPr>
        <w:t>。</w:t>
      </w:r>
    </w:p>
    <w:p w14:paraId="6362F538">
      <w:pPr>
        <w:spacing w:line="240" w:lineRule="auto"/>
        <w:ind w:firstLine="0" w:firstLineChars="0"/>
        <w:jc w:val="left"/>
        <w:rPr>
          <w:rFonts w:eastAsia="宋体" w:cs="仿宋"/>
          <w:b/>
          <w:color w:val="000000" w:themeColor="text1"/>
          <w:spacing w:val="4"/>
          <w:szCs w:val="18"/>
          <w14:textFill>
            <w14:solidFill>
              <w14:schemeClr w14:val="tx1"/>
            </w14:solidFill>
          </w14:textFill>
        </w:rPr>
      </w:pPr>
      <w:r>
        <w:rPr>
          <w:color w:val="000000" w:themeColor="text1"/>
          <w14:textFill>
            <w14:solidFill>
              <w14:schemeClr w14:val="tx1"/>
            </w14:solidFill>
          </w14:textFill>
        </w:rPr>
        <w:br w:type="page"/>
      </w:r>
    </w:p>
    <w:p w14:paraId="225D61C9">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表1-22               固阳县气象站常规气象项目统计（2002~2021）</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6"/>
        <w:gridCol w:w="3209"/>
        <w:gridCol w:w="2158"/>
        <w:gridCol w:w="1963"/>
      </w:tblGrid>
      <w:tr w14:paraId="7E4C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781" w:type="pct"/>
            <w:gridSpan w:val="2"/>
            <w:tcBorders>
              <w:bottom w:val="double" w:color="auto" w:sz="4" w:space="0"/>
            </w:tcBorders>
            <w:shd w:val="clear" w:color="auto" w:fill="auto"/>
            <w:vAlign w:val="center"/>
          </w:tcPr>
          <w:p w14:paraId="2917ED1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统计项目</w:t>
            </w:r>
          </w:p>
        </w:tc>
        <w:tc>
          <w:tcPr>
            <w:tcW w:w="1162" w:type="pct"/>
            <w:tcBorders>
              <w:bottom w:val="double" w:color="auto" w:sz="4" w:space="0"/>
            </w:tcBorders>
            <w:shd w:val="clear" w:color="auto" w:fill="auto"/>
            <w:vAlign w:val="center"/>
          </w:tcPr>
          <w:p w14:paraId="2CD1406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统计值</w:t>
            </w:r>
          </w:p>
        </w:tc>
        <w:tc>
          <w:tcPr>
            <w:tcW w:w="1057" w:type="pct"/>
            <w:tcBorders>
              <w:bottom w:val="double" w:color="auto" w:sz="4" w:space="0"/>
            </w:tcBorders>
            <w:shd w:val="clear" w:color="auto" w:fill="auto"/>
            <w:vAlign w:val="center"/>
          </w:tcPr>
          <w:p w14:paraId="10A718D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极值出现时间</w:t>
            </w:r>
          </w:p>
        </w:tc>
      </w:tr>
      <w:tr w14:paraId="66D6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81" w:type="pct"/>
            <w:gridSpan w:val="2"/>
            <w:tcBorders>
              <w:top w:val="double" w:color="auto" w:sz="4" w:space="0"/>
            </w:tcBorders>
            <w:shd w:val="clear" w:color="auto" w:fill="auto"/>
            <w:vAlign w:val="center"/>
          </w:tcPr>
          <w:p w14:paraId="77C8237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多年平均气温（℃）</w:t>
            </w:r>
          </w:p>
        </w:tc>
        <w:tc>
          <w:tcPr>
            <w:tcW w:w="1162" w:type="pct"/>
            <w:tcBorders>
              <w:top w:val="double" w:color="auto" w:sz="4" w:space="0"/>
            </w:tcBorders>
            <w:shd w:val="clear" w:color="auto" w:fill="auto"/>
            <w:vAlign w:val="center"/>
          </w:tcPr>
          <w:p w14:paraId="54187F0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5.6</w:t>
            </w:r>
          </w:p>
        </w:tc>
        <w:tc>
          <w:tcPr>
            <w:tcW w:w="1057" w:type="pct"/>
            <w:tcBorders>
              <w:top w:val="double" w:color="auto" w:sz="4" w:space="0"/>
            </w:tcBorders>
            <w:shd w:val="clear" w:color="auto" w:fill="auto"/>
            <w:vAlign w:val="center"/>
          </w:tcPr>
          <w:p w14:paraId="4A4A33D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r>
      <w:tr w14:paraId="40A7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81" w:type="pct"/>
            <w:gridSpan w:val="2"/>
            <w:shd w:val="clear" w:color="auto" w:fill="auto"/>
            <w:vAlign w:val="center"/>
          </w:tcPr>
          <w:p w14:paraId="128A574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累年极端最高气温（℃）</w:t>
            </w:r>
          </w:p>
        </w:tc>
        <w:tc>
          <w:tcPr>
            <w:tcW w:w="1162" w:type="pct"/>
            <w:shd w:val="clear" w:color="auto" w:fill="auto"/>
            <w:vAlign w:val="center"/>
          </w:tcPr>
          <w:p w14:paraId="78A173A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38.6</w:t>
            </w:r>
          </w:p>
        </w:tc>
        <w:tc>
          <w:tcPr>
            <w:tcW w:w="1057" w:type="pct"/>
            <w:shd w:val="clear" w:color="auto" w:fill="auto"/>
            <w:vAlign w:val="center"/>
          </w:tcPr>
          <w:p w14:paraId="7D280E0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2005/6/22</w:t>
            </w:r>
          </w:p>
        </w:tc>
      </w:tr>
      <w:tr w14:paraId="1293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81" w:type="pct"/>
            <w:gridSpan w:val="2"/>
            <w:shd w:val="clear" w:color="auto" w:fill="auto"/>
            <w:vAlign w:val="center"/>
          </w:tcPr>
          <w:p w14:paraId="7DDC4A1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累年极端最低气温（℃）</w:t>
            </w:r>
          </w:p>
        </w:tc>
        <w:tc>
          <w:tcPr>
            <w:tcW w:w="1162" w:type="pct"/>
            <w:shd w:val="clear" w:color="auto" w:fill="auto"/>
            <w:vAlign w:val="center"/>
          </w:tcPr>
          <w:p w14:paraId="003F302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-33.5</w:t>
            </w:r>
          </w:p>
        </w:tc>
        <w:tc>
          <w:tcPr>
            <w:tcW w:w="1057" w:type="pct"/>
            <w:shd w:val="clear" w:color="auto" w:fill="auto"/>
            <w:vAlign w:val="center"/>
          </w:tcPr>
          <w:p w14:paraId="78306F0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2015/11/6</w:t>
            </w:r>
          </w:p>
        </w:tc>
      </w:tr>
      <w:tr w14:paraId="2CD8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81" w:type="pct"/>
            <w:gridSpan w:val="2"/>
            <w:shd w:val="clear" w:color="auto" w:fill="auto"/>
            <w:vAlign w:val="center"/>
          </w:tcPr>
          <w:p w14:paraId="24AB330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多年平均气压（hPa）</w:t>
            </w:r>
          </w:p>
        </w:tc>
        <w:tc>
          <w:tcPr>
            <w:tcW w:w="1162" w:type="pct"/>
            <w:shd w:val="clear" w:color="auto" w:fill="auto"/>
            <w:vAlign w:val="center"/>
          </w:tcPr>
          <w:p w14:paraId="739D2C3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862.9</w:t>
            </w:r>
          </w:p>
        </w:tc>
        <w:tc>
          <w:tcPr>
            <w:tcW w:w="1057" w:type="pct"/>
            <w:shd w:val="clear" w:color="auto" w:fill="auto"/>
            <w:vAlign w:val="center"/>
          </w:tcPr>
          <w:p w14:paraId="5882A4B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r>
      <w:tr w14:paraId="70DBB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81" w:type="pct"/>
            <w:gridSpan w:val="2"/>
            <w:shd w:val="clear" w:color="auto" w:fill="auto"/>
            <w:vAlign w:val="center"/>
          </w:tcPr>
          <w:p w14:paraId="3AB0868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多年平均相对湿度（%）</w:t>
            </w:r>
          </w:p>
        </w:tc>
        <w:tc>
          <w:tcPr>
            <w:tcW w:w="1162" w:type="pct"/>
            <w:shd w:val="clear" w:color="auto" w:fill="auto"/>
            <w:vAlign w:val="center"/>
          </w:tcPr>
          <w:p w14:paraId="72E2286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50</w:t>
            </w:r>
          </w:p>
        </w:tc>
        <w:tc>
          <w:tcPr>
            <w:tcW w:w="1057" w:type="pct"/>
            <w:shd w:val="clear" w:color="auto" w:fill="auto"/>
            <w:vAlign w:val="center"/>
          </w:tcPr>
          <w:p w14:paraId="1C65DDF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r>
      <w:tr w14:paraId="74AA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81" w:type="pct"/>
            <w:gridSpan w:val="2"/>
            <w:shd w:val="clear" w:color="auto" w:fill="auto"/>
            <w:vAlign w:val="center"/>
          </w:tcPr>
          <w:p w14:paraId="1AA4EED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多年平均降雨量（mm）</w:t>
            </w:r>
          </w:p>
        </w:tc>
        <w:tc>
          <w:tcPr>
            <w:tcW w:w="1162" w:type="pct"/>
            <w:shd w:val="clear" w:color="auto" w:fill="auto"/>
            <w:vAlign w:val="center"/>
          </w:tcPr>
          <w:p w14:paraId="7CCBDA4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309.8</w:t>
            </w:r>
          </w:p>
        </w:tc>
        <w:tc>
          <w:tcPr>
            <w:tcW w:w="1057" w:type="pct"/>
            <w:shd w:val="clear" w:color="auto" w:fill="auto"/>
            <w:vAlign w:val="center"/>
          </w:tcPr>
          <w:p w14:paraId="2DCCB94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r>
      <w:tr w14:paraId="0A45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3" w:type="pct"/>
            <w:vMerge w:val="restart"/>
            <w:shd w:val="clear" w:color="auto" w:fill="auto"/>
            <w:vAlign w:val="center"/>
          </w:tcPr>
          <w:p w14:paraId="31BBF04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灾害天气统计</w:t>
            </w:r>
          </w:p>
        </w:tc>
        <w:tc>
          <w:tcPr>
            <w:tcW w:w="1728" w:type="pct"/>
            <w:shd w:val="clear" w:color="auto" w:fill="auto"/>
            <w:vAlign w:val="center"/>
          </w:tcPr>
          <w:p w14:paraId="09203BA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多年平均雷暴日数（d）</w:t>
            </w:r>
          </w:p>
        </w:tc>
        <w:tc>
          <w:tcPr>
            <w:tcW w:w="1162" w:type="pct"/>
            <w:shd w:val="clear" w:color="auto" w:fill="auto"/>
            <w:vAlign w:val="center"/>
          </w:tcPr>
          <w:p w14:paraId="7938671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26.2</w:t>
            </w:r>
          </w:p>
        </w:tc>
        <w:tc>
          <w:tcPr>
            <w:tcW w:w="1057" w:type="pct"/>
            <w:shd w:val="clear" w:color="auto" w:fill="auto"/>
            <w:vAlign w:val="center"/>
          </w:tcPr>
          <w:p w14:paraId="7502F4C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r>
      <w:tr w14:paraId="01D9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3" w:type="pct"/>
            <w:vMerge w:val="continue"/>
            <w:vAlign w:val="center"/>
          </w:tcPr>
          <w:p w14:paraId="16EF402B">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1728" w:type="pct"/>
            <w:shd w:val="clear" w:color="auto" w:fill="auto"/>
            <w:vAlign w:val="center"/>
          </w:tcPr>
          <w:p w14:paraId="747018F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多年平均冰雹日数（d）</w:t>
            </w:r>
          </w:p>
        </w:tc>
        <w:tc>
          <w:tcPr>
            <w:tcW w:w="1162" w:type="pct"/>
            <w:shd w:val="clear" w:color="auto" w:fill="auto"/>
            <w:vAlign w:val="center"/>
          </w:tcPr>
          <w:p w14:paraId="76B9CC3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0.9</w:t>
            </w:r>
          </w:p>
        </w:tc>
        <w:tc>
          <w:tcPr>
            <w:tcW w:w="1057" w:type="pct"/>
            <w:shd w:val="clear" w:color="auto" w:fill="auto"/>
            <w:vAlign w:val="center"/>
          </w:tcPr>
          <w:p w14:paraId="4C9E486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r>
      <w:tr w14:paraId="4919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3" w:type="pct"/>
            <w:vMerge w:val="continue"/>
            <w:vAlign w:val="center"/>
          </w:tcPr>
          <w:p w14:paraId="4C80FDE8">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1728" w:type="pct"/>
            <w:shd w:val="clear" w:color="auto" w:fill="auto"/>
            <w:vAlign w:val="center"/>
          </w:tcPr>
          <w:p w14:paraId="11581B2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多年平均大风日数（d）</w:t>
            </w:r>
          </w:p>
        </w:tc>
        <w:tc>
          <w:tcPr>
            <w:tcW w:w="1162" w:type="pct"/>
            <w:shd w:val="clear" w:color="auto" w:fill="auto"/>
            <w:vAlign w:val="center"/>
          </w:tcPr>
          <w:p w14:paraId="52D60A8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9.9</w:t>
            </w:r>
          </w:p>
        </w:tc>
        <w:tc>
          <w:tcPr>
            <w:tcW w:w="1057" w:type="pct"/>
            <w:shd w:val="clear" w:color="auto" w:fill="auto"/>
            <w:vAlign w:val="center"/>
          </w:tcPr>
          <w:p w14:paraId="0A65783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r>
      <w:tr w14:paraId="38FA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81" w:type="pct"/>
            <w:gridSpan w:val="2"/>
            <w:shd w:val="clear" w:color="auto" w:fill="auto"/>
            <w:vAlign w:val="center"/>
          </w:tcPr>
          <w:p w14:paraId="2395ED0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多年实测极大风速（m/s）、相应风向</w:t>
            </w:r>
          </w:p>
        </w:tc>
        <w:tc>
          <w:tcPr>
            <w:tcW w:w="1162" w:type="pct"/>
            <w:shd w:val="clear" w:color="auto" w:fill="auto"/>
            <w:vAlign w:val="center"/>
          </w:tcPr>
          <w:p w14:paraId="00D0FF5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33.1、77.0/ENE</w:t>
            </w:r>
          </w:p>
        </w:tc>
        <w:tc>
          <w:tcPr>
            <w:tcW w:w="1057" w:type="pct"/>
            <w:shd w:val="clear" w:color="auto" w:fill="auto"/>
            <w:vAlign w:val="center"/>
          </w:tcPr>
          <w:p w14:paraId="1BFED87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2016/3/25</w:t>
            </w:r>
          </w:p>
        </w:tc>
      </w:tr>
      <w:tr w14:paraId="081C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81" w:type="pct"/>
            <w:gridSpan w:val="2"/>
            <w:shd w:val="clear" w:color="auto" w:fill="auto"/>
            <w:vAlign w:val="center"/>
          </w:tcPr>
          <w:p w14:paraId="6B66300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多年平均风速（m/s）</w:t>
            </w:r>
          </w:p>
        </w:tc>
        <w:tc>
          <w:tcPr>
            <w:tcW w:w="1162" w:type="pct"/>
            <w:shd w:val="clear" w:color="auto" w:fill="auto"/>
            <w:vAlign w:val="center"/>
          </w:tcPr>
          <w:p w14:paraId="2386546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2.4</w:t>
            </w:r>
          </w:p>
        </w:tc>
        <w:tc>
          <w:tcPr>
            <w:tcW w:w="1057" w:type="pct"/>
            <w:shd w:val="clear" w:color="auto" w:fill="auto"/>
            <w:vAlign w:val="center"/>
          </w:tcPr>
          <w:p w14:paraId="1E26C50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r>
      <w:tr w14:paraId="0759D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81" w:type="pct"/>
            <w:gridSpan w:val="2"/>
            <w:shd w:val="clear" w:color="auto" w:fill="auto"/>
            <w:vAlign w:val="center"/>
          </w:tcPr>
          <w:p w14:paraId="77F6CBB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多年静风频率（风速&lt;0.2m/s）（%）</w:t>
            </w:r>
          </w:p>
        </w:tc>
        <w:tc>
          <w:tcPr>
            <w:tcW w:w="1162" w:type="pct"/>
            <w:shd w:val="clear" w:color="auto" w:fill="auto"/>
            <w:vAlign w:val="center"/>
          </w:tcPr>
          <w:p w14:paraId="703E2A9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7.8</w:t>
            </w:r>
          </w:p>
        </w:tc>
        <w:tc>
          <w:tcPr>
            <w:tcW w:w="1057" w:type="pct"/>
            <w:shd w:val="clear" w:color="auto" w:fill="auto"/>
            <w:vAlign w:val="center"/>
          </w:tcPr>
          <w:p w14:paraId="756553C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r>
    </w:tbl>
    <w:p w14:paraId="784E7E41">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表1-23                                 </w:t>
      </w:r>
      <w:bookmarkStart w:id="159" w:name="_Hlk152149459"/>
      <w:r>
        <w:rPr>
          <w:color w:val="000000" w:themeColor="text1"/>
          <w:lang w:eastAsia="zh-CN"/>
          <w14:textFill>
            <w14:solidFill>
              <w14:schemeClr w14:val="tx1"/>
            </w14:solidFill>
          </w14:textFill>
        </w:rPr>
        <w:t>项目区逐月平均降水及平均风速</w:t>
      </w:r>
      <w:r>
        <w:rPr>
          <w:color w:val="000000" w:themeColor="text1"/>
          <w:spacing w:val="-10"/>
          <w:lang w:eastAsia="zh-CN"/>
          <w14:textFill>
            <w14:solidFill>
              <w14:schemeClr w14:val="tx1"/>
            </w14:solidFill>
          </w14:textFill>
        </w:rPr>
        <w:t>表</w:t>
      </w:r>
      <w:bookmarkEnd w:id="159"/>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4"/>
        <w:gridCol w:w="494"/>
        <w:gridCol w:w="494"/>
        <w:gridCol w:w="494"/>
        <w:gridCol w:w="590"/>
        <w:gridCol w:w="590"/>
        <w:gridCol w:w="590"/>
        <w:gridCol w:w="644"/>
        <w:gridCol w:w="591"/>
        <w:gridCol w:w="591"/>
        <w:gridCol w:w="593"/>
        <w:gridCol w:w="593"/>
        <w:gridCol w:w="588"/>
        <w:gridCol w:w="690"/>
      </w:tblGrid>
      <w:tr w14:paraId="40A70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3" w:type="pct"/>
            <w:tcBorders>
              <w:bottom w:val="double" w:color="auto" w:sz="4" w:space="0"/>
            </w:tcBorders>
            <w:shd w:val="clear" w:color="auto" w:fill="auto"/>
            <w:vAlign w:val="center"/>
          </w:tcPr>
          <w:p w14:paraId="3281D37C">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w:t>
            </w:r>
          </w:p>
        </w:tc>
        <w:tc>
          <w:tcPr>
            <w:tcW w:w="270" w:type="pct"/>
            <w:tcBorders>
              <w:bottom w:val="double" w:color="auto" w:sz="4" w:space="0"/>
            </w:tcBorders>
            <w:shd w:val="clear" w:color="auto" w:fill="auto"/>
            <w:vAlign w:val="center"/>
          </w:tcPr>
          <w:p w14:paraId="19290DD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 月</w:t>
            </w:r>
          </w:p>
        </w:tc>
        <w:tc>
          <w:tcPr>
            <w:tcW w:w="270" w:type="pct"/>
            <w:tcBorders>
              <w:bottom w:val="double" w:color="auto" w:sz="4" w:space="0"/>
            </w:tcBorders>
            <w:shd w:val="clear" w:color="auto" w:fill="auto"/>
            <w:vAlign w:val="center"/>
          </w:tcPr>
          <w:p w14:paraId="72D426A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 月</w:t>
            </w:r>
          </w:p>
        </w:tc>
        <w:tc>
          <w:tcPr>
            <w:tcW w:w="270" w:type="pct"/>
            <w:tcBorders>
              <w:bottom w:val="double" w:color="auto" w:sz="4" w:space="0"/>
            </w:tcBorders>
            <w:shd w:val="clear" w:color="auto" w:fill="auto"/>
            <w:vAlign w:val="center"/>
          </w:tcPr>
          <w:p w14:paraId="0B330DA8">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 月</w:t>
            </w:r>
          </w:p>
        </w:tc>
        <w:tc>
          <w:tcPr>
            <w:tcW w:w="322" w:type="pct"/>
            <w:tcBorders>
              <w:bottom w:val="double" w:color="auto" w:sz="4" w:space="0"/>
            </w:tcBorders>
            <w:shd w:val="clear" w:color="auto" w:fill="auto"/>
            <w:vAlign w:val="center"/>
          </w:tcPr>
          <w:p w14:paraId="12284EC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 月</w:t>
            </w:r>
          </w:p>
        </w:tc>
        <w:tc>
          <w:tcPr>
            <w:tcW w:w="322" w:type="pct"/>
            <w:tcBorders>
              <w:bottom w:val="double" w:color="auto" w:sz="4" w:space="0"/>
            </w:tcBorders>
            <w:shd w:val="clear" w:color="auto" w:fill="auto"/>
            <w:vAlign w:val="center"/>
          </w:tcPr>
          <w:p w14:paraId="0D7FD0B2">
            <w:pPr>
              <w:spacing w:line="240" w:lineRule="auto"/>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 月</w:t>
            </w:r>
          </w:p>
        </w:tc>
        <w:tc>
          <w:tcPr>
            <w:tcW w:w="322" w:type="pct"/>
            <w:tcBorders>
              <w:bottom w:val="double" w:color="auto" w:sz="4" w:space="0"/>
            </w:tcBorders>
            <w:shd w:val="clear" w:color="auto" w:fill="auto"/>
            <w:vAlign w:val="center"/>
          </w:tcPr>
          <w:p w14:paraId="6380883D">
            <w:pPr>
              <w:spacing w:line="240" w:lineRule="auto"/>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6 月</w:t>
            </w:r>
          </w:p>
        </w:tc>
        <w:tc>
          <w:tcPr>
            <w:tcW w:w="351" w:type="pct"/>
            <w:tcBorders>
              <w:bottom w:val="double" w:color="auto" w:sz="4" w:space="0"/>
            </w:tcBorders>
            <w:shd w:val="clear" w:color="auto" w:fill="auto"/>
            <w:vAlign w:val="center"/>
          </w:tcPr>
          <w:p w14:paraId="30A7DC9C">
            <w:pPr>
              <w:spacing w:line="240" w:lineRule="auto"/>
              <w:ind w:right="210"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7月</w:t>
            </w:r>
          </w:p>
        </w:tc>
        <w:tc>
          <w:tcPr>
            <w:tcW w:w="322" w:type="pct"/>
            <w:tcBorders>
              <w:bottom w:val="double" w:color="auto" w:sz="4" w:space="0"/>
            </w:tcBorders>
            <w:shd w:val="clear" w:color="auto" w:fill="auto"/>
            <w:vAlign w:val="center"/>
          </w:tcPr>
          <w:p w14:paraId="770C9D16">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8 月</w:t>
            </w:r>
          </w:p>
        </w:tc>
        <w:tc>
          <w:tcPr>
            <w:tcW w:w="322" w:type="pct"/>
            <w:tcBorders>
              <w:bottom w:val="double" w:color="auto" w:sz="4" w:space="0"/>
            </w:tcBorders>
            <w:shd w:val="clear" w:color="auto" w:fill="auto"/>
            <w:vAlign w:val="center"/>
          </w:tcPr>
          <w:p w14:paraId="1C6A8863">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 月</w:t>
            </w:r>
          </w:p>
        </w:tc>
        <w:tc>
          <w:tcPr>
            <w:tcW w:w="323" w:type="pct"/>
            <w:tcBorders>
              <w:bottom w:val="double" w:color="auto" w:sz="4" w:space="0"/>
            </w:tcBorders>
            <w:shd w:val="clear" w:color="auto" w:fill="auto"/>
            <w:vAlign w:val="center"/>
          </w:tcPr>
          <w:p w14:paraId="7BF46EF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10 月</w:t>
            </w:r>
          </w:p>
        </w:tc>
        <w:tc>
          <w:tcPr>
            <w:tcW w:w="323" w:type="pct"/>
            <w:tcBorders>
              <w:bottom w:val="double" w:color="auto" w:sz="4" w:space="0"/>
            </w:tcBorders>
            <w:shd w:val="clear" w:color="auto" w:fill="auto"/>
            <w:vAlign w:val="center"/>
          </w:tcPr>
          <w:p w14:paraId="5F1D337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11 月</w:t>
            </w:r>
          </w:p>
        </w:tc>
        <w:tc>
          <w:tcPr>
            <w:tcW w:w="320" w:type="pct"/>
            <w:tcBorders>
              <w:bottom w:val="double" w:color="auto" w:sz="4" w:space="0"/>
            </w:tcBorders>
            <w:shd w:val="clear" w:color="auto" w:fill="auto"/>
            <w:vAlign w:val="center"/>
          </w:tcPr>
          <w:p w14:paraId="5402893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12 月</w:t>
            </w:r>
          </w:p>
        </w:tc>
        <w:tc>
          <w:tcPr>
            <w:tcW w:w="318" w:type="pct"/>
            <w:tcBorders>
              <w:bottom w:val="double" w:color="auto" w:sz="4" w:space="0"/>
            </w:tcBorders>
            <w:vAlign w:val="center"/>
          </w:tcPr>
          <w:p w14:paraId="540AD577">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全年</w:t>
            </w:r>
          </w:p>
        </w:tc>
      </w:tr>
      <w:tr w14:paraId="1224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3" w:type="pct"/>
            <w:tcBorders>
              <w:top w:val="double" w:color="auto" w:sz="4" w:space="0"/>
            </w:tcBorders>
            <w:shd w:val="clear" w:color="auto" w:fill="auto"/>
            <w:vAlign w:val="center"/>
          </w:tcPr>
          <w:p w14:paraId="0585D77D">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月降水量（mm）</w:t>
            </w:r>
          </w:p>
        </w:tc>
        <w:tc>
          <w:tcPr>
            <w:tcW w:w="270" w:type="pct"/>
            <w:tcBorders>
              <w:top w:val="double" w:color="auto" w:sz="4" w:space="0"/>
            </w:tcBorders>
            <w:shd w:val="clear" w:color="auto" w:fill="auto"/>
            <w:vAlign w:val="center"/>
          </w:tcPr>
          <w:p w14:paraId="360418B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1.8</w:t>
            </w:r>
          </w:p>
        </w:tc>
        <w:tc>
          <w:tcPr>
            <w:tcW w:w="270" w:type="pct"/>
            <w:tcBorders>
              <w:top w:val="double" w:color="auto" w:sz="4" w:space="0"/>
            </w:tcBorders>
            <w:shd w:val="clear" w:color="auto" w:fill="auto"/>
            <w:vAlign w:val="center"/>
          </w:tcPr>
          <w:p w14:paraId="0CCA9EB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w:t>
            </w:r>
          </w:p>
        </w:tc>
        <w:tc>
          <w:tcPr>
            <w:tcW w:w="270" w:type="pct"/>
            <w:tcBorders>
              <w:top w:val="double" w:color="auto" w:sz="4" w:space="0"/>
            </w:tcBorders>
            <w:shd w:val="clear" w:color="auto" w:fill="auto"/>
            <w:vAlign w:val="center"/>
          </w:tcPr>
          <w:p w14:paraId="082C161F">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5.4</w:t>
            </w:r>
          </w:p>
        </w:tc>
        <w:tc>
          <w:tcPr>
            <w:tcW w:w="322" w:type="pct"/>
            <w:tcBorders>
              <w:top w:val="double" w:color="auto" w:sz="4" w:space="0"/>
            </w:tcBorders>
            <w:shd w:val="clear" w:color="auto" w:fill="auto"/>
            <w:vAlign w:val="center"/>
          </w:tcPr>
          <w:p w14:paraId="2E24E2E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12.2</w:t>
            </w:r>
          </w:p>
        </w:tc>
        <w:tc>
          <w:tcPr>
            <w:tcW w:w="322" w:type="pct"/>
            <w:tcBorders>
              <w:top w:val="double" w:color="auto" w:sz="4" w:space="0"/>
            </w:tcBorders>
            <w:shd w:val="clear" w:color="auto" w:fill="auto"/>
            <w:vAlign w:val="center"/>
          </w:tcPr>
          <w:p w14:paraId="2A4CC4F8">
            <w:pPr>
              <w:spacing w:line="240" w:lineRule="auto"/>
              <w:ind w:firstLine="0" w:firstLineChars="0"/>
              <w:jc w:val="righ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28.5</w:t>
            </w:r>
          </w:p>
        </w:tc>
        <w:tc>
          <w:tcPr>
            <w:tcW w:w="322" w:type="pct"/>
            <w:tcBorders>
              <w:top w:val="double" w:color="auto" w:sz="4" w:space="0"/>
            </w:tcBorders>
            <w:shd w:val="clear" w:color="auto" w:fill="auto"/>
            <w:vAlign w:val="center"/>
          </w:tcPr>
          <w:p w14:paraId="23944FB4">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38.7</w:t>
            </w:r>
          </w:p>
        </w:tc>
        <w:tc>
          <w:tcPr>
            <w:tcW w:w="351" w:type="pct"/>
            <w:tcBorders>
              <w:top w:val="double" w:color="auto" w:sz="4" w:space="0"/>
            </w:tcBorders>
            <w:shd w:val="clear" w:color="auto" w:fill="auto"/>
            <w:vAlign w:val="center"/>
          </w:tcPr>
          <w:p w14:paraId="1649D995">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80</w:t>
            </w:r>
          </w:p>
        </w:tc>
        <w:tc>
          <w:tcPr>
            <w:tcW w:w="322" w:type="pct"/>
            <w:tcBorders>
              <w:top w:val="double" w:color="auto" w:sz="4" w:space="0"/>
            </w:tcBorders>
            <w:shd w:val="clear" w:color="auto" w:fill="auto"/>
            <w:vAlign w:val="center"/>
          </w:tcPr>
          <w:p w14:paraId="3635BFC5">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64.4</w:t>
            </w:r>
          </w:p>
        </w:tc>
        <w:tc>
          <w:tcPr>
            <w:tcW w:w="322" w:type="pct"/>
            <w:tcBorders>
              <w:top w:val="double" w:color="auto" w:sz="4" w:space="0"/>
            </w:tcBorders>
            <w:shd w:val="clear" w:color="auto" w:fill="auto"/>
            <w:vAlign w:val="center"/>
          </w:tcPr>
          <w:p w14:paraId="4890735D">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52.6</w:t>
            </w:r>
          </w:p>
        </w:tc>
        <w:tc>
          <w:tcPr>
            <w:tcW w:w="323" w:type="pct"/>
            <w:tcBorders>
              <w:top w:val="double" w:color="auto" w:sz="4" w:space="0"/>
            </w:tcBorders>
            <w:shd w:val="clear" w:color="auto" w:fill="auto"/>
            <w:vAlign w:val="center"/>
          </w:tcPr>
          <w:p w14:paraId="6E54E87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12.3</w:t>
            </w:r>
          </w:p>
        </w:tc>
        <w:tc>
          <w:tcPr>
            <w:tcW w:w="323" w:type="pct"/>
            <w:tcBorders>
              <w:top w:val="double" w:color="auto" w:sz="4" w:space="0"/>
            </w:tcBorders>
            <w:shd w:val="clear" w:color="auto" w:fill="auto"/>
            <w:vAlign w:val="center"/>
          </w:tcPr>
          <w:p w14:paraId="5DBB2F1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8.4</w:t>
            </w:r>
          </w:p>
        </w:tc>
        <w:tc>
          <w:tcPr>
            <w:tcW w:w="320" w:type="pct"/>
            <w:tcBorders>
              <w:top w:val="double" w:color="auto" w:sz="4" w:space="0"/>
            </w:tcBorders>
            <w:shd w:val="clear" w:color="auto" w:fill="auto"/>
            <w:vAlign w:val="center"/>
          </w:tcPr>
          <w:p w14:paraId="5204EBA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2.8</w:t>
            </w:r>
          </w:p>
        </w:tc>
        <w:tc>
          <w:tcPr>
            <w:tcW w:w="318" w:type="pct"/>
            <w:tcBorders>
              <w:top w:val="double" w:color="auto" w:sz="4" w:space="0"/>
            </w:tcBorders>
            <w:vAlign w:val="center"/>
          </w:tcPr>
          <w:p w14:paraId="1430297D">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3</w:t>
            </w:r>
            <w:r>
              <w:rPr>
                <w:rFonts w:cs="Times New Roman"/>
                <w:color w:val="000000" w:themeColor="text1"/>
                <w:sz w:val="21"/>
                <w:szCs w:val="21"/>
                <w14:textFill>
                  <w14:solidFill>
                    <w14:schemeClr w14:val="tx1"/>
                  </w14:solidFill>
                </w14:textFill>
              </w:rPr>
              <w:t>09.8</w:t>
            </w:r>
          </w:p>
        </w:tc>
      </w:tr>
      <w:tr w14:paraId="0001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3" w:type="pct"/>
            <w:shd w:val="clear" w:color="auto" w:fill="auto"/>
            <w:vAlign w:val="center"/>
          </w:tcPr>
          <w:p w14:paraId="2B92C487">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月平均风速（m/s）</w:t>
            </w:r>
          </w:p>
        </w:tc>
        <w:tc>
          <w:tcPr>
            <w:tcW w:w="270" w:type="pct"/>
            <w:shd w:val="clear" w:color="auto" w:fill="auto"/>
            <w:vAlign w:val="center"/>
          </w:tcPr>
          <w:p w14:paraId="1A7212E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w:t>
            </w:r>
          </w:p>
        </w:tc>
        <w:tc>
          <w:tcPr>
            <w:tcW w:w="270" w:type="pct"/>
            <w:shd w:val="clear" w:color="auto" w:fill="auto"/>
            <w:vAlign w:val="center"/>
          </w:tcPr>
          <w:p w14:paraId="70CEE89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2.3</w:t>
            </w:r>
          </w:p>
        </w:tc>
        <w:tc>
          <w:tcPr>
            <w:tcW w:w="270" w:type="pct"/>
            <w:shd w:val="clear" w:color="auto" w:fill="auto"/>
            <w:vAlign w:val="center"/>
          </w:tcPr>
          <w:p w14:paraId="07083D9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2.6</w:t>
            </w:r>
          </w:p>
        </w:tc>
        <w:tc>
          <w:tcPr>
            <w:tcW w:w="322" w:type="pct"/>
            <w:shd w:val="clear" w:color="auto" w:fill="auto"/>
            <w:vAlign w:val="center"/>
          </w:tcPr>
          <w:p w14:paraId="0B85693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w:t>
            </w:r>
          </w:p>
        </w:tc>
        <w:tc>
          <w:tcPr>
            <w:tcW w:w="322" w:type="pct"/>
            <w:shd w:val="clear" w:color="auto" w:fill="auto"/>
            <w:vAlign w:val="center"/>
          </w:tcPr>
          <w:p w14:paraId="150DAA2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3.1</w:t>
            </w:r>
          </w:p>
        </w:tc>
        <w:tc>
          <w:tcPr>
            <w:tcW w:w="322" w:type="pct"/>
            <w:shd w:val="clear" w:color="auto" w:fill="auto"/>
            <w:vAlign w:val="center"/>
          </w:tcPr>
          <w:p w14:paraId="48C5CF1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2.7</w:t>
            </w:r>
          </w:p>
        </w:tc>
        <w:tc>
          <w:tcPr>
            <w:tcW w:w="351" w:type="pct"/>
            <w:shd w:val="clear" w:color="auto" w:fill="auto"/>
            <w:vAlign w:val="center"/>
          </w:tcPr>
          <w:p w14:paraId="1DC62B3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2.3</w:t>
            </w:r>
          </w:p>
        </w:tc>
        <w:tc>
          <w:tcPr>
            <w:tcW w:w="322" w:type="pct"/>
            <w:shd w:val="clear" w:color="auto" w:fill="auto"/>
            <w:vAlign w:val="center"/>
          </w:tcPr>
          <w:p w14:paraId="264CDBA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2.1</w:t>
            </w:r>
          </w:p>
        </w:tc>
        <w:tc>
          <w:tcPr>
            <w:tcW w:w="322" w:type="pct"/>
            <w:shd w:val="clear" w:color="auto" w:fill="auto"/>
            <w:vAlign w:val="center"/>
          </w:tcPr>
          <w:p w14:paraId="3BDD791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2.3</w:t>
            </w:r>
          </w:p>
        </w:tc>
        <w:tc>
          <w:tcPr>
            <w:tcW w:w="323" w:type="pct"/>
            <w:shd w:val="clear" w:color="auto" w:fill="auto"/>
            <w:vAlign w:val="center"/>
          </w:tcPr>
          <w:p w14:paraId="6D360A8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2.3</w:t>
            </w:r>
          </w:p>
        </w:tc>
        <w:tc>
          <w:tcPr>
            <w:tcW w:w="323" w:type="pct"/>
            <w:shd w:val="clear" w:color="auto" w:fill="auto"/>
            <w:vAlign w:val="center"/>
          </w:tcPr>
          <w:p w14:paraId="0F5E2C4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2.1</w:t>
            </w:r>
          </w:p>
        </w:tc>
        <w:tc>
          <w:tcPr>
            <w:tcW w:w="320" w:type="pct"/>
            <w:shd w:val="clear" w:color="auto" w:fill="auto"/>
            <w:vAlign w:val="center"/>
          </w:tcPr>
          <w:p w14:paraId="1687C87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1.9</w:t>
            </w:r>
          </w:p>
        </w:tc>
        <w:tc>
          <w:tcPr>
            <w:tcW w:w="318" w:type="pct"/>
            <w:vAlign w:val="center"/>
          </w:tcPr>
          <w:p w14:paraId="08935ED8">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2</w:t>
            </w:r>
            <w:r>
              <w:rPr>
                <w:rFonts w:cs="Times New Roman"/>
                <w:color w:val="000000" w:themeColor="text1"/>
                <w:sz w:val="21"/>
                <w:szCs w:val="21"/>
                <w14:textFill>
                  <w14:solidFill>
                    <w14:schemeClr w14:val="tx1"/>
                  </w14:solidFill>
                </w14:textFill>
              </w:rPr>
              <w:t>.4</w:t>
            </w:r>
          </w:p>
        </w:tc>
      </w:tr>
    </w:tbl>
    <w:p w14:paraId="1937206E">
      <w:pPr>
        <w:widowControl w:val="0"/>
        <w:ind w:firstLine="480"/>
        <w:rPr>
          <w:rFonts w:cs="Times New Roman"/>
          <w:color w:val="000000" w:themeColor="text1"/>
          <w14:textFill>
            <w14:solidFill>
              <w14:schemeClr w14:val="tx1"/>
            </w14:solidFill>
          </w14:textFill>
        </w:rPr>
      </w:pPr>
    </w:p>
    <w:p w14:paraId="0028980D">
      <w:pPr>
        <w:ind w:firstLine="482"/>
        <w:rPr>
          <w:rFonts w:cs="Times New Roman"/>
          <w:b/>
          <w:color w:val="000000" w:themeColor="text1"/>
          <w14:textFill>
            <w14:solidFill>
              <w14:schemeClr w14:val="tx1"/>
            </w14:solidFill>
          </w14:textFill>
        </w:rPr>
      </w:pPr>
      <w:bookmarkStart w:id="160" w:name="_Toc85444560"/>
      <w:r>
        <w:rPr>
          <w:rFonts w:cs="Times New Roman"/>
          <w:b/>
          <w:color w:val="000000" w:themeColor="text1"/>
          <w14:textFill>
            <w14:solidFill>
              <w14:schemeClr w14:val="tx1"/>
            </w14:solidFill>
          </w14:textFill>
        </w:rPr>
        <w:t>（4）水文</w:t>
      </w:r>
      <w:bookmarkEnd w:id="160"/>
    </w:p>
    <w:p w14:paraId="7C4C0749">
      <w:pPr>
        <w:widowControl w:val="0"/>
        <w:ind w:firstLine="482"/>
        <w:rPr>
          <w:rFonts w:cs="Times New Roman"/>
          <w:b/>
          <w:color w:val="000000" w:themeColor="text1"/>
          <w14:textFill>
            <w14:solidFill>
              <w14:schemeClr w14:val="tx1"/>
            </w14:solidFill>
          </w14:textFill>
        </w:rPr>
      </w:pPr>
      <w:r>
        <w:rPr>
          <w:rFonts w:cs="Times New Roman"/>
          <w:b/>
          <w:color w:val="000000" w:themeColor="text1"/>
          <w14:textFill>
            <w14:solidFill>
              <w14:schemeClr w14:val="tx1"/>
            </w14:solidFill>
          </w14:textFill>
        </w:rPr>
        <w:t>1）地表水</w:t>
      </w:r>
    </w:p>
    <w:p w14:paraId="152BE9E5">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包头市属于半干旱水文地质地区，地表水主要由黄河、昆都仑河和四道沙河等十多条河沟组成。固阳县多年平均水资源总储量21940万m³，地表水资源总储量9910万m³，地下水资源总储量14300万m³，可利用水资源量为9390万m³，水资源人均占有量为1030m³，远低于自治区2100m³/人的水平，是严重贫水区。</w:t>
      </w:r>
    </w:p>
    <w:p w14:paraId="04F31E97">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全县境内分布有大小7条时令河，其中黄河水系有5条，包括昆都仑河、乌苏图勒河、五当沟、水涧沟、美岱沟，其余2条为内陆水系，为艾不盖河和塔布河。全县总计年平均径流量9910万m³，且多集中于6—8月份，易形成洪流，因此可利用程度不高。</w:t>
      </w:r>
    </w:p>
    <w:p w14:paraId="3E609523">
      <w:pPr>
        <w:widowControl w:val="0"/>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园区流域管理机构为黄河水利委员会，</w:t>
      </w:r>
      <w:r>
        <w:rPr>
          <w:rFonts w:cs="Times New Roman"/>
          <w:color w:val="000000" w:themeColor="text1"/>
          <w14:textFill>
            <w14:solidFill>
              <w14:schemeClr w14:val="tx1"/>
            </w14:solidFill>
          </w14:textFill>
        </w:rPr>
        <w:t>园区周边涉及的地表水系主要是黄河干流包头段和昆都仑河。根据野外实地踏勘调查及周边资料收集，由于园区地处山前平原，园区内主要沟谷为南侧南排沟，还有部分时令排洪沟，常年无水，区域上游集水面积较小，峰大量小，历时短，危害大，开发利用程度低，项目区与该沟道高差在10m以上，项目区不受该河流影响。区域水系图见附图2。</w:t>
      </w:r>
    </w:p>
    <w:p w14:paraId="102B4A67">
      <w:pPr>
        <w:widowControl w:val="0"/>
        <w:ind w:firstLine="482"/>
        <w:rPr>
          <w:rFonts w:cs="Times New Roman"/>
          <w:b/>
          <w:color w:val="000000" w:themeColor="text1"/>
          <w14:textFill>
            <w14:solidFill>
              <w14:schemeClr w14:val="tx1"/>
            </w14:solidFill>
          </w14:textFill>
        </w:rPr>
      </w:pPr>
      <w:r>
        <w:rPr>
          <w:rFonts w:cs="Times New Roman"/>
          <w:b/>
          <w:color w:val="000000" w:themeColor="text1"/>
          <w14:textFill>
            <w14:solidFill>
              <w14:schemeClr w14:val="tx1"/>
            </w14:solidFill>
          </w14:textFill>
        </w:rPr>
        <w:t>2）地下水</w:t>
      </w:r>
    </w:p>
    <w:p w14:paraId="3141F665">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包头市地下水分为潜水和承压水两类，主要靠大气降水补给。山区是平原区地下水补给区。园区地下水类型属孔隙潜水，主要接受大气降水补给。钻探期间实测地下水位埋深为2.60～5.20m，地下水位标高为1335.97～1354.01m。据区域水文地质资料及附近深水井调查，地下水位年变幅为0.50～1.00m。</w:t>
      </w:r>
    </w:p>
    <w:p w14:paraId="02548AD1">
      <w:pPr>
        <w:ind w:firstLine="482"/>
        <w:rPr>
          <w:rFonts w:cs="Times New Roman"/>
          <w:b/>
          <w:color w:val="000000" w:themeColor="text1"/>
          <w14:textFill>
            <w14:solidFill>
              <w14:schemeClr w14:val="tx1"/>
            </w14:solidFill>
          </w14:textFill>
        </w:rPr>
      </w:pPr>
      <w:bookmarkStart w:id="161" w:name="_Toc85444561"/>
      <w:r>
        <w:rPr>
          <w:rFonts w:cs="Times New Roman"/>
          <w:b/>
          <w:color w:val="000000" w:themeColor="text1"/>
          <w14:textFill>
            <w14:solidFill>
              <w14:schemeClr w14:val="tx1"/>
            </w14:solidFill>
          </w14:textFill>
        </w:rPr>
        <w:t>（5）土壤</w:t>
      </w:r>
      <w:bookmarkEnd w:id="161"/>
    </w:p>
    <w:p w14:paraId="77AF121B">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项目区土壤以栗钙土为主，是该区域的地带性土壤。表层腐质层厚度为15～30cm，土壤肥力较低，风蚀较重，有机质含量1.0～1.8％，主要养分含量除含钾量较丰富外，其余普遍偏低。</w:t>
      </w:r>
    </w:p>
    <w:p w14:paraId="195B1E14">
      <w:pPr>
        <w:widowControl w:val="0"/>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根据现场踏勘调查，园区未建区域可剥离表土面积：地块1可剥离面积为</w:t>
      </w:r>
      <w:r>
        <w:rPr>
          <w:rFonts w:cs="Times New Roman"/>
          <w:color w:val="000000" w:themeColor="text1"/>
          <w14:textFill>
            <w14:solidFill>
              <w14:schemeClr w14:val="tx1"/>
            </w14:solidFill>
          </w14:textFill>
        </w:rPr>
        <w:t>47.85</w:t>
      </w:r>
      <w:r>
        <w:rPr>
          <w:rFonts w:hint="eastAsia" w:cs="Times New Roman"/>
          <w:color w:val="000000" w:themeColor="text1"/>
          <w14:textFill>
            <w14:solidFill>
              <w14:schemeClr w14:val="tx1"/>
            </w14:solidFill>
          </w14:textFill>
        </w:rPr>
        <w:t>hm</w:t>
      </w:r>
      <w:r>
        <w:rPr>
          <w:rFonts w:ascii="Calibri" w:hAnsi="Calibri" w:cs="Calibri"/>
          <w:color w:val="000000" w:themeColor="text1"/>
          <w14:textFill>
            <w14:solidFill>
              <w14:schemeClr w14:val="tx1"/>
            </w14:solidFill>
          </w14:textFill>
        </w:rPr>
        <w:t>²</w:t>
      </w:r>
      <w:r>
        <w:rPr>
          <w:rFonts w:hint="eastAsia" w:cs="Times New Roman"/>
          <w:color w:val="000000" w:themeColor="text1"/>
          <w14:textFill>
            <w14:solidFill>
              <w14:schemeClr w14:val="tx1"/>
            </w14:solidFill>
          </w14:textFill>
        </w:rPr>
        <w:t>，其中耕地</w:t>
      </w:r>
      <w:r>
        <w:rPr>
          <w:rFonts w:cs="Times New Roman"/>
          <w:color w:val="000000" w:themeColor="text1"/>
          <w14:textFill>
            <w14:solidFill>
              <w14:schemeClr w14:val="tx1"/>
            </w14:solidFill>
          </w14:textFill>
        </w:rPr>
        <w:t>15.95</w:t>
      </w:r>
      <w:r>
        <w:rPr>
          <w:rFonts w:hint="eastAsia" w:cs="Times New Roman"/>
          <w:color w:val="000000" w:themeColor="text1"/>
          <w14:textFill>
            <w14:solidFill>
              <w14:schemeClr w14:val="tx1"/>
            </w14:solidFill>
          </w14:textFill>
        </w:rPr>
        <w:t>hm</w:t>
      </w:r>
      <w:r>
        <w:rPr>
          <w:rFonts w:ascii="Calibri" w:hAnsi="Calibri" w:cs="Calibri"/>
          <w:color w:val="000000" w:themeColor="text1"/>
          <w14:textFill>
            <w14:solidFill>
              <w14:schemeClr w14:val="tx1"/>
            </w14:solidFill>
          </w14:textFill>
        </w:rPr>
        <w:t>²</w:t>
      </w:r>
      <w:r>
        <w:rPr>
          <w:rFonts w:hint="eastAsia" w:cs="Times New Roman"/>
          <w:color w:val="000000" w:themeColor="text1"/>
          <w14:textFill>
            <w14:solidFill>
              <w14:schemeClr w14:val="tx1"/>
            </w14:solidFill>
          </w14:textFill>
        </w:rPr>
        <w:t>（剥离厚度</w:t>
      </w:r>
      <w:r>
        <w:rPr>
          <w:rFonts w:cs="Times New Roman"/>
          <w:color w:val="000000" w:themeColor="text1"/>
          <w14:textFill>
            <w14:solidFill>
              <w14:schemeClr w14:val="tx1"/>
            </w14:solidFill>
          </w14:textFill>
        </w:rPr>
        <w:t>30</w:t>
      </w:r>
      <w:r>
        <w:rPr>
          <w:rFonts w:hint="eastAsia" w:cs="Times New Roman"/>
          <w:color w:val="000000" w:themeColor="text1"/>
          <w14:textFill>
            <w14:solidFill>
              <w14:schemeClr w14:val="tx1"/>
            </w14:solidFill>
          </w14:textFill>
        </w:rPr>
        <w:t>cm），林地</w:t>
      </w:r>
      <w:r>
        <w:rPr>
          <w:rFonts w:cs="Times New Roman"/>
          <w:color w:val="000000" w:themeColor="text1"/>
          <w14:textFill>
            <w14:solidFill>
              <w14:schemeClr w14:val="tx1"/>
            </w14:solidFill>
          </w14:textFill>
        </w:rPr>
        <w:t>11.0</w:t>
      </w:r>
      <w:r>
        <w:rPr>
          <w:rFonts w:hint="eastAsia" w:cs="Times New Roman"/>
          <w:color w:val="000000" w:themeColor="text1"/>
          <w14:textFill>
            <w14:solidFill>
              <w14:schemeClr w14:val="tx1"/>
            </w14:solidFill>
          </w14:textFill>
        </w:rPr>
        <w:t>hm</w:t>
      </w:r>
      <w:r>
        <w:rPr>
          <w:rFonts w:ascii="Calibri" w:hAnsi="Calibri" w:cs="Calibri"/>
          <w:color w:val="000000" w:themeColor="text1"/>
          <w14:textFill>
            <w14:solidFill>
              <w14:schemeClr w14:val="tx1"/>
            </w14:solidFill>
          </w14:textFill>
        </w:rPr>
        <w:t>²</w:t>
      </w:r>
      <w:r>
        <w:rPr>
          <w:rFonts w:hint="eastAsia" w:cs="Times New Roman"/>
          <w:color w:val="000000" w:themeColor="text1"/>
          <w14:textFill>
            <w14:solidFill>
              <w14:schemeClr w14:val="tx1"/>
            </w14:solidFill>
          </w14:textFill>
        </w:rPr>
        <w:t>（剥离厚度</w:t>
      </w:r>
      <w:r>
        <w:rPr>
          <w:rFonts w:cs="Times New Roman"/>
          <w:color w:val="000000" w:themeColor="text1"/>
          <w14:textFill>
            <w14:solidFill>
              <w14:schemeClr w14:val="tx1"/>
            </w14:solidFill>
          </w14:textFill>
        </w:rPr>
        <w:t>15</w:t>
      </w:r>
      <w:r>
        <w:rPr>
          <w:rFonts w:hint="eastAsia" w:cs="Times New Roman"/>
          <w:color w:val="000000" w:themeColor="text1"/>
          <w14:textFill>
            <w14:solidFill>
              <w14:schemeClr w14:val="tx1"/>
            </w14:solidFill>
          </w14:textFill>
        </w:rPr>
        <w:t>cm），草地</w:t>
      </w:r>
      <w:r>
        <w:rPr>
          <w:rFonts w:cs="Times New Roman"/>
          <w:color w:val="000000" w:themeColor="text1"/>
          <w14:textFill>
            <w14:solidFill>
              <w14:schemeClr w14:val="tx1"/>
            </w14:solidFill>
          </w14:textFill>
        </w:rPr>
        <w:t>20.9</w:t>
      </w:r>
      <w:r>
        <w:rPr>
          <w:rFonts w:hint="eastAsia" w:cs="Times New Roman"/>
          <w:color w:val="000000" w:themeColor="text1"/>
          <w14:textFill>
            <w14:solidFill>
              <w14:schemeClr w14:val="tx1"/>
            </w14:solidFill>
          </w14:textFill>
        </w:rPr>
        <w:t>hm</w:t>
      </w:r>
      <w:r>
        <w:rPr>
          <w:rFonts w:ascii="Calibri" w:hAnsi="Calibri" w:cs="Calibri"/>
          <w:color w:val="000000" w:themeColor="text1"/>
          <w14:textFill>
            <w14:solidFill>
              <w14:schemeClr w14:val="tx1"/>
            </w14:solidFill>
          </w14:textFill>
        </w:rPr>
        <w:t>²</w:t>
      </w:r>
      <w:r>
        <w:rPr>
          <w:rFonts w:hint="eastAsia" w:cs="Times New Roman"/>
          <w:color w:val="000000" w:themeColor="text1"/>
          <w14:textFill>
            <w14:solidFill>
              <w14:schemeClr w14:val="tx1"/>
            </w14:solidFill>
          </w14:textFill>
        </w:rPr>
        <w:t>（剥离厚度</w:t>
      </w:r>
      <w:r>
        <w:rPr>
          <w:rFonts w:cs="Times New Roman"/>
          <w:color w:val="000000" w:themeColor="text1"/>
          <w14:textFill>
            <w14:solidFill>
              <w14:schemeClr w14:val="tx1"/>
            </w14:solidFill>
          </w14:textFill>
        </w:rPr>
        <w:t>15</w:t>
      </w:r>
      <w:r>
        <w:rPr>
          <w:rFonts w:hint="eastAsia" w:cs="Times New Roman"/>
          <w:color w:val="000000" w:themeColor="text1"/>
          <w14:textFill>
            <w14:solidFill>
              <w14:schemeClr w14:val="tx1"/>
            </w14:solidFill>
          </w14:textFill>
        </w:rPr>
        <w:t>cm），则表土剥离总量</w:t>
      </w:r>
      <w:r>
        <w:rPr>
          <w:rFonts w:cs="Times New Roman"/>
          <w:color w:val="000000" w:themeColor="text1"/>
          <w14:textFill>
            <w14:solidFill>
              <w14:schemeClr w14:val="tx1"/>
            </w14:solidFill>
          </w14:textFill>
        </w:rPr>
        <w:t>9.57</w:t>
      </w:r>
      <w:r>
        <w:rPr>
          <w:rFonts w:hint="eastAsia" w:cs="Times New Roman"/>
          <w:color w:val="000000" w:themeColor="text1"/>
          <w14:textFill>
            <w14:solidFill>
              <w14:schemeClr w14:val="tx1"/>
            </w14:solidFill>
          </w14:textFill>
        </w:rPr>
        <w:t>万m</w:t>
      </w:r>
      <w:r>
        <w:rPr>
          <w:rFonts w:ascii="Calibri" w:hAnsi="Calibri" w:cs="Calibri"/>
          <w:color w:val="000000" w:themeColor="text1"/>
          <w14:textFill>
            <w14:solidFill>
              <w14:schemeClr w14:val="tx1"/>
            </w14:solidFill>
          </w14:textFill>
        </w:rPr>
        <w:t>³</w:t>
      </w:r>
      <w:r>
        <w:rPr>
          <w:rFonts w:hint="eastAsia" w:cs="Times New Roman"/>
          <w:color w:val="000000" w:themeColor="text1"/>
          <w14:textFill>
            <w14:solidFill>
              <w14:schemeClr w14:val="tx1"/>
            </w14:solidFill>
          </w14:textFill>
        </w:rPr>
        <w:t>。地块2已建设完成。园区全部可剥离表土面积总量为</w:t>
      </w:r>
      <w:r>
        <w:rPr>
          <w:rFonts w:cs="Times New Roman"/>
          <w:color w:val="000000" w:themeColor="text1"/>
          <w14:textFill>
            <w14:solidFill>
              <w14:schemeClr w14:val="tx1"/>
            </w14:solidFill>
          </w14:textFill>
        </w:rPr>
        <w:t>253.69</w:t>
      </w:r>
      <w:r>
        <w:rPr>
          <w:rFonts w:hint="eastAsia" w:cs="Times New Roman"/>
          <w:color w:val="000000" w:themeColor="text1"/>
          <w14:textFill>
            <w14:solidFill>
              <w14:schemeClr w14:val="tx1"/>
            </w14:solidFill>
          </w14:textFill>
        </w:rPr>
        <w:t>hm</w:t>
      </w:r>
      <w:r>
        <w:rPr>
          <w:rFonts w:ascii="Calibri" w:hAnsi="Calibri" w:cs="Calibri"/>
          <w:color w:val="000000" w:themeColor="text1"/>
          <w14:textFill>
            <w14:solidFill>
              <w14:schemeClr w14:val="tx1"/>
            </w14:solidFill>
          </w14:textFill>
        </w:rPr>
        <w:t>²</w:t>
      </w:r>
      <w:r>
        <w:rPr>
          <w:rFonts w:hint="eastAsia" w:cs="Times New Roman"/>
          <w:color w:val="000000" w:themeColor="text1"/>
          <w14:textFill>
            <w14:solidFill>
              <w14:schemeClr w14:val="tx1"/>
            </w14:solidFill>
          </w14:textFill>
        </w:rPr>
        <w:t>，可剥离表土总量为</w:t>
      </w:r>
      <w:r>
        <w:rPr>
          <w:rFonts w:cs="Times New Roman"/>
          <w:color w:val="000000" w:themeColor="text1"/>
          <w14:textFill>
            <w14:solidFill>
              <w14:schemeClr w14:val="tx1"/>
            </w14:solidFill>
          </w14:textFill>
        </w:rPr>
        <w:t>50.74</w:t>
      </w:r>
      <w:r>
        <w:rPr>
          <w:rFonts w:hint="eastAsia" w:cs="Times New Roman"/>
          <w:color w:val="000000" w:themeColor="text1"/>
          <w14:textFill>
            <w14:solidFill>
              <w14:schemeClr w14:val="tx1"/>
            </w14:solidFill>
          </w14:textFill>
        </w:rPr>
        <w:t>万m</w:t>
      </w:r>
      <w:r>
        <w:rPr>
          <w:rFonts w:ascii="Calibri" w:hAnsi="Calibri" w:cs="Calibri"/>
          <w:color w:val="000000" w:themeColor="text1"/>
          <w14:textFill>
            <w14:solidFill>
              <w14:schemeClr w14:val="tx1"/>
            </w14:solidFill>
          </w14:textFill>
        </w:rPr>
        <w:t>³</w:t>
      </w:r>
      <w:r>
        <w:rPr>
          <w:rFonts w:hint="eastAsia" w:cs="Times New Roman"/>
          <w:color w:val="000000" w:themeColor="text1"/>
          <w14:textFill>
            <w14:solidFill>
              <w14:schemeClr w14:val="tx1"/>
            </w14:solidFill>
          </w14:textFill>
        </w:rPr>
        <w:t>。</w:t>
      </w:r>
    </w:p>
    <w:p w14:paraId="5AFE6499">
      <w:pPr>
        <w:ind w:firstLine="482"/>
        <w:rPr>
          <w:rFonts w:cs="Times New Roman"/>
          <w:b/>
          <w:color w:val="000000" w:themeColor="text1"/>
          <w14:textFill>
            <w14:solidFill>
              <w14:schemeClr w14:val="tx1"/>
            </w14:solidFill>
          </w14:textFill>
        </w:rPr>
      </w:pPr>
      <w:bookmarkStart w:id="162" w:name="_Toc85444562"/>
      <w:r>
        <w:rPr>
          <w:rFonts w:cs="Times New Roman"/>
          <w:b/>
          <w:color w:val="000000" w:themeColor="text1"/>
          <w14:textFill>
            <w14:solidFill>
              <w14:schemeClr w14:val="tx1"/>
            </w14:solidFill>
          </w14:textFill>
        </w:rPr>
        <w:t>（6）植被</w:t>
      </w:r>
      <w:bookmarkEnd w:id="162"/>
    </w:p>
    <w:p w14:paraId="7A55ADD9">
      <w:pPr>
        <w:widowControl w:val="0"/>
        <w:ind w:firstLine="480"/>
        <w:contextualSpacing/>
        <w:rPr>
          <w:rFonts w:cs="Times New Roman"/>
          <w:color w:val="000000" w:themeColor="text1"/>
          <w:lang w:val="zh-CN"/>
          <w14:textFill>
            <w14:solidFill>
              <w14:schemeClr w14:val="tx1"/>
            </w14:solidFill>
          </w14:textFill>
        </w:rPr>
      </w:pPr>
      <w:bookmarkStart w:id="163" w:name="_Hlk81984795"/>
      <w:r>
        <w:rPr>
          <w:rFonts w:cs="Times New Roman"/>
          <w:color w:val="000000" w:themeColor="text1"/>
          <w:lang w:val="zh-CN"/>
          <w14:textFill>
            <w14:solidFill>
              <w14:schemeClr w14:val="tx1"/>
            </w14:solidFill>
          </w14:textFill>
        </w:rPr>
        <w:t>项目区地带性植被为干草原植被，植被覆盖率较低，</w:t>
      </w:r>
      <w:bookmarkEnd w:id="163"/>
      <w:r>
        <w:rPr>
          <w:rFonts w:cs="Times New Roman"/>
          <w:color w:val="000000" w:themeColor="text1"/>
          <w:lang w:val="zh-CN"/>
          <w14:textFill>
            <w14:solidFill>
              <w14:schemeClr w14:val="tx1"/>
            </w14:solidFill>
          </w14:textFill>
        </w:rPr>
        <w:t>天然植被主要有克氏针茅、早熟禾、羊草、糙隐子草、冰草、铁杆蒿、冷蒿、小叶锦鸡儿、细叶葱、狼毒、百里香、星毛委陵菜等。河流两岸低洼地出现一些隐域性的草甸植被，主要以芨芨草、马兰、细叶苔草建群的盐生草甸植被。项目区总体植被覆盖度不高，约为20%。</w:t>
      </w:r>
    </w:p>
    <w:p w14:paraId="2C0721CF">
      <w:pPr>
        <w:ind w:firstLine="482"/>
        <w:rPr>
          <w:rFonts w:cs="Times New Roman"/>
          <w:b/>
          <w:color w:val="000000" w:themeColor="text1"/>
          <w14:textFill>
            <w14:solidFill>
              <w14:schemeClr w14:val="tx1"/>
            </w14:solidFill>
          </w14:textFill>
        </w:rPr>
      </w:pPr>
      <w:bookmarkStart w:id="164" w:name="_Toc85444563"/>
      <w:r>
        <w:rPr>
          <w:rFonts w:cs="Times New Roman"/>
          <w:b/>
          <w:color w:val="000000" w:themeColor="text1"/>
          <w14:textFill>
            <w14:solidFill>
              <w14:schemeClr w14:val="tx1"/>
            </w14:solidFill>
          </w14:textFill>
        </w:rPr>
        <w:t>（7）水土保持敏感区</w:t>
      </w:r>
      <w:bookmarkEnd w:id="164"/>
    </w:p>
    <w:p w14:paraId="29B474CB">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水利部办公厅印发《全国水土保持规划国家级水土流失重点预防区和重点治理区复核划分成果》的通知”（办水保〔2013〕188号）及《内蒙古自治区人民政府关于划分水土流失重点预防区和重点治理区的通告》（内政发〔2016〕44号）。项目所在地固阳县属黄河自治区级水土流失重点治理区，土壤侵蚀以风力侵蚀为主，兼有季节性水力侵蚀。</w:t>
      </w:r>
    </w:p>
    <w:p w14:paraId="63FD4BEC">
      <w:pPr>
        <w:widowControl w:val="0"/>
        <w:ind w:firstLine="480"/>
        <w:rPr>
          <w:rFonts w:cs="Times New Roman"/>
          <w:color w:val="000000" w:themeColor="text1"/>
          <w14:textFill>
            <w14:solidFill>
              <w14:schemeClr w14:val="tx1"/>
            </w14:solidFill>
          </w14:textFill>
        </w:rPr>
      </w:pPr>
      <w:bookmarkStart w:id="165" w:name="_Toc5480386"/>
      <w:r>
        <w:rPr>
          <w:rFonts w:hint="eastAsia" w:cs="Times New Roman"/>
          <w:color w:val="000000" w:themeColor="text1"/>
          <w14:textFill>
            <w14:solidFill>
              <w14:schemeClr w14:val="tx1"/>
            </w14:solidFill>
          </w14:textFill>
        </w:rPr>
        <w:t>园区范围内不存在活动性断裂，亦不存在滑坡、崩塌、泥石流、地下采空区等不良地质作用，场地稳定性良好;园区范围内绝大部分地段不存在浅埋地下水，无可液化土层存在，属抗震有利地段，是适宜的建筑场地。</w:t>
      </w:r>
    </w:p>
    <w:p w14:paraId="33F32949">
      <w:pPr>
        <w:widowControl w:val="0"/>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园区范围内不涉及自然保护区、集中式饮用水水源保护区等生态功能重要区和生态环境敏感区以及基本农田等禁止开发区。</w:t>
      </w:r>
    </w:p>
    <w:p w14:paraId="2B7E9577">
      <w:pPr>
        <w:widowControl w:val="0"/>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园区</w:t>
      </w:r>
      <w:r>
        <w:rPr>
          <w:rFonts w:cs="Times New Roman"/>
          <w:color w:val="000000" w:themeColor="text1"/>
          <w14:textFill>
            <w14:solidFill>
              <w14:schemeClr w14:val="tx1"/>
            </w14:solidFill>
          </w14:textFill>
        </w:rPr>
        <w:t>规划范围未涉及生态红线、自然保护区、世界文化和自然遗产地、风景名胜区、地质公园、森林公园、重要湿地等地区。</w:t>
      </w:r>
    </w:p>
    <w:p w14:paraId="30BB4952">
      <w:pPr>
        <w:widowControl w:val="0"/>
        <w:ind w:firstLine="480"/>
        <w:rPr>
          <w:rFonts w:cs="Times New Roman"/>
          <w:color w:val="000000" w:themeColor="text1"/>
          <w14:textFill>
            <w14:solidFill>
              <w14:schemeClr w14:val="tx1"/>
            </w14:solidFill>
          </w14:textFill>
        </w:rPr>
        <w:sectPr>
          <w:footerReference r:id="rId44" w:type="default"/>
          <w:headerReference r:id="rId43" w:type="even"/>
          <w:pgSz w:w="11906" w:h="16838"/>
          <w:pgMar w:top="1418" w:right="1418" w:bottom="1418" w:left="1418" w:header="850" w:footer="850" w:gutter="0"/>
          <w:cols w:space="720" w:num="1"/>
          <w:docGrid w:linePitch="326" w:charSpace="0"/>
        </w:sectPr>
      </w:pPr>
    </w:p>
    <w:bookmarkEnd w:id="165"/>
    <w:p w14:paraId="30161B7C">
      <w:pPr>
        <w:pStyle w:val="2"/>
        <w:rPr>
          <w:color w:val="000000" w:themeColor="text1"/>
          <w:lang w:eastAsia="zh-CN"/>
          <w14:textFill>
            <w14:solidFill>
              <w14:schemeClr w14:val="tx1"/>
            </w14:solidFill>
          </w14:textFill>
        </w:rPr>
      </w:pPr>
      <w:bookmarkStart w:id="166" w:name="_Toc152535469"/>
      <w:bookmarkStart w:id="167" w:name="_Toc88821212"/>
      <w:bookmarkStart w:id="168" w:name="_Toc85444444"/>
      <w:bookmarkStart w:id="169" w:name="_Toc85444720"/>
      <w:bookmarkStart w:id="170" w:name="_Toc88833973"/>
      <w:bookmarkStart w:id="171" w:name="_Toc85444564"/>
      <w:r>
        <w:rPr>
          <w:color w:val="000000" w:themeColor="text1"/>
          <w:lang w:eastAsia="zh-CN"/>
          <w14:textFill>
            <w14:solidFill>
              <w14:schemeClr w14:val="tx1"/>
            </w14:solidFill>
          </w14:textFill>
        </w:rPr>
        <w:t>水土流失防治范围与责任主体</w:t>
      </w:r>
      <w:bookmarkEnd w:id="166"/>
      <w:bookmarkEnd w:id="167"/>
      <w:bookmarkEnd w:id="168"/>
      <w:bookmarkEnd w:id="169"/>
      <w:bookmarkEnd w:id="170"/>
      <w:bookmarkEnd w:id="171"/>
    </w:p>
    <w:p w14:paraId="4C01AA47">
      <w:pPr>
        <w:pStyle w:val="3"/>
        <w:spacing w:before="120" w:after="120"/>
      </w:pPr>
      <w:bookmarkStart w:id="172" w:name="_Toc85444565"/>
      <w:bookmarkStart w:id="173" w:name="_Toc85444445"/>
      <w:bookmarkStart w:id="174" w:name="_Toc85444721"/>
      <w:bookmarkStart w:id="175" w:name="_Toc88833974"/>
      <w:bookmarkStart w:id="176" w:name="_Toc29054"/>
      <w:bookmarkStart w:id="177" w:name="_Toc152535470"/>
      <w:bookmarkStart w:id="178" w:name="_Toc88821213"/>
      <w:r>
        <w:t>防治责任范围</w:t>
      </w:r>
      <w:bookmarkEnd w:id="172"/>
      <w:bookmarkEnd w:id="173"/>
      <w:bookmarkEnd w:id="174"/>
      <w:bookmarkEnd w:id="175"/>
      <w:bookmarkEnd w:id="176"/>
      <w:bookmarkEnd w:id="177"/>
      <w:bookmarkEnd w:id="178"/>
    </w:p>
    <w:p w14:paraId="1A203937">
      <w:pPr>
        <w:widowControl w:val="0"/>
        <w:ind w:firstLine="480"/>
        <w:rPr>
          <w:rFonts w:cs="Times New Roman"/>
          <w:color w:val="000000" w:themeColor="text1"/>
          <w14:textFill>
            <w14:solidFill>
              <w14:schemeClr w14:val="tx1"/>
            </w14:solidFill>
          </w14:textFill>
        </w:rPr>
      </w:pPr>
      <w:bookmarkStart w:id="179" w:name="_Toc184050286"/>
      <w:bookmarkStart w:id="180" w:name="_Toc154400434"/>
      <w:bookmarkStart w:id="181" w:name="_Toc154400176"/>
      <w:bookmarkStart w:id="182" w:name="_Toc154410155"/>
      <w:bookmarkStart w:id="183" w:name="_Toc154408471"/>
      <w:bookmarkStart w:id="184" w:name="_Toc216015656"/>
      <w:bookmarkStart w:id="185" w:name="_Toc154400305"/>
      <w:bookmarkStart w:id="186" w:name="_Toc154410028"/>
      <w:bookmarkStart w:id="187" w:name="_Toc154408174"/>
      <w:bookmarkStart w:id="188" w:name="_Toc154399827"/>
      <w:bookmarkStart w:id="189" w:name="_Toc154400047"/>
      <w:bookmarkStart w:id="190" w:name="_Toc154410282"/>
      <w:bookmarkStart w:id="191" w:name="_Toc154408598"/>
      <w:r>
        <w:rPr>
          <w:rFonts w:cs="Times New Roman"/>
          <w:color w:val="000000" w:themeColor="text1"/>
          <w14:textFill>
            <w14:solidFill>
              <w14:schemeClr w14:val="tx1"/>
            </w14:solidFill>
          </w14:textFill>
        </w:rPr>
        <w:t>按照《中华人民共和国水土保持法》“谁开发、谁保护，谁造成水土流失、谁负责治理”的原则，根据《生产建设项目水土保持技术标准》要求，水土流失防治责任范围应包括项目永久征地、临时占地（含租赁土地）以及其他使用与管辖区域。</w:t>
      </w:r>
    </w:p>
    <w:p w14:paraId="7C939C13">
      <w:pPr>
        <w:widowControl w:val="0"/>
        <w:ind w:firstLine="480"/>
        <w:rPr>
          <w:rFonts w:cs="Times New Roman"/>
          <w:color w:val="000000" w:themeColor="text1"/>
          <w14:textFill>
            <w14:solidFill>
              <w14:schemeClr w14:val="tx1"/>
            </w14:solidFill>
          </w14:textFill>
        </w:rPr>
      </w:pPr>
      <w:bookmarkStart w:id="192" w:name="_Hlk153176781"/>
      <w:r>
        <w:rPr>
          <w:rFonts w:cs="Times New Roman"/>
          <w:color w:val="000000" w:themeColor="text1"/>
          <w14:textFill>
            <w14:solidFill>
              <w14:schemeClr w14:val="tx1"/>
            </w14:solidFill>
          </w14:textFill>
        </w:rPr>
        <w:t>包头金山经济开发区总规划面积为1267.72hm²，园区水土保持防治责任范围为1267.72hm²。</w:t>
      </w:r>
    </w:p>
    <w:bookmarkEnd w:id="192"/>
    <w:p w14:paraId="6D9B4C25">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园区各分区防治责任范围见表2-1，园区地块1（金山产业园北区）防治责任范围见附图18-1，地块2（下湿壕片区）防治责任范围见附图18-2。</w:t>
      </w:r>
    </w:p>
    <w:p w14:paraId="5D156541">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表2-1                                   水土流失防治责任范围</w:t>
      </w:r>
      <w:r>
        <w:rPr>
          <w:color w:val="000000" w:themeColor="text1"/>
          <w:lang w:eastAsia="zh-CN"/>
          <w14:textFill>
            <w14:solidFill>
              <w14:schemeClr w14:val="tx1"/>
            </w14:solidFill>
          </w14:textFill>
        </w:rPr>
        <w:tab/>
      </w:r>
      <w:r>
        <w:rPr>
          <w:color w:val="000000" w:themeColor="text1"/>
          <w:lang w:eastAsia="zh-CN"/>
          <w14:textFill>
            <w14:solidFill>
              <w14:schemeClr w14:val="tx1"/>
            </w14:solidFill>
          </w14:textFill>
        </w:rPr>
        <w:t xml:space="preserve">                    （单位：hm²）</w:t>
      </w:r>
    </w:p>
    <w:tbl>
      <w:tblPr>
        <w:tblStyle w:val="27"/>
        <w:tblW w:w="5000" w:type="pct"/>
        <w:jc w:val="center"/>
        <w:tblLayout w:type="autofit"/>
        <w:tblCellMar>
          <w:top w:w="0" w:type="dxa"/>
          <w:left w:w="108" w:type="dxa"/>
          <w:bottom w:w="0" w:type="dxa"/>
          <w:right w:w="108" w:type="dxa"/>
        </w:tblCellMar>
      </w:tblPr>
      <w:tblGrid>
        <w:gridCol w:w="722"/>
        <w:gridCol w:w="929"/>
        <w:gridCol w:w="2927"/>
        <w:gridCol w:w="1697"/>
        <w:gridCol w:w="1021"/>
        <w:gridCol w:w="995"/>
        <w:gridCol w:w="995"/>
      </w:tblGrid>
      <w:tr w14:paraId="3FC6FE9C">
        <w:tblPrEx>
          <w:tblCellMar>
            <w:top w:w="0" w:type="dxa"/>
            <w:left w:w="108" w:type="dxa"/>
            <w:bottom w:w="0" w:type="dxa"/>
            <w:right w:w="108" w:type="dxa"/>
          </w:tblCellMar>
        </w:tblPrEx>
        <w:trPr>
          <w:trHeight w:val="397" w:hRule="atLeast"/>
          <w:jc w:val="center"/>
        </w:trPr>
        <w:tc>
          <w:tcPr>
            <w:tcW w:w="2465"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86687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分区名称</w:t>
            </w:r>
          </w:p>
        </w:tc>
        <w:tc>
          <w:tcPr>
            <w:tcW w:w="91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598FE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用地性质</w:t>
            </w:r>
          </w:p>
        </w:tc>
        <w:tc>
          <w:tcPr>
            <w:tcW w:w="5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88B85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占地面积</w:t>
            </w:r>
          </w:p>
        </w:tc>
        <w:tc>
          <w:tcPr>
            <w:tcW w:w="1072" w:type="pct"/>
            <w:gridSpan w:val="2"/>
            <w:tcBorders>
              <w:top w:val="single" w:color="auto" w:sz="4" w:space="0"/>
              <w:left w:val="nil"/>
              <w:bottom w:val="single" w:color="auto" w:sz="4" w:space="0"/>
              <w:right w:val="single" w:color="auto" w:sz="4" w:space="0"/>
            </w:tcBorders>
            <w:shd w:val="clear" w:color="auto" w:fill="auto"/>
            <w:noWrap/>
            <w:vAlign w:val="center"/>
          </w:tcPr>
          <w:p w14:paraId="190EB4C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建设状态</w:t>
            </w:r>
          </w:p>
        </w:tc>
      </w:tr>
      <w:tr w14:paraId="5AB0957F">
        <w:tblPrEx>
          <w:tblCellMar>
            <w:top w:w="0" w:type="dxa"/>
            <w:left w:w="108" w:type="dxa"/>
            <w:bottom w:w="0" w:type="dxa"/>
            <w:right w:w="108" w:type="dxa"/>
          </w:tblCellMar>
        </w:tblPrEx>
        <w:trPr>
          <w:trHeight w:val="397" w:hRule="atLeast"/>
          <w:jc w:val="center"/>
        </w:trPr>
        <w:tc>
          <w:tcPr>
            <w:tcW w:w="2465" w:type="pct"/>
            <w:gridSpan w:val="3"/>
            <w:vMerge w:val="continue"/>
            <w:tcBorders>
              <w:top w:val="single" w:color="auto" w:sz="4" w:space="0"/>
              <w:left w:val="single" w:color="auto" w:sz="4" w:space="0"/>
              <w:bottom w:val="double" w:color="auto" w:sz="4" w:space="0"/>
              <w:right w:val="single" w:color="auto" w:sz="4" w:space="0"/>
            </w:tcBorders>
            <w:vAlign w:val="center"/>
          </w:tcPr>
          <w:p w14:paraId="5CF179F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914" w:type="pct"/>
            <w:vMerge w:val="continue"/>
            <w:tcBorders>
              <w:top w:val="single" w:color="auto" w:sz="4" w:space="0"/>
              <w:left w:val="single" w:color="auto" w:sz="4" w:space="0"/>
              <w:bottom w:val="double" w:color="auto" w:sz="4" w:space="0"/>
              <w:right w:val="single" w:color="auto" w:sz="4" w:space="0"/>
            </w:tcBorders>
            <w:vAlign w:val="center"/>
          </w:tcPr>
          <w:p w14:paraId="3A1E20D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50" w:type="pct"/>
            <w:vMerge w:val="continue"/>
            <w:tcBorders>
              <w:top w:val="single" w:color="auto" w:sz="4" w:space="0"/>
              <w:left w:val="single" w:color="auto" w:sz="4" w:space="0"/>
              <w:bottom w:val="double" w:color="auto" w:sz="4" w:space="0"/>
              <w:right w:val="single" w:color="auto" w:sz="4" w:space="0"/>
            </w:tcBorders>
            <w:vAlign w:val="center"/>
          </w:tcPr>
          <w:p w14:paraId="56EFB7D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36" w:type="pct"/>
            <w:tcBorders>
              <w:top w:val="nil"/>
              <w:left w:val="nil"/>
              <w:bottom w:val="double" w:color="auto" w:sz="4" w:space="0"/>
              <w:right w:val="single" w:color="auto" w:sz="4" w:space="0"/>
            </w:tcBorders>
            <w:shd w:val="clear" w:color="auto" w:fill="auto"/>
            <w:vAlign w:val="center"/>
          </w:tcPr>
          <w:p w14:paraId="4E9A510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已建区域面积（hm²）</w:t>
            </w:r>
          </w:p>
        </w:tc>
        <w:tc>
          <w:tcPr>
            <w:tcW w:w="536" w:type="pct"/>
            <w:tcBorders>
              <w:top w:val="nil"/>
              <w:left w:val="nil"/>
              <w:bottom w:val="double" w:color="auto" w:sz="4" w:space="0"/>
              <w:right w:val="single" w:color="auto" w:sz="4" w:space="0"/>
            </w:tcBorders>
            <w:shd w:val="clear" w:color="auto" w:fill="auto"/>
            <w:vAlign w:val="center"/>
          </w:tcPr>
          <w:p w14:paraId="7FFCA91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未建区域面积（hm²）</w:t>
            </w:r>
          </w:p>
        </w:tc>
      </w:tr>
      <w:tr w14:paraId="0049FC9E">
        <w:tblPrEx>
          <w:tblCellMar>
            <w:top w:w="0" w:type="dxa"/>
            <w:left w:w="108" w:type="dxa"/>
            <w:bottom w:w="0" w:type="dxa"/>
            <w:right w:w="108" w:type="dxa"/>
          </w:tblCellMar>
        </w:tblPrEx>
        <w:trPr>
          <w:trHeight w:val="397" w:hRule="atLeast"/>
          <w:jc w:val="center"/>
        </w:trPr>
        <w:tc>
          <w:tcPr>
            <w:tcW w:w="389" w:type="pct"/>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0A80680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包头金山经济开发区</w:t>
            </w:r>
          </w:p>
        </w:tc>
        <w:tc>
          <w:tcPr>
            <w:tcW w:w="500" w:type="pct"/>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6CADDC7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1576" w:type="pct"/>
            <w:tcBorders>
              <w:top w:val="double" w:color="auto" w:sz="4" w:space="0"/>
              <w:left w:val="nil"/>
              <w:bottom w:val="single" w:color="auto" w:sz="4" w:space="0"/>
              <w:right w:val="single" w:color="auto" w:sz="4" w:space="0"/>
            </w:tcBorders>
            <w:shd w:val="clear" w:color="auto" w:fill="auto"/>
            <w:noWrap/>
            <w:vAlign w:val="center"/>
          </w:tcPr>
          <w:p w14:paraId="118F141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公共管理与公共服务用地</w:t>
            </w:r>
          </w:p>
        </w:tc>
        <w:tc>
          <w:tcPr>
            <w:tcW w:w="914" w:type="pct"/>
            <w:tcBorders>
              <w:top w:val="double" w:color="auto" w:sz="4" w:space="0"/>
              <w:left w:val="nil"/>
              <w:bottom w:val="single" w:color="auto" w:sz="4" w:space="0"/>
              <w:right w:val="single" w:color="auto" w:sz="4" w:space="0"/>
            </w:tcBorders>
            <w:shd w:val="clear" w:color="auto" w:fill="auto"/>
            <w:noWrap/>
            <w:vAlign w:val="center"/>
          </w:tcPr>
          <w:p w14:paraId="461D4B2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机关团体用地</w:t>
            </w:r>
          </w:p>
        </w:tc>
        <w:tc>
          <w:tcPr>
            <w:tcW w:w="550" w:type="pct"/>
            <w:tcBorders>
              <w:top w:val="double" w:color="auto" w:sz="4" w:space="0"/>
              <w:left w:val="nil"/>
              <w:bottom w:val="single" w:color="auto" w:sz="4" w:space="0"/>
              <w:right w:val="single" w:color="auto" w:sz="4" w:space="0"/>
            </w:tcBorders>
            <w:shd w:val="clear" w:color="auto" w:fill="auto"/>
            <w:noWrap/>
            <w:vAlign w:val="center"/>
          </w:tcPr>
          <w:p w14:paraId="3DD2AAC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1.07</w:t>
            </w:r>
          </w:p>
        </w:tc>
        <w:tc>
          <w:tcPr>
            <w:tcW w:w="536" w:type="pct"/>
            <w:tcBorders>
              <w:top w:val="nil"/>
              <w:left w:val="nil"/>
              <w:bottom w:val="single" w:color="auto" w:sz="4" w:space="0"/>
              <w:right w:val="single" w:color="auto" w:sz="4" w:space="0"/>
            </w:tcBorders>
            <w:shd w:val="clear" w:color="auto" w:fill="auto"/>
            <w:noWrap/>
            <w:vAlign w:val="center"/>
          </w:tcPr>
          <w:p w14:paraId="594B1BA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1.07 </w:t>
            </w:r>
          </w:p>
        </w:tc>
        <w:tc>
          <w:tcPr>
            <w:tcW w:w="536" w:type="pct"/>
            <w:tcBorders>
              <w:top w:val="double" w:color="auto" w:sz="4" w:space="0"/>
              <w:left w:val="nil"/>
              <w:bottom w:val="single" w:color="auto" w:sz="4" w:space="0"/>
              <w:right w:val="single" w:color="auto" w:sz="4" w:space="0"/>
            </w:tcBorders>
            <w:shd w:val="clear" w:color="auto" w:fill="auto"/>
            <w:noWrap/>
            <w:vAlign w:val="center"/>
          </w:tcPr>
          <w:p w14:paraId="56FCF4D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7337E574">
        <w:tblPrEx>
          <w:tblCellMar>
            <w:top w:w="0" w:type="dxa"/>
            <w:left w:w="108" w:type="dxa"/>
            <w:bottom w:w="0" w:type="dxa"/>
            <w:right w:w="108" w:type="dxa"/>
          </w:tblCellMar>
        </w:tblPrEx>
        <w:trPr>
          <w:trHeight w:val="397" w:hRule="atLeast"/>
          <w:jc w:val="center"/>
        </w:trPr>
        <w:tc>
          <w:tcPr>
            <w:tcW w:w="389" w:type="pct"/>
            <w:vMerge w:val="continue"/>
            <w:tcBorders>
              <w:top w:val="nil"/>
              <w:left w:val="single" w:color="auto" w:sz="4" w:space="0"/>
              <w:bottom w:val="single" w:color="auto" w:sz="4" w:space="0"/>
              <w:right w:val="single" w:color="auto" w:sz="4" w:space="0"/>
            </w:tcBorders>
            <w:vAlign w:val="center"/>
          </w:tcPr>
          <w:p w14:paraId="5D9B19A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00" w:type="pct"/>
            <w:vMerge w:val="continue"/>
            <w:tcBorders>
              <w:top w:val="nil"/>
              <w:left w:val="single" w:color="auto" w:sz="4" w:space="0"/>
              <w:bottom w:val="single" w:color="auto" w:sz="4" w:space="0"/>
              <w:right w:val="single" w:color="auto" w:sz="4" w:space="0"/>
            </w:tcBorders>
            <w:vAlign w:val="center"/>
          </w:tcPr>
          <w:p w14:paraId="2533EDF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76" w:type="pct"/>
            <w:tcBorders>
              <w:top w:val="nil"/>
              <w:left w:val="nil"/>
              <w:bottom w:val="single" w:color="auto" w:sz="4" w:space="0"/>
              <w:right w:val="single" w:color="auto" w:sz="4" w:space="0"/>
            </w:tcBorders>
            <w:shd w:val="clear" w:color="auto" w:fill="auto"/>
            <w:vAlign w:val="center"/>
          </w:tcPr>
          <w:p w14:paraId="37C6BCF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商业服务业用地</w:t>
            </w:r>
          </w:p>
        </w:tc>
        <w:tc>
          <w:tcPr>
            <w:tcW w:w="914" w:type="pct"/>
            <w:tcBorders>
              <w:top w:val="nil"/>
              <w:left w:val="nil"/>
              <w:bottom w:val="single" w:color="auto" w:sz="4" w:space="0"/>
              <w:right w:val="single" w:color="auto" w:sz="4" w:space="0"/>
            </w:tcBorders>
            <w:shd w:val="clear" w:color="auto" w:fill="auto"/>
            <w:noWrap/>
            <w:vAlign w:val="center"/>
          </w:tcPr>
          <w:p w14:paraId="71CDE9A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商业用地</w:t>
            </w:r>
          </w:p>
        </w:tc>
        <w:tc>
          <w:tcPr>
            <w:tcW w:w="550" w:type="pct"/>
            <w:tcBorders>
              <w:top w:val="nil"/>
              <w:left w:val="nil"/>
              <w:bottom w:val="single" w:color="auto" w:sz="4" w:space="0"/>
              <w:right w:val="single" w:color="auto" w:sz="4" w:space="0"/>
            </w:tcBorders>
            <w:shd w:val="clear" w:color="auto" w:fill="auto"/>
            <w:noWrap/>
            <w:vAlign w:val="center"/>
          </w:tcPr>
          <w:p w14:paraId="37E49C2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4.37</w:t>
            </w:r>
          </w:p>
        </w:tc>
        <w:tc>
          <w:tcPr>
            <w:tcW w:w="536" w:type="pct"/>
            <w:tcBorders>
              <w:top w:val="nil"/>
              <w:left w:val="nil"/>
              <w:bottom w:val="single" w:color="auto" w:sz="4" w:space="0"/>
              <w:right w:val="single" w:color="auto" w:sz="4" w:space="0"/>
            </w:tcBorders>
            <w:shd w:val="clear" w:color="auto" w:fill="auto"/>
            <w:noWrap/>
            <w:vAlign w:val="center"/>
          </w:tcPr>
          <w:p w14:paraId="0FF0EB3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4.37 </w:t>
            </w:r>
          </w:p>
        </w:tc>
        <w:tc>
          <w:tcPr>
            <w:tcW w:w="536" w:type="pct"/>
            <w:tcBorders>
              <w:top w:val="nil"/>
              <w:left w:val="nil"/>
              <w:bottom w:val="single" w:color="auto" w:sz="4" w:space="0"/>
              <w:right w:val="single" w:color="auto" w:sz="4" w:space="0"/>
            </w:tcBorders>
            <w:shd w:val="clear" w:color="auto" w:fill="auto"/>
            <w:noWrap/>
            <w:vAlign w:val="center"/>
          </w:tcPr>
          <w:p w14:paraId="211C536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2304FE7B">
        <w:tblPrEx>
          <w:tblCellMar>
            <w:top w:w="0" w:type="dxa"/>
            <w:left w:w="108" w:type="dxa"/>
            <w:bottom w:w="0" w:type="dxa"/>
            <w:right w:w="108" w:type="dxa"/>
          </w:tblCellMar>
        </w:tblPrEx>
        <w:trPr>
          <w:trHeight w:val="397" w:hRule="atLeast"/>
          <w:jc w:val="center"/>
        </w:trPr>
        <w:tc>
          <w:tcPr>
            <w:tcW w:w="389" w:type="pct"/>
            <w:vMerge w:val="continue"/>
            <w:tcBorders>
              <w:top w:val="nil"/>
              <w:left w:val="single" w:color="auto" w:sz="4" w:space="0"/>
              <w:bottom w:val="single" w:color="auto" w:sz="4" w:space="0"/>
              <w:right w:val="single" w:color="auto" w:sz="4" w:space="0"/>
            </w:tcBorders>
            <w:vAlign w:val="center"/>
          </w:tcPr>
          <w:p w14:paraId="193C430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00" w:type="pct"/>
            <w:vMerge w:val="continue"/>
            <w:tcBorders>
              <w:top w:val="nil"/>
              <w:left w:val="single" w:color="auto" w:sz="4" w:space="0"/>
              <w:bottom w:val="single" w:color="auto" w:sz="4" w:space="0"/>
              <w:right w:val="single" w:color="auto" w:sz="4" w:space="0"/>
            </w:tcBorders>
            <w:vAlign w:val="center"/>
          </w:tcPr>
          <w:p w14:paraId="6700F52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76" w:type="pct"/>
            <w:tcBorders>
              <w:top w:val="nil"/>
              <w:left w:val="nil"/>
              <w:bottom w:val="single" w:color="auto" w:sz="4" w:space="0"/>
              <w:right w:val="single" w:color="auto" w:sz="4" w:space="0"/>
            </w:tcBorders>
            <w:shd w:val="clear" w:color="auto" w:fill="auto"/>
            <w:vAlign w:val="center"/>
          </w:tcPr>
          <w:p w14:paraId="565275B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914" w:type="pct"/>
            <w:tcBorders>
              <w:top w:val="nil"/>
              <w:left w:val="nil"/>
              <w:bottom w:val="single" w:color="auto" w:sz="4" w:space="0"/>
              <w:right w:val="single" w:color="auto" w:sz="4" w:space="0"/>
            </w:tcBorders>
            <w:shd w:val="clear" w:color="auto" w:fill="auto"/>
            <w:noWrap/>
            <w:vAlign w:val="center"/>
          </w:tcPr>
          <w:p w14:paraId="2249C9A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工业用地</w:t>
            </w:r>
          </w:p>
        </w:tc>
        <w:tc>
          <w:tcPr>
            <w:tcW w:w="550" w:type="pct"/>
            <w:tcBorders>
              <w:top w:val="nil"/>
              <w:left w:val="nil"/>
              <w:bottom w:val="single" w:color="auto" w:sz="4" w:space="0"/>
              <w:right w:val="single" w:color="auto" w:sz="4" w:space="0"/>
            </w:tcBorders>
            <w:shd w:val="clear" w:color="auto" w:fill="auto"/>
            <w:noWrap/>
            <w:vAlign w:val="center"/>
          </w:tcPr>
          <w:p w14:paraId="5D526CD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1004.28</w:t>
            </w:r>
          </w:p>
        </w:tc>
        <w:tc>
          <w:tcPr>
            <w:tcW w:w="536" w:type="pct"/>
            <w:tcBorders>
              <w:top w:val="nil"/>
              <w:left w:val="nil"/>
              <w:bottom w:val="single" w:color="auto" w:sz="4" w:space="0"/>
              <w:right w:val="single" w:color="auto" w:sz="4" w:space="0"/>
            </w:tcBorders>
            <w:shd w:val="clear" w:color="auto" w:fill="auto"/>
            <w:noWrap/>
            <w:vAlign w:val="center"/>
          </w:tcPr>
          <w:p w14:paraId="15884E8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696.08 </w:t>
            </w:r>
          </w:p>
        </w:tc>
        <w:tc>
          <w:tcPr>
            <w:tcW w:w="536" w:type="pct"/>
            <w:tcBorders>
              <w:top w:val="nil"/>
              <w:left w:val="nil"/>
              <w:bottom w:val="single" w:color="auto" w:sz="4" w:space="0"/>
              <w:right w:val="single" w:color="auto" w:sz="4" w:space="0"/>
            </w:tcBorders>
            <w:shd w:val="clear" w:color="auto" w:fill="auto"/>
            <w:noWrap/>
            <w:vAlign w:val="center"/>
          </w:tcPr>
          <w:p w14:paraId="685D244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308.20 </w:t>
            </w:r>
          </w:p>
        </w:tc>
      </w:tr>
      <w:tr w14:paraId="636E6E5B">
        <w:tblPrEx>
          <w:tblCellMar>
            <w:top w:w="0" w:type="dxa"/>
            <w:left w:w="108" w:type="dxa"/>
            <w:bottom w:w="0" w:type="dxa"/>
            <w:right w:w="108" w:type="dxa"/>
          </w:tblCellMar>
        </w:tblPrEx>
        <w:trPr>
          <w:trHeight w:val="397" w:hRule="atLeast"/>
          <w:jc w:val="center"/>
        </w:trPr>
        <w:tc>
          <w:tcPr>
            <w:tcW w:w="389" w:type="pct"/>
            <w:vMerge w:val="continue"/>
            <w:tcBorders>
              <w:top w:val="nil"/>
              <w:left w:val="single" w:color="auto" w:sz="4" w:space="0"/>
              <w:bottom w:val="single" w:color="auto" w:sz="4" w:space="0"/>
              <w:right w:val="single" w:color="auto" w:sz="4" w:space="0"/>
            </w:tcBorders>
            <w:vAlign w:val="center"/>
          </w:tcPr>
          <w:p w14:paraId="704B172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00" w:type="pct"/>
            <w:vMerge w:val="continue"/>
            <w:tcBorders>
              <w:top w:val="nil"/>
              <w:left w:val="single" w:color="auto" w:sz="4" w:space="0"/>
              <w:bottom w:val="single" w:color="auto" w:sz="4" w:space="0"/>
              <w:right w:val="single" w:color="auto" w:sz="4" w:space="0"/>
            </w:tcBorders>
            <w:vAlign w:val="center"/>
          </w:tcPr>
          <w:p w14:paraId="0ADB74C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76" w:type="pct"/>
            <w:vMerge w:val="restart"/>
            <w:tcBorders>
              <w:top w:val="nil"/>
              <w:left w:val="single" w:color="auto" w:sz="4" w:space="0"/>
              <w:bottom w:val="single" w:color="auto" w:sz="4" w:space="0"/>
              <w:right w:val="single" w:color="auto" w:sz="4" w:space="0"/>
            </w:tcBorders>
            <w:shd w:val="clear" w:color="auto" w:fill="auto"/>
            <w:vAlign w:val="center"/>
          </w:tcPr>
          <w:p w14:paraId="1492FB5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914" w:type="pct"/>
            <w:tcBorders>
              <w:top w:val="nil"/>
              <w:left w:val="nil"/>
              <w:bottom w:val="single" w:color="auto" w:sz="4" w:space="0"/>
              <w:right w:val="single" w:color="auto" w:sz="4" w:space="0"/>
            </w:tcBorders>
            <w:shd w:val="clear" w:color="auto" w:fill="auto"/>
            <w:noWrap/>
            <w:vAlign w:val="center"/>
          </w:tcPr>
          <w:p w14:paraId="6EA80FD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城镇道路用地</w:t>
            </w:r>
          </w:p>
        </w:tc>
        <w:tc>
          <w:tcPr>
            <w:tcW w:w="550" w:type="pct"/>
            <w:tcBorders>
              <w:top w:val="nil"/>
              <w:left w:val="nil"/>
              <w:bottom w:val="single" w:color="auto" w:sz="4" w:space="0"/>
              <w:right w:val="single" w:color="auto" w:sz="4" w:space="0"/>
            </w:tcBorders>
            <w:shd w:val="clear" w:color="auto" w:fill="auto"/>
            <w:noWrap/>
            <w:vAlign w:val="center"/>
          </w:tcPr>
          <w:p w14:paraId="077BB2F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78.62</w:t>
            </w:r>
          </w:p>
        </w:tc>
        <w:tc>
          <w:tcPr>
            <w:tcW w:w="536" w:type="pct"/>
            <w:tcBorders>
              <w:top w:val="nil"/>
              <w:left w:val="nil"/>
              <w:bottom w:val="single" w:color="auto" w:sz="4" w:space="0"/>
              <w:right w:val="single" w:color="auto" w:sz="4" w:space="0"/>
            </w:tcBorders>
            <w:shd w:val="clear" w:color="auto" w:fill="auto"/>
            <w:noWrap/>
            <w:vAlign w:val="center"/>
          </w:tcPr>
          <w:p w14:paraId="01D0AFB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71.01 </w:t>
            </w:r>
          </w:p>
        </w:tc>
        <w:tc>
          <w:tcPr>
            <w:tcW w:w="536" w:type="pct"/>
            <w:tcBorders>
              <w:top w:val="nil"/>
              <w:left w:val="nil"/>
              <w:bottom w:val="single" w:color="auto" w:sz="4" w:space="0"/>
              <w:right w:val="single" w:color="auto" w:sz="4" w:space="0"/>
            </w:tcBorders>
            <w:shd w:val="clear" w:color="auto" w:fill="auto"/>
            <w:noWrap/>
            <w:vAlign w:val="center"/>
          </w:tcPr>
          <w:p w14:paraId="117D7FE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7.61 </w:t>
            </w:r>
          </w:p>
        </w:tc>
      </w:tr>
      <w:tr w14:paraId="6AF7BA73">
        <w:tblPrEx>
          <w:tblCellMar>
            <w:top w:w="0" w:type="dxa"/>
            <w:left w:w="108" w:type="dxa"/>
            <w:bottom w:w="0" w:type="dxa"/>
            <w:right w:w="108" w:type="dxa"/>
          </w:tblCellMar>
        </w:tblPrEx>
        <w:trPr>
          <w:trHeight w:val="397" w:hRule="atLeast"/>
          <w:jc w:val="center"/>
        </w:trPr>
        <w:tc>
          <w:tcPr>
            <w:tcW w:w="389" w:type="pct"/>
            <w:vMerge w:val="continue"/>
            <w:tcBorders>
              <w:top w:val="nil"/>
              <w:left w:val="single" w:color="auto" w:sz="4" w:space="0"/>
              <w:bottom w:val="single" w:color="auto" w:sz="4" w:space="0"/>
              <w:right w:val="single" w:color="auto" w:sz="4" w:space="0"/>
            </w:tcBorders>
            <w:vAlign w:val="center"/>
          </w:tcPr>
          <w:p w14:paraId="7CA15BF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00" w:type="pct"/>
            <w:vMerge w:val="continue"/>
            <w:tcBorders>
              <w:top w:val="nil"/>
              <w:left w:val="single" w:color="auto" w:sz="4" w:space="0"/>
              <w:bottom w:val="single" w:color="auto" w:sz="4" w:space="0"/>
              <w:right w:val="single" w:color="auto" w:sz="4" w:space="0"/>
            </w:tcBorders>
            <w:vAlign w:val="center"/>
          </w:tcPr>
          <w:p w14:paraId="1502772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76" w:type="pct"/>
            <w:vMerge w:val="continue"/>
            <w:tcBorders>
              <w:top w:val="nil"/>
              <w:left w:val="single" w:color="auto" w:sz="4" w:space="0"/>
              <w:bottom w:val="single" w:color="auto" w:sz="4" w:space="0"/>
              <w:right w:val="single" w:color="auto" w:sz="4" w:space="0"/>
            </w:tcBorders>
            <w:vAlign w:val="center"/>
          </w:tcPr>
          <w:p w14:paraId="667B34C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914" w:type="pct"/>
            <w:tcBorders>
              <w:top w:val="nil"/>
              <w:left w:val="nil"/>
              <w:bottom w:val="single" w:color="auto" w:sz="4" w:space="0"/>
              <w:right w:val="single" w:color="auto" w:sz="4" w:space="0"/>
            </w:tcBorders>
            <w:shd w:val="clear" w:color="auto" w:fill="auto"/>
            <w:noWrap/>
            <w:vAlign w:val="center"/>
          </w:tcPr>
          <w:p w14:paraId="3992F12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交通场站用地</w:t>
            </w:r>
          </w:p>
        </w:tc>
        <w:tc>
          <w:tcPr>
            <w:tcW w:w="550" w:type="pct"/>
            <w:tcBorders>
              <w:top w:val="nil"/>
              <w:left w:val="nil"/>
              <w:bottom w:val="single" w:color="auto" w:sz="4" w:space="0"/>
              <w:right w:val="single" w:color="auto" w:sz="4" w:space="0"/>
            </w:tcBorders>
            <w:shd w:val="clear" w:color="auto" w:fill="auto"/>
            <w:noWrap/>
            <w:vAlign w:val="center"/>
          </w:tcPr>
          <w:p w14:paraId="4211EDC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12.08</w:t>
            </w:r>
          </w:p>
        </w:tc>
        <w:tc>
          <w:tcPr>
            <w:tcW w:w="536" w:type="pct"/>
            <w:tcBorders>
              <w:top w:val="nil"/>
              <w:left w:val="nil"/>
              <w:bottom w:val="single" w:color="auto" w:sz="4" w:space="0"/>
              <w:right w:val="single" w:color="auto" w:sz="4" w:space="0"/>
            </w:tcBorders>
            <w:shd w:val="clear" w:color="auto" w:fill="auto"/>
            <w:noWrap/>
            <w:vAlign w:val="center"/>
          </w:tcPr>
          <w:p w14:paraId="57DB912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12.08 </w:t>
            </w:r>
          </w:p>
        </w:tc>
        <w:tc>
          <w:tcPr>
            <w:tcW w:w="536" w:type="pct"/>
            <w:tcBorders>
              <w:top w:val="nil"/>
              <w:left w:val="nil"/>
              <w:bottom w:val="single" w:color="auto" w:sz="4" w:space="0"/>
              <w:right w:val="single" w:color="auto" w:sz="4" w:space="0"/>
            </w:tcBorders>
            <w:shd w:val="clear" w:color="auto" w:fill="auto"/>
            <w:noWrap/>
            <w:vAlign w:val="center"/>
          </w:tcPr>
          <w:p w14:paraId="2B7AFCE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493E3406">
        <w:tblPrEx>
          <w:tblCellMar>
            <w:top w:w="0" w:type="dxa"/>
            <w:left w:w="108" w:type="dxa"/>
            <w:bottom w:w="0" w:type="dxa"/>
            <w:right w:w="108" w:type="dxa"/>
          </w:tblCellMar>
        </w:tblPrEx>
        <w:trPr>
          <w:trHeight w:val="397" w:hRule="atLeast"/>
          <w:jc w:val="center"/>
        </w:trPr>
        <w:tc>
          <w:tcPr>
            <w:tcW w:w="389" w:type="pct"/>
            <w:vMerge w:val="continue"/>
            <w:tcBorders>
              <w:top w:val="nil"/>
              <w:left w:val="single" w:color="auto" w:sz="4" w:space="0"/>
              <w:bottom w:val="single" w:color="auto" w:sz="4" w:space="0"/>
              <w:right w:val="single" w:color="auto" w:sz="4" w:space="0"/>
            </w:tcBorders>
            <w:vAlign w:val="center"/>
          </w:tcPr>
          <w:p w14:paraId="2766354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00" w:type="pct"/>
            <w:vMerge w:val="continue"/>
            <w:tcBorders>
              <w:top w:val="nil"/>
              <w:left w:val="single" w:color="auto" w:sz="4" w:space="0"/>
              <w:bottom w:val="single" w:color="auto" w:sz="4" w:space="0"/>
              <w:right w:val="single" w:color="auto" w:sz="4" w:space="0"/>
            </w:tcBorders>
            <w:vAlign w:val="center"/>
          </w:tcPr>
          <w:p w14:paraId="633121E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76" w:type="pct"/>
            <w:vMerge w:val="restart"/>
            <w:tcBorders>
              <w:top w:val="nil"/>
              <w:left w:val="single" w:color="auto" w:sz="4" w:space="0"/>
              <w:bottom w:val="single" w:color="auto" w:sz="4" w:space="0"/>
              <w:right w:val="single" w:color="auto" w:sz="4" w:space="0"/>
            </w:tcBorders>
            <w:shd w:val="clear" w:color="auto" w:fill="auto"/>
            <w:vAlign w:val="center"/>
          </w:tcPr>
          <w:p w14:paraId="6CCC236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公用设施用地</w:t>
            </w:r>
          </w:p>
        </w:tc>
        <w:tc>
          <w:tcPr>
            <w:tcW w:w="914" w:type="pct"/>
            <w:tcBorders>
              <w:top w:val="nil"/>
              <w:left w:val="nil"/>
              <w:bottom w:val="single" w:color="auto" w:sz="4" w:space="0"/>
              <w:right w:val="single" w:color="auto" w:sz="4" w:space="0"/>
            </w:tcBorders>
            <w:shd w:val="clear" w:color="auto" w:fill="auto"/>
            <w:noWrap/>
            <w:vAlign w:val="center"/>
          </w:tcPr>
          <w:p w14:paraId="10DCF0B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排水用地</w:t>
            </w:r>
          </w:p>
        </w:tc>
        <w:tc>
          <w:tcPr>
            <w:tcW w:w="550" w:type="pct"/>
            <w:tcBorders>
              <w:top w:val="nil"/>
              <w:left w:val="nil"/>
              <w:bottom w:val="single" w:color="auto" w:sz="4" w:space="0"/>
              <w:right w:val="single" w:color="auto" w:sz="4" w:space="0"/>
            </w:tcBorders>
            <w:shd w:val="clear" w:color="auto" w:fill="auto"/>
            <w:noWrap/>
            <w:vAlign w:val="center"/>
          </w:tcPr>
          <w:p w14:paraId="3BF43A5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2.04</w:t>
            </w:r>
          </w:p>
        </w:tc>
        <w:tc>
          <w:tcPr>
            <w:tcW w:w="536" w:type="pct"/>
            <w:tcBorders>
              <w:top w:val="nil"/>
              <w:left w:val="nil"/>
              <w:bottom w:val="single" w:color="auto" w:sz="4" w:space="0"/>
              <w:right w:val="single" w:color="auto" w:sz="4" w:space="0"/>
            </w:tcBorders>
            <w:shd w:val="clear" w:color="auto" w:fill="auto"/>
            <w:noWrap/>
            <w:vAlign w:val="center"/>
          </w:tcPr>
          <w:p w14:paraId="1478CA0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2.04 </w:t>
            </w:r>
          </w:p>
        </w:tc>
        <w:tc>
          <w:tcPr>
            <w:tcW w:w="536" w:type="pct"/>
            <w:tcBorders>
              <w:top w:val="nil"/>
              <w:left w:val="nil"/>
              <w:bottom w:val="single" w:color="auto" w:sz="4" w:space="0"/>
              <w:right w:val="single" w:color="auto" w:sz="4" w:space="0"/>
            </w:tcBorders>
            <w:shd w:val="clear" w:color="auto" w:fill="auto"/>
            <w:noWrap/>
            <w:vAlign w:val="center"/>
          </w:tcPr>
          <w:p w14:paraId="2576778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7FE40167">
        <w:tblPrEx>
          <w:tblCellMar>
            <w:top w:w="0" w:type="dxa"/>
            <w:left w:w="108" w:type="dxa"/>
            <w:bottom w:w="0" w:type="dxa"/>
            <w:right w:w="108" w:type="dxa"/>
          </w:tblCellMar>
        </w:tblPrEx>
        <w:trPr>
          <w:trHeight w:val="397" w:hRule="atLeast"/>
          <w:jc w:val="center"/>
        </w:trPr>
        <w:tc>
          <w:tcPr>
            <w:tcW w:w="389" w:type="pct"/>
            <w:vMerge w:val="continue"/>
            <w:tcBorders>
              <w:top w:val="nil"/>
              <w:left w:val="single" w:color="auto" w:sz="4" w:space="0"/>
              <w:bottom w:val="single" w:color="auto" w:sz="4" w:space="0"/>
              <w:right w:val="single" w:color="auto" w:sz="4" w:space="0"/>
            </w:tcBorders>
            <w:vAlign w:val="center"/>
          </w:tcPr>
          <w:p w14:paraId="0024520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00" w:type="pct"/>
            <w:vMerge w:val="continue"/>
            <w:tcBorders>
              <w:top w:val="nil"/>
              <w:left w:val="single" w:color="auto" w:sz="4" w:space="0"/>
              <w:bottom w:val="single" w:color="auto" w:sz="4" w:space="0"/>
              <w:right w:val="single" w:color="auto" w:sz="4" w:space="0"/>
            </w:tcBorders>
            <w:vAlign w:val="center"/>
          </w:tcPr>
          <w:p w14:paraId="774817A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76" w:type="pct"/>
            <w:vMerge w:val="continue"/>
            <w:tcBorders>
              <w:top w:val="nil"/>
              <w:left w:val="single" w:color="auto" w:sz="4" w:space="0"/>
              <w:bottom w:val="single" w:color="auto" w:sz="4" w:space="0"/>
              <w:right w:val="single" w:color="auto" w:sz="4" w:space="0"/>
            </w:tcBorders>
            <w:vAlign w:val="center"/>
          </w:tcPr>
          <w:p w14:paraId="1C538CA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914" w:type="pct"/>
            <w:tcBorders>
              <w:top w:val="nil"/>
              <w:left w:val="nil"/>
              <w:bottom w:val="single" w:color="auto" w:sz="4" w:space="0"/>
              <w:right w:val="single" w:color="auto" w:sz="4" w:space="0"/>
            </w:tcBorders>
            <w:shd w:val="clear" w:color="auto" w:fill="auto"/>
            <w:noWrap/>
            <w:vAlign w:val="center"/>
          </w:tcPr>
          <w:p w14:paraId="4C73B32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供电用地</w:t>
            </w:r>
          </w:p>
        </w:tc>
        <w:tc>
          <w:tcPr>
            <w:tcW w:w="550" w:type="pct"/>
            <w:tcBorders>
              <w:top w:val="nil"/>
              <w:left w:val="nil"/>
              <w:bottom w:val="single" w:color="auto" w:sz="4" w:space="0"/>
              <w:right w:val="single" w:color="auto" w:sz="4" w:space="0"/>
            </w:tcBorders>
            <w:shd w:val="clear" w:color="auto" w:fill="auto"/>
            <w:noWrap/>
            <w:vAlign w:val="center"/>
          </w:tcPr>
          <w:p w14:paraId="1B028A5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2.87</w:t>
            </w:r>
          </w:p>
        </w:tc>
        <w:tc>
          <w:tcPr>
            <w:tcW w:w="536" w:type="pct"/>
            <w:tcBorders>
              <w:top w:val="nil"/>
              <w:left w:val="nil"/>
              <w:bottom w:val="single" w:color="auto" w:sz="4" w:space="0"/>
              <w:right w:val="single" w:color="auto" w:sz="4" w:space="0"/>
            </w:tcBorders>
            <w:shd w:val="clear" w:color="auto" w:fill="auto"/>
            <w:noWrap/>
            <w:vAlign w:val="center"/>
          </w:tcPr>
          <w:p w14:paraId="6D7E595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2.87 </w:t>
            </w:r>
          </w:p>
        </w:tc>
        <w:tc>
          <w:tcPr>
            <w:tcW w:w="536" w:type="pct"/>
            <w:tcBorders>
              <w:top w:val="nil"/>
              <w:left w:val="nil"/>
              <w:bottom w:val="single" w:color="auto" w:sz="4" w:space="0"/>
              <w:right w:val="single" w:color="auto" w:sz="4" w:space="0"/>
            </w:tcBorders>
            <w:shd w:val="clear" w:color="auto" w:fill="auto"/>
            <w:noWrap/>
            <w:vAlign w:val="center"/>
          </w:tcPr>
          <w:p w14:paraId="71639EA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1CC0F73D">
        <w:tblPrEx>
          <w:tblCellMar>
            <w:top w:w="0" w:type="dxa"/>
            <w:left w:w="108" w:type="dxa"/>
            <w:bottom w:w="0" w:type="dxa"/>
            <w:right w:w="108" w:type="dxa"/>
          </w:tblCellMar>
        </w:tblPrEx>
        <w:trPr>
          <w:trHeight w:val="397" w:hRule="atLeast"/>
          <w:jc w:val="center"/>
        </w:trPr>
        <w:tc>
          <w:tcPr>
            <w:tcW w:w="389" w:type="pct"/>
            <w:vMerge w:val="continue"/>
            <w:tcBorders>
              <w:top w:val="nil"/>
              <w:left w:val="single" w:color="auto" w:sz="4" w:space="0"/>
              <w:bottom w:val="single" w:color="auto" w:sz="4" w:space="0"/>
              <w:right w:val="single" w:color="auto" w:sz="4" w:space="0"/>
            </w:tcBorders>
            <w:vAlign w:val="center"/>
          </w:tcPr>
          <w:p w14:paraId="5A9D793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00" w:type="pct"/>
            <w:vMerge w:val="continue"/>
            <w:tcBorders>
              <w:top w:val="nil"/>
              <w:left w:val="single" w:color="auto" w:sz="4" w:space="0"/>
              <w:bottom w:val="single" w:color="auto" w:sz="4" w:space="0"/>
              <w:right w:val="single" w:color="auto" w:sz="4" w:space="0"/>
            </w:tcBorders>
            <w:vAlign w:val="center"/>
          </w:tcPr>
          <w:p w14:paraId="4C8881B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76" w:type="pct"/>
            <w:vMerge w:val="continue"/>
            <w:tcBorders>
              <w:top w:val="nil"/>
              <w:left w:val="single" w:color="auto" w:sz="4" w:space="0"/>
              <w:bottom w:val="single" w:color="auto" w:sz="4" w:space="0"/>
              <w:right w:val="single" w:color="auto" w:sz="4" w:space="0"/>
            </w:tcBorders>
            <w:vAlign w:val="center"/>
          </w:tcPr>
          <w:p w14:paraId="5DA39BD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914" w:type="pct"/>
            <w:tcBorders>
              <w:top w:val="nil"/>
              <w:left w:val="nil"/>
              <w:bottom w:val="single" w:color="auto" w:sz="4" w:space="0"/>
              <w:right w:val="single" w:color="auto" w:sz="4" w:space="0"/>
            </w:tcBorders>
            <w:shd w:val="clear" w:color="auto" w:fill="auto"/>
            <w:noWrap/>
            <w:vAlign w:val="center"/>
          </w:tcPr>
          <w:p w14:paraId="31ED6C4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供燃气用地</w:t>
            </w:r>
          </w:p>
        </w:tc>
        <w:tc>
          <w:tcPr>
            <w:tcW w:w="550" w:type="pct"/>
            <w:tcBorders>
              <w:top w:val="nil"/>
              <w:left w:val="nil"/>
              <w:bottom w:val="single" w:color="auto" w:sz="4" w:space="0"/>
              <w:right w:val="single" w:color="auto" w:sz="4" w:space="0"/>
            </w:tcBorders>
            <w:shd w:val="clear" w:color="auto" w:fill="auto"/>
            <w:noWrap/>
            <w:vAlign w:val="center"/>
          </w:tcPr>
          <w:p w14:paraId="2017AFA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3.06</w:t>
            </w:r>
          </w:p>
        </w:tc>
        <w:tc>
          <w:tcPr>
            <w:tcW w:w="536" w:type="pct"/>
            <w:tcBorders>
              <w:top w:val="nil"/>
              <w:left w:val="nil"/>
              <w:bottom w:val="single" w:color="auto" w:sz="4" w:space="0"/>
              <w:right w:val="single" w:color="auto" w:sz="4" w:space="0"/>
            </w:tcBorders>
            <w:shd w:val="clear" w:color="auto" w:fill="auto"/>
            <w:noWrap/>
            <w:vAlign w:val="center"/>
          </w:tcPr>
          <w:p w14:paraId="7C591A7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3.06 </w:t>
            </w:r>
          </w:p>
        </w:tc>
        <w:tc>
          <w:tcPr>
            <w:tcW w:w="536" w:type="pct"/>
            <w:tcBorders>
              <w:top w:val="nil"/>
              <w:left w:val="nil"/>
              <w:bottom w:val="single" w:color="auto" w:sz="4" w:space="0"/>
              <w:right w:val="single" w:color="auto" w:sz="4" w:space="0"/>
            </w:tcBorders>
            <w:shd w:val="clear" w:color="auto" w:fill="auto"/>
            <w:noWrap/>
            <w:vAlign w:val="center"/>
          </w:tcPr>
          <w:p w14:paraId="2B902B5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7A2920AC">
        <w:tblPrEx>
          <w:tblCellMar>
            <w:top w:w="0" w:type="dxa"/>
            <w:left w:w="108" w:type="dxa"/>
            <w:bottom w:w="0" w:type="dxa"/>
            <w:right w:w="108" w:type="dxa"/>
          </w:tblCellMar>
        </w:tblPrEx>
        <w:trPr>
          <w:trHeight w:val="397" w:hRule="atLeast"/>
          <w:jc w:val="center"/>
        </w:trPr>
        <w:tc>
          <w:tcPr>
            <w:tcW w:w="389" w:type="pct"/>
            <w:vMerge w:val="continue"/>
            <w:tcBorders>
              <w:top w:val="nil"/>
              <w:left w:val="single" w:color="auto" w:sz="4" w:space="0"/>
              <w:bottom w:val="single" w:color="auto" w:sz="4" w:space="0"/>
              <w:right w:val="single" w:color="auto" w:sz="4" w:space="0"/>
            </w:tcBorders>
            <w:vAlign w:val="center"/>
          </w:tcPr>
          <w:p w14:paraId="5CBDDE1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00" w:type="pct"/>
            <w:vMerge w:val="continue"/>
            <w:tcBorders>
              <w:top w:val="nil"/>
              <w:left w:val="single" w:color="auto" w:sz="4" w:space="0"/>
              <w:bottom w:val="single" w:color="auto" w:sz="4" w:space="0"/>
              <w:right w:val="single" w:color="auto" w:sz="4" w:space="0"/>
            </w:tcBorders>
            <w:vAlign w:val="center"/>
          </w:tcPr>
          <w:p w14:paraId="59045A0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76" w:type="pct"/>
            <w:vMerge w:val="continue"/>
            <w:tcBorders>
              <w:top w:val="nil"/>
              <w:left w:val="single" w:color="auto" w:sz="4" w:space="0"/>
              <w:bottom w:val="single" w:color="auto" w:sz="4" w:space="0"/>
              <w:right w:val="single" w:color="auto" w:sz="4" w:space="0"/>
            </w:tcBorders>
            <w:vAlign w:val="center"/>
          </w:tcPr>
          <w:p w14:paraId="084BA9D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914" w:type="pct"/>
            <w:tcBorders>
              <w:top w:val="nil"/>
              <w:left w:val="nil"/>
              <w:bottom w:val="single" w:color="auto" w:sz="4" w:space="0"/>
              <w:right w:val="single" w:color="auto" w:sz="4" w:space="0"/>
            </w:tcBorders>
            <w:shd w:val="clear" w:color="auto" w:fill="auto"/>
            <w:noWrap/>
            <w:vAlign w:val="center"/>
          </w:tcPr>
          <w:p w14:paraId="0490360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环卫用地</w:t>
            </w:r>
          </w:p>
        </w:tc>
        <w:tc>
          <w:tcPr>
            <w:tcW w:w="550" w:type="pct"/>
            <w:tcBorders>
              <w:top w:val="nil"/>
              <w:left w:val="nil"/>
              <w:bottom w:val="single" w:color="auto" w:sz="4" w:space="0"/>
              <w:right w:val="single" w:color="auto" w:sz="4" w:space="0"/>
            </w:tcBorders>
            <w:shd w:val="clear" w:color="auto" w:fill="auto"/>
            <w:noWrap/>
            <w:vAlign w:val="center"/>
          </w:tcPr>
          <w:p w14:paraId="71AD645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2.04</w:t>
            </w:r>
          </w:p>
        </w:tc>
        <w:tc>
          <w:tcPr>
            <w:tcW w:w="536" w:type="pct"/>
            <w:tcBorders>
              <w:top w:val="nil"/>
              <w:left w:val="nil"/>
              <w:bottom w:val="single" w:color="auto" w:sz="4" w:space="0"/>
              <w:right w:val="single" w:color="auto" w:sz="4" w:space="0"/>
            </w:tcBorders>
            <w:shd w:val="clear" w:color="auto" w:fill="auto"/>
            <w:noWrap/>
            <w:vAlign w:val="center"/>
          </w:tcPr>
          <w:p w14:paraId="7D33895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2.04 </w:t>
            </w:r>
          </w:p>
        </w:tc>
        <w:tc>
          <w:tcPr>
            <w:tcW w:w="536" w:type="pct"/>
            <w:tcBorders>
              <w:top w:val="nil"/>
              <w:left w:val="nil"/>
              <w:bottom w:val="single" w:color="auto" w:sz="4" w:space="0"/>
              <w:right w:val="single" w:color="auto" w:sz="4" w:space="0"/>
            </w:tcBorders>
            <w:shd w:val="clear" w:color="auto" w:fill="auto"/>
            <w:noWrap/>
            <w:vAlign w:val="center"/>
          </w:tcPr>
          <w:p w14:paraId="5AB894D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0238922E">
        <w:tblPrEx>
          <w:tblCellMar>
            <w:top w:w="0" w:type="dxa"/>
            <w:left w:w="108" w:type="dxa"/>
            <w:bottom w:w="0" w:type="dxa"/>
            <w:right w:w="108" w:type="dxa"/>
          </w:tblCellMar>
        </w:tblPrEx>
        <w:trPr>
          <w:trHeight w:val="397" w:hRule="atLeast"/>
          <w:jc w:val="center"/>
        </w:trPr>
        <w:tc>
          <w:tcPr>
            <w:tcW w:w="389" w:type="pct"/>
            <w:vMerge w:val="continue"/>
            <w:tcBorders>
              <w:top w:val="nil"/>
              <w:left w:val="single" w:color="auto" w:sz="4" w:space="0"/>
              <w:bottom w:val="single" w:color="auto" w:sz="4" w:space="0"/>
              <w:right w:val="single" w:color="auto" w:sz="4" w:space="0"/>
            </w:tcBorders>
            <w:vAlign w:val="center"/>
          </w:tcPr>
          <w:p w14:paraId="17B5B31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00" w:type="pct"/>
            <w:vMerge w:val="continue"/>
            <w:tcBorders>
              <w:top w:val="nil"/>
              <w:left w:val="single" w:color="auto" w:sz="4" w:space="0"/>
              <w:bottom w:val="single" w:color="auto" w:sz="4" w:space="0"/>
              <w:right w:val="single" w:color="auto" w:sz="4" w:space="0"/>
            </w:tcBorders>
            <w:vAlign w:val="center"/>
          </w:tcPr>
          <w:p w14:paraId="709D2AB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76" w:type="pct"/>
            <w:vMerge w:val="continue"/>
            <w:tcBorders>
              <w:top w:val="nil"/>
              <w:left w:val="single" w:color="auto" w:sz="4" w:space="0"/>
              <w:bottom w:val="single" w:color="auto" w:sz="4" w:space="0"/>
              <w:right w:val="single" w:color="auto" w:sz="4" w:space="0"/>
            </w:tcBorders>
            <w:vAlign w:val="center"/>
          </w:tcPr>
          <w:p w14:paraId="3659D39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914" w:type="pct"/>
            <w:tcBorders>
              <w:top w:val="nil"/>
              <w:left w:val="nil"/>
              <w:bottom w:val="single" w:color="auto" w:sz="4" w:space="0"/>
              <w:right w:val="single" w:color="auto" w:sz="4" w:space="0"/>
            </w:tcBorders>
            <w:shd w:val="clear" w:color="auto" w:fill="auto"/>
            <w:noWrap/>
            <w:vAlign w:val="center"/>
          </w:tcPr>
          <w:p w14:paraId="16644FD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消防用地</w:t>
            </w:r>
          </w:p>
        </w:tc>
        <w:tc>
          <w:tcPr>
            <w:tcW w:w="550" w:type="pct"/>
            <w:tcBorders>
              <w:top w:val="nil"/>
              <w:left w:val="nil"/>
              <w:bottom w:val="single" w:color="auto" w:sz="4" w:space="0"/>
              <w:right w:val="single" w:color="auto" w:sz="4" w:space="0"/>
            </w:tcBorders>
            <w:shd w:val="clear" w:color="auto" w:fill="auto"/>
            <w:noWrap/>
            <w:vAlign w:val="center"/>
          </w:tcPr>
          <w:p w14:paraId="615343F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0.65</w:t>
            </w:r>
          </w:p>
        </w:tc>
        <w:tc>
          <w:tcPr>
            <w:tcW w:w="536" w:type="pct"/>
            <w:tcBorders>
              <w:top w:val="nil"/>
              <w:left w:val="nil"/>
              <w:bottom w:val="single" w:color="auto" w:sz="4" w:space="0"/>
              <w:right w:val="single" w:color="auto" w:sz="4" w:space="0"/>
            </w:tcBorders>
            <w:shd w:val="clear" w:color="auto" w:fill="auto"/>
            <w:noWrap/>
            <w:vAlign w:val="center"/>
          </w:tcPr>
          <w:p w14:paraId="1621117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0.65 </w:t>
            </w:r>
          </w:p>
        </w:tc>
        <w:tc>
          <w:tcPr>
            <w:tcW w:w="536" w:type="pct"/>
            <w:tcBorders>
              <w:top w:val="nil"/>
              <w:left w:val="nil"/>
              <w:bottom w:val="single" w:color="auto" w:sz="4" w:space="0"/>
              <w:right w:val="single" w:color="auto" w:sz="4" w:space="0"/>
            </w:tcBorders>
            <w:shd w:val="clear" w:color="auto" w:fill="auto"/>
            <w:noWrap/>
            <w:vAlign w:val="center"/>
          </w:tcPr>
          <w:p w14:paraId="2EE6438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37FA0EF7">
        <w:tblPrEx>
          <w:tblCellMar>
            <w:top w:w="0" w:type="dxa"/>
            <w:left w:w="108" w:type="dxa"/>
            <w:bottom w:w="0" w:type="dxa"/>
            <w:right w:w="108" w:type="dxa"/>
          </w:tblCellMar>
        </w:tblPrEx>
        <w:trPr>
          <w:trHeight w:val="397" w:hRule="atLeast"/>
          <w:jc w:val="center"/>
        </w:trPr>
        <w:tc>
          <w:tcPr>
            <w:tcW w:w="389" w:type="pct"/>
            <w:vMerge w:val="continue"/>
            <w:tcBorders>
              <w:top w:val="nil"/>
              <w:left w:val="single" w:color="auto" w:sz="4" w:space="0"/>
              <w:bottom w:val="single" w:color="auto" w:sz="4" w:space="0"/>
              <w:right w:val="single" w:color="auto" w:sz="4" w:space="0"/>
            </w:tcBorders>
            <w:vAlign w:val="center"/>
          </w:tcPr>
          <w:p w14:paraId="6DFA842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00" w:type="pct"/>
            <w:vMerge w:val="continue"/>
            <w:tcBorders>
              <w:top w:val="nil"/>
              <w:left w:val="single" w:color="auto" w:sz="4" w:space="0"/>
              <w:bottom w:val="single" w:color="auto" w:sz="4" w:space="0"/>
              <w:right w:val="single" w:color="auto" w:sz="4" w:space="0"/>
            </w:tcBorders>
            <w:vAlign w:val="center"/>
          </w:tcPr>
          <w:p w14:paraId="31DCB1A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76" w:type="pct"/>
            <w:tcBorders>
              <w:top w:val="nil"/>
              <w:left w:val="nil"/>
              <w:bottom w:val="single" w:color="auto" w:sz="4" w:space="0"/>
              <w:right w:val="single" w:color="auto" w:sz="4" w:space="0"/>
            </w:tcBorders>
            <w:shd w:val="clear" w:color="auto" w:fill="auto"/>
            <w:vAlign w:val="center"/>
          </w:tcPr>
          <w:p w14:paraId="301FF75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914" w:type="pct"/>
            <w:tcBorders>
              <w:top w:val="nil"/>
              <w:left w:val="nil"/>
              <w:bottom w:val="single" w:color="auto" w:sz="4" w:space="0"/>
              <w:right w:val="single" w:color="auto" w:sz="4" w:space="0"/>
            </w:tcBorders>
            <w:shd w:val="clear" w:color="auto" w:fill="auto"/>
            <w:noWrap/>
            <w:vAlign w:val="center"/>
          </w:tcPr>
          <w:p w14:paraId="31760B5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防护绿地</w:t>
            </w:r>
          </w:p>
        </w:tc>
        <w:tc>
          <w:tcPr>
            <w:tcW w:w="550" w:type="pct"/>
            <w:tcBorders>
              <w:top w:val="nil"/>
              <w:left w:val="nil"/>
              <w:bottom w:val="single" w:color="auto" w:sz="4" w:space="0"/>
              <w:right w:val="single" w:color="auto" w:sz="4" w:space="0"/>
            </w:tcBorders>
            <w:shd w:val="clear" w:color="auto" w:fill="auto"/>
            <w:noWrap/>
            <w:vAlign w:val="center"/>
          </w:tcPr>
          <w:p w14:paraId="307AC14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3.54</w:t>
            </w:r>
          </w:p>
        </w:tc>
        <w:tc>
          <w:tcPr>
            <w:tcW w:w="536" w:type="pct"/>
            <w:tcBorders>
              <w:top w:val="nil"/>
              <w:left w:val="nil"/>
              <w:bottom w:val="single" w:color="auto" w:sz="4" w:space="0"/>
              <w:right w:val="single" w:color="auto" w:sz="4" w:space="0"/>
            </w:tcBorders>
            <w:shd w:val="clear" w:color="auto" w:fill="auto"/>
            <w:noWrap/>
            <w:vAlign w:val="center"/>
          </w:tcPr>
          <w:p w14:paraId="4C61CBA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3.54 </w:t>
            </w:r>
          </w:p>
        </w:tc>
        <w:tc>
          <w:tcPr>
            <w:tcW w:w="536" w:type="pct"/>
            <w:tcBorders>
              <w:top w:val="nil"/>
              <w:left w:val="nil"/>
              <w:bottom w:val="single" w:color="auto" w:sz="4" w:space="0"/>
              <w:right w:val="single" w:color="auto" w:sz="4" w:space="0"/>
            </w:tcBorders>
            <w:shd w:val="clear" w:color="auto" w:fill="auto"/>
            <w:noWrap/>
            <w:vAlign w:val="center"/>
          </w:tcPr>
          <w:p w14:paraId="3073016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611644A5">
        <w:tblPrEx>
          <w:tblCellMar>
            <w:top w:w="0" w:type="dxa"/>
            <w:left w:w="108" w:type="dxa"/>
            <w:bottom w:w="0" w:type="dxa"/>
            <w:right w:w="108" w:type="dxa"/>
          </w:tblCellMar>
        </w:tblPrEx>
        <w:trPr>
          <w:trHeight w:val="397" w:hRule="atLeast"/>
          <w:jc w:val="center"/>
        </w:trPr>
        <w:tc>
          <w:tcPr>
            <w:tcW w:w="389" w:type="pct"/>
            <w:vMerge w:val="continue"/>
            <w:tcBorders>
              <w:top w:val="nil"/>
              <w:left w:val="single" w:color="auto" w:sz="4" w:space="0"/>
              <w:bottom w:val="single" w:color="auto" w:sz="4" w:space="0"/>
              <w:right w:val="single" w:color="auto" w:sz="4" w:space="0"/>
            </w:tcBorders>
            <w:vAlign w:val="center"/>
          </w:tcPr>
          <w:p w14:paraId="059786B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00" w:type="pct"/>
            <w:tcBorders>
              <w:top w:val="nil"/>
              <w:left w:val="nil"/>
              <w:bottom w:val="single" w:color="auto" w:sz="4" w:space="0"/>
              <w:right w:val="single" w:color="auto" w:sz="4" w:space="0"/>
            </w:tcBorders>
            <w:shd w:val="clear" w:color="auto" w:fill="auto"/>
            <w:vAlign w:val="center"/>
          </w:tcPr>
          <w:p w14:paraId="1D52C29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小计</w:t>
            </w:r>
          </w:p>
        </w:tc>
        <w:tc>
          <w:tcPr>
            <w:tcW w:w="1576" w:type="pct"/>
            <w:tcBorders>
              <w:top w:val="nil"/>
              <w:left w:val="nil"/>
              <w:bottom w:val="single" w:color="auto" w:sz="4" w:space="0"/>
              <w:right w:val="single" w:color="auto" w:sz="4" w:space="0"/>
            </w:tcBorders>
            <w:shd w:val="clear" w:color="auto" w:fill="auto"/>
            <w:vAlign w:val="center"/>
          </w:tcPr>
          <w:p w14:paraId="3831727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914" w:type="pct"/>
            <w:tcBorders>
              <w:top w:val="nil"/>
              <w:left w:val="nil"/>
              <w:bottom w:val="single" w:color="auto" w:sz="4" w:space="0"/>
              <w:right w:val="single" w:color="auto" w:sz="4" w:space="0"/>
            </w:tcBorders>
            <w:shd w:val="clear" w:color="auto" w:fill="auto"/>
            <w:noWrap/>
            <w:vAlign w:val="center"/>
          </w:tcPr>
          <w:p w14:paraId="60EBD51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550" w:type="pct"/>
            <w:tcBorders>
              <w:top w:val="nil"/>
              <w:left w:val="nil"/>
              <w:bottom w:val="single" w:color="auto" w:sz="4" w:space="0"/>
              <w:right w:val="single" w:color="auto" w:sz="4" w:space="0"/>
            </w:tcBorders>
            <w:shd w:val="clear" w:color="auto" w:fill="auto"/>
            <w:noWrap/>
            <w:vAlign w:val="center"/>
          </w:tcPr>
          <w:p w14:paraId="7294923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1114.62</w:t>
            </w:r>
          </w:p>
        </w:tc>
        <w:tc>
          <w:tcPr>
            <w:tcW w:w="536" w:type="pct"/>
            <w:tcBorders>
              <w:top w:val="nil"/>
              <w:left w:val="nil"/>
              <w:bottom w:val="single" w:color="auto" w:sz="4" w:space="0"/>
              <w:right w:val="single" w:color="auto" w:sz="4" w:space="0"/>
            </w:tcBorders>
            <w:shd w:val="clear" w:color="auto" w:fill="auto"/>
            <w:noWrap/>
            <w:vAlign w:val="center"/>
          </w:tcPr>
          <w:p w14:paraId="4ADB478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798.81 </w:t>
            </w:r>
          </w:p>
        </w:tc>
        <w:tc>
          <w:tcPr>
            <w:tcW w:w="536" w:type="pct"/>
            <w:tcBorders>
              <w:top w:val="nil"/>
              <w:left w:val="nil"/>
              <w:bottom w:val="single" w:color="auto" w:sz="4" w:space="0"/>
              <w:right w:val="single" w:color="auto" w:sz="4" w:space="0"/>
            </w:tcBorders>
            <w:shd w:val="clear" w:color="auto" w:fill="auto"/>
            <w:noWrap/>
            <w:vAlign w:val="center"/>
          </w:tcPr>
          <w:p w14:paraId="01E344D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315.81 </w:t>
            </w:r>
          </w:p>
        </w:tc>
      </w:tr>
      <w:tr w14:paraId="08D14909">
        <w:tblPrEx>
          <w:tblCellMar>
            <w:top w:w="0" w:type="dxa"/>
            <w:left w:w="108" w:type="dxa"/>
            <w:bottom w:w="0" w:type="dxa"/>
            <w:right w:w="108" w:type="dxa"/>
          </w:tblCellMar>
        </w:tblPrEx>
        <w:trPr>
          <w:trHeight w:val="397" w:hRule="atLeast"/>
          <w:jc w:val="center"/>
        </w:trPr>
        <w:tc>
          <w:tcPr>
            <w:tcW w:w="389" w:type="pct"/>
            <w:vMerge w:val="continue"/>
            <w:tcBorders>
              <w:top w:val="nil"/>
              <w:left w:val="single" w:color="auto" w:sz="4" w:space="0"/>
              <w:bottom w:val="single" w:color="auto" w:sz="4" w:space="0"/>
              <w:right w:val="single" w:color="auto" w:sz="4" w:space="0"/>
            </w:tcBorders>
            <w:vAlign w:val="center"/>
          </w:tcPr>
          <w:p w14:paraId="54A6D9E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00" w:type="pct"/>
            <w:vMerge w:val="restart"/>
            <w:tcBorders>
              <w:top w:val="nil"/>
              <w:left w:val="single" w:color="auto" w:sz="4" w:space="0"/>
              <w:bottom w:val="single" w:color="auto" w:sz="4" w:space="0"/>
              <w:right w:val="single" w:color="auto" w:sz="4" w:space="0"/>
            </w:tcBorders>
            <w:shd w:val="clear" w:color="auto" w:fill="auto"/>
            <w:vAlign w:val="center"/>
          </w:tcPr>
          <w:p w14:paraId="3EAC087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1576" w:type="pct"/>
            <w:tcBorders>
              <w:top w:val="nil"/>
              <w:left w:val="nil"/>
              <w:bottom w:val="single" w:color="auto" w:sz="4" w:space="0"/>
              <w:right w:val="single" w:color="auto" w:sz="4" w:space="0"/>
            </w:tcBorders>
            <w:shd w:val="clear" w:color="auto" w:fill="auto"/>
            <w:vAlign w:val="center"/>
          </w:tcPr>
          <w:p w14:paraId="2DC539E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914" w:type="pct"/>
            <w:tcBorders>
              <w:top w:val="nil"/>
              <w:left w:val="nil"/>
              <w:bottom w:val="single" w:color="auto" w:sz="4" w:space="0"/>
              <w:right w:val="single" w:color="auto" w:sz="4" w:space="0"/>
            </w:tcBorders>
            <w:shd w:val="clear" w:color="auto" w:fill="auto"/>
            <w:noWrap/>
            <w:vAlign w:val="center"/>
          </w:tcPr>
          <w:p w14:paraId="5B5E104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工业用地</w:t>
            </w:r>
          </w:p>
        </w:tc>
        <w:tc>
          <w:tcPr>
            <w:tcW w:w="550" w:type="pct"/>
            <w:tcBorders>
              <w:top w:val="nil"/>
              <w:left w:val="nil"/>
              <w:bottom w:val="single" w:color="auto" w:sz="4" w:space="0"/>
              <w:right w:val="single" w:color="auto" w:sz="4" w:space="0"/>
            </w:tcBorders>
            <w:shd w:val="clear" w:color="auto" w:fill="auto"/>
            <w:noWrap/>
            <w:vAlign w:val="center"/>
          </w:tcPr>
          <w:p w14:paraId="6CFF0CF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147.08</w:t>
            </w:r>
          </w:p>
        </w:tc>
        <w:tc>
          <w:tcPr>
            <w:tcW w:w="536" w:type="pct"/>
            <w:tcBorders>
              <w:top w:val="nil"/>
              <w:left w:val="nil"/>
              <w:bottom w:val="single" w:color="auto" w:sz="4" w:space="0"/>
              <w:right w:val="single" w:color="auto" w:sz="4" w:space="0"/>
            </w:tcBorders>
            <w:shd w:val="clear" w:color="auto" w:fill="auto"/>
            <w:noWrap/>
            <w:vAlign w:val="center"/>
          </w:tcPr>
          <w:p w14:paraId="2DB33CD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147.08 </w:t>
            </w:r>
          </w:p>
        </w:tc>
        <w:tc>
          <w:tcPr>
            <w:tcW w:w="536" w:type="pct"/>
            <w:tcBorders>
              <w:top w:val="nil"/>
              <w:left w:val="nil"/>
              <w:bottom w:val="single" w:color="auto" w:sz="4" w:space="0"/>
              <w:right w:val="single" w:color="auto" w:sz="4" w:space="0"/>
            </w:tcBorders>
            <w:shd w:val="clear" w:color="auto" w:fill="auto"/>
            <w:noWrap/>
            <w:vAlign w:val="center"/>
          </w:tcPr>
          <w:p w14:paraId="48F3635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55E2F14D">
        <w:tblPrEx>
          <w:tblCellMar>
            <w:top w:w="0" w:type="dxa"/>
            <w:left w:w="108" w:type="dxa"/>
            <w:bottom w:w="0" w:type="dxa"/>
            <w:right w:w="108" w:type="dxa"/>
          </w:tblCellMar>
        </w:tblPrEx>
        <w:trPr>
          <w:trHeight w:val="397" w:hRule="atLeast"/>
          <w:jc w:val="center"/>
        </w:trPr>
        <w:tc>
          <w:tcPr>
            <w:tcW w:w="389" w:type="pct"/>
            <w:vMerge w:val="continue"/>
            <w:tcBorders>
              <w:top w:val="nil"/>
              <w:left w:val="single" w:color="auto" w:sz="4" w:space="0"/>
              <w:bottom w:val="single" w:color="auto" w:sz="4" w:space="0"/>
              <w:right w:val="single" w:color="auto" w:sz="4" w:space="0"/>
            </w:tcBorders>
            <w:vAlign w:val="center"/>
          </w:tcPr>
          <w:p w14:paraId="7C5C6D3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00" w:type="pct"/>
            <w:vMerge w:val="continue"/>
            <w:tcBorders>
              <w:top w:val="nil"/>
              <w:left w:val="single" w:color="auto" w:sz="4" w:space="0"/>
              <w:bottom w:val="single" w:color="auto" w:sz="4" w:space="0"/>
              <w:right w:val="single" w:color="auto" w:sz="4" w:space="0"/>
            </w:tcBorders>
            <w:vAlign w:val="center"/>
          </w:tcPr>
          <w:p w14:paraId="1ADE4CF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76" w:type="pct"/>
            <w:tcBorders>
              <w:top w:val="nil"/>
              <w:left w:val="nil"/>
              <w:bottom w:val="single" w:color="auto" w:sz="4" w:space="0"/>
              <w:right w:val="single" w:color="auto" w:sz="4" w:space="0"/>
            </w:tcBorders>
            <w:shd w:val="clear" w:color="auto" w:fill="auto"/>
            <w:vAlign w:val="center"/>
          </w:tcPr>
          <w:p w14:paraId="157A0F5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914" w:type="pct"/>
            <w:tcBorders>
              <w:top w:val="nil"/>
              <w:left w:val="nil"/>
              <w:bottom w:val="single" w:color="auto" w:sz="4" w:space="0"/>
              <w:right w:val="single" w:color="auto" w:sz="4" w:space="0"/>
            </w:tcBorders>
            <w:shd w:val="clear" w:color="auto" w:fill="auto"/>
            <w:noWrap/>
            <w:vAlign w:val="center"/>
          </w:tcPr>
          <w:p w14:paraId="2AB83D6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城镇道路用地</w:t>
            </w:r>
          </w:p>
        </w:tc>
        <w:tc>
          <w:tcPr>
            <w:tcW w:w="550" w:type="pct"/>
            <w:tcBorders>
              <w:top w:val="nil"/>
              <w:left w:val="nil"/>
              <w:bottom w:val="single" w:color="auto" w:sz="4" w:space="0"/>
              <w:right w:val="single" w:color="auto" w:sz="4" w:space="0"/>
            </w:tcBorders>
            <w:shd w:val="clear" w:color="auto" w:fill="auto"/>
            <w:noWrap/>
            <w:vAlign w:val="center"/>
          </w:tcPr>
          <w:p w14:paraId="328DCBD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3.09</w:t>
            </w:r>
          </w:p>
        </w:tc>
        <w:tc>
          <w:tcPr>
            <w:tcW w:w="536" w:type="pct"/>
            <w:tcBorders>
              <w:top w:val="nil"/>
              <w:left w:val="nil"/>
              <w:bottom w:val="single" w:color="auto" w:sz="4" w:space="0"/>
              <w:right w:val="single" w:color="auto" w:sz="4" w:space="0"/>
            </w:tcBorders>
            <w:shd w:val="clear" w:color="auto" w:fill="auto"/>
            <w:noWrap/>
            <w:vAlign w:val="center"/>
          </w:tcPr>
          <w:p w14:paraId="2F5230C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3.09 </w:t>
            </w:r>
          </w:p>
        </w:tc>
        <w:tc>
          <w:tcPr>
            <w:tcW w:w="536" w:type="pct"/>
            <w:tcBorders>
              <w:top w:val="nil"/>
              <w:left w:val="nil"/>
              <w:bottom w:val="single" w:color="auto" w:sz="4" w:space="0"/>
              <w:right w:val="single" w:color="auto" w:sz="4" w:space="0"/>
            </w:tcBorders>
            <w:shd w:val="clear" w:color="auto" w:fill="auto"/>
            <w:noWrap/>
            <w:vAlign w:val="center"/>
          </w:tcPr>
          <w:p w14:paraId="763951E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5722A746">
        <w:tblPrEx>
          <w:tblCellMar>
            <w:top w:w="0" w:type="dxa"/>
            <w:left w:w="108" w:type="dxa"/>
            <w:bottom w:w="0" w:type="dxa"/>
            <w:right w:w="108" w:type="dxa"/>
          </w:tblCellMar>
        </w:tblPrEx>
        <w:trPr>
          <w:trHeight w:val="397" w:hRule="atLeast"/>
          <w:jc w:val="center"/>
        </w:trPr>
        <w:tc>
          <w:tcPr>
            <w:tcW w:w="389" w:type="pct"/>
            <w:vMerge w:val="continue"/>
            <w:tcBorders>
              <w:top w:val="nil"/>
              <w:left w:val="single" w:color="auto" w:sz="4" w:space="0"/>
              <w:bottom w:val="single" w:color="auto" w:sz="4" w:space="0"/>
              <w:right w:val="single" w:color="auto" w:sz="4" w:space="0"/>
            </w:tcBorders>
            <w:vAlign w:val="center"/>
          </w:tcPr>
          <w:p w14:paraId="1A51186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00" w:type="pct"/>
            <w:vMerge w:val="continue"/>
            <w:tcBorders>
              <w:top w:val="nil"/>
              <w:left w:val="single" w:color="auto" w:sz="4" w:space="0"/>
              <w:bottom w:val="single" w:color="auto" w:sz="4" w:space="0"/>
              <w:right w:val="single" w:color="auto" w:sz="4" w:space="0"/>
            </w:tcBorders>
            <w:vAlign w:val="center"/>
          </w:tcPr>
          <w:p w14:paraId="65B61DD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76" w:type="pct"/>
            <w:tcBorders>
              <w:top w:val="nil"/>
              <w:left w:val="nil"/>
              <w:bottom w:val="single" w:color="auto" w:sz="4" w:space="0"/>
              <w:right w:val="single" w:color="auto" w:sz="4" w:space="0"/>
            </w:tcBorders>
            <w:shd w:val="clear" w:color="auto" w:fill="auto"/>
            <w:vAlign w:val="center"/>
          </w:tcPr>
          <w:p w14:paraId="0275360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914" w:type="pct"/>
            <w:tcBorders>
              <w:top w:val="nil"/>
              <w:left w:val="nil"/>
              <w:bottom w:val="single" w:color="auto" w:sz="4" w:space="0"/>
              <w:right w:val="single" w:color="auto" w:sz="4" w:space="0"/>
            </w:tcBorders>
            <w:shd w:val="clear" w:color="auto" w:fill="auto"/>
            <w:noWrap/>
            <w:vAlign w:val="center"/>
          </w:tcPr>
          <w:p w14:paraId="050857D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防护绿地</w:t>
            </w:r>
          </w:p>
        </w:tc>
        <w:tc>
          <w:tcPr>
            <w:tcW w:w="550" w:type="pct"/>
            <w:tcBorders>
              <w:top w:val="nil"/>
              <w:left w:val="nil"/>
              <w:bottom w:val="single" w:color="auto" w:sz="4" w:space="0"/>
              <w:right w:val="single" w:color="auto" w:sz="4" w:space="0"/>
            </w:tcBorders>
            <w:shd w:val="clear" w:color="auto" w:fill="auto"/>
            <w:noWrap/>
            <w:vAlign w:val="center"/>
          </w:tcPr>
          <w:p w14:paraId="068BB66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1.83</w:t>
            </w:r>
          </w:p>
        </w:tc>
        <w:tc>
          <w:tcPr>
            <w:tcW w:w="536" w:type="pct"/>
            <w:tcBorders>
              <w:top w:val="nil"/>
              <w:left w:val="nil"/>
              <w:bottom w:val="single" w:color="auto" w:sz="4" w:space="0"/>
              <w:right w:val="single" w:color="auto" w:sz="4" w:space="0"/>
            </w:tcBorders>
            <w:shd w:val="clear" w:color="auto" w:fill="auto"/>
            <w:noWrap/>
            <w:vAlign w:val="center"/>
          </w:tcPr>
          <w:p w14:paraId="4794EDD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1.83 </w:t>
            </w:r>
          </w:p>
        </w:tc>
        <w:tc>
          <w:tcPr>
            <w:tcW w:w="536" w:type="pct"/>
            <w:tcBorders>
              <w:top w:val="nil"/>
              <w:left w:val="nil"/>
              <w:bottom w:val="single" w:color="auto" w:sz="4" w:space="0"/>
              <w:right w:val="single" w:color="auto" w:sz="4" w:space="0"/>
            </w:tcBorders>
            <w:shd w:val="clear" w:color="auto" w:fill="auto"/>
            <w:noWrap/>
            <w:vAlign w:val="center"/>
          </w:tcPr>
          <w:p w14:paraId="5BFC1C8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078CBAE9">
        <w:tblPrEx>
          <w:tblCellMar>
            <w:top w:w="0" w:type="dxa"/>
            <w:left w:w="108" w:type="dxa"/>
            <w:bottom w:w="0" w:type="dxa"/>
            <w:right w:w="108" w:type="dxa"/>
          </w:tblCellMar>
        </w:tblPrEx>
        <w:trPr>
          <w:trHeight w:val="397" w:hRule="atLeast"/>
          <w:jc w:val="center"/>
        </w:trPr>
        <w:tc>
          <w:tcPr>
            <w:tcW w:w="389" w:type="pct"/>
            <w:vMerge w:val="continue"/>
            <w:tcBorders>
              <w:top w:val="nil"/>
              <w:left w:val="single" w:color="auto" w:sz="4" w:space="0"/>
              <w:bottom w:val="single" w:color="auto" w:sz="4" w:space="0"/>
              <w:right w:val="single" w:color="auto" w:sz="4" w:space="0"/>
            </w:tcBorders>
            <w:vAlign w:val="center"/>
          </w:tcPr>
          <w:p w14:paraId="03071B0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00" w:type="pct"/>
            <w:vMerge w:val="continue"/>
            <w:tcBorders>
              <w:top w:val="nil"/>
              <w:left w:val="single" w:color="auto" w:sz="4" w:space="0"/>
              <w:bottom w:val="single" w:color="auto" w:sz="4" w:space="0"/>
              <w:right w:val="single" w:color="auto" w:sz="4" w:space="0"/>
            </w:tcBorders>
            <w:vAlign w:val="center"/>
          </w:tcPr>
          <w:p w14:paraId="2D364E3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76" w:type="pct"/>
            <w:tcBorders>
              <w:top w:val="nil"/>
              <w:left w:val="nil"/>
              <w:bottom w:val="single" w:color="auto" w:sz="4" w:space="0"/>
              <w:right w:val="single" w:color="auto" w:sz="4" w:space="0"/>
            </w:tcBorders>
            <w:shd w:val="clear" w:color="auto" w:fill="auto"/>
            <w:noWrap/>
            <w:vAlign w:val="center"/>
          </w:tcPr>
          <w:p w14:paraId="6B2EF77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陆地水域</w:t>
            </w:r>
          </w:p>
        </w:tc>
        <w:tc>
          <w:tcPr>
            <w:tcW w:w="914" w:type="pct"/>
            <w:tcBorders>
              <w:top w:val="nil"/>
              <w:left w:val="nil"/>
              <w:bottom w:val="single" w:color="auto" w:sz="4" w:space="0"/>
              <w:right w:val="single" w:color="auto" w:sz="4" w:space="0"/>
            </w:tcBorders>
            <w:shd w:val="clear" w:color="auto" w:fill="auto"/>
            <w:noWrap/>
            <w:vAlign w:val="center"/>
          </w:tcPr>
          <w:p w14:paraId="433632A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陆地水域</w:t>
            </w:r>
          </w:p>
        </w:tc>
        <w:tc>
          <w:tcPr>
            <w:tcW w:w="550" w:type="pct"/>
            <w:tcBorders>
              <w:top w:val="nil"/>
              <w:left w:val="nil"/>
              <w:bottom w:val="single" w:color="auto" w:sz="4" w:space="0"/>
              <w:right w:val="single" w:color="auto" w:sz="4" w:space="0"/>
            </w:tcBorders>
            <w:shd w:val="clear" w:color="auto" w:fill="auto"/>
            <w:noWrap/>
            <w:vAlign w:val="center"/>
          </w:tcPr>
          <w:p w14:paraId="67212CD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1.1</w:t>
            </w:r>
          </w:p>
        </w:tc>
        <w:tc>
          <w:tcPr>
            <w:tcW w:w="536" w:type="pct"/>
            <w:tcBorders>
              <w:top w:val="nil"/>
              <w:left w:val="nil"/>
              <w:bottom w:val="single" w:color="auto" w:sz="4" w:space="0"/>
              <w:right w:val="single" w:color="auto" w:sz="4" w:space="0"/>
            </w:tcBorders>
            <w:shd w:val="clear" w:color="auto" w:fill="auto"/>
            <w:noWrap/>
            <w:vAlign w:val="center"/>
          </w:tcPr>
          <w:p w14:paraId="1D60D03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1.10 </w:t>
            </w:r>
          </w:p>
        </w:tc>
        <w:tc>
          <w:tcPr>
            <w:tcW w:w="536" w:type="pct"/>
            <w:tcBorders>
              <w:top w:val="nil"/>
              <w:left w:val="nil"/>
              <w:bottom w:val="single" w:color="auto" w:sz="4" w:space="0"/>
              <w:right w:val="single" w:color="auto" w:sz="4" w:space="0"/>
            </w:tcBorders>
            <w:shd w:val="clear" w:color="auto" w:fill="auto"/>
            <w:noWrap/>
            <w:vAlign w:val="center"/>
          </w:tcPr>
          <w:p w14:paraId="06514EB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6E962A43">
        <w:tblPrEx>
          <w:tblCellMar>
            <w:top w:w="0" w:type="dxa"/>
            <w:left w:w="108" w:type="dxa"/>
            <w:bottom w:w="0" w:type="dxa"/>
            <w:right w:w="108" w:type="dxa"/>
          </w:tblCellMar>
        </w:tblPrEx>
        <w:trPr>
          <w:trHeight w:val="397" w:hRule="atLeast"/>
          <w:jc w:val="center"/>
        </w:trPr>
        <w:tc>
          <w:tcPr>
            <w:tcW w:w="389" w:type="pct"/>
            <w:vMerge w:val="continue"/>
            <w:tcBorders>
              <w:top w:val="nil"/>
              <w:left w:val="single" w:color="auto" w:sz="4" w:space="0"/>
              <w:bottom w:val="single" w:color="auto" w:sz="4" w:space="0"/>
              <w:right w:val="single" w:color="auto" w:sz="4" w:space="0"/>
            </w:tcBorders>
            <w:vAlign w:val="center"/>
          </w:tcPr>
          <w:p w14:paraId="5D49796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00" w:type="pct"/>
            <w:tcBorders>
              <w:top w:val="nil"/>
              <w:left w:val="nil"/>
              <w:bottom w:val="single" w:color="auto" w:sz="4" w:space="0"/>
              <w:right w:val="single" w:color="auto" w:sz="4" w:space="0"/>
            </w:tcBorders>
            <w:shd w:val="clear" w:color="auto" w:fill="auto"/>
            <w:vAlign w:val="center"/>
          </w:tcPr>
          <w:p w14:paraId="4788B53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小计</w:t>
            </w:r>
          </w:p>
        </w:tc>
        <w:tc>
          <w:tcPr>
            <w:tcW w:w="1576" w:type="pct"/>
            <w:tcBorders>
              <w:top w:val="nil"/>
              <w:left w:val="nil"/>
              <w:bottom w:val="single" w:color="auto" w:sz="4" w:space="0"/>
              <w:right w:val="single" w:color="auto" w:sz="4" w:space="0"/>
            </w:tcBorders>
            <w:shd w:val="clear" w:color="auto" w:fill="auto"/>
            <w:noWrap/>
            <w:vAlign w:val="center"/>
          </w:tcPr>
          <w:p w14:paraId="3B26D54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914" w:type="pct"/>
            <w:tcBorders>
              <w:top w:val="nil"/>
              <w:left w:val="nil"/>
              <w:bottom w:val="single" w:color="auto" w:sz="4" w:space="0"/>
              <w:right w:val="single" w:color="auto" w:sz="4" w:space="0"/>
            </w:tcBorders>
            <w:shd w:val="clear" w:color="auto" w:fill="auto"/>
            <w:noWrap/>
            <w:vAlign w:val="center"/>
          </w:tcPr>
          <w:p w14:paraId="63A6814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550" w:type="pct"/>
            <w:tcBorders>
              <w:top w:val="nil"/>
              <w:left w:val="nil"/>
              <w:bottom w:val="single" w:color="auto" w:sz="4" w:space="0"/>
              <w:right w:val="single" w:color="auto" w:sz="4" w:space="0"/>
            </w:tcBorders>
            <w:shd w:val="clear" w:color="auto" w:fill="auto"/>
            <w:noWrap/>
            <w:vAlign w:val="center"/>
          </w:tcPr>
          <w:p w14:paraId="101AFCA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153.1</w:t>
            </w:r>
          </w:p>
        </w:tc>
        <w:tc>
          <w:tcPr>
            <w:tcW w:w="536" w:type="pct"/>
            <w:tcBorders>
              <w:top w:val="nil"/>
              <w:left w:val="nil"/>
              <w:bottom w:val="single" w:color="auto" w:sz="4" w:space="0"/>
              <w:right w:val="single" w:color="auto" w:sz="4" w:space="0"/>
            </w:tcBorders>
            <w:shd w:val="clear" w:color="auto" w:fill="auto"/>
            <w:noWrap/>
            <w:vAlign w:val="center"/>
          </w:tcPr>
          <w:p w14:paraId="57E1F88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153.10 </w:t>
            </w:r>
          </w:p>
        </w:tc>
        <w:tc>
          <w:tcPr>
            <w:tcW w:w="536" w:type="pct"/>
            <w:tcBorders>
              <w:top w:val="nil"/>
              <w:left w:val="nil"/>
              <w:bottom w:val="single" w:color="auto" w:sz="4" w:space="0"/>
              <w:right w:val="single" w:color="auto" w:sz="4" w:space="0"/>
            </w:tcBorders>
            <w:shd w:val="clear" w:color="auto" w:fill="auto"/>
            <w:noWrap/>
            <w:vAlign w:val="center"/>
          </w:tcPr>
          <w:p w14:paraId="712A74C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0E8BF481">
        <w:tblPrEx>
          <w:tblCellMar>
            <w:top w:w="0" w:type="dxa"/>
            <w:left w:w="108" w:type="dxa"/>
            <w:bottom w:w="0" w:type="dxa"/>
            <w:right w:w="108" w:type="dxa"/>
          </w:tblCellMar>
        </w:tblPrEx>
        <w:trPr>
          <w:trHeight w:val="397" w:hRule="atLeast"/>
          <w:jc w:val="center"/>
        </w:trPr>
        <w:tc>
          <w:tcPr>
            <w:tcW w:w="389" w:type="pct"/>
            <w:vMerge w:val="continue"/>
            <w:tcBorders>
              <w:top w:val="nil"/>
              <w:left w:val="single" w:color="auto" w:sz="4" w:space="0"/>
              <w:bottom w:val="single" w:color="auto" w:sz="4" w:space="0"/>
              <w:right w:val="single" w:color="auto" w:sz="4" w:space="0"/>
            </w:tcBorders>
            <w:vAlign w:val="center"/>
          </w:tcPr>
          <w:p w14:paraId="4055B0F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00" w:type="pct"/>
            <w:tcBorders>
              <w:top w:val="nil"/>
              <w:left w:val="nil"/>
              <w:bottom w:val="single" w:color="auto" w:sz="4" w:space="0"/>
              <w:right w:val="single" w:color="auto" w:sz="4" w:space="0"/>
            </w:tcBorders>
            <w:shd w:val="clear" w:color="auto" w:fill="auto"/>
            <w:vAlign w:val="center"/>
          </w:tcPr>
          <w:p w14:paraId="4D0CF19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合计</w:t>
            </w:r>
          </w:p>
        </w:tc>
        <w:tc>
          <w:tcPr>
            <w:tcW w:w="1576" w:type="pct"/>
            <w:tcBorders>
              <w:top w:val="nil"/>
              <w:left w:val="nil"/>
              <w:bottom w:val="single" w:color="auto" w:sz="4" w:space="0"/>
              <w:right w:val="single" w:color="auto" w:sz="4" w:space="0"/>
            </w:tcBorders>
            <w:shd w:val="clear" w:color="auto" w:fill="auto"/>
            <w:noWrap/>
            <w:vAlign w:val="center"/>
          </w:tcPr>
          <w:p w14:paraId="2EDE4A3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914" w:type="pct"/>
            <w:tcBorders>
              <w:top w:val="nil"/>
              <w:left w:val="nil"/>
              <w:bottom w:val="single" w:color="auto" w:sz="4" w:space="0"/>
              <w:right w:val="single" w:color="auto" w:sz="4" w:space="0"/>
            </w:tcBorders>
            <w:shd w:val="clear" w:color="auto" w:fill="auto"/>
            <w:noWrap/>
            <w:vAlign w:val="center"/>
          </w:tcPr>
          <w:p w14:paraId="6642FB0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550" w:type="pct"/>
            <w:tcBorders>
              <w:top w:val="nil"/>
              <w:left w:val="nil"/>
              <w:bottom w:val="single" w:color="auto" w:sz="4" w:space="0"/>
              <w:right w:val="single" w:color="auto" w:sz="4" w:space="0"/>
            </w:tcBorders>
            <w:shd w:val="clear" w:color="auto" w:fill="auto"/>
            <w:noWrap/>
            <w:vAlign w:val="center"/>
          </w:tcPr>
          <w:p w14:paraId="47F1514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1267.72</w:t>
            </w:r>
          </w:p>
        </w:tc>
        <w:tc>
          <w:tcPr>
            <w:tcW w:w="536" w:type="pct"/>
            <w:tcBorders>
              <w:top w:val="nil"/>
              <w:left w:val="nil"/>
              <w:bottom w:val="single" w:color="auto" w:sz="4" w:space="0"/>
              <w:right w:val="single" w:color="auto" w:sz="4" w:space="0"/>
            </w:tcBorders>
            <w:shd w:val="clear" w:color="auto" w:fill="auto"/>
            <w:noWrap/>
            <w:vAlign w:val="center"/>
          </w:tcPr>
          <w:p w14:paraId="0981147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951.91</w:t>
            </w:r>
          </w:p>
        </w:tc>
        <w:tc>
          <w:tcPr>
            <w:tcW w:w="536" w:type="pct"/>
            <w:tcBorders>
              <w:top w:val="nil"/>
              <w:left w:val="nil"/>
              <w:bottom w:val="single" w:color="auto" w:sz="4" w:space="0"/>
              <w:right w:val="single" w:color="auto" w:sz="4" w:space="0"/>
            </w:tcBorders>
            <w:shd w:val="clear" w:color="auto" w:fill="auto"/>
            <w:noWrap/>
            <w:vAlign w:val="center"/>
          </w:tcPr>
          <w:p w14:paraId="1B99D37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315.81</w:t>
            </w:r>
          </w:p>
        </w:tc>
      </w:tr>
    </w:tbl>
    <w:p w14:paraId="3D17AFEA">
      <w:pPr>
        <w:pStyle w:val="3"/>
        <w:spacing w:before="120" w:after="120"/>
      </w:pPr>
      <w:bookmarkStart w:id="193" w:name="_Toc88833975"/>
      <w:bookmarkStart w:id="194" w:name="_Toc85444566"/>
      <w:bookmarkStart w:id="195" w:name="_Toc152535471"/>
      <w:r>
        <w:t>防治责任主体</w:t>
      </w:r>
      <w:bookmarkEnd w:id="193"/>
      <w:bookmarkEnd w:id="194"/>
      <w:bookmarkEnd w:id="195"/>
    </w:p>
    <w:p w14:paraId="237AEEC4">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内蒙古包头钢铁冶金开发区金山产业园管理办公室作为园区的管理机构，承担着园区水土流失防治责任范围内水土保持预防与治理的主体责任。该单位对区域水土流失防治目标、措施落实等负有总责，并负责由内蒙古包头钢铁冶金开发区金山产业园管理办公室组织实施的基础设施部分的水土流失防治工作。此外，该单位还需负责组织区域水土保持评估报告的编制及报批工作，并督促建设项目投资主体落实水土保持主体责任及缴纳水土保持补偿费。同时，该单位需协同开展区域内水土保持监测，并配合水行政主管部门对相关违法行为进行调查处理，配合开展区域内建设项目水土保持目标考核。</w:t>
      </w:r>
    </w:p>
    <w:p w14:paraId="0E9F9828">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在包头金山经济开发区内，生产建设项目的建设单位是水土流失防治的直接责任人。按照“谁开发利用谁保护、谁造成水土流失谁负责治理”的原则，项目建设单位依法承担项目建设、运营期间的水土流失防治责任。</w:t>
      </w:r>
    </w:p>
    <w:p w14:paraId="54A970F0">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（3）对于园区未建区域和绿地与开敞空间用地的防治责任，在开建前，责任主体为内蒙古包头钢铁冶金开发区金山产业园管理办公室；而在开建后，责任主体则转变为各建设单位。</w:t>
      </w:r>
    </w:p>
    <w:p w14:paraId="53096E5A">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园区防治责任主体及防治责任范围汇总表</w:t>
      </w:r>
      <w:r>
        <w:rPr>
          <w:rFonts w:cs="Times New Roman"/>
          <w:color w:val="000000" w:themeColor="text1"/>
          <w14:textFill>
            <w14:solidFill>
              <w14:schemeClr w14:val="tx1"/>
            </w14:solidFill>
          </w14:textFill>
        </w:rPr>
        <w:t>见下表2-2。</w:t>
      </w:r>
    </w:p>
    <w:p w14:paraId="18C5D3A8">
      <w:pPr>
        <w:ind w:firstLine="480"/>
        <w:rPr>
          <w:rFonts w:cs="Times New Roman"/>
          <w:color w:val="000000" w:themeColor="text1"/>
          <w14:textFill>
            <w14:solidFill>
              <w14:schemeClr w14:val="tx1"/>
            </w14:solidFill>
          </w14:textFill>
        </w:rPr>
        <w:sectPr>
          <w:headerReference r:id="rId45" w:type="default"/>
          <w:pgSz w:w="11906" w:h="16838"/>
          <w:pgMar w:top="1418" w:right="1418" w:bottom="1418" w:left="1418" w:header="850" w:footer="850" w:gutter="0"/>
          <w:cols w:space="720" w:num="1"/>
          <w:docGrid w:linePitch="326" w:charSpace="0"/>
        </w:sectPr>
      </w:pPr>
    </w:p>
    <w:p w14:paraId="60A3A3B4">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表2-2                                                               园区防治责任主体及防治责任范围汇总表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971"/>
        <w:gridCol w:w="2416"/>
        <w:gridCol w:w="1416"/>
        <w:gridCol w:w="908"/>
        <w:gridCol w:w="935"/>
        <w:gridCol w:w="6416"/>
      </w:tblGrid>
      <w:tr w14:paraId="15F2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tcBorders>
              <w:bottom w:val="double" w:color="auto" w:sz="4" w:space="0"/>
            </w:tcBorders>
            <w:shd w:val="clear" w:color="auto" w:fill="auto"/>
            <w:vAlign w:val="center"/>
          </w:tcPr>
          <w:p w14:paraId="4C4D91E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分区名称</w:t>
            </w:r>
          </w:p>
        </w:tc>
        <w:tc>
          <w:tcPr>
            <w:tcW w:w="0" w:type="auto"/>
            <w:tcBorders>
              <w:bottom w:val="double" w:color="auto" w:sz="4" w:space="0"/>
            </w:tcBorders>
            <w:shd w:val="clear" w:color="auto" w:fill="auto"/>
            <w:vAlign w:val="center"/>
          </w:tcPr>
          <w:p w14:paraId="402A1C2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bottom w:val="double" w:color="auto" w:sz="4" w:space="0"/>
            </w:tcBorders>
            <w:shd w:val="clear" w:color="auto" w:fill="auto"/>
            <w:vAlign w:val="center"/>
          </w:tcPr>
          <w:p w14:paraId="3E25D2F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bottom w:val="double" w:color="auto" w:sz="4" w:space="0"/>
            </w:tcBorders>
            <w:shd w:val="clear" w:color="auto" w:fill="auto"/>
            <w:vAlign w:val="center"/>
          </w:tcPr>
          <w:p w14:paraId="72E9C2C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用地性质</w:t>
            </w:r>
          </w:p>
        </w:tc>
        <w:tc>
          <w:tcPr>
            <w:tcW w:w="0" w:type="auto"/>
            <w:tcBorders>
              <w:bottom w:val="double" w:color="auto" w:sz="4" w:space="0"/>
            </w:tcBorders>
            <w:shd w:val="clear" w:color="auto" w:fill="auto"/>
            <w:vAlign w:val="center"/>
          </w:tcPr>
          <w:p w14:paraId="1FCFC3C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建设状态</w:t>
            </w:r>
          </w:p>
        </w:tc>
        <w:tc>
          <w:tcPr>
            <w:tcW w:w="0" w:type="auto"/>
            <w:tcBorders>
              <w:bottom w:val="double" w:color="auto" w:sz="4" w:space="0"/>
            </w:tcBorders>
            <w:shd w:val="clear" w:color="auto" w:fill="auto"/>
            <w:vAlign w:val="center"/>
          </w:tcPr>
          <w:p w14:paraId="07E91BF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占地面积</w:t>
            </w:r>
          </w:p>
        </w:tc>
        <w:tc>
          <w:tcPr>
            <w:tcW w:w="0" w:type="auto"/>
            <w:tcBorders>
              <w:bottom w:val="double" w:color="auto" w:sz="4" w:space="0"/>
            </w:tcBorders>
            <w:shd w:val="clear" w:color="auto" w:fill="auto"/>
            <w:noWrap/>
            <w:vAlign w:val="center"/>
          </w:tcPr>
          <w:p w14:paraId="168A901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水土流失防治责任主体</w:t>
            </w:r>
          </w:p>
        </w:tc>
      </w:tr>
      <w:tr w14:paraId="477F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restart"/>
            <w:tcBorders>
              <w:top w:val="double" w:color="auto" w:sz="4" w:space="0"/>
            </w:tcBorders>
            <w:shd w:val="clear" w:color="auto" w:fill="auto"/>
            <w:vAlign w:val="center"/>
          </w:tcPr>
          <w:p w14:paraId="60710EB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包头金山经济开发区</w:t>
            </w:r>
          </w:p>
        </w:tc>
        <w:tc>
          <w:tcPr>
            <w:tcW w:w="0" w:type="auto"/>
            <w:vMerge w:val="restart"/>
            <w:tcBorders>
              <w:top w:val="double" w:color="auto" w:sz="4" w:space="0"/>
            </w:tcBorders>
            <w:shd w:val="clear" w:color="auto" w:fill="auto"/>
            <w:vAlign w:val="center"/>
          </w:tcPr>
          <w:p w14:paraId="2186CAF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金山产业园北区</w:t>
            </w:r>
          </w:p>
        </w:tc>
        <w:tc>
          <w:tcPr>
            <w:tcW w:w="0" w:type="auto"/>
            <w:tcBorders>
              <w:top w:val="double" w:color="auto" w:sz="4" w:space="0"/>
            </w:tcBorders>
            <w:shd w:val="clear" w:color="auto" w:fill="auto"/>
            <w:noWrap/>
            <w:vAlign w:val="center"/>
          </w:tcPr>
          <w:p w14:paraId="4DAD73E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公共管理与公共服务用地</w:t>
            </w:r>
          </w:p>
        </w:tc>
        <w:tc>
          <w:tcPr>
            <w:tcW w:w="0" w:type="auto"/>
            <w:tcBorders>
              <w:top w:val="double" w:color="auto" w:sz="4" w:space="0"/>
            </w:tcBorders>
            <w:shd w:val="clear" w:color="auto" w:fill="auto"/>
            <w:noWrap/>
            <w:vAlign w:val="center"/>
          </w:tcPr>
          <w:p w14:paraId="3111358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机关团体用地</w:t>
            </w:r>
          </w:p>
        </w:tc>
        <w:tc>
          <w:tcPr>
            <w:tcW w:w="0" w:type="auto"/>
            <w:tcBorders>
              <w:top w:val="double" w:color="auto" w:sz="4" w:space="0"/>
            </w:tcBorders>
            <w:shd w:val="clear" w:color="auto" w:fill="auto"/>
            <w:noWrap/>
            <w:vAlign w:val="center"/>
          </w:tcPr>
          <w:p w14:paraId="71DB99C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已建区</w:t>
            </w:r>
          </w:p>
        </w:tc>
        <w:tc>
          <w:tcPr>
            <w:tcW w:w="0" w:type="auto"/>
            <w:tcBorders>
              <w:top w:val="double" w:color="auto" w:sz="4" w:space="0"/>
            </w:tcBorders>
            <w:shd w:val="clear" w:color="auto" w:fill="auto"/>
            <w:noWrap/>
            <w:vAlign w:val="center"/>
          </w:tcPr>
          <w:p w14:paraId="1962422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1.07</w:t>
            </w:r>
          </w:p>
        </w:tc>
        <w:tc>
          <w:tcPr>
            <w:tcW w:w="0" w:type="auto"/>
            <w:tcBorders>
              <w:top w:val="double" w:color="auto" w:sz="4" w:space="0"/>
            </w:tcBorders>
            <w:shd w:val="clear" w:color="auto" w:fill="auto"/>
            <w:noWrap/>
            <w:vAlign w:val="center"/>
          </w:tcPr>
          <w:p w14:paraId="1EAB9EE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责任主体为内蒙古包头钢铁冶金开发区金山产业园管理办公室</w:t>
            </w:r>
          </w:p>
        </w:tc>
      </w:tr>
      <w:tr w14:paraId="369D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continue"/>
            <w:vAlign w:val="center"/>
          </w:tcPr>
          <w:p w14:paraId="16A9960E">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2D9387E7">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shd w:val="clear" w:color="auto" w:fill="auto"/>
            <w:vAlign w:val="center"/>
          </w:tcPr>
          <w:p w14:paraId="709ADCB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商业服务业用地</w:t>
            </w:r>
          </w:p>
        </w:tc>
        <w:tc>
          <w:tcPr>
            <w:tcW w:w="0" w:type="auto"/>
            <w:shd w:val="clear" w:color="auto" w:fill="auto"/>
            <w:noWrap/>
            <w:vAlign w:val="center"/>
          </w:tcPr>
          <w:p w14:paraId="2708E89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商业用地</w:t>
            </w:r>
          </w:p>
        </w:tc>
        <w:tc>
          <w:tcPr>
            <w:tcW w:w="0" w:type="auto"/>
            <w:shd w:val="clear" w:color="auto" w:fill="auto"/>
            <w:noWrap/>
            <w:vAlign w:val="center"/>
          </w:tcPr>
          <w:p w14:paraId="0E59C56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已建区</w:t>
            </w:r>
          </w:p>
        </w:tc>
        <w:tc>
          <w:tcPr>
            <w:tcW w:w="0" w:type="auto"/>
            <w:shd w:val="clear" w:color="auto" w:fill="auto"/>
            <w:noWrap/>
            <w:vAlign w:val="center"/>
          </w:tcPr>
          <w:p w14:paraId="1FF361E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4.37</w:t>
            </w:r>
          </w:p>
        </w:tc>
        <w:tc>
          <w:tcPr>
            <w:tcW w:w="0" w:type="auto"/>
            <w:shd w:val="clear" w:color="auto" w:fill="auto"/>
            <w:noWrap/>
            <w:vAlign w:val="center"/>
          </w:tcPr>
          <w:p w14:paraId="1AEF565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责任主体为内蒙古包头钢铁冶金开发区金山产业园管理办公室</w:t>
            </w:r>
          </w:p>
        </w:tc>
      </w:tr>
      <w:tr w14:paraId="1D0C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continue"/>
            <w:vAlign w:val="center"/>
          </w:tcPr>
          <w:p w14:paraId="6D94D03D">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71D10678">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restart"/>
            <w:shd w:val="clear" w:color="auto" w:fill="auto"/>
            <w:vAlign w:val="center"/>
          </w:tcPr>
          <w:p w14:paraId="4691EE0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工矿用地</w:t>
            </w:r>
          </w:p>
        </w:tc>
        <w:tc>
          <w:tcPr>
            <w:tcW w:w="0" w:type="auto"/>
            <w:vMerge w:val="restart"/>
            <w:shd w:val="clear" w:color="auto" w:fill="auto"/>
            <w:noWrap/>
            <w:vAlign w:val="center"/>
          </w:tcPr>
          <w:p w14:paraId="28792A1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工业用地</w:t>
            </w:r>
          </w:p>
        </w:tc>
        <w:tc>
          <w:tcPr>
            <w:tcW w:w="0" w:type="auto"/>
            <w:shd w:val="clear" w:color="auto" w:fill="auto"/>
            <w:noWrap/>
            <w:vAlign w:val="center"/>
          </w:tcPr>
          <w:p w14:paraId="1364385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已建区</w:t>
            </w:r>
          </w:p>
        </w:tc>
        <w:tc>
          <w:tcPr>
            <w:tcW w:w="0" w:type="auto"/>
            <w:shd w:val="clear" w:color="auto" w:fill="auto"/>
            <w:noWrap/>
            <w:vAlign w:val="center"/>
          </w:tcPr>
          <w:p w14:paraId="64DF4F3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696.08 </w:t>
            </w:r>
          </w:p>
        </w:tc>
        <w:tc>
          <w:tcPr>
            <w:tcW w:w="0" w:type="auto"/>
            <w:shd w:val="clear" w:color="auto" w:fill="auto"/>
            <w:noWrap/>
            <w:vAlign w:val="center"/>
          </w:tcPr>
          <w:p w14:paraId="531AE9B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责任主体为 建设单位，具体建设单位见表 1-7</w:t>
            </w:r>
          </w:p>
        </w:tc>
      </w:tr>
      <w:tr w14:paraId="6A8E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continue"/>
            <w:vAlign w:val="center"/>
          </w:tcPr>
          <w:p w14:paraId="78C3E9C9">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2F8D0DA4">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7BC6F626">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74B72793">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shd w:val="clear" w:color="auto" w:fill="auto"/>
            <w:noWrap/>
            <w:vAlign w:val="center"/>
          </w:tcPr>
          <w:p w14:paraId="1DC436C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未建区</w:t>
            </w:r>
          </w:p>
        </w:tc>
        <w:tc>
          <w:tcPr>
            <w:tcW w:w="0" w:type="auto"/>
            <w:shd w:val="clear" w:color="auto" w:fill="auto"/>
            <w:noWrap/>
            <w:vAlign w:val="center"/>
          </w:tcPr>
          <w:p w14:paraId="6E9C82B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308.2</w:t>
            </w:r>
          </w:p>
        </w:tc>
        <w:tc>
          <w:tcPr>
            <w:tcW w:w="0" w:type="auto"/>
            <w:shd w:val="clear" w:color="auto" w:fill="auto"/>
            <w:noWrap/>
            <w:vAlign w:val="center"/>
          </w:tcPr>
          <w:p w14:paraId="33AD1F9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开建前责任主体为</w:t>
            </w:r>
            <w:r>
              <w:rPr>
                <w:rFonts w:hint="eastAsia" w:cs="Times New Roman"/>
                <w:color w:val="000000" w:themeColor="text1"/>
                <w:sz w:val="20"/>
                <w:szCs w:val="20"/>
                <w14:textFill>
                  <w14:solidFill>
                    <w14:schemeClr w14:val="tx1"/>
                  </w14:solidFill>
                </w14:textFill>
              </w:rPr>
              <w:t>内蒙古包头钢铁冶金开发区金山产业园管理办公室</w:t>
            </w:r>
            <w:r>
              <w:rPr>
                <w:rFonts w:cs="Times New Roman"/>
                <w:color w:val="000000" w:themeColor="text1"/>
                <w:sz w:val="20"/>
                <w:szCs w:val="20"/>
                <w14:textFill>
                  <w14:solidFill>
                    <w14:schemeClr w14:val="tx1"/>
                  </w14:solidFill>
                </w14:textFill>
              </w:rPr>
              <w:t>；</w:t>
            </w:r>
          </w:p>
          <w:p w14:paraId="6EA1F82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开建后责任主体为建设单位</w:t>
            </w:r>
          </w:p>
        </w:tc>
      </w:tr>
      <w:tr w14:paraId="5F9E0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continue"/>
            <w:vAlign w:val="center"/>
          </w:tcPr>
          <w:p w14:paraId="3F68C1CD">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3E1303C5">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restart"/>
            <w:shd w:val="clear" w:color="auto" w:fill="auto"/>
            <w:vAlign w:val="center"/>
          </w:tcPr>
          <w:p w14:paraId="7D51BC6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交通运输用地</w:t>
            </w:r>
          </w:p>
        </w:tc>
        <w:tc>
          <w:tcPr>
            <w:tcW w:w="0" w:type="auto"/>
            <w:vMerge w:val="restart"/>
            <w:shd w:val="clear" w:color="auto" w:fill="auto"/>
            <w:noWrap/>
            <w:vAlign w:val="center"/>
          </w:tcPr>
          <w:p w14:paraId="58CFA81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城镇道路用地</w:t>
            </w:r>
          </w:p>
        </w:tc>
        <w:tc>
          <w:tcPr>
            <w:tcW w:w="0" w:type="auto"/>
            <w:shd w:val="clear" w:color="auto" w:fill="auto"/>
            <w:noWrap/>
            <w:vAlign w:val="center"/>
          </w:tcPr>
          <w:p w14:paraId="05BA7F2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已建区</w:t>
            </w:r>
          </w:p>
        </w:tc>
        <w:tc>
          <w:tcPr>
            <w:tcW w:w="0" w:type="auto"/>
            <w:shd w:val="clear" w:color="auto" w:fill="auto"/>
            <w:noWrap/>
            <w:vAlign w:val="center"/>
          </w:tcPr>
          <w:p w14:paraId="63FF152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71.01</w:t>
            </w:r>
          </w:p>
        </w:tc>
        <w:tc>
          <w:tcPr>
            <w:tcW w:w="0" w:type="auto"/>
            <w:shd w:val="clear" w:color="auto" w:fill="auto"/>
            <w:noWrap/>
            <w:vAlign w:val="center"/>
          </w:tcPr>
          <w:p w14:paraId="0BE1F69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责任主体为内蒙古包头钢铁冶金开发区金山产业园管理办公室</w:t>
            </w:r>
          </w:p>
        </w:tc>
      </w:tr>
      <w:tr w14:paraId="1428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continue"/>
            <w:vAlign w:val="center"/>
          </w:tcPr>
          <w:p w14:paraId="6B3055EC">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3419CD3C">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28C7569C">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1797C11E">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shd w:val="clear" w:color="auto" w:fill="auto"/>
            <w:noWrap/>
            <w:vAlign w:val="center"/>
          </w:tcPr>
          <w:p w14:paraId="66FB800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未建区</w:t>
            </w:r>
          </w:p>
        </w:tc>
        <w:tc>
          <w:tcPr>
            <w:tcW w:w="0" w:type="auto"/>
            <w:shd w:val="clear" w:color="auto" w:fill="auto"/>
            <w:noWrap/>
            <w:vAlign w:val="center"/>
          </w:tcPr>
          <w:p w14:paraId="144CBE9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7.61</w:t>
            </w:r>
          </w:p>
        </w:tc>
        <w:tc>
          <w:tcPr>
            <w:tcW w:w="0" w:type="auto"/>
            <w:shd w:val="clear" w:color="auto" w:fill="auto"/>
            <w:noWrap/>
            <w:vAlign w:val="center"/>
          </w:tcPr>
          <w:p w14:paraId="00FEA3F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责任主体为内蒙古包头钢铁冶金开发区金山产业园管理办公室</w:t>
            </w:r>
          </w:p>
        </w:tc>
      </w:tr>
      <w:tr w14:paraId="2107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continue"/>
            <w:vAlign w:val="center"/>
          </w:tcPr>
          <w:p w14:paraId="2C43C3AB">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52167999">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3E0BADF9">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shd w:val="clear" w:color="auto" w:fill="auto"/>
            <w:noWrap/>
            <w:vAlign w:val="center"/>
          </w:tcPr>
          <w:p w14:paraId="3ABBF17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交通场站用地</w:t>
            </w:r>
          </w:p>
        </w:tc>
        <w:tc>
          <w:tcPr>
            <w:tcW w:w="0" w:type="auto"/>
            <w:shd w:val="clear" w:color="auto" w:fill="auto"/>
            <w:noWrap/>
            <w:vAlign w:val="center"/>
          </w:tcPr>
          <w:p w14:paraId="6CB927D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已建区</w:t>
            </w:r>
          </w:p>
        </w:tc>
        <w:tc>
          <w:tcPr>
            <w:tcW w:w="0" w:type="auto"/>
            <w:shd w:val="clear" w:color="auto" w:fill="auto"/>
            <w:noWrap/>
            <w:vAlign w:val="center"/>
          </w:tcPr>
          <w:p w14:paraId="5A1674D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12.08</w:t>
            </w:r>
          </w:p>
        </w:tc>
        <w:tc>
          <w:tcPr>
            <w:tcW w:w="0" w:type="auto"/>
            <w:shd w:val="clear" w:color="auto" w:fill="auto"/>
            <w:noWrap/>
            <w:vAlign w:val="center"/>
          </w:tcPr>
          <w:p w14:paraId="3EF714B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责任主体为内蒙古包头钢铁冶金开发区金山产业园管理办公室</w:t>
            </w:r>
          </w:p>
        </w:tc>
      </w:tr>
      <w:tr w14:paraId="3A088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continue"/>
            <w:vAlign w:val="center"/>
          </w:tcPr>
          <w:p w14:paraId="16FC570E">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3BBBBDBD">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restart"/>
            <w:shd w:val="clear" w:color="auto" w:fill="auto"/>
            <w:vAlign w:val="center"/>
          </w:tcPr>
          <w:p w14:paraId="56DC80F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公用设施用地</w:t>
            </w:r>
          </w:p>
        </w:tc>
        <w:tc>
          <w:tcPr>
            <w:tcW w:w="0" w:type="auto"/>
            <w:shd w:val="clear" w:color="auto" w:fill="auto"/>
            <w:noWrap/>
            <w:vAlign w:val="center"/>
          </w:tcPr>
          <w:p w14:paraId="61C86EF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排水用地</w:t>
            </w:r>
          </w:p>
        </w:tc>
        <w:tc>
          <w:tcPr>
            <w:tcW w:w="0" w:type="auto"/>
            <w:shd w:val="clear" w:color="auto" w:fill="auto"/>
            <w:noWrap/>
            <w:vAlign w:val="center"/>
          </w:tcPr>
          <w:p w14:paraId="0B0BC2B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已建区</w:t>
            </w:r>
          </w:p>
        </w:tc>
        <w:tc>
          <w:tcPr>
            <w:tcW w:w="0" w:type="auto"/>
            <w:shd w:val="clear" w:color="auto" w:fill="auto"/>
            <w:noWrap/>
            <w:vAlign w:val="center"/>
          </w:tcPr>
          <w:p w14:paraId="19F3E57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2.04</w:t>
            </w:r>
          </w:p>
        </w:tc>
        <w:tc>
          <w:tcPr>
            <w:tcW w:w="0" w:type="auto"/>
            <w:shd w:val="clear" w:color="auto" w:fill="auto"/>
            <w:noWrap/>
            <w:vAlign w:val="center"/>
          </w:tcPr>
          <w:p w14:paraId="07C44DA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责任主体为内蒙古包头钢铁冶金开发区金山产业园管理办公室</w:t>
            </w:r>
          </w:p>
        </w:tc>
      </w:tr>
      <w:tr w14:paraId="5A1E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continue"/>
            <w:vAlign w:val="center"/>
          </w:tcPr>
          <w:p w14:paraId="08679805">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4D7BA82D">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7F62717B">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shd w:val="clear" w:color="auto" w:fill="auto"/>
            <w:noWrap/>
            <w:vAlign w:val="center"/>
          </w:tcPr>
          <w:p w14:paraId="1EEBB48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供电用地</w:t>
            </w:r>
          </w:p>
        </w:tc>
        <w:tc>
          <w:tcPr>
            <w:tcW w:w="0" w:type="auto"/>
            <w:shd w:val="clear" w:color="auto" w:fill="auto"/>
            <w:noWrap/>
            <w:vAlign w:val="center"/>
          </w:tcPr>
          <w:p w14:paraId="0C88CB5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已建区</w:t>
            </w:r>
          </w:p>
        </w:tc>
        <w:tc>
          <w:tcPr>
            <w:tcW w:w="0" w:type="auto"/>
            <w:shd w:val="clear" w:color="auto" w:fill="auto"/>
            <w:noWrap/>
            <w:vAlign w:val="center"/>
          </w:tcPr>
          <w:p w14:paraId="08CE138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2.87</w:t>
            </w:r>
          </w:p>
        </w:tc>
        <w:tc>
          <w:tcPr>
            <w:tcW w:w="0" w:type="auto"/>
            <w:shd w:val="clear" w:color="auto" w:fill="auto"/>
            <w:noWrap/>
            <w:vAlign w:val="center"/>
          </w:tcPr>
          <w:p w14:paraId="473FB5E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责任主体为内蒙古包头钢铁冶金开发区金山产业园管理办公室</w:t>
            </w:r>
          </w:p>
        </w:tc>
      </w:tr>
      <w:tr w14:paraId="32D9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continue"/>
            <w:vAlign w:val="center"/>
          </w:tcPr>
          <w:p w14:paraId="2720DD0E">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7109D466">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327A1EA7">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shd w:val="clear" w:color="auto" w:fill="auto"/>
            <w:noWrap/>
            <w:vAlign w:val="center"/>
          </w:tcPr>
          <w:p w14:paraId="516A885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供燃气用地</w:t>
            </w:r>
          </w:p>
        </w:tc>
        <w:tc>
          <w:tcPr>
            <w:tcW w:w="0" w:type="auto"/>
            <w:shd w:val="clear" w:color="auto" w:fill="auto"/>
            <w:noWrap/>
            <w:vAlign w:val="center"/>
          </w:tcPr>
          <w:p w14:paraId="7186EA7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已建区</w:t>
            </w:r>
          </w:p>
        </w:tc>
        <w:tc>
          <w:tcPr>
            <w:tcW w:w="0" w:type="auto"/>
            <w:shd w:val="clear" w:color="auto" w:fill="auto"/>
            <w:noWrap/>
            <w:vAlign w:val="center"/>
          </w:tcPr>
          <w:p w14:paraId="410BC64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3.06</w:t>
            </w:r>
          </w:p>
        </w:tc>
        <w:tc>
          <w:tcPr>
            <w:tcW w:w="0" w:type="auto"/>
            <w:shd w:val="clear" w:color="auto" w:fill="auto"/>
            <w:noWrap/>
            <w:vAlign w:val="center"/>
          </w:tcPr>
          <w:p w14:paraId="66D4C4B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责任主体为包头港华燃气有限公司</w:t>
            </w:r>
          </w:p>
        </w:tc>
      </w:tr>
      <w:tr w14:paraId="21EE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continue"/>
            <w:vAlign w:val="center"/>
          </w:tcPr>
          <w:p w14:paraId="5CC6B310">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11CABCA4">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61C0E012">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shd w:val="clear" w:color="auto" w:fill="auto"/>
            <w:noWrap/>
            <w:vAlign w:val="center"/>
          </w:tcPr>
          <w:p w14:paraId="4595361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环卫用地</w:t>
            </w:r>
          </w:p>
        </w:tc>
        <w:tc>
          <w:tcPr>
            <w:tcW w:w="0" w:type="auto"/>
            <w:shd w:val="clear" w:color="auto" w:fill="auto"/>
            <w:noWrap/>
            <w:vAlign w:val="center"/>
          </w:tcPr>
          <w:p w14:paraId="307494B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已建区</w:t>
            </w:r>
          </w:p>
        </w:tc>
        <w:tc>
          <w:tcPr>
            <w:tcW w:w="0" w:type="auto"/>
            <w:shd w:val="clear" w:color="auto" w:fill="auto"/>
            <w:noWrap/>
            <w:vAlign w:val="center"/>
          </w:tcPr>
          <w:p w14:paraId="4C4812D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2.04</w:t>
            </w:r>
          </w:p>
        </w:tc>
        <w:tc>
          <w:tcPr>
            <w:tcW w:w="0" w:type="auto"/>
            <w:shd w:val="clear" w:color="auto" w:fill="auto"/>
            <w:noWrap/>
            <w:vAlign w:val="center"/>
          </w:tcPr>
          <w:p w14:paraId="5748C92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责任主体为内蒙古包头钢铁冶金开发区金山产业园管理办公室</w:t>
            </w:r>
          </w:p>
        </w:tc>
      </w:tr>
      <w:tr w14:paraId="687B5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continue"/>
            <w:vAlign w:val="center"/>
          </w:tcPr>
          <w:p w14:paraId="3BF66396">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61B00635">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7172C25E">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shd w:val="clear" w:color="auto" w:fill="auto"/>
            <w:noWrap/>
            <w:vAlign w:val="center"/>
          </w:tcPr>
          <w:p w14:paraId="78F74A9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消防用地</w:t>
            </w:r>
          </w:p>
        </w:tc>
        <w:tc>
          <w:tcPr>
            <w:tcW w:w="0" w:type="auto"/>
            <w:shd w:val="clear" w:color="auto" w:fill="auto"/>
            <w:noWrap/>
            <w:vAlign w:val="center"/>
          </w:tcPr>
          <w:p w14:paraId="208CE10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已建区</w:t>
            </w:r>
          </w:p>
        </w:tc>
        <w:tc>
          <w:tcPr>
            <w:tcW w:w="0" w:type="auto"/>
            <w:shd w:val="clear" w:color="auto" w:fill="auto"/>
            <w:noWrap/>
            <w:vAlign w:val="center"/>
          </w:tcPr>
          <w:p w14:paraId="4E08B2B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0.65</w:t>
            </w:r>
          </w:p>
        </w:tc>
        <w:tc>
          <w:tcPr>
            <w:tcW w:w="0" w:type="auto"/>
            <w:shd w:val="clear" w:color="auto" w:fill="auto"/>
            <w:noWrap/>
            <w:vAlign w:val="center"/>
          </w:tcPr>
          <w:p w14:paraId="1C19A8F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责任主体为内蒙古包头钢铁冶金开发区金山产业园管理办公室</w:t>
            </w:r>
          </w:p>
        </w:tc>
      </w:tr>
      <w:tr w14:paraId="1BD57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continue"/>
            <w:vAlign w:val="center"/>
          </w:tcPr>
          <w:p w14:paraId="7F7B59E5">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2A021D2E">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shd w:val="clear" w:color="auto" w:fill="auto"/>
            <w:vAlign w:val="center"/>
          </w:tcPr>
          <w:p w14:paraId="2DBBDC2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绿地与开敞空间用地</w:t>
            </w:r>
          </w:p>
        </w:tc>
        <w:tc>
          <w:tcPr>
            <w:tcW w:w="0" w:type="auto"/>
            <w:shd w:val="clear" w:color="auto" w:fill="auto"/>
            <w:noWrap/>
            <w:vAlign w:val="center"/>
          </w:tcPr>
          <w:p w14:paraId="3D3559F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防护绿地</w:t>
            </w:r>
          </w:p>
        </w:tc>
        <w:tc>
          <w:tcPr>
            <w:tcW w:w="0" w:type="auto"/>
            <w:shd w:val="clear" w:color="auto" w:fill="auto"/>
            <w:noWrap/>
            <w:vAlign w:val="center"/>
          </w:tcPr>
          <w:p w14:paraId="0934E4C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已建区</w:t>
            </w:r>
          </w:p>
        </w:tc>
        <w:tc>
          <w:tcPr>
            <w:tcW w:w="0" w:type="auto"/>
            <w:shd w:val="clear" w:color="auto" w:fill="auto"/>
            <w:noWrap/>
            <w:vAlign w:val="center"/>
          </w:tcPr>
          <w:p w14:paraId="7862116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3.54</w:t>
            </w:r>
          </w:p>
        </w:tc>
        <w:tc>
          <w:tcPr>
            <w:tcW w:w="0" w:type="auto"/>
            <w:shd w:val="clear" w:color="auto" w:fill="auto"/>
            <w:noWrap/>
            <w:vAlign w:val="center"/>
          </w:tcPr>
          <w:p w14:paraId="7AFEDC3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责任主体为内蒙古包头钢铁冶金开发区金山产业园管理办公室</w:t>
            </w:r>
          </w:p>
        </w:tc>
      </w:tr>
      <w:tr w14:paraId="4C246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continue"/>
            <w:vAlign w:val="center"/>
          </w:tcPr>
          <w:p w14:paraId="31BBC8B4">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shd w:val="clear" w:color="auto" w:fill="auto"/>
            <w:vAlign w:val="center"/>
          </w:tcPr>
          <w:p w14:paraId="43B0E1E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小计</w:t>
            </w:r>
          </w:p>
        </w:tc>
        <w:tc>
          <w:tcPr>
            <w:tcW w:w="0" w:type="auto"/>
            <w:shd w:val="clear" w:color="auto" w:fill="auto"/>
            <w:vAlign w:val="center"/>
          </w:tcPr>
          <w:p w14:paraId="7CF0CC7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shd w:val="clear" w:color="auto" w:fill="auto"/>
            <w:noWrap/>
            <w:vAlign w:val="center"/>
          </w:tcPr>
          <w:p w14:paraId="2E518CC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shd w:val="clear" w:color="auto" w:fill="auto"/>
            <w:noWrap/>
            <w:vAlign w:val="center"/>
          </w:tcPr>
          <w:p w14:paraId="577A5D3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shd w:val="clear" w:color="auto" w:fill="auto"/>
            <w:noWrap/>
            <w:vAlign w:val="center"/>
          </w:tcPr>
          <w:p w14:paraId="73DF0CE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1114.62</w:t>
            </w:r>
          </w:p>
        </w:tc>
        <w:tc>
          <w:tcPr>
            <w:tcW w:w="0" w:type="auto"/>
            <w:shd w:val="clear" w:color="auto" w:fill="auto"/>
            <w:noWrap/>
            <w:vAlign w:val="center"/>
          </w:tcPr>
          <w:p w14:paraId="30C2C51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r>
      <w:tr w14:paraId="27CAA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continue"/>
            <w:vAlign w:val="center"/>
          </w:tcPr>
          <w:p w14:paraId="58C24637">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restart"/>
            <w:shd w:val="clear" w:color="auto" w:fill="auto"/>
            <w:vAlign w:val="center"/>
          </w:tcPr>
          <w:p w14:paraId="02C96B7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下湿壕片区</w:t>
            </w:r>
          </w:p>
        </w:tc>
        <w:tc>
          <w:tcPr>
            <w:tcW w:w="0" w:type="auto"/>
            <w:shd w:val="clear" w:color="auto" w:fill="auto"/>
            <w:vAlign w:val="center"/>
          </w:tcPr>
          <w:p w14:paraId="1DAF08F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工矿用地</w:t>
            </w:r>
          </w:p>
        </w:tc>
        <w:tc>
          <w:tcPr>
            <w:tcW w:w="0" w:type="auto"/>
            <w:shd w:val="clear" w:color="auto" w:fill="auto"/>
            <w:noWrap/>
            <w:vAlign w:val="center"/>
          </w:tcPr>
          <w:p w14:paraId="0BC3579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工业用地</w:t>
            </w:r>
          </w:p>
        </w:tc>
        <w:tc>
          <w:tcPr>
            <w:tcW w:w="0" w:type="auto"/>
            <w:shd w:val="clear" w:color="auto" w:fill="auto"/>
            <w:noWrap/>
            <w:vAlign w:val="center"/>
          </w:tcPr>
          <w:p w14:paraId="22DD040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已建区</w:t>
            </w:r>
          </w:p>
        </w:tc>
        <w:tc>
          <w:tcPr>
            <w:tcW w:w="0" w:type="auto"/>
            <w:shd w:val="clear" w:color="auto" w:fill="auto"/>
            <w:noWrap/>
            <w:vAlign w:val="center"/>
          </w:tcPr>
          <w:p w14:paraId="40B3795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147.08</w:t>
            </w:r>
          </w:p>
        </w:tc>
        <w:tc>
          <w:tcPr>
            <w:tcW w:w="0" w:type="auto"/>
            <w:shd w:val="clear" w:color="auto" w:fill="auto"/>
            <w:noWrap/>
            <w:vAlign w:val="center"/>
          </w:tcPr>
          <w:p w14:paraId="1DFF781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责任主体为 建设单位，具体建设单位见表 1-8</w:t>
            </w:r>
          </w:p>
        </w:tc>
      </w:tr>
      <w:tr w14:paraId="42C35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continue"/>
            <w:vAlign w:val="center"/>
          </w:tcPr>
          <w:p w14:paraId="616FAF0F">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5D75517C">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shd w:val="clear" w:color="auto" w:fill="auto"/>
            <w:vAlign w:val="center"/>
          </w:tcPr>
          <w:p w14:paraId="787322C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交通运输用地</w:t>
            </w:r>
          </w:p>
        </w:tc>
        <w:tc>
          <w:tcPr>
            <w:tcW w:w="0" w:type="auto"/>
            <w:shd w:val="clear" w:color="auto" w:fill="auto"/>
            <w:noWrap/>
            <w:vAlign w:val="center"/>
          </w:tcPr>
          <w:p w14:paraId="3657BED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城镇道路用地</w:t>
            </w:r>
          </w:p>
        </w:tc>
        <w:tc>
          <w:tcPr>
            <w:tcW w:w="0" w:type="auto"/>
            <w:shd w:val="clear" w:color="auto" w:fill="auto"/>
            <w:noWrap/>
            <w:vAlign w:val="center"/>
          </w:tcPr>
          <w:p w14:paraId="65EA557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已建区</w:t>
            </w:r>
          </w:p>
        </w:tc>
        <w:tc>
          <w:tcPr>
            <w:tcW w:w="0" w:type="auto"/>
            <w:shd w:val="clear" w:color="auto" w:fill="auto"/>
            <w:noWrap/>
            <w:vAlign w:val="center"/>
          </w:tcPr>
          <w:p w14:paraId="3357585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3.09</w:t>
            </w:r>
          </w:p>
        </w:tc>
        <w:tc>
          <w:tcPr>
            <w:tcW w:w="0" w:type="auto"/>
            <w:shd w:val="clear" w:color="auto" w:fill="auto"/>
            <w:noWrap/>
            <w:vAlign w:val="center"/>
          </w:tcPr>
          <w:p w14:paraId="7E83732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责任主体为内蒙古包头钢铁冶金开发区金山产业园管理办公室</w:t>
            </w:r>
          </w:p>
        </w:tc>
      </w:tr>
      <w:tr w14:paraId="4A30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continue"/>
            <w:vAlign w:val="center"/>
          </w:tcPr>
          <w:p w14:paraId="56A537E3">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771E4FE3">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shd w:val="clear" w:color="auto" w:fill="auto"/>
            <w:vAlign w:val="center"/>
          </w:tcPr>
          <w:p w14:paraId="132C420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绿地与开敞空间用地</w:t>
            </w:r>
          </w:p>
        </w:tc>
        <w:tc>
          <w:tcPr>
            <w:tcW w:w="0" w:type="auto"/>
            <w:shd w:val="clear" w:color="auto" w:fill="auto"/>
            <w:noWrap/>
            <w:vAlign w:val="center"/>
          </w:tcPr>
          <w:p w14:paraId="6DD5402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防护绿地</w:t>
            </w:r>
          </w:p>
        </w:tc>
        <w:tc>
          <w:tcPr>
            <w:tcW w:w="0" w:type="auto"/>
            <w:shd w:val="clear" w:color="auto" w:fill="auto"/>
            <w:noWrap/>
            <w:vAlign w:val="center"/>
          </w:tcPr>
          <w:p w14:paraId="0507D9C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已建区</w:t>
            </w:r>
          </w:p>
        </w:tc>
        <w:tc>
          <w:tcPr>
            <w:tcW w:w="0" w:type="auto"/>
            <w:shd w:val="clear" w:color="auto" w:fill="auto"/>
            <w:noWrap/>
            <w:vAlign w:val="center"/>
          </w:tcPr>
          <w:p w14:paraId="3D442D6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1.83</w:t>
            </w:r>
          </w:p>
        </w:tc>
        <w:tc>
          <w:tcPr>
            <w:tcW w:w="0" w:type="auto"/>
            <w:shd w:val="clear" w:color="auto" w:fill="auto"/>
            <w:noWrap/>
            <w:vAlign w:val="center"/>
          </w:tcPr>
          <w:p w14:paraId="041C571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责任主体为内蒙古包头钢铁冶金开发区金山产业园管理办公室</w:t>
            </w:r>
          </w:p>
        </w:tc>
      </w:tr>
      <w:tr w14:paraId="137A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continue"/>
            <w:vAlign w:val="center"/>
          </w:tcPr>
          <w:p w14:paraId="508DD692">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vAlign w:val="center"/>
          </w:tcPr>
          <w:p w14:paraId="29AEEB61">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shd w:val="clear" w:color="auto" w:fill="auto"/>
            <w:noWrap/>
            <w:vAlign w:val="center"/>
          </w:tcPr>
          <w:p w14:paraId="46E98F9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陆地水域</w:t>
            </w:r>
          </w:p>
        </w:tc>
        <w:tc>
          <w:tcPr>
            <w:tcW w:w="0" w:type="auto"/>
            <w:shd w:val="clear" w:color="auto" w:fill="auto"/>
            <w:noWrap/>
            <w:vAlign w:val="center"/>
          </w:tcPr>
          <w:p w14:paraId="672C146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陆地水域</w:t>
            </w:r>
          </w:p>
        </w:tc>
        <w:tc>
          <w:tcPr>
            <w:tcW w:w="0" w:type="auto"/>
            <w:shd w:val="clear" w:color="auto" w:fill="auto"/>
            <w:noWrap/>
            <w:vAlign w:val="center"/>
          </w:tcPr>
          <w:p w14:paraId="5EF72CB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已建区</w:t>
            </w:r>
          </w:p>
        </w:tc>
        <w:tc>
          <w:tcPr>
            <w:tcW w:w="0" w:type="auto"/>
            <w:shd w:val="clear" w:color="auto" w:fill="auto"/>
            <w:noWrap/>
            <w:vAlign w:val="center"/>
          </w:tcPr>
          <w:p w14:paraId="0C125D5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1.1</w:t>
            </w:r>
          </w:p>
        </w:tc>
        <w:tc>
          <w:tcPr>
            <w:tcW w:w="0" w:type="auto"/>
            <w:shd w:val="clear" w:color="auto" w:fill="auto"/>
            <w:noWrap/>
            <w:vAlign w:val="center"/>
          </w:tcPr>
          <w:p w14:paraId="1327918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责任主体为内蒙古包头钢铁冶金开发区金山产业园管理办公室</w:t>
            </w:r>
          </w:p>
        </w:tc>
      </w:tr>
      <w:tr w14:paraId="4494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continue"/>
            <w:vAlign w:val="center"/>
          </w:tcPr>
          <w:p w14:paraId="25728671">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shd w:val="clear" w:color="auto" w:fill="auto"/>
            <w:vAlign w:val="center"/>
          </w:tcPr>
          <w:p w14:paraId="367D77E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小计</w:t>
            </w:r>
          </w:p>
        </w:tc>
        <w:tc>
          <w:tcPr>
            <w:tcW w:w="0" w:type="auto"/>
            <w:shd w:val="clear" w:color="auto" w:fill="auto"/>
            <w:noWrap/>
            <w:vAlign w:val="center"/>
          </w:tcPr>
          <w:p w14:paraId="411BAF5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shd w:val="clear" w:color="auto" w:fill="auto"/>
            <w:noWrap/>
            <w:vAlign w:val="center"/>
          </w:tcPr>
          <w:p w14:paraId="20A6256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shd w:val="clear" w:color="auto" w:fill="auto"/>
            <w:noWrap/>
            <w:vAlign w:val="center"/>
          </w:tcPr>
          <w:p w14:paraId="4DC1DC3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shd w:val="clear" w:color="auto" w:fill="auto"/>
            <w:noWrap/>
            <w:vAlign w:val="center"/>
          </w:tcPr>
          <w:p w14:paraId="4C24E74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153.1</w:t>
            </w:r>
          </w:p>
        </w:tc>
        <w:tc>
          <w:tcPr>
            <w:tcW w:w="0" w:type="auto"/>
            <w:shd w:val="clear" w:color="auto" w:fill="auto"/>
            <w:noWrap/>
            <w:vAlign w:val="center"/>
          </w:tcPr>
          <w:p w14:paraId="5FFEF86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r>
      <w:tr w14:paraId="016BF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vMerge w:val="continue"/>
            <w:vAlign w:val="center"/>
          </w:tcPr>
          <w:p w14:paraId="0747D042">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shd w:val="clear" w:color="auto" w:fill="auto"/>
            <w:vAlign w:val="center"/>
          </w:tcPr>
          <w:p w14:paraId="4D7E8B9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合计</w:t>
            </w:r>
          </w:p>
        </w:tc>
        <w:tc>
          <w:tcPr>
            <w:tcW w:w="0" w:type="auto"/>
            <w:shd w:val="clear" w:color="auto" w:fill="auto"/>
            <w:noWrap/>
            <w:vAlign w:val="center"/>
          </w:tcPr>
          <w:p w14:paraId="204B9B4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shd w:val="clear" w:color="auto" w:fill="auto"/>
            <w:noWrap/>
            <w:vAlign w:val="center"/>
          </w:tcPr>
          <w:p w14:paraId="61C4F7A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shd w:val="clear" w:color="auto" w:fill="auto"/>
            <w:noWrap/>
            <w:vAlign w:val="center"/>
          </w:tcPr>
          <w:p w14:paraId="45E31F6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shd w:val="clear" w:color="auto" w:fill="auto"/>
            <w:noWrap/>
            <w:vAlign w:val="center"/>
          </w:tcPr>
          <w:p w14:paraId="7760411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1267.72</w:t>
            </w:r>
          </w:p>
        </w:tc>
        <w:tc>
          <w:tcPr>
            <w:tcW w:w="0" w:type="auto"/>
            <w:shd w:val="clear" w:color="auto" w:fill="auto"/>
            <w:noWrap/>
            <w:vAlign w:val="center"/>
          </w:tcPr>
          <w:p w14:paraId="23C772D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r>
    </w:tbl>
    <w:p w14:paraId="49AE9752">
      <w:pPr>
        <w:ind w:firstLine="480"/>
        <w:rPr>
          <w:rFonts w:cs="Times New Roman"/>
          <w:color w:val="000000" w:themeColor="text1"/>
          <w14:textFill>
            <w14:solidFill>
              <w14:schemeClr w14:val="tx1"/>
            </w14:solidFill>
          </w14:textFill>
        </w:rPr>
        <w:sectPr>
          <w:footerReference r:id="rId46" w:type="default"/>
          <w:pgSz w:w="16838" w:h="11906" w:orient="landscape"/>
          <w:pgMar w:top="1418" w:right="1418" w:bottom="1418" w:left="1418" w:header="850" w:footer="850" w:gutter="0"/>
          <w:cols w:space="720" w:num="1"/>
          <w:docGrid w:linePitch="326" w:charSpace="0"/>
        </w:sectPr>
      </w:pPr>
    </w:p>
    <w:bookmarkEnd w:id="179"/>
    <w:bookmarkEnd w:id="180"/>
    <w:bookmarkEnd w:id="181"/>
    <w:bookmarkEnd w:id="182"/>
    <w:bookmarkEnd w:id="183"/>
    <w:bookmarkEnd w:id="184"/>
    <w:bookmarkEnd w:id="185"/>
    <w:bookmarkEnd w:id="186"/>
    <w:bookmarkEnd w:id="187"/>
    <w:bookmarkEnd w:id="188"/>
    <w:bookmarkEnd w:id="189"/>
    <w:bookmarkEnd w:id="190"/>
    <w:bookmarkEnd w:id="191"/>
    <w:p w14:paraId="4FC715D8">
      <w:pPr>
        <w:pStyle w:val="2"/>
        <w:rPr>
          <w:color w:val="000000" w:themeColor="text1"/>
          <w14:textFill>
            <w14:solidFill>
              <w14:schemeClr w14:val="tx1"/>
            </w14:solidFill>
          </w14:textFill>
        </w:rPr>
      </w:pPr>
      <w:bookmarkStart w:id="196" w:name="_Toc152535472"/>
      <w:bookmarkStart w:id="197" w:name="_Toc88833976"/>
      <w:bookmarkStart w:id="198" w:name="_Toc88821215"/>
      <w:bookmarkStart w:id="199" w:name="_Toc85444447"/>
      <w:bookmarkStart w:id="200" w:name="_Toc85444569"/>
      <w:bookmarkStart w:id="201" w:name="_Toc85444723"/>
      <w:r>
        <w:rPr>
          <w:color w:val="000000" w:themeColor="text1"/>
          <w14:textFill>
            <w14:solidFill>
              <w14:schemeClr w14:val="tx1"/>
            </w14:solidFill>
          </w14:textFill>
        </w:rPr>
        <w:t>水土保持分析与评价</w:t>
      </w:r>
      <w:bookmarkEnd w:id="196"/>
      <w:bookmarkEnd w:id="197"/>
      <w:bookmarkEnd w:id="198"/>
    </w:p>
    <w:bookmarkEnd w:id="199"/>
    <w:bookmarkEnd w:id="200"/>
    <w:bookmarkEnd w:id="201"/>
    <w:p w14:paraId="519600DD">
      <w:pPr>
        <w:pStyle w:val="3"/>
        <w:spacing w:before="120" w:after="120"/>
      </w:pPr>
      <w:bookmarkStart w:id="202" w:name="_Toc85444724"/>
      <w:bookmarkStart w:id="203" w:name="_Toc85444448"/>
      <w:bookmarkStart w:id="204" w:name="_Toc88821216"/>
      <w:bookmarkStart w:id="205" w:name="_Toc88833977"/>
      <w:bookmarkStart w:id="206" w:name="_Toc85444570"/>
      <w:bookmarkStart w:id="207" w:name="_Toc152535473"/>
      <w:r>
        <w:t>规划方案合理性评价</w:t>
      </w:r>
      <w:bookmarkEnd w:id="202"/>
      <w:bookmarkEnd w:id="203"/>
      <w:bookmarkEnd w:id="204"/>
      <w:bookmarkEnd w:id="205"/>
      <w:bookmarkEnd w:id="206"/>
      <w:bookmarkEnd w:id="207"/>
    </w:p>
    <w:p w14:paraId="1F8C46D5">
      <w:pPr>
        <w:pStyle w:val="4"/>
        <w:spacing w:before="120" w:after="120"/>
      </w:pPr>
      <w:r>
        <w:rPr>
          <w:rFonts w:hint="eastAsia"/>
        </w:rPr>
        <w:t>与相关规划的相符性分析</w:t>
      </w:r>
    </w:p>
    <w:p w14:paraId="537449CD">
      <w:pPr>
        <w:ind w:firstLine="480"/>
      </w:pPr>
      <w:r>
        <w:rPr>
          <w:rFonts w:hint="eastAsia"/>
        </w:rPr>
        <w:t>根据《内蒙古自治区主体功能区规划》，园区位于《内蒙古自治区国家重点生态功能区产业准入负面清单（试行）》的重要生态功能区内，固阳县金山镇、下湿壕镇属于内蒙古自治区主体功能区规划点状开发城镇，在保证生态功能的前提下，国家重点生态功能区点状开发的城镇比照重点开发区域享受相关政策。包头金山经济开发区规划是内蒙古自治区以呼包鄂为核心沿黄河沿交通干线经济带重点产业发展规划的进一步落实和补充，是西部经济区包头市地区新的经济增长点。规划的实施能够有效响应呼包鄂产业特点、结构布局、资源禀赋，发挥比较优势，有效促进和推动区域间分工协作。推动产业集聚整合，建立产业联动机制，形成生产要素互补、上下游产业配套的布局。</w:t>
      </w:r>
    </w:p>
    <w:p w14:paraId="484A5E71">
      <w:pPr>
        <w:ind w:firstLine="480"/>
      </w:pPr>
      <w:r>
        <w:rPr>
          <w:rFonts w:hint="eastAsia"/>
        </w:rPr>
        <w:t>园区建设地点、产业布局与内蒙古自治区、包头市国民经济和社会发展第十四个五年规划纲要、与内蒙古自治区以呼包鄂为核心沿黄河沿交通干线经济带重点产业发展规划及详细规划、包头市山北地区协同发展规划及产业发展规划的总体精神与要求是相符合的，符合“优先保障生态空间，合理安排生活空间，集约利用生产空间”的原则，同时园区环保规划目标也符合包头市环境保护“十四五”规划相关环境保护规划要求。</w:t>
      </w:r>
    </w:p>
    <w:p w14:paraId="19A50AA7">
      <w:pPr>
        <w:pStyle w:val="4"/>
        <w:spacing w:before="120" w:after="120"/>
      </w:pPr>
      <w:bookmarkStart w:id="208" w:name="_Toc208802983"/>
      <w:r>
        <w:rPr>
          <w:rFonts w:hint="eastAsia"/>
        </w:rPr>
        <w:t>水土保持制约性因素分析与评价</w:t>
      </w:r>
    </w:p>
    <w:p w14:paraId="4FC6AE12">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本工业区建设属于《促进产业结构调整暂时规定》（国家发展和改革委员会令〔2011〕9号）、国家发展和改革委员会发布的《产业结构调整指导目录》中鼓励类的“开发区、产业集聚区配套公共服务平台建设与服务”，不属于限制类和淘汰类的产业。</w:t>
      </w:r>
    </w:p>
    <w:p w14:paraId="0EE9FA44">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根据《中华人民共和国水土保持法》、《生产建设项目水土保持技术标准》（GB50433-2018）</w:t>
      </w:r>
      <w:r>
        <w:rPr>
          <w:rFonts w:hint="eastAsia" w:cs="Times New Roman"/>
          <w:color w:val="000000" w:themeColor="text1"/>
          <w14:textFill>
            <w14:solidFill>
              <w14:schemeClr w14:val="tx1"/>
            </w14:solidFill>
          </w14:textFill>
        </w:rPr>
        <w:t>的限制和制约性因素规定，从水土保持的角度进行相符性分析，分析结果表明，园区位于黄河自治区级水土流失重点治理区，开发建设中应加强水土流失防治</w:t>
      </w:r>
      <w:r>
        <w:rPr>
          <w:rFonts w:cs="Times New Roman"/>
          <w:color w:val="000000" w:themeColor="text1"/>
          <w14:textFill>
            <w14:solidFill>
              <w14:schemeClr w14:val="tx1"/>
            </w14:solidFill>
          </w14:textFill>
        </w:rPr>
        <w:t>。</w:t>
      </w:r>
    </w:p>
    <w:p w14:paraId="5836067D">
      <w:pPr>
        <w:spacing w:line="240" w:lineRule="auto"/>
        <w:ind w:firstLine="0" w:firstLineChars="0"/>
        <w:jc w:val="left"/>
        <w:rPr>
          <w:rFonts w:eastAsia="宋体" w:cs="仿宋"/>
          <w:b/>
          <w:color w:val="000000" w:themeColor="text1"/>
          <w:spacing w:val="4"/>
          <w:szCs w:val="18"/>
          <w14:textFill>
            <w14:solidFill>
              <w14:schemeClr w14:val="tx1"/>
            </w14:solidFill>
          </w14:textFill>
        </w:rPr>
      </w:pPr>
      <w:r>
        <w:rPr>
          <w:color w:val="000000" w:themeColor="text1"/>
          <w14:textFill>
            <w14:solidFill>
              <w14:schemeClr w14:val="tx1"/>
            </w14:solidFill>
          </w14:textFill>
        </w:rPr>
        <w:br w:type="page"/>
      </w:r>
    </w:p>
    <w:p w14:paraId="1389D3CF">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表3-1                </w:t>
      </w:r>
      <w:r>
        <w:rPr>
          <w:rFonts w:hint="eastAsia"/>
          <w:color w:val="000000" w:themeColor="text1"/>
          <w:lang w:eastAsia="zh-CN"/>
          <w14:textFill>
            <w14:solidFill>
              <w14:schemeClr w14:val="tx1"/>
            </w14:solidFill>
          </w14:textFill>
        </w:rPr>
        <w:t>园区</w:t>
      </w:r>
      <w:r>
        <w:rPr>
          <w:color w:val="000000" w:themeColor="text1"/>
          <w:lang w:eastAsia="zh-CN"/>
          <w14:textFill>
            <w14:solidFill>
              <w14:schemeClr w14:val="tx1"/>
            </w14:solidFill>
          </w14:textFill>
        </w:rPr>
        <w:t>选址(线)水土保持制约性因素的分析与评价</w:t>
      </w:r>
    </w:p>
    <w:tbl>
      <w:tblPr>
        <w:tblStyle w:val="27"/>
        <w:tblW w:w="93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7"/>
        <w:gridCol w:w="567"/>
        <w:gridCol w:w="4243"/>
        <w:gridCol w:w="2845"/>
        <w:gridCol w:w="702"/>
      </w:tblGrid>
      <w:tr w14:paraId="780858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54" w:type="dxa"/>
            <w:gridSpan w:val="2"/>
            <w:tcBorders>
              <w:top w:val="single" w:color="auto" w:sz="12" w:space="0"/>
              <w:left w:val="single" w:color="auto" w:sz="12" w:space="0"/>
              <w:bottom w:val="double" w:color="auto" w:sz="4" w:space="0"/>
            </w:tcBorders>
            <w:vAlign w:val="center"/>
          </w:tcPr>
          <w:p w14:paraId="665D0ECF">
            <w:pPr>
              <w:pStyle w:val="33"/>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4243" w:type="dxa"/>
            <w:tcBorders>
              <w:top w:val="single" w:color="auto" w:sz="12" w:space="0"/>
              <w:bottom w:val="double" w:color="auto" w:sz="4" w:space="0"/>
            </w:tcBorders>
            <w:vAlign w:val="center"/>
          </w:tcPr>
          <w:p w14:paraId="02601300">
            <w:pPr>
              <w:pStyle w:val="33"/>
              <w:rPr>
                <w:color w:val="000000" w:themeColor="text1"/>
                <w14:textFill>
                  <w14:solidFill>
                    <w14:schemeClr w14:val="tx1"/>
                  </w14:solidFill>
                </w14:textFill>
              </w:rPr>
            </w:pPr>
            <w:r>
              <w:rPr>
                <w:color w:val="000000" w:themeColor="text1"/>
                <w14:textFill>
                  <w14:solidFill>
                    <w14:schemeClr w14:val="tx1"/>
                  </w14:solidFill>
                </w14:textFill>
              </w:rPr>
              <w:t>水土保持法的规定</w:t>
            </w:r>
          </w:p>
        </w:tc>
        <w:tc>
          <w:tcPr>
            <w:tcW w:w="2845" w:type="dxa"/>
            <w:tcBorders>
              <w:top w:val="single" w:color="auto" w:sz="12" w:space="0"/>
              <w:bottom w:val="double" w:color="auto" w:sz="4" w:space="0"/>
            </w:tcBorders>
            <w:vAlign w:val="center"/>
          </w:tcPr>
          <w:p w14:paraId="3F8323C8">
            <w:pPr>
              <w:pStyle w:val="33"/>
              <w:rPr>
                <w:color w:val="000000" w:themeColor="text1"/>
                <w14:textFill>
                  <w14:solidFill>
                    <w14:schemeClr w14:val="tx1"/>
                  </w14:solidFill>
                </w14:textFill>
              </w:rPr>
            </w:pPr>
            <w:r>
              <w:rPr>
                <w:color w:val="000000" w:themeColor="text1"/>
                <w14:textFill>
                  <w14:solidFill>
                    <w14:schemeClr w14:val="tx1"/>
                  </w14:solidFill>
                </w14:textFill>
              </w:rPr>
              <w:t>本工业区情况</w:t>
            </w:r>
          </w:p>
        </w:tc>
        <w:tc>
          <w:tcPr>
            <w:tcW w:w="702" w:type="dxa"/>
            <w:tcBorders>
              <w:top w:val="single" w:color="auto" w:sz="12" w:space="0"/>
              <w:bottom w:val="double" w:color="auto" w:sz="4" w:space="0"/>
              <w:right w:val="single" w:color="auto" w:sz="12" w:space="0"/>
            </w:tcBorders>
            <w:vAlign w:val="center"/>
          </w:tcPr>
          <w:p w14:paraId="78B06FAC">
            <w:pPr>
              <w:pStyle w:val="33"/>
              <w:rPr>
                <w:color w:val="000000" w:themeColor="text1"/>
                <w14:textFill>
                  <w14:solidFill>
                    <w14:schemeClr w14:val="tx1"/>
                  </w14:solidFill>
                </w14:textFill>
              </w:rPr>
            </w:pPr>
            <w:r>
              <w:rPr>
                <w:color w:val="000000" w:themeColor="text1"/>
                <w14:textFill>
                  <w14:solidFill>
                    <w14:schemeClr w14:val="tx1"/>
                  </w14:solidFill>
                </w14:textFill>
              </w:rPr>
              <w:t>符合性</w:t>
            </w:r>
          </w:p>
        </w:tc>
      </w:tr>
      <w:tr w14:paraId="561BCF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7" w:type="dxa"/>
            <w:vMerge w:val="restart"/>
            <w:tcBorders>
              <w:top w:val="double" w:color="auto" w:sz="4" w:space="0"/>
              <w:left w:val="single" w:color="auto" w:sz="12" w:space="0"/>
            </w:tcBorders>
            <w:vAlign w:val="center"/>
          </w:tcPr>
          <w:p w14:paraId="3569BADF">
            <w:pPr>
              <w:pStyle w:val="33"/>
              <w:rPr>
                <w:color w:val="000000" w:themeColor="text1"/>
                <w14:textFill>
                  <w14:solidFill>
                    <w14:schemeClr w14:val="tx1"/>
                  </w14:solidFill>
                </w14:textFill>
              </w:rPr>
            </w:pPr>
            <w:r>
              <w:rPr>
                <w:color w:val="000000" w:themeColor="text1"/>
                <w14:textFill>
                  <w14:solidFill>
                    <w14:schemeClr w14:val="tx1"/>
                  </w14:solidFill>
                </w14:textFill>
              </w:rPr>
              <w:t>《中华人民共和国水土保持法》</w:t>
            </w:r>
          </w:p>
        </w:tc>
        <w:tc>
          <w:tcPr>
            <w:tcW w:w="567" w:type="dxa"/>
            <w:tcBorders>
              <w:top w:val="double" w:color="auto" w:sz="4" w:space="0"/>
            </w:tcBorders>
            <w:vAlign w:val="center"/>
          </w:tcPr>
          <w:p w14:paraId="448FC77E">
            <w:pPr>
              <w:pStyle w:val="33"/>
              <w:rPr>
                <w:color w:val="000000" w:themeColor="text1"/>
                <w14:textFill>
                  <w14:solidFill>
                    <w14:schemeClr w14:val="tx1"/>
                  </w14:solidFill>
                </w14:textFill>
              </w:rPr>
            </w:pPr>
            <w:r>
              <w:rPr>
                <w:color w:val="000000" w:themeColor="text1"/>
                <w14:textFill>
                  <w14:solidFill>
                    <w14:schemeClr w14:val="tx1"/>
                  </w14:solidFill>
                </w14:textFill>
              </w:rPr>
              <w:t>1</w:t>
            </w:r>
          </w:p>
        </w:tc>
        <w:tc>
          <w:tcPr>
            <w:tcW w:w="4243" w:type="dxa"/>
            <w:tcBorders>
              <w:top w:val="double" w:color="auto" w:sz="4" w:space="0"/>
            </w:tcBorders>
            <w:vAlign w:val="center"/>
          </w:tcPr>
          <w:p w14:paraId="29DDC845">
            <w:pPr>
              <w:pStyle w:val="33"/>
              <w:jc w:val="left"/>
              <w:rPr>
                <w:color w:val="000000" w:themeColor="text1"/>
                <w14:textFill>
                  <w14:solidFill>
                    <w14:schemeClr w14:val="tx1"/>
                  </w14:solidFill>
                </w14:textFill>
              </w:rPr>
            </w:pPr>
            <w:r>
              <w:rPr>
                <w:color w:val="000000" w:themeColor="text1"/>
                <w14:textFill>
                  <w14:solidFill>
                    <w14:schemeClr w14:val="tx1"/>
                  </w14:solidFill>
                </w14:textFill>
              </w:rPr>
              <w:t>第十七条：禁止在崩塌、滑坡危险区和泥石流易发区从事取土、挖砂、采石等可能造成水土流失的活动。</w:t>
            </w:r>
          </w:p>
        </w:tc>
        <w:tc>
          <w:tcPr>
            <w:tcW w:w="2845" w:type="dxa"/>
            <w:tcBorders>
              <w:top w:val="double" w:color="auto" w:sz="4" w:space="0"/>
            </w:tcBorders>
            <w:vAlign w:val="center"/>
          </w:tcPr>
          <w:p w14:paraId="187F4FB6">
            <w:pPr>
              <w:pStyle w:val="33"/>
              <w:rPr>
                <w:color w:val="000000" w:themeColor="text1"/>
                <w14:textFill>
                  <w14:solidFill>
                    <w14:schemeClr w14:val="tx1"/>
                  </w14:solidFill>
                </w14:textFill>
              </w:rPr>
            </w:pPr>
            <w:r>
              <w:rPr>
                <w:color w:val="000000" w:themeColor="text1"/>
                <w14:textFill>
                  <w14:solidFill>
                    <w14:schemeClr w14:val="tx1"/>
                  </w14:solidFill>
                </w14:textFill>
              </w:rPr>
              <w:t>不涉及</w:t>
            </w:r>
          </w:p>
        </w:tc>
        <w:tc>
          <w:tcPr>
            <w:tcW w:w="702" w:type="dxa"/>
            <w:tcBorders>
              <w:right w:val="single" w:color="auto" w:sz="12" w:space="0"/>
            </w:tcBorders>
            <w:vAlign w:val="center"/>
          </w:tcPr>
          <w:p w14:paraId="2B00EBBA">
            <w:pPr>
              <w:pStyle w:val="3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3348AF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7" w:type="dxa"/>
            <w:vMerge w:val="continue"/>
            <w:tcBorders>
              <w:left w:val="single" w:color="auto" w:sz="12" w:space="0"/>
            </w:tcBorders>
            <w:vAlign w:val="center"/>
          </w:tcPr>
          <w:p w14:paraId="67DC8E35">
            <w:pPr>
              <w:pStyle w:val="33"/>
              <w:rPr>
                <w:color w:val="000000" w:themeColor="text1"/>
                <w14:textFill>
                  <w14:solidFill>
                    <w14:schemeClr w14:val="tx1"/>
                  </w14:solidFill>
                </w14:textFill>
              </w:rPr>
            </w:pPr>
          </w:p>
        </w:tc>
        <w:tc>
          <w:tcPr>
            <w:tcW w:w="567" w:type="dxa"/>
            <w:vAlign w:val="center"/>
          </w:tcPr>
          <w:p w14:paraId="20ED2DD0">
            <w:pPr>
              <w:pStyle w:val="33"/>
              <w:rPr>
                <w:color w:val="000000" w:themeColor="text1"/>
                <w14:textFill>
                  <w14:solidFill>
                    <w14:schemeClr w14:val="tx1"/>
                  </w14:solidFill>
                </w14:textFill>
              </w:rPr>
            </w:pPr>
            <w:r>
              <w:rPr>
                <w:color w:val="000000" w:themeColor="text1"/>
                <w14:textFill>
                  <w14:solidFill>
                    <w14:schemeClr w14:val="tx1"/>
                  </w14:solidFill>
                </w14:textFill>
              </w:rPr>
              <w:t>2</w:t>
            </w:r>
          </w:p>
        </w:tc>
        <w:tc>
          <w:tcPr>
            <w:tcW w:w="4243" w:type="dxa"/>
            <w:vAlign w:val="center"/>
          </w:tcPr>
          <w:p w14:paraId="0AE60146">
            <w:pPr>
              <w:pStyle w:val="33"/>
              <w:jc w:val="left"/>
              <w:rPr>
                <w:color w:val="000000" w:themeColor="text1"/>
                <w14:textFill>
                  <w14:solidFill>
                    <w14:schemeClr w14:val="tx1"/>
                  </w14:solidFill>
                </w14:textFill>
              </w:rPr>
            </w:pPr>
            <w:r>
              <w:rPr>
                <w:color w:val="000000" w:themeColor="text1"/>
                <w14:textFill>
                  <w14:solidFill>
                    <w14:schemeClr w14:val="tx1"/>
                  </w14:solidFill>
                </w14:textFill>
              </w:rPr>
              <w:t>第十八条：水土流失严重、生态脆弱的地区，应当限制或者禁止可能造成水土流失的生产建设活动，严格保护植物、沙壳、结皮、地衣等。</w:t>
            </w:r>
          </w:p>
        </w:tc>
        <w:tc>
          <w:tcPr>
            <w:tcW w:w="2845" w:type="dxa"/>
            <w:vAlign w:val="center"/>
          </w:tcPr>
          <w:p w14:paraId="389B6DB3">
            <w:pPr>
              <w:pStyle w:val="33"/>
              <w:rPr>
                <w:color w:val="000000" w:themeColor="text1"/>
                <w14:textFill>
                  <w14:solidFill>
                    <w14:schemeClr w14:val="tx1"/>
                  </w14:solidFill>
                </w14:textFill>
              </w:rPr>
            </w:pPr>
            <w:r>
              <w:rPr>
                <w:color w:val="000000" w:themeColor="text1"/>
                <w14:textFill>
                  <w14:solidFill>
                    <w14:schemeClr w14:val="tx1"/>
                  </w14:solidFill>
                </w14:textFill>
              </w:rPr>
              <w:t>不涉及</w:t>
            </w:r>
          </w:p>
        </w:tc>
        <w:tc>
          <w:tcPr>
            <w:tcW w:w="702" w:type="dxa"/>
            <w:tcBorders>
              <w:right w:val="single" w:color="auto" w:sz="12" w:space="0"/>
            </w:tcBorders>
            <w:vAlign w:val="center"/>
          </w:tcPr>
          <w:p w14:paraId="43F9B8AC">
            <w:pPr>
              <w:pStyle w:val="3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6A9001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7" w:type="dxa"/>
            <w:vMerge w:val="continue"/>
            <w:tcBorders>
              <w:left w:val="single" w:color="auto" w:sz="12" w:space="0"/>
            </w:tcBorders>
            <w:vAlign w:val="center"/>
          </w:tcPr>
          <w:p w14:paraId="618032F3">
            <w:pPr>
              <w:pStyle w:val="33"/>
              <w:rPr>
                <w:color w:val="000000" w:themeColor="text1"/>
                <w14:textFill>
                  <w14:solidFill>
                    <w14:schemeClr w14:val="tx1"/>
                  </w14:solidFill>
                </w14:textFill>
              </w:rPr>
            </w:pPr>
          </w:p>
        </w:tc>
        <w:tc>
          <w:tcPr>
            <w:tcW w:w="567" w:type="dxa"/>
            <w:vAlign w:val="center"/>
          </w:tcPr>
          <w:p w14:paraId="2AAFFB70">
            <w:pPr>
              <w:pStyle w:val="33"/>
              <w:rPr>
                <w:color w:val="000000" w:themeColor="text1"/>
                <w14:textFill>
                  <w14:solidFill>
                    <w14:schemeClr w14:val="tx1"/>
                  </w14:solidFill>
                </w14:textFill>
              </w:rPr>
            </w:pPr>
            <w:r>
              <w:rPr>
                <w:color w:val="000000" w:themeColor="text1"/>
                <w14:textFill>
                  <w14:solidFill>
                    <w14:schemeClr w14:val="tx1"/>
                  </w14:solidFill>
                </w14:textFill>
              </w:rPr>
              <w:t>3</w:t>
            </w:r>
          </w:p>
        </w:tc>
        <w:tc>
          <w:tcPr>
            <w:tcW w:w="4243" w:type="dxa"/>
            <w:vAlign w:val="center"/>
          </w:tcPr>
          <w:p w14:paraId="53DC08F9">
            <w:pPr>
              <w:pStyle w:val="33"/>
              <w:jc w:val="left"/>
              <w:rPr>
                <w:color w:val="000000" w:themeColor="text1"/>
                <w14:textFill>
                  <w14:solidFill>
                    <w14:schemeClr w14:val="tx1"/>
                  </w14:solidFill>
                </w14:textFill>
              </w:rPr>
            </w:pPr>
            <w:r>
              <w:rPr>
                <w:color w:val="000000" w:themeColor="text1"/>
                <w14:textFill>
                  <w14:solidFill>
                    <w14:schemeClr w14:val="tx1"/>
                  </w14:solidFill>
                </w14:textFill>
              </w:rPr>
              <w:t>第二十条：禁止在二十五度以上陡坡开垦种植农作物。</w:t>
            </w:r>
          </w:p>
        </w:tc>
        <w:tc>
          <w:tcPr>
            <w:tcW w:w="2845" w:type="dxa"/>
            <w:vAlign w:val="center"/>
          </w:tcPr>
          <w:p w14:paraId="7D5562A1">
            <w:pPr>
              <w:pStyle w:val="33"/>
              <w:rPr>
                <w:color w:val="000000" w:themeColor="text1"/>
                <w14:textFill>
                  <w14:solidFill>
                    <w14:schemeClr w14:val="tx1"/>
                  </w14:solidFill>
                </w14:textFill>
              </w:rPr>
            </w:pPr>
            <w:r>
              <w:rPr>
                <w:color w:val="000000" w:themeColor="text1"/>
                <w14:textFill>
                  <w14:solidFill>
                    <w14:schemeClr w14:val="tx1"/>
                  </w14:solidFill>
                </w14:textFill>
              </w:rPr>
              <w:t>不涉及</w:t>
            </w:r>
          </w:p>
        </w:tc>
        <w:tc>
          <w:tcPr>
            <w:tcW w:w="702" w:type="dxa"/>
            <w:tcBorders>
              <w:right w:val="single" w:color="auto" w:sz="12" w:space="0"/>
            </w:tcBorders>
            <w:vAlign w:val="center"/>
          </w:tcPr>
          <w:p w14:paraId="502E9215">
            <w:pPr>
              <w:pStyle w:val="3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401D5B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7" w:type="dxa"/>
            <w:vMerge w:val="continue"/>
            <w:tcBorders>
              <w:left w:val="single" w:color="auto" w:sz="12" w:space="0"/>
            </w:tcBorders>
            <w:vAlign w:val="center"/>
          </w:tcPr>
          <w:p w14:paraId="13B8435C">
            <w:pPr>
              <w:pStyle w:val="33"/>
              <w:rPr>
                <w:color w:val="000000" w:themeColor="text1"/>
                <w14:textFill>
                  <w14:solidFill>
                    <w14:schemeClr w14:val="tx1"/>
                  </w14:solidFill>
                </w14:textFill>
              </w:rPr>
            </w:pPr>
          </w:p>
        </w:tc>
        <w:tc>
          <w:tcPr>
            <w:tcW w:w="567" w:type="dxa"/>
            <w:vAlign w:val="center"/>
          </w:tcPr>
          <w:p w14:paraId="1529A3FB">
            <w:pPr>
              <w:pStyle w:val="33"/>
              <w:rPr>
                <w:color w:val="000000" w:themeColor="text1"/>
                <w14:textFill>
                  <w14:solidFill>
                    <w14:schemeClr w14:val="tx1"/>
                  </w14:solidFill>
                </w14:textFill>
              </w:rPr>
            </w:pPr>
            <w:r>
              <w:rPr>
                <w:color w:val="000000" w:themeColor="text1"/>
                <w14:textFill>
                  <w14:solidFill>
                    <w14:schemeClr w14:val="tx1"/>
                  </w14:solidFill>
                </w14:textFill>
              </w:rPr>
              <w:t>4</w:t>
            </w:r>
          </w:p>
        </w:tc>
        <w:tc>
          <w:tcPr>
            <w:tcW w:w="4243" w:type="dxa"/>
            <w:vAlign w:val="center"/>
          </w:tcPr>
          <w:p w14:paraId="598FD095">
            <w:pPr>
              <w:pStyle w:val="33"/>
              <w:jc w:val="left"/>
              <w:rPr>
                <w:color w:val="000000" w:themeColor="text1"/>
                <w14:textFill>
                  <w14:solidFill>
                    <w14:schemeClr w14:val="tx1"/>
                  </w14:solidFill>
                </w14:textFill>
              </w:rPr>
            </w:pPr>
            <w:r>
              <w:rPr>
                <w:color w:val="000000" w:themeColor="text1"/>
                <w14:textFill>
                  <w14:solidFill>
                    <w14:schemeClr w14:val="tx1"/>
                  </w14:solidFill>
                </w14:textFill>
              </w:rPr>
              <w:t>第二十一条：禁止毁林、毁草开垦和采集发菜。禁止在水土流失重点预防区和重点治理区铲草皮、挖树兜或者滥挖虫草、甘草、麻黄等。</w:t>
            </w:r>
          </w:p>
        </w:tc>
        <w:tc>
          <w:tcPr>
            <w:tcW w:w="2845" w:type="dxa"/>
            <w:vAlign w:val="center"/>
          </w:tcPr>
          <w:p w14:paraId="040AC1B5">
            <w:pPr>
              <w:pStyle w:val="33"/>
              <w:rPr>
                <w:color w:val="000000" w:themeColor="text1"/>
                <w14:textFill>
                  <w14:solidFill>
                    <w14:schemeClr w14:val="tx1"/>
                  </w14:solidFill>
                </w14:textFill>
              </w:rPr>
            </w:pPr>
            <w:r>
              <w:rPr>
                <w:color w:val="000000" w:themeColor="text1"/>
                <w14:textFill>
                  <w14:solidFill>
                    <w14:schemeClr w14:val="tx1"/>
                  </w14:solidFill>
                </w14:textFill>
              </w:rPr>
              <w:t>不涉及</w:t>
            </w:r>
          </w:p>
        </w:tc>
        <w:tc>
          <w:tcPr>
            <w:tcW w:w="702" w:type="dxa"/>
            <w:tcBorders>
              <w:right w:val="single" w:color="auto" w:sz="12" w:space="0"/>
            </w:tcBorders>
            <w:vAlign w:val="center"/>
          </w:tcPr>
          <w:p w14:paraId="1F6AD70D">
            <w:pPr>
              <w:pStyle w:val="3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42B914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7" w:type="dxa"/>
            <w:vMerge w:val="continue"/>
            <w:tcBorders>
              <w:left w:val="single" w:color="auto" w:sz="12" w:space="0"/>
            </w:tcBorders>
            <w:vAlign w:val="center"/>
          </w:tcPr>
          <w:p w14:paraId="0E258070">
            <w:pPr>
              <w:pStyle w:val="33"/>
              <w:rPr>
                <w:color w:val="000000" w:themeColor="text1"/>
                <w14:textFill>
                  <w14:solidFill>
                    <w14:schemeClr w14:val="tx1"/>
                  </w14:solidFill>
                </w14:textFill>
              </w:rPr>
            </w:pPr>
          </w:p>
        </w:tc>
        <w:tc>
          <w:tcPr>
            <w:tcW w:w="567" w:type="dxa"/>
            <w:vAlign w:val="center"/>
          </w:tcPr>
          <w:p w14:paraId="3BA68B72">
            <w:pPr>
              <w:pStyle w:val="33"/>
              <w:rPr>
                <w:color w:val="000000" w:themeColor="text1"/>
                <w14:textFill>
                  <w14:solidFill>
                    <w14:schemeClr w14:val="tx1"/>
                  </w14:solidFill>
                </w14:textFill>
              </w:rPr>
            </w:pPr>
            <w:r>
              <w:rPr>
                <w:color w:val="000000" w:themeColor="text1"/>
                <w14:textFill>
                  <w14:solidFill>
                    <w14:schemeClr w14:val="tx1"/>
                  </w14:solidFill>
                </w14:textFill>
              </w:rPr>
              <w:t>5</w:t>
            </w:r>
          </w:p>
        </w:tc>
        <w:tc>
          <w:tcPr>
            <w:tcW w:w="4243" w:type="dxa"/>
            <w:vAlign w:val="center"/>
          </w:tcPr>
          <w:p w14:paraId="7B96EC4B">
            <w:pPr>
              <w:pStyle w:val="33"/>
              <w:jc w:val="left"/>
              <w:rPr>
                <w:color w:val="000000" w:themeColor="text1"/>
                <w14:textFill>
                  <w14:solidFill>
                    <w14:schemeClr w14:val="tx1"/>
                  </w14:solidFill>
                </w14:textFill>
              </w:rPr>
            </w:pPr>
            <w:r>
              <w:rPr>
                <w:color w:val="000000" w:themeColor="text1"/>
                <w14:textFill>
                  <w14:solidFill>
                    <w14:schemeClr w14:val="tx1"/>
                  </w14:solidFill>
                </w14:textFill>
              </w:rPr>
              <w:t>第二十四条：生产建设项目选址、选线应当避让水土流失重点预防区和重点治理区；无法避让的，应当提高防治标准，优化施工工艺，减少地表扰动和植被损坏范围，有效控制可能造成的水土流失。</w:t>
            </w:r>
          </w:p>
        </w:tc>
        <w:tc>
          <w:tcPr>
            <w:tcW w:w="2845" w:type="dxa"/>
            <w:vAlign w:val="center"/>
          </w:tcPr>
          <w:p w14:paraId="325F1C15">
            <w:pPr>
              <w:pStyle w:val="33"/>
              <w:rPr>
                <w:color w:val="000000" w:themeColor="text1"/>
                <w14:textFill>
                  <w14:solidFill>
                    <w14:schemeClr w14:val="tx1"/>
                  </w14:solidFill>
                </w14:textFill>
              </w:rPr>
            </w:pPr>
            <w:r>
              <w:rPr>
                <w:color w:val="000000" w:themeColor="text1"/>
                <w14:textFill>
                  <w14:solidFill>
                    <w14:schemeClr w14:val="tx1"/>
                  </w14:solidFill>
                </w14:textFill>
              </w:rPr>
              <w:t>本园区所在区域属于黄河自治区级流失重点治理区，本评估报告适当的提高了水土流失防治标准，水土流失可得到有效控制。</w:t>
            </w:r>
          </w:p>
        </w:tc>
        <w:tc>
          <w:tcPr>
            <w:tcW w:w="702" w:type="dxa"/>
            <w:tcBorders>
              <w:right w:val="single" w:color="auto" w:sz="12" w:space="0"/>
            </w:tcBorders>
            <w:vAlign w:val="center"/>
          </w:tcPr>
          <w:p w14:paraId="12AA9187">
            <w:pPr>
              <w:pStyle w:val="3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6555E2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7" w:type="dxa"/>
            <w:vMerge w:val="continue"/>
            <w:tcBorders>
              <w:left w:val="single" w:color="auto" w:sz="12" w:space="0"/>
            </w:tcBorders>
            <w:vAlign w:val="center"/>
          </w:tcPr>
          <w:p w14:paraId="72871C52">
            <w:pPr>
              <w:pStyle w:val="33"/>
              <w:rPr>
                <w:color w:val="000000" w:themeColor="text1"/>
                <w14:textFill>
                  <w14:solidFill>
                    <w14:schemeClr w14:val="tx1"/>
                  </w14:solidFill>
                </w14:textFill>
              </w:rPr>
            </w:pPr>
          </w:p>
        </w:tc>
        <w:tc>
          <w:tcPr>
            <w:tcW w:w="567" w:type="dxa"/>
            <w:vAlign w:val="center"/>
          </w:tcPr>
          <w:p w14:paraId="58D98B83">
            <w:pPr>
              <w:pStyle w:val="33"/>
              <w:rPr>
                <w:color w:val="000000" w:themeColor="text1"/>
                <w14:textFill>
                  <w14:solidFill>
                    <w14:schemeClr w14:val="tx1"/>
                  </w14:solidFill>
                </w14:textFill>
              </w:rPr>
            </w:pPr>
            <w:r>
              <w:rPr>
                <w:color w:val="000000" w:themeColor="text1"/>
                <w14:textFill>
                  <w14:solidFill>
                    <w14:schemeClr w14:val="tx1"/>
                  </w14:solidFill>
                </w14:textFill>
              </w:rPr>
              <w:t>6</w:t>
            </w:r>
          </w:p>
        </w:tc>
        <w:tc>
          <w:tcPr>
            <w:tcW w:w="4243" w:type="dxa"/>
            <w:vAlign w:val="center"/>
          </w:tcPr>
          <w:p w14:paraId="462B574B">
            <w:pPr>
              <w:pStyle w:val="33"/>
              <w:jc w:val="left"/>
              <w:rPr>
                <w:color w:val="000000" w:themeColor="text1"/>
                <w:lang w:val="zh-CN" w:bidi="zh-CN"/>
                <w14:textFill>
                  <w14:solidFill>
                    <w14:schemeClr w14:val="tx1"/>
                  </w14:solidFill>
                </w14:textFill>
              </w:rPr>
            </w:pPr>
            <w:r>
              <w:rPr>
                <w:color w:val="000000" w:themeColor="text1"/>
                <w:lang w:val="zh-CN" w:bidi="zh-CN"/>
                <w14:textFill>
                  <w14:solidFill>
                    <w14:schemeClr w14:val="tx1"/>
                  </w14:solidFill>
                </w14:textFill>
              </w:rPr>
              <w:t>第二十八条：依法应当编制水土保持方案的生产建设项目，其生产建设活动中排弃的砂、石、土、矸石、尾矿、矿渣等应当综合利用；不能综合利用，确需废弃的，应当堆放在水土保持方案确定的专门存放地，并采取措施保证不产生新的危害。</w:t>
            </w:r>
          </w:p>
        </w:tc>
        <w:tc>
          <w:tcPr>
            <w:tcW w:w="2845" w:type="dxa"/>
            <w:vAlign w:val="center"/>
          </w:tcPr>
          <w:p w14:paraId="07F3B4F4">
            <w:pPr>
              <w:pStyle w:val="33"/>
              <w:rPr>
                <w:color w:val="000000" w:themeColor="text1"/>
                <w:lang w:val="zh-CN" w:bidi="zh-CN"/>
                <w14:textFill>
                  <w14:solidFill>
                    <w14:schemeClr w14:val="tx1"/>
                  </w14:solidFill>
                </w14:textFill>
              </w:rPr>
            </w:pPr>
            <w:r>
              <w:rPr>
                <w:color w:val="000000" w:themeColor="text1"/>
                <w:lang w:val="zh-CN" w:bidi="zh-CN"/>
                <w14:textFill>
                  <w14:solidFill>
                    <w14:schemeClr w14:val="tx1"/>
                  </w14:solidFill>
                </w14:textFill>
              </w:rPr>
              <w:t>园区内入驻项目及基础设施建设过程中，土石方可在区域范围内实现总体平衡，不产生弃土。</w:t>
            </w:r>
          </w:p>
        </w:tc>
        <w:tc>
          <w:tcPr>
            <w:tcW w:w="702" w:type="dxa"/>
            <w:tcBorders>
              <w:right w:val="single" w:color="auto" w:sz="12" w:space="0"/>
            </w:tcBorders>
            <w:vAlign w:val="center"/>
          </w:tcPr>
          <w:p w14:paraId="36EF2908">
            <w:pPr>
              <w:pStyle w:val="3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266C0E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7" w:type="dxa"/>
            <w:vMerge w:val="continue"/>
            <w:tcBorders>
              <w:left w:val="single" w:color="auto" w:sz="12" w:space="0"/>
            </w:tcBorders>
            <w:vAlign w:val="center"/>
          </w:tcPr>
          <w:p w14:paraId="26C8DACE">
            <w:pPr>
              <w:pStyle w:val="33"/>
              <w:rPr>
                <w:color w:val="000000" w:themeColor="text1"/>
                <w14:textFill>
                  <w14:solidFill>
                    <w14:schemeClr w14:val="tx1"/>
                  </w14:solidFill>
                </w14:textFill>
              </w:rPr>
            </w:pPr>
          </w:p>
        </w:tc>
        <w:tc>
          <w:tcPr>
            <w:tcW w:w="567" w:type="dxa"/>
            <w:vAlign w:val="center"/>
          </w:tcPr>
          <w:p w14:paraId="28A0DDFD">
            <w:pPr>
              <w:pStyle w:val="33"/>
              <w:rPr>
                <w:color w:val="000000" w:themeColor="text1"/>
                <w14:textFill>
                  <w14:solidFill>
                    <w14:schemeClr w14:val="tx1"/>
                  </w14:solidFill>
                </w14:textFill>
              </w:rPr>
            </w:pPr>
            <w:r>
              <w:rPr>
                <w:color w:val="000000" w:themeColor="text1"/>
                <w14:textFill>
                  <w14:solidFill>
                    <w14:schemeClr w14:val="tx1"/>
                  </w14:solidFill>
                </w14:textFill>
              </w:rPr>
              <w:t>7</w:t>
            </w:r>
          </w:p>
        </w:tc>
        <w:tc>
          <w:tcPr>
            <w:tcW w:w="4243" w:type="dxa"/>
            <w:vAlign w:val="center"/>
          </w:tcPr>
          <w:p w14:paraId="73CBEAB0">
            <w:pPr>
              <w:pStyle w:val="33"/>
              <w:jc w:val="left"/>
              <w:rPr>
                <w:color w:val="000000" w:themeColor="text1"/>
                <w:lang w:val="zh-CN" w:bidi="zh-CN"/>
                <w14:textFill>
                  <w14:solidFill>
                    <w14:schemeClr w14:val="tx1"/>
                  </w14:solidFill>
                </w14:textFill>
              </w:rPr>
            </w:pPr>
            <w:r>
              <w:rPr>
                <w:color w:val="000000" w:themeColor="text1"/>
                <w:lang w:val="zh-CN" w:bidi="zh-CN"/>
                <w14:textFill>
                  <w14:solidFill>
                    <w14:schemeClr w14:val="tx1"/>
                  </w14:solidFill>
                </w14:textFill>
              </w:rPr>
              <w:t>第三十八条 对生产建设活动所占用土地的地表 土应当进行分层剥离、保存和利用，做到土石方挖填平衡，减少地表扰 动范围。</w:t>
            </w:r>
          </w:p>
        </w:tc>
        <w:tc>
          <w:tcPr>
            <w:tcW w:w="2845" w:type="dxa"/>
            <w:vAlign w:val="center"/>
          </w:tcPr>
          <w:p w14:paraId="1237260F">
            <w:pPr>
              <w:pStyle w:val="33"/>
              <w:rPr>
                <w:color w:val="000000" w:themeColor="text1"/>
                <w:lang w:val="zh-CN" w:bidi="zh-CN"/>
                <w14:textFill>
                  <w14:solidFill>
                    <w14:schemeClr w14:val="tx1"/>
                  </w14:solidFill>
                </w14:textFill>
              </w:rPr>
            </w:pPr>
            <w:r>
              <w:rPr>
                <w:color w:val="000000" w:themeColor="text1"/>
                <w:lang w:val="zh-CN" w:bidi="zh-CN"/>
                <w14:textFill>
                  <w14:solidFill>
                    <w14:schemeClr w14:val="tx1"/>
                  </w14:solidFill>
                </w14:textFill>
              </w:rPr>
              <w:t>园区已建区各功能区采用设计一处建设一处的方式，施工前进行表土剥离。</w:t>
            </w:r>
          </w:p>
        </w:tc>
        <w:tc>
          <w:tcPr>
            <w:tcW w:w="702" w:type="dxa"/>
            <w:tcBorders>
              <w:right w:val="single" w:color="auto" w:sz="12" w:space="0"/>
            </w:tcBorders>
            <w:vAlign w:val="center"/>
          </w:tcPr>
          <w:p w14:paraId="4AD91043">
            <w:pPr>
              <w:pStyle w:val="3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1A199C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7" w:type="dxa"/>
            <w:vMerge w:val="restart"/>
            <w:tcBorders>
              <w:left w:val="single" w:color="auto" w:sz="12" w:space="0"/>
            </w:tcBorders>
            <w:vAlign w:val="center"/>
          </w:tcPr>
          <w:p w14:paraId="734AA3B3">
            <w:pPr>
              <w:pStyle w:val="33"/>
              <w:rPr>
                <w:color w:val="000000" w:themeColor="text1"/>
                <w14:textFill>
                  <w14:solidFill>
                    <w14:schemeClr w14:val="tx1"/>
                  </w14:solidFill>
                </w14:textFill>
              </w:rPr>
            </w:pPr>
            <w:r>
              <w:rPr>
                <w:color w:val="000000" w:themeColor="text1"/>
                <w14:textFill>
                  <w14:solidFill>
                    <w14:schemeClr w14:val="tx1"/>
                  </w14:solidFill>
                </w14:textFill>
              </w:rPr>
              <w:t>《生产建设项目水土保持技术标准》</w:t>
            </w:r>
          </w:p>
          <w:p w14:paraId="399E641C">
            <w:pPr>
              <w:pStyle w:val="33"/>
              <w:rPr>
                <w:color w:val="000000" w:themeColor="text1"/>
                <w14:textFill>
                  <w14:solidFill>
                    <w14:schemeClr w14:val="tx1"/>
                  </w14:solidFill>
                </w14:textFill>
              </w:rPr>
            </w:pPr>
            <w:r>
              <w:rPr>
                <w:color w:val="000000" w:themeColor="text1"/>
                <w14:textFill>
                  <w14:solidFill>
                    <w14:schemeClr w14:val="tx1"/>
                  </w14:solidFill>
                </w14:textFill>
              </w:rPr>
              <w:t>（GB50433</w:t>
            </w:r>
          </w:p>
          <w:p w14:paraId="6043E4E7">
            <w:pPr>
              <w:pStyle w:val="33"/>
              <w:rPr>
                <w:color w:val="000000" w:themeColor="text1"/>
                <w14:textFill>
                  <w14:solidFill>
                    <w14:schemeClr w14:val="tx1"/>
                  </w14:solidFill>
                </w14:textFill>
              </w:rPr>
            </w:pPr>
            <w:r>
              <w:rPr>
                <w:color w:val="000000" w:themeColor="text1"/>
                <w14:textFill>
                  <w14:solidFill>
                    <w14:schemeClr w14:val="tx1"/>
                  </w14:solidFill>
                </w14:textFill>
              </w:rPr>
              <w:t>-2018）</w:t>
            </w:r>
          </w:p>
        </w:tc>
        <w:tc>
          <w:tcPr>
            <w:tcW w:w="567" w:type="dxa"/>
            <w:vAlign w:val="center"/>
          </w:tcPr>
          <w:p w14:paraId="452CA01B">
            <w:pPr>
              <w:pStyle w:val="33"/>
              <w:rPr>
                <w:color w:val="000000" w:themeColor="text1"/>
                <w14:textFill>
                  <w14:solidFill>
                    <w14:schemeClr w14:val="tx1"/>
                  </w14:solidFill>
                </w14:textFill>
              </w:rPr>
            </w:pPr>
            <w:r>
              <w:rPr>
                <w:color w:val="000000" w:themeColor="text1"/>
                <w14:textFill>
                  <w14:solidFill>
                    <w14:schemeClr w14:val="tx1"/>
                  </w14:solidFill>
                </w14:textFill>
              </w:rPr>
              <w:t>1</w:t>
            </w:r>
          </w:p>
        </w:tc>
        <w:tc>
          <w:tcPr>
            <w:tcW w:w="4243" w:type="dxa"/>
            <w:vAlign w:val="center"/>
          </w:tcPr>
          <w:p w14:paraId="43DFB2A4">
            <w:pPr>
              <w:pStyle w:val="33"/>
              <w:jc w:val="left"/>
              <w:rPr>
                <w:color w:val="000000" w:themeColor="text1"/>
                <w14:textFill>
                  <w14:solidFill>
                    <w14:schemeClr w14:val="tx1"/>
                  </w14:solidFill>
                </w14:textFill>
              </w:rPr>
            </w:pPr>
            <w:r>
              <w:rPr>
                <w:color w:val="000000" w:themeColor="text1"/>
                <w14:textFill>
                  <w14:solidFill>
                    <w14:schemeClr w14:val="tx1"/>
                  </w14:solidFill>
                </w14:textFill>
              </w:rPr>
              <w:t>主体工程选址（线）应避让水土流失重点预防区和重点治理区。</w:t>
            </w:r>
          </w:p>
        </w:tc>
        <w:tc>
          <w:tcPr>
            <w:tcW w:w="2845" w:type="dxa"/>
            <w:vAlign w:val="center"/>
          </w:tcPr>
          <w:p w14:paraId="597B2DD8">
            <w:pPr>
              <w:pStyle w:val="33"/>
              <w:rPr>
                <w:color w:val="000000" w:themeColor="text1"/>
                <w14:textFill>
                  <w14:solidFill>
                    <w14:schemeClr w14:val="tx1"/>
                  </w14:solidFill>
                </w14:textFill>
              </w:rPr>
            </w:pPr>
            <w:r>
              <w:rPr>
                <w:color w:val="000000" w:themeColor="text1"/>
                <w14:textFill>
                  <w14:solidFill>
                    <w14:schemeClr w14:val="tx1"/>
                  </w14:solidFill>
                </w14:textFill>
              </w:rPr>
              <w:t>本园区所在区域属于黄河自治区级流失重点治理区，本评估报告适当的提高了水土流失防治标准，水土流失可得到有效控制。</w:t>
            </w:r>
          </w:p>
        </w:tc>
        <w:tc>
          <w:tcPr>
            <w:tcW w:w="702" w:type="dxa"/>
            <w:tcBorders>
              <w:right w:val="single" w:color="auto" w:sz="12" w:space="0"/>
            </w:tcBorders>
            <w:vAlign w:val="center"/>
          </w:tcPr>
          <w:p w14:paraId="7949B7C6">
            <w:pPr>
              <w:pStyle w:val="3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2A3CB4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7" w:type="dxa"/>
            <w:vMerge w:val="continue"/>
            <w:tcBorders>
              <w:left w:val="single" w:color="auto" w:sz="12" w:space="0"/>
            </w:tcBorders>
            <w:vAlign w:val="center"/>
          </w:tcPr>
          <w:p w14:paraId="3249A935">
            <w:pPr>
              <w:pStyle w:val="33"/>
              <w:rPr>
                <w:color w:val="000000" w:themeColor="text1"/>
                <w14:textFill>
                  <w14:solidFill>
                    <w14:schemeClr w14:val="tx1"/>
                  </w14:solidFill>
                </w14:textFill>
              </w:rPr>
            </w:pPr>
          </w:p>
        </w:tc>
        <w:tc>
          <w:tcPr>
            <w:tcW w:w="567" w:type="dxa"/>
            <w:vAlign w:val="center"/>
          </w:tcPr>
          <w:p w14:paraId="6796AB8F">
            <w:pPr>
              <w:pStyle w:val="33"/>
              <w:rPr>
                <w:color w:val="000000" w:themeColor="text1"/>
                <w14:textFill>
                  <w14:solidFill>
                    <w14:schemeClr w14:val="tx1"/>
                  </w14:solidFill>
                </w14:textFill>
              </w:rPr>
            </w:pPr>
            <w:r>
              <w:rPr>
                <w:color w:val="000000" w:themeColor="text1"/>
                <w14:textFill>
                  <w14:solidFill>
                    <w14:schemeClr w14:val="tx1"/>
                  </w14:solidFill>
                </w14:textFill>
              </w:rPr>
              <w:t>2</w:t>
            </w:r>
          </w:p>
        </w:tc>
        <w:tc>
          <w:tcPr>
            <w:tcW w:w="4243" w:type="dxa"/>
            <w:vAlign w:val="center"/>
          </w:tcPr>
          <w:p w14:paraId="67112853">
            <w:pPr>
              <w:pStyle w:val="33"/>
              <w:jc w:val="left"/>
              <w:rPr>
                <w:color w:val="000000" w:themeColor="text1"/>
                <w14:textFill>
                  <w14:solidFill>
                    <w14:schemeClr w14:val="tx1"/>
                  </w14:solidFill>
                </w14:textFill>
              </w:rPr>
            </w:pPr>
            <w:r>
              <w:rPr>
                <w:color w:val="000000" w:themeColor="text1"/>
                <w14:textFill>
                  <w14:solidFill>
                    <w14:schemeClr w14:val="tx1"/>
                  </w14:solidFill>
                </w14:textFill>
              </w:rPr>
              <w:t>主体工程选址（线）应避让河流两岸、湖泊和水库周边的植物保护带。</w:t>
            </w:r>
          </w:p>
        </w:tc>
        <w:tc>
          <w:tcPr>
            <w:tcW w:w="2845" w:type="dxa"/>
            <w:vAlign w:val="center"/>
          </w:tcPr>
          <w:p w14:paraId="71B44CE9">
            <w:pPr>
              <w:pStyle w:val="33"/>
              <w:rPr>
                <w:color w:val="000000" w:themeColor="text1"/>
                <w14:textFill>
                  <w14:solidFill>
                    <w14:schemeClr w14:val="tx1"/>
                  </w14:solidFill>
                </w14:textFill>
              </w:rPr>
            </w:pPr>
            <w:r>
              <w:rPr>
                <w:color w:val="000000" w:themeColor="text1"/>
                <w14:textFill>
                  <w14:solidFill>
                    <w14:schemeClr w14:val="tx1"/>
                  </w14:solidFill>
                </w14:textFill>
              </w:rPr>
              <w:t>本园区的建设实行建筑物退让，对水系岸线植物保护带进行保护。</w:t>
            </w:r>
          </w:p>
        </w:tc>
        <w:tc>
          <w:tcPr>
            <w:tcW w:w="702" w:type="dxa"/>
            <w:tcBorders>
              <w:right w:val="single" w:color="auto" w:sz="12" w:space="0"/>
            </w:tcBorders>
            <w:vAlign w:val="center"/>
          </w:tcPr>
          <w:p w14:paraId="37310986">
            <w:pPr>
              <w:pStyle w:val="3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139EDD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7" w:type="dxa"/>
            <w:vMerge w:val="continue"/>
            <w:tcBorders>
              <w:left w:val="single" w:color="auto" w:sz="12" w:space="0"/>
            </w:tcBorders>
            <w:vAlign w:val="center"/>
          </w:tcPr>
          <w:p w14:paraId="4F2F1824">
            <w:pPr>
              <w:pStyle w:val="33"/>
              <w:rPr>
                <w:color w:val="000000" w:themeColor="text1"/>
                <w14:textFill>
                  <w14:solidFill>
                    <w14:schemeClr w14:val="tx1"/>
                  </w14:solidFill>
                </w14:textFill>
              </w:rPr>
            </w:pPr>
          </w:p>
        </w:tc>
        <w:tc>
          <w:tcPr>
            <w:tcW w:w="567" w:type="dxa"/>
            <w:vAlign w:val="center"/>
          </w:tcPr>
          <w:p w14:paraId="6980C87C">
            <w:pPr>
              <w:pStyle w:val="33"/>
              <w:rPr>
                <w:color w:val="000000" w:themeColor="text1"/>
                <w14:textFill>
                  <w14:solidFill>
                    <w14:schemeClr w14:val="tx1"/>
                  </w14:solidFill>
                </w14:textFill>
              </w:rPr>
            </w:pPr>
            <w:r>
              <w:rPr>
                <w:color w:val="000000" w:themeColor="text1"/>
                <w14:textFill>
                  <w14:solidFill>
                    <w14:schemeClr w14:val="tx1"/>
                  </w14:solidFill>
                </w14:textFill>
              </w:rPr>
              <w:t>3</w:t>
            </w:r>
          </w:p>
        </w:tc>
        <w:tc>
          <w:tcPr>
            <w:tcW w:w="4243" w:type="dxa"/>
            <w:vAlign w:val="center"/>
          </w:tcPr>
          <w:p w14:paraId="1E51D4C7">
            <w:pPr>
              <w:pStyle w:val="33"/>
              <w:jc w:val="left"/>
              <w:rPr>
                <w:color w:val="000000" w:themeColor="text1"/>
                <w14:textFill>
                  <w14:solidFill>
                    <w14:schemeClr w14:val="tx1"/>
                  </w14:solidFill>
                </w14:textFill>
              </w:rPr>
            </w:pPr>
            <w:r>
              <w:rPr>
                <w:color w:val="000000" w:themeColor="text1"/>
                <w14:textFill>
                  <w14:solidFill>
                    <w14:schemeClr w14:val="tx1"/>
                  </w14:solidFill>
                </w14:textFill>
              </w:rPr>
              <w:t>主体工程选址（线）应避让全国水土保持监测网络中的水土保持监测站点、重点实验区及国家确定的水土保持长期定位观测站。</w:t>
            </w:r>
          </w:p>
        </w:tc>
        <w:tc>
          <w:tcPr>
            <w:tcW w:w="2845" w:type="dxa"/>
            <w:vAlign w:val="center"/>
          </w:tcPr>
          <w:p w14:paraId="078B753F">
            <w:pPr>
              <w:pStyle w:val="33"/>
              <w:rPr>
                <w:color w:val="000000" w:themeColor="text1"/>
                <w:lang w:val="zh-CN" w:bidi="zh-CN"/>
                <w14:textFill>
                  <w14:solidFill>
                    <w14:schemeClr w14:val="tx1"/>
                  </w14:solidFill>
                </w14:textFill>
              </w:rPr>
            </w:pPr>
            <w:r>
              <w:rPr>
                <w:color w:val="000000" w:themeColor="text1"/>
                <w:lang w:val="zh-CN" w:bidi="zh-CN"/>
                <w14:textFill>
                  <w14:solidFill>
                    <w14:schemeClr w14:val="tx1"/>
                  </w14:solidFill>
                </w14:textFill>
              </w:rPr>
              <w:t>不涉及</w:t>
            </w:r>
          </w:p>
        </w:tc>
        <w:tc>
          <w:tcPr>
            <w:tcW w:w="702" w:type="dxa"/>
            <w:tcBorders>
              <w:right w:val="single" w:color="auto" w:sz="12" w:space="0"/>
            </w:tcBorders>
            <w:vAlign w:val="center"/>
          </w:tcPr>
          <w:p w14:paraId="22DDCC16">
            <w:pPr>
              <w:pStyle w:val="3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6D2D18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7" w:type="dxa"/>
            <w:vMerge w:val="continue"/>
            <w:tcBorders>
              <w:left w:val="single" w:color="auto" w:sz="12" w:space="0"/>
            </w:tcBorders>
            <w:vAlign w:val="center"/>
          </w:tcPr>
          <w:p w14:paraId="297CAF41">
            <w:pPr>
              <w:pStyle w:val="33"/>
              <w:rPr>
                <w:color w:val="000000" w:themeColor="text1"/>
                <w14:textFill>
                  <w14:solidFill>
                    <w14:schemeClr w14:val="tx1"/>
                  </w14:solidFill>
                </w14:textFill>
              </w:rPr>
            </w:pPr>
          </w:p>
        </w:tc>
        <w:tc>
          <w:tcPr>
            <w:tcW w:w="567" w:type="dxa"/>
            <w:vAlign w:val="center"/>
          </w:tcPr>
          <w:p w14:paraId="0F59FCB8">
            <w:pPr>
              <w:pStyle w:val="33"/>
              <w:rPr>
                <w:color w:val="000000" w:themeColor="text1"/>
                <w14:textFill>
                  <w14:solidFill>
                    <w14:schemeClr w14:val="tx1"/>
                  </w14:solidFill>
                </w14:textFill>
              </w:rPr>
            </w:pPr>
            <w:r>
              <w:rPr>
                <w:color w:val="000000" w:themeColor="text1"/>
                <w14:textFill>
                  <w14:solidFill>
                    <w14:schemeClr w14:val="tx1"/>
                  </w14:solidFill>
                </w14:textFill>
              </w:rPr>
              <w:t>4</w:t>
            </w:r>
          </w:p>
        </w:tc>
        <w:tc>
          <w:tcPr>
            <w:tcW w:w="4243" w:type="dxa"/>
            <w:vAlign w:val="center"/>
          </w:tcPr>
          <w:p w14:paraId="727DFE7C">
            <w:pPr>
              <w:pStyle w:val="33"/>
              <w:jc w:val="left"/>
              <w:rPr>
                <w:color w:val="000000" w:themeColor="text1"/>
                <w14:textFill>
                  <w14:solidFill>
                    <w14:schemeClr w14:val="tx1"/>
                  </w14:solidFill>
                </w14:textFill>
              </w:rPr>
            </w:pPr>
            <w:r>
              <w:rPr>
                <w:color w:val="000000" w:themeColor="text1"/>
                <w14:textFill>
                  <w14:solidFill>
                    <w14:schemeClr w14:val="tx1"/>
                  </w14:solidFill>
                </w14:textFill>
              </w:rPr>
              <w:t>严禁在崩塌和滑坡危险区、泥石流易发区内设置取土（石、砂）场。</w:t>
            </w:r>
          </w:p>
        </w:tc>
        <w:tc>
          <w:tcPr>
            <w:tcW w:w="2845" w:type="dxa"/>
            <w:vAlign w:val="center"/>
          </w:tcPr>
          <w:p w14:paraId="49C5739B">
            <w:pPr>
              <w:pStyle w:val="33"/>
              <w:rPr>
                <w:color w:val="000000" w:themeColor="text1"/>
                <w:lang w:val="zh-CN" w:bidi="zh-CN"/>
                <w14:textFill>
                  <w14:solidFill>
                    <w14:schemeClr w14:val="tx1"/>
                  </w14:solidFill>
                </w14:textFill>
              </w:rPr>
            </w:pPr>
            <w:r>
              <w:rPr>
                <w:color w:val="000000" w:themeColor="text1"/>
                <w:lang w:val="zh-CN" w:bidi="zh-CN"/>
                <w14:textFill>
                  <w14:solidFill>
                    <w14:schemeClr w14:val="tx1"/>
                  </w14:solidFill>
                </w14:textFill>
              </w:rPr>
              <w:t>不涉及</w:t>
            </w:r>
          </w:p>
        </w:tc>
        <w:tc>
          <w:tcPr>
            <w:tcW w:w="702" w:type="dxa"/>
            <w:tcBorders>
              <w:right w:val="single" w:color="auto" w:sz="12" w:space="0"/>
            </w:tcBorders>
            <w:vAlign w:val="center"/>
          </w:tcPr>
          <w:p w14:paraId="521F6429">
            <w:pPr>
              <w:pStyle w:val="33"/>
              <w:rPr>
                <w:color w:val="000000" w:themeColor="text1"/>
                <w14:textFill>
                  <w14:solidFill>
                    <w14:schemeClr w14:val="tx1"/>
                  </w14:solidFill>
                </w14:textFill>
              </w:rPr>
            </w:pPr>
            <w:r>
              <w:rPr>
                <w:color w:val="000000" w:themeColor="text1"/>
                <w14:textFill>
                  <w14:solidFill>
                    <w14:schemeClr w14:val="tx1"/>
                  </w14:solidFill>
                </w14:textFill>
              </w:rPr>
              <w:t>符合</w:t>
            </w:r>
          </w:p>
        </w:tc>
      </w:tr>
      <w:tr w14:paraId="27BD64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7" w:type="dxa"/>
            <w:vMerge w:val="continue"/>
            <w:tcBorders>
              <w:left w:val="single" w:color="auto" w:sz="12" w:space="0"/>
              <w:bottom w:val="single" w:color="auto" w:sz="12" w:space="0"/>
            </w:tcBorders>
            <w:vAlign w:val="center"/>
          </w:tcPr>
          <w:p w14:paraId="294AF2F8">
            <w:pPr>
              <w:pStyle w:val="33"/>
              <w:rPr>
                <w:color w:val="000000" w:themeColor="text1"/>
                <w14:textFill>
                  <w14:solidFill>
                    <w14:schemeClr w14:val="tx1"/>
                  </w14:solidFill>
                </w14:textFill>
              </w:rPr>
            </w:pPr>
          </w:p>
        </w:tc>
        <w:tc>
          <w:tcPr>
            <w:tcW w:w="567" w:type="dxa"/>
            <w:tcBorders>
              <w:bottom w:val="single" w:color="auto" w:sz="12" w:space="0"/>
            </w:tcBorders>
            <w:vAlign w:val="center"/>
          </w:tcPr>
          <w:p w14:paraId="6932D8FA">
            <w:pPr>
              <w:pStyle w:val="33"/>
              <w:rPr>
                <w:color w:val="000000" w:themeColor="text1"/>
                <w14:textFill>
                  <w14:solidFill>
                    <w14:schemeClr w14:val="tx1"/>
                  </w14:solidFill>
                </w14:textFill>
              </w:rPr>
            </w:pPr>
            <w:r>
              <w:rPr>
                <w:color w:val="000000" w:themeColor="text1"/>
                <w14:textFill>
                  <w14:solidFill>
                    <w14:schemeClr w14:val="tx1"/>
                  </w14:solidFill>
                </w14:textFill>
              </w:rPr>
              <w:t>5</w:t>
            </w:r>
          </w:p>
        </w:tc>
        <w:tc>
          <w:tcPr>
            <w:tcW w:w="4243" w:type="dxa"/>
            <w:tcBorders>
              <w:bottom w:val="single" w:color="auto" w:sz="12" w:space="0"/>
            </w:tcBorders>
            <w:vAlign w:val="center"/>
          </w:tcPr>
          <w:p w14:paraId="67A96FD6">
            <w:pPr>
              <w:pStyle w:val="33"/>
              <w:jc w:val="left"/>
              <w:rPr>
                <w:color w:val="000000" w:themeColor="text1"/>
                <w14:textFill>
                  <w14:solidFill>
                    <w14:schemeClr w14:val="tx1"/>
                  </w14:solidFill>
                </w14:textFill>
              </w:rPr>
            </w:pPr>
            <w:r>
              <w:rPr>
                <w:color w:val="000000" w:themeColor="text1"/>
                <w14:textFill>
                  <w14:solidFill>
                    <w14:schemeClr w14:val="tx1"/>
                  </w14:solidFill>
                </w14:textFill>
              </w:rPr>
              <w:t>严禁在对公共设施、基础设施、工业企业、居民点等有重大影响的区域设置弃土（石、渣、灰、矸石、尾矿）场。</w:t>
            </w:r>
          </w:p>
        </w:tc>
        <w:tc>
          <w:tcPr>
            <w:tcW w:w="2845" w:type="dxa"/>
            <w:tcBorders>
              <w:bottom w:val="single" w:color="auto" w:sz="12" w:space="0"/>
            </w:tcBorders>
            <w:vAlign w:val="center"/>
          </w:tcPr>
          <w:p w14:paraId="2D12DFEB">
            <w:pPr>
              <w:pStyle w:val="33"/>
              <w:rPr>
                <w:color w:val="000000" w:themeColor="text1"/>
                <w:lang w:val="zh-CN" w:bidi="zh-CN"/>
                <w14:textFill>
                  <w14:solidFill>
                    <w14:schemeClr w14:val="tx1"/>
                  </w14:solidFill>
                </w14:textFill>
              </w:rPr>
            </w:pPr>
            <w:r>
              <w:rPr>
                <w:rFonts w:hint="eastAsia"/>
                <w:color w:val="000000" w:themeColor="text1"/>
                <w:lang w:val="zh-CN" w:bidi="zh-CN"/>
                <w14:textFill>
                  <w14:solidFill>
                    <w14:schemeClr w14:val="tx1"/>
                  </w14:solidFill>
                </w14:textFill>
              </w:rPr>
              <w:t>多余土方就近填至坑洼地带综合利用。园区外依托的固废处理场、渣场选址不涉及上述区域，选址合理。</w:t>
            </w:r>
          </w:p>
        </w:tc>
        <w:tc>
          <w:tcPr>
            <w:tcW w:w="702" w:type="dxa"/>
            <w:tcBorders>
              <w:bottom w:val="single" w:color="auto" w:sz="12" w:space="0"/>
              <w:right w:val="single" w:color="auto" w:sz="12" w:space="0"/>
            </w:tcBorders>
            <w:vAlign w:val="center"/>
          </w:tcPr>
          <w:p w14:paraId="0F1E9698">
            <w:pPr>
              <w:pStyle w:val="33"/>
              <w:rPr>
                <w:color w:val="000000" w:themeColor="text1"/>
                <w14:textFill>
                  <w14:solidFill>
                    <w14:schemeClr w14:val="tx1"/>
                  </w14:solidFill>
                </w14:textFill>
              </w:rPr>
            </w:pPr>
            <w:r>
              <w:rPr>
                <w:color w:val="000000" w:themeColor="text1"/>
                <w14:textFill>
                  <w14:solidFill>
                    <w14:schemeClr w14:val="tx1"/>
                  </w14:solidFill>
                </w14:textFill>
              </w:rPr>
              <w:t>符合</w:t>
            </w:r>
          </w:p>
        </w:tc>
      </w:tr>
    </w:tbl>
    <w:p w14:paraId="5B574D43">
      <w:pPr>
        <w:widowControl w:val="0"/>
        <w:ind w:firstLine="480"/>
        <w:rPr>
          <w:rFonts w:cs="Times New Roman"/>
          <w:color w:val="000000" w:themeColor="text1"/>
          <w14:textFill>
            <w14:solidFill>
              <w14:schemeClr w14:val="tx1"/>
            </w14:solidFill>
          </w14:textFill>
        </w:rPr>
      </w:pPr>
    </w:p>
    <w:p w14:paraId="786EA7AE">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由表3-1可知，经以上主体工程选址（线）水土保持制约性因素的分析有：</w:t>
      </w:r>
    </w:p>
    <w:p w14:paraId="76827FE6">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w:t>
      </w:r>
      <w:r>
        <w:rPr>
          <w:rFonts w:hint="eastAsia" w:cs="Times New Roman"/>
          <w:color w:val="000000" w:themeColor="text1"/>
          <w14:textFill>
            <w14:solidFill>
              <w14:schemeClr w14:val="tx1"/>
            </w14:solidFill>
          </w14:textFill>
        </w:rPr>
        <w:t>园区</w:t>
      </w:r>
      <w:r>
        <w:rPr>
          <w:rFonts w:cs="Times New Roman"/>
          <w:color w:val="000000" w:themeColor="text1"/>
          <w14:textFill>
            <w14:solidFill>
              <w14:schemeClr w14:val="tx1"/>
            </w14:solidFill>
          </w14:textFill>
        </w:rPr>
        <w:t>选址（线）兼顾了水土保持要求，避开了泥石流易发区、崩塌滑坡危险区以及易引起严重水土流失的地区；</w:t>
      </w:r>
      <w:r>
        <w:rPr>
          <w:rFonts w:hint="eastAsia" w:cs="Times New Roman"/>
          <w:color w:val="000000" w:themeColor="text1"/>
          <w14:textFill>
            <w14:solidFill>
              <w14:schemeClr w14:val="tx1"/>
            </w14:solidFill>
          </w14:textFill>
        </w:rPr>
        <w:t>园区选址</w:t>
      </w:r>
      <w:r>
        <w:rPr>
          <w:rFonts w:cs="Times New Roman"/>
          <w:color w:val="000000" w:themeColor="text1"/>
          <w14:textFill>
            <w14:solidFill>
              <w14:schemeClr w14:val="tx1"/>
            </w14:solidFill>
          </w14:textFill>
        </w:rPr>
        <w:t>范围内没有全国水土保持监测网络中的水土保持监测站点、重点试验区，也无国家确定的水土保持长期定位观测站。</w:t>
      </w:r>
    </w:p>
    <w:p w14:paraId="018C28A2">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根据《水利部办公厅关于印发〈全国水土保持规划国家级水土流失重点预防区和重点治理区复核划分成果〉的通知》（水利部办公厅办水保〔2013〕188号）和《内蒙古自治区人民政府关于划分水土流失重点预防区和重点治理区的通告》（内政发〔2016〕44号），园区选址属于黄河自治区级流失重点治理区，无法避让，所以本园区水土保持防治措施将适当提高防治标准，同时要求进一步优化施工工艺，减少地表扰动和植被损坏范围，有效控制可能造成的水土流失。</w:t>
      </w:r>
    </w:p>
    <w:p w14:paraId="3FB7C8E6">
      <w:pPr>
        <w:widowControl w:val="0"/>
        <w:ind w:firstLine="480"/>
        <w:contextualSpacing/>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（3）本园区基础建设土石方挖填合理，无借方，无弃方，工程不单独设计取土场和弃渣场。</w:t>
      </w:r>
    </w:p>
    <w:p w14:paraId="52BD5241">
      <w:pPr>
        <w:widowControl w:val="0"/>
        <w:ind w:firstLine="48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4</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根据“水利部办公厅印发《全国水土保持规划国家级水土流失重点预防区和重点治理区复核划分成果》的通知”（办水保〔2013〕188号）及《内蒙古自治区人民政府关于划分水土流失重点预防区和重点治理区的通告》（内政发〔2016〕44号）。项目所在地固阳县属黄河自治区级水土流失重点治理区，土壤侵蚀以风力侵蚀为主，兼有季节性水力侵蚀。</w:t>
      </w:r>
    </w:p>
    <w:p w14:paraId="5E327F77">
      <w:pPr>
        <w:widowControl w:val="0"/>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园区范围内不存在活动性断裂，亦不存在滑坡、崩塌、泥石流、地下采空区等不良地质作用，场地稳定性良好;园区范围内绝大部分地段不存在浅埋地下水，无可液化土层存在，属抗震有利地段，是适宜的建筑场地。园区范围内不涉及自然保护区、集中式饮用水水源保护区等生态功能重要区和生态环境敏感区以及基本农田等禁止开发区。园区</w:t>
      </w:r>
      <w:r>
        <w:rPr>
          <w:rFonts w:cs="Times New Roman"/>
          <w:color w:val="000000" w:themeColor="text1"/>
          <w14:textFill>
            <w14:solidFill>
              <w14:schemeClr w14:val="tx1"/>
            </w14:solidFill>
          </w14:textFill>
        </w:rPr>
        <w:t>规划范围未涉及生态红线、自然保护区、世界文化和自然遗产地、风景名胜区、地质公园、森林公园、重要湿地等地区。</w:t>
      </w:r>
    </w:p>
    <w:p w14:paraId="2D19D03A">
      <w:pPr>
        <w:widowControl w:val="0"/>
        <w:ind w:firstLine="480"/>
        <w:contextualSpacing/>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综上所述，</w:t>
      </w:r>
      <w:bookmarkStart w:id="209" w:name="_Toc4863062"/>
      <w:bookmarkEnd w:id="209"/>
      <w:bookmarkStart w:id="210" w:name="_Toc4863035"/>
      <w:bookmarkEnd w:id="210"/>
      <w:bookmarkStart w:id="211" w:name="_Toc4863034"/>
      <w:bookmarkEnd w:id="211"/>
      <w:bookmarkStart w:id="212" w:name="_Toc4863061"/>
      <w:bookmarkEnd w:id="212"/>
      <w:bookmarkStart w:id="213" w:name="_Toc55920607"/>
      <w:bookmarkStart w:id="214" w:name="_Toc5480388"/>
      <w:bookmarkStart w:id="215" w:name="_Toc85444572"/>
      <w:r>
        <w:rPr>
          <w:rFonts w:cs="Times New Roman"/>
          <w:color w:val="000000" w:themeColor="text1"/>
          <w14:textFill>
            <w14:solidFill>
              <w14:schemeClr w14:val="tx1"/>
            </w14:solidFill>
          </w14:textFill>
        </w:rPr>
        <w:t>本</w:t>
      </w:r>
      <w:r>
        <w:rPr>
          <w:rFonts w:hint="eastAsia" w:cs="Times New Roman"/>
          <w:color w:val="000000" w:themeColor="text1"/>
          <w14:textFill>
            <w14:solidFill>
              <w14:schemeClr w14:val="tx1"/>
            </w14:solidFill>
          </w14:textFill>
        </w:rPr>
        <w:t>园区</w:t>
      </w:r>
      <w:r>
        <w:rPr>
          <w:rFonts w:cs="Times New Roman"/>
          <w:color w:val="000000" w:themeColor="text1"/>
          <w14:textFill>
            <w14:solidFill>
              <w14:schemeClr w14:val="tx1"/>
            </w14:solidFill>
          </w14:textFill>
        </w:rPr>
        <w:t>属黄河自治区级流失重点治理区</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存在一定的水土保持制约性因素，通过优化施工工艺，减少地表扰动和植被损坏范围，及时采取各项防治措施后，施工期水土流失可得到有效控制，项目建设是可行的。</w:t>
      </w:r>
    </w:p>
    <w:p w14:paraId="6CB2D6EF">
      <w:pPr>
        <w:spacing w:line="240" w:lineRule="auto"/>
        <w:ind w:firstLine="0" w:firstLineChars="0"/>
        <w:jc w:val="left"/>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br w:type="page"/>
      </w:r>
    </w:p>
    <w:p w14:paraId="5784315B">
      <w:pPr>
        <w:pStyle w:val="4"/>
        <w:spacing w:before="120" w:after="120"/>
      </w:pPr>
      <w:r>
        <w:t>园区总体布局水土保持评价</w:t>
      </w:r>
      <w:bookmarkEnd w:id="213"/>
      <w:bookmarkEnd w:id="214"/>
      <w:bookmarkEnd w:id="215"/>
    </w:p>
    <w:p w14:paraId="2D86ED64">
      <w:pPr>
        <w:pStyle w:val="5"/>
        <w:rPr>
          <w:color w:val="000000" w:themeColor="text1"/>
          <w14:textFill>
            <w14:solidFill>
              <w14:schemeClr w14:val="tx1"/>
            </w14:solidFill>
          </w14:textFill>
        </w:rPr>
      </w:pPr>
      <w:r>
        <w:rPr>
          <w:color w:val="000000" w:themeColor="text1"/>
          <w14:textFill>
            <w14:solidFill>
              <w14:schemeClr w14:val="tx1"/>
            </w14:solidFill>
          </w14:textFill>
        </w:rPr>
        <w:t>总体布局与节约用地分析评价</w:t>
      </w:r>
    </w:p>
    <w:p w14:paraId="5981E996">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包头金山经济开发区在原有规划的基础上进行调整，形成“一园两区”的工业格局。园区总用地面积为1267.72hm²。工业区用地性质以三类工矿用地为主，在各产业区块之间留有大面积的生态绿化空间，在组团内部形成较为合理的产业循环链条，实现产业区的可持续发展。主要分为新能源新材料化工产业区、金属冶炼及深加工区及园区培育产业区，其中新能源新材料化工产业区以硅及下游深加工产业为主；金属冶炼及深加工区主要以金属冶炼及下游转化产业为主；培育产业区主要以园区现有企业及中小企业发展为主。</w:t>
      </w:r>
    </w:p>
    <w:p w14:paraId="72B55781">
      <w:pPr>
        <w:widowControl w:val="0"/>
        <w:ind w:firstLine="480"/>
        <w:contextualSpacing/>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为方便一体化管理，入驻项目按照各功能区进行集中布置。同时，通过优化各功能区块的布置，以减少对地表的扰动。本区内的道路由依托西侧的包白公路（S210）、北侧的一级公路及东侧至石拐区的三条主要对外交通道路，园区内部道路初步形成“三横五纵四出口”，形成较为完善的路网结构。道路竖向设计时需结合规划地块的设计标高进行优化调整，做到道路与地块的高程衔接合理，尽量避免大量填挖土石方。园区规划合理布设道路、施工便道结合永久道路规划建设，尽量利用园区已有道路进行施工，提高土地综合利用率。各类管线、通讯电力等公共设施布设道路两侧绿化带下，尽量减少占地，基本满足水土保持要求。</w:t>
      </w:r>
    </w:p>
    <w:p w14:paraId="23FB7D94">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的规划方案兼顾了水土保持要求，尽量避开了生态脆弱区易引起严重水土流失和生态恶化的区域，局部地势起伏较大的区域规划通过设置一定的场地纵坡、防护绿地实现过渡，结合自然地形地貌，最大限度地减少土方工程。</w:t>
      </w:r>
    </w:p>
    <w:p w14:paraId="1A5F700D">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园区土地利用类型不涉及基本农田，园区范围内的集体农用地已分批次的征收为国有土地，并转为建设用地（详见附件1</w:t>
      </w:r>
      <w:r>
        <w:rPr>
          <w:rFonts w:cs="Times New Roman"/>
          <w:color w:val="000000" w:themeColor="text1"/>
          <w14:textFill>
            <w14:solidFill>
              <w14:schemeClr w14:val="tx1"/>
            </w14:solidFill>
          </w14:textFill>
        </w:rPr>
        <w:t>-14</w:t>
      </w:r>
      <w:r>
        <w:rPr>
          <w:rFonts w:hint="eastAsia" w:cs="Times New Roman"/>
          <w:color w:val="000000" w:themeColor="text1"/>
          <w14:textFill>
            <w14:solidFill>
              <w14:schemeClr w14:val="tx1"/>
            </w14:solidFill>
          </w14:textFill>
        </w:rPr>
        <w:t>）。</w:t>
      </w:r>
    </w:p>
    <w:p w14:paraId="42045527">
      <w:pPr>
        <w:widowControl w:val="0"/>
        <w:ind w:firstLine="480"/>
        <w:contextualSpacing/>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区内各项建设内容所在位置、用地面积及规划指标均按照相关规划文件划定，地块出让后，由出让对象按照规划要求进行实施。</w:t>
      </w:r>
    </w:p>
    <w:p w14:paraId="7549F3F3">
      <w:pPr>
        <w:widowControl w:val="0"/>
        <w:ind w:firstLine="480"/>
        <w:contextualSpacing/>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综上所述，园区从选址、产业布局划分，基础设施配套包括用电、用水和道路等方面节约了用地，总体布局合理，后续的企业入驻，仍然需要落实好管理职责，控制好企业用地，尽量优化施工工艺，管控好企业扰动范围，做好水土保持防护，避免乱堆乱弃，减少开挖。</w:t>
      </w:r>
    </w:p>
    <w:p w14:paraId="4B56AF0A">
      <w:pPr>
        <w:pStyle w:val="5"/>
        <w:rPr>
          <w:color w:val="000000" w:themeColor="text1"/>
          <w14:textFill>
            <w14:solidFill>
              <w14:schemeClr w14:val="tx1"/>
            </w14:solidFill>
          </w14:textFill>
        </w:rPr>
      </w:pPr>
      <w:r>
        <w:rPr>
          <w:color w:val="000000" w:themeColor="text1"/>
          <w14:textFill>
            <w14:solidFill>
              <w14:schemeClr w14:val="tx1"/>
            </w14:solidFill>
          </w14:textFill>
        </w:rPr>
        <w:t>生态保护分析</w:t>
      </w:r>
    </w:p>
    <w:p w14:paraId="3D1FDE27">
      <w:pPr>
        <w:widowControl w:val="0"/>
        <w:ind w:firstLine="48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工业园区已建区域已有企业入驻，其中已实施的水土保持措施包括施工过程中的临时苫盖、施工结束后的透水砖铺装和空地绿化等。这些措施在整个区域内的生态保护和水土保持方面起到了至关重要的作用，苗木成活率满足预期要求。已实施的企业在施工前进行了表土剥离并妥善保存，以满足后期的综合利用和水土保持需求。</w:t>
      </w:r>
    </w:p>
    <w:p w14:paraId="549DE663">
      <w:pPr>
        <w:widowControl w:val="0"/>
        <w:ind w:firstLine="48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在未建设区域，建议对企业施工进行管理，严格控制扰动范围，以最大程度地保护原地貌植被。园区的规划设计中，对未建设区内的道路两侧、公用设施内及防护绿地都进行了绿化设计，旨在增加绿化面积，这不仅能美化环境，还具有涵养水源、改善园区气候和保持水土的多重功能。</w:t>
      </w:r>
    </w:p>
    <w:p w14:paraId="3B840DCE">
      <w:pPr>
        <w:widowControl w:val="0"/>
        <w:ind w:firstLine="48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本园区工业污水由厂区自行处理，达到排放标准后排入到园区内的市政管道进入污水处理厂。</w:t>
      </w:r>
      <w:r>
        <w:rPr>
          <w:rFonts w:cs="Times New Roman"/>
          <w:color w:val="000000" w:themeColor="text1"/>
          <w14:textFill>
            <w14:solidFill>
              <w14:schemeClr w14:val="tx1"/>
            </w14:solidFill>
          </w14:textFill>
        </w:rPr>
        <w:t>园区内的生活污水通过污水管网排入到</w:t>
      </w:r>
      <w:r>
        <w:rPr>
          <w:rFonts w:hint="eastAsia" w:cs="Times New Roman"/>
          <w:color w:val="000000" w:themeColor="text1"/>
          <w14:textFill>
            <w14:solidFill>
              <w14:schemeClr w14:val="tx1"/>
            </w14:solidFill>
          </w14:textFill>
        </w:rPr>
        <w:t>园区内</w:t>
      </w:r>
      <w:r>
        <w:rPr>
          <w:rFonts w:cs="Times New Roman"/>
          <w:color w:val="000000" w:themeColor="text1"/>
          <w14:textFill>
            <w14:solidFill>
              <w14:schemeClr w14:val="tx1"/>
            </w14:solidFill>
          </w14:textFill>
        </w:rPr>
        <w:t>污水处理厂内处理，达到排放标准后排入到园区内的绿地及</w:t>
      </w:r>
      <w:r>
        <w:rPr>
          <w:rFonts w:hint="eastAsia" w:cs="Times New Roman"/>
          <w:color w:val="000000" w:themeColor="text1"/>
          <w14:textFill>
            <w14:solidFill>
              <w14:schemeClr w14:val="tx1"/>
            </w14:solidFill>
          </w14:textFill>
        </w:rPr>
        <w:t>排水明沟（暗管）</w:t>
      </w:r>
      <w:r>
        <w:rPr>
          <w:rFonts w:cs="Times New Roman"/>
          <w:color w:val="000000" w:themeColor="text1"/>
          <w14:textFill>
            <w14:solidFill>
              <w14:schemeClr w14:val="tx1"/>
            </w14:solidFill>
          </w14:textFill>
        </w:rPr>
        <w:t>内。</w:t>
      </w:r>
    </w:p>
    <w:p w14:paraId="10893D4B">
      <w:pPr>
        <w:widowControl w:val="0"/>
        <w:ind w:firstLine="48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结合包头金山经济开发区的排水实际情况，充分利用其南侧的河渠作为雨水收集湿地，建议通过雨水截流和渗透系统，生态功能区雨水利用系统来建设海绵城市。具体来说，道路雨水可以通过排水明沟或暗管排入沿途的大型蓄水池或通过渗透方式补充地下水。同时，各个功能区可以沿着排水道修建可渗透的浅沟，表面植有草皮，供雨水径流时下渗。对于超过渗透能力的雨水，我们可以将其引入南排沟雨水湿地，既可以作为水景，也可以继续下渗，达到雨水的有效利用和生态保护的目的。</w:t>
      </w:r>
    </w:p>
    <w:p w14:paraId="4C06E6D2">
      <w:pPr>
        <w:widowControl w:val="0"/>
        <w:ind w:firstLine="48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开发区项目产生的危险废弃物统一送至有资质的危险废物处理中心处理，一般工业废弃物送包头金山工业园区公共一般工业固体废物渣场，严禁工业固废送生活垃圾填埋场填埋。园区生活垃圾采用卫生填埋处理方式，运往西北部金山镇垃圾卫生填埋场填埋。建议从源头上减少污染物的产生，加强废弃物的分类管理和回收利用，同时优化现有的处理系统，提高其处理效率。</w:t>
      </w:r>
    </w:p>
    <w:p w14:paraId="300B3F52">
      <w:pPr>
        <w:widowControl w:val="0"/>
        <w:ind w:firstLine="48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尽管工业园区在规划和实施过程中已经考虑到了造林等水土保持措施，但不可避免的是，园区的建设活动对原有的生态群落和生态结构产生了一定的影响。根据园区的现有规划布局，一旦建设完成，原地貌的生态群落在园区内将不复存在，取而代之的是一个全新的城市生态系统。这种转变意味着生态结构也将发生深刻的变化，城市生态结构将因此变得更加完善和复杂。</w:t>
      </w:r>
    </w:p>
    <w:p w14:paraId="3CD9C3AE">
      <w:pPr>
        <w:widowControl w:val="0"/>
        <w:ind w:firstLine="48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随着规划的实施和土地利用功能的改变，原本的生物多样性可能会受到一定的影响，绿地覆盖率也可能会有所下降。规划制定了对不同用地类型的最低绿化标准，确保整体的林草覆盖率不低于20%。这将有助于在一定程度上维持和保护园区的生态环境质量。</w:t>
      </w:r>
    </w:p>
    <w:p w14:paraId="195AF7D7">
      <w:pPr>
        <w:pStyle w:val="5"/>
        <w:rPr>
          <w:color w:val="000000" w:themeColor="text1"/>
          <w14:textFill>
            <w14:solidFill>
              <w14:schemeClr w14:val="tx1"/>
            </w14:solidFill>
          </w14:textFill>
        </w:rPr>
      </w:pPr>
      <w:r>
        <w:rPr>
          <w:color w:val="000000" w:themeColor="text1"/>
          <w14:textFill>
            <w14:solidFill>
              <w14:schemeClr w14:val="tx1"/>
            </w14:solidFill>
          </w14:textFill>
        </w:rPr>
        <w:t>水土流失危害分析</w:t>
      </w:r>
    </w:p>
    <w:p w14:paraId="0A8497C6">
      <w:pPr>
        <w:widowControl w:val="0"/>
        <w:ind w:firstLine="48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目前，园区内已建区域的建设已经完成，对于空地部分，已经采取了植树种草的措施来恢复植被，从而将对土地资源的影响降至最低。然而，园区未建区的后续开发将会对原地貌造成扰动和破坏。这种大规模土石方的挖填施工不仅会减少土地资源，降低土地生产力，而且工程场地可能会面临缺乏用于植被恢复的土壤的问题。具体来说，这种影响主要体现在以下几个方面：</w:t>
      </w:r>
    </w:p>
    <w:p w14:paraId="70A0806D">
      <w:pPr>
        <w:widowControl w:val="0"/>
        <w:ind w:firstLine="480"/>
        <w:contextualSpacing/>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w:t>
      </w:r>
      <w:r>
        <w:rPr>
          <w:rFonts w:cs="Times New Roman"/>
          <w:color w:val="000000" w:themeColor="text1"/>
          <w14:textFill>
            <w14:solidFill>
              <w14:schemeClr w14:val="tx1"/>
            </w14:solidFill>
          </w14:textFill>
        </w:rPr>
        <w:tab/>
      </w:r>
      <w:r>
        <w:rPr>
          <w:rFonts w:cs="Times New Roman"/>
          <w:color w:val="000000" w:themeColor="text1"/>
          <w14:textFill>
            <w14:solidFill>
              <w14:schemeClr w14:val="tx1"/>
            </w14:solidFill>
          </w14:textFill>
        </w:rPr>
        <w:t>增加水土流失量</w:t>
      </w:r>
    </w:p>
    <w:p w14:paraId="731517BE">
      <w:pPr>
        <w:widowControl w:val="0"/>
        <w:ind w:firstLine="48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由于表土被破坏，土壤的结构和组成会发生变化，这将影响土壤的抗侵蚀能力，进而导致新增的水土流失。同时，临时占地也会破坏植被和扰动地表，使土壤变得疏松，加上施工过程中产生的疏松弃土，都会使水土流失量增加。特别是在雨季，随着坡面的汇流，会进一步增加下游的泥沙含量。</w:t>
      </w:r>
    </w:p>
    <w:p w14:paraId="7E4375C5">
      <w:pPr>
        <w:widowControl w:val="0"/>
        <w:ind w:firstLine="480"/>
        <w:contextualSpacing/>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w:t>
      </w:r>
      <w:r>
        <w:rPr>
          <w:rFonts w:cs="Times New Roman"/>
          <w:color w:val="000000" w:themeColor="text1"/>
          <w14:textFill>
            <w14:solidFill>
              <w14:schemeClr w14:val="tx1"/>
            </w14:solidFill>
          </w14:textFill>
        </w:rPr>
        <w:tab/>
      </w:r>
      <w:r>
        <w:rPr>
          <w:rFonts w:cs="Times New Roman"/>
          <w:color w:val="000000" w:themeColor="text1"/>
          <w14:textFill>
            <w14:solidFill>
              <w14:schemeClr w14:val="tx1"/>
            </w14:solidFill>
          </w14:textFill>
        </w:rPr>
        <w:t>对降雨入渗造成影响</w:t>
      </w:r>
    </w:p>
    <w:p w14:paraId="2227BB13">
      <w:pPr>
        <w:widowControl w:val="0"/>
        <w:ind w:firstLine="48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工程项目的建设将改变原有土地的功能，增加土地的硬化面积。因此，雨水将通过硬化的地面排出，减少了降雨就地入渗的量，使得部分地表雨水不能就地充分有效地得到利用。这将增加园区防洪内涝的压力。</w:t>
      </w:r>
    </w:p>
    <w:p w14:paraId="6E729694">
      <w:pPr>
        <w:widowControl w:val="0"/>
        <w:ind w:firstLine="480"/>
        <w:contextualSpacing/>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w:t>
      </w:r>
      <w:r>
        <w:rPr>
          <w:rFonts w:cs="Times New Roman"/>
          <w:color w:val="000000" w:themeColor="text1"/>
          <w14:textFill>
            <w14:solidFill>
              <w14:schemeClr w14:val="tx1"/>
            </w14:solidFill>
          </w14:textFill>
        </w:rPr>
        <w:tab/>
      </w:r>
      <w:r>
        <w:rPr>
          <w:rFonts w:cs="Times New Roman"/>
          <w:color w:val="000000" w:themeColor="text1"/>
          <w14:textFill>
            <w14:solidFill>
              <w14:schemeClr w14:val="tx1"/>
            </w14:solidFill>
          </w14:textFill>
        </w:rPr>
        <w:t>增加风蚀危害</w:t>
      </w:r>
    </w:p>
    <w:p w14:paraId="00F1D012">
      <w:pPr>
        <w:widowControl w:val="0"/>
        <w:ind w:firstLine="48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在原生状态下，由于有植被的覆盖，原有的土体和植被形成了相对稳定的结构，具有一定的抗风蚀能力。然而，施工会导致土体松散裸露，在大风的作用下，地表物质会随风搬运，形成挟沙风。这不仅会增加风蚀的危害，同时扬尘天气也会对周围环境造成影响。</w:t>
      </w:r>
    </w:p>
    <w:p w14:paraId="79828440">
      <w:pPr>
        <w:pStyle w:val="5"/>
        <w:rPr>
          <w:color w:val="000000" w:themeColor="text1"/>
          <w14:textFill>
            <w14:solidFill>
              <w14:schemeClr w14:val="tx1"/>
            </w14:solidFill>
          </w14:textFill>
        </w:rPr>
      </w:pPr>
      <w:bookmarkStart w:id="216" w:name="_Toc85444574"/>
      <w:bookmarkStart w:id="217" w:name="_Toc231439357"/>
      <w:bookmarkStart w:id="218" w:name="_Toc256342028"/>
      <w:bookmarkStart w:id="219" w:name="_Toc244940232"/>
      <w:r>
        <w:rPr>
          <w:color w:val="000000" w:themeColor="text1"/>
          <w14:textFill>
            <w14:solidFill>
              <w14:schemeClr w14:val="tx1"/>
            </w14:solidFill>
          </w14:textFill>
        </w:rPr>
        <w:t>土石方</w:t>
      </w:r>
      <w:bookmarkEnd w:id="216"/>
      <w:r>
        <w:rPr>
          <w:color w:val="000000" w:themeColor="text1"/>
          <w14:textFill>
            <w14:solidFill>
              <w14:schemeClr w14:val="tx1"/>
            </w14:solidFill>
          </w14:textFill>
        </w:rPr>
        <w:t>调配利用方案评价</w:t>
      </w:r>
    </w:p>
    <w:bookmarkEnd w:id="217"/>
    <w:bookmarkEnd w:id="218"/>
    <w:bookmarkEnd w:id="219"/>
    <w:p w14:paraId="053C77ED">
      <w:pPr>
        <w:widowControl w:val="0"/>
        <w:tabs>
          <w:tab w:val="left" w:pos="3720"/>
        </w:tabs>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已建区域、未建区域土石方平衡分析后，对整个规划园区总体土石方进行统计，本园区建设期间挖填方总量1329.91万m³，其中总挖方664.95万m³（其中表土50.74万m³，建筑垃圾3.51万m³，土石方610.70万m³），土石方填筑总量664.95万m³（其中表土50.74万m³，建筑垃圾3.51万m³，土石方610.70万m³），无借方，无弃方。</w:t>
      </w:r>
    </w:p>
    <w:p w14:paraId="5BCC8C64">
      <w:pPr>
        <w:widowControl w:val="0"/>
        <w:tabs>
          <w:tab w:val="left" w:pos="3720"/>
        </w:tabs>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其中，地块1（金山产业园北区）建设期间挖填方总量1269.51万m³，其中总挖方634.76万m³（其中表土46.11万m³，建筑垃圾3.51万m³，土石方585.14m³），土石方填筑总量634.76万m³（其中表土46.11万m³，建筑垃圾3.51万m³，土石方585.14m³），无借方，无弃方。</w:t>
      </w:r>
    </w:p>
    <w:p w14:paraId="7F88C443">
      <w:pPr>
        <w:widowControl w:val="0"/>
        <w:tabs>
          <w:tab w:val="left" w:pos="3720"/>
        </w:tabs>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地块2（下湿壕片区）建设期间挖填方总量60.40万m³，其中总挖方30.20万m³（其中表土4.62万m³，土石方25.58万m³），土石方填筑总量30.20万m³（其中表土4.62万m³，土石方25.58万m³），无借方，无弃方。园区内土石方能够实现挖填平衡。</w:t>
      </w:r>
    </w:p>
    <w:p w14:paraId="304D7565">
      <w:pPr>
        <w:widowControl w:val="0"/>
        <w:ind w:firstLine="480"/>
        <w:rPr>
          <w:rFonts w:cs="Times New Roman"/>
          <w:color w:val="000000" w:themeColor="text1"/>
          <w14:textFill>
            <w14:solidFill>
              <w14:schemeClr w14:val="tx1"/>
            </w14:solidFill>
          </w14:textFill>
        </w:rPr>
      </w:pPr>
      <w:bookmarkStart w:id="220" w:name="_Hlk88418531"/>
      <w:r>
        <w:rPr>
          <w:rFonts w:cs="Times New Roman"/>
          <w:color w:val="000000" w:themeColor="text1"/>
          <w14:textFill>
            <w14:solidFill>
              <w14:schemeClr w14:val="tx1"/>
            </w14:solidFill>
          </w14:textFill>
        </w:rPr>
        <w:t>在园区未建设区域过程中，剥离表土量达到9.57万m³，除了随挖随填的表土外，多余的表土将被堆放在表土堆存场，以备用作园区绿化用土。方案设计中共布设了7处表土堆存场，占地面积约为2.57hm²。为了确保表土不流失，表土堆存场周边设计了临时拦挡、苫盖、排水等措施。这些表土将利用回填于园区项目内部的绿化、道路两侧的绿化以及防护绿化等区域，这符合水土保持的要求。</w:t>
      </w:r>
    </w:p>
    <w:p w14:paraId="1BFF707D">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土方调运考虑经济性等问题，采用就近原则，首先考虑片区内部土石方平衡，避免长距离运输调配，符合土石方挖填数量最优化、时序可行、运距合理的原则，优先进行综合利用，主体关于土石方平衡设计规划符合水土保持技术规范要求。本报告参照已建项目施工工艺等，建议未建设区土石方应该考虑园区内部土石方平衡，施工前应该进行表土资源剥离利用。同时根据施工工序等，在尽量内部平衡的基础上做好各企业之间土石方平衡，避免长时间余方堆放。对于未建设区内需要编制水土保持方案的独立企业，应根据更细化的水土保持方案进行土石方调配。</w:t>
      </w:r>
    </w:p>
    <w:p w14:paraId="7F6D73FA">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综上所述，经过对产业园内土方工程的优化后，本工程的土石方挖填处理基本合理，符合水土流失防治的要求。</w:t>
      </w:r>
    </w:p>
    <w:bookmarkEnd w:id="220"/>
    <w:p w14:paraId="7978CCA4">
      <w:pPr>
        <w:pStyle w:val="5"/>
        <w:rPr>
          <w:color w:val="000000" w:themeColor="text1"/>
          <w14:textFill>
            <w14:solidFill>
              <w14:schemeClr w14:val="tx1"/>
            </w14:solidFill>
          </w14:textFill>
        </w:rPr>
      </w:pPr>
      <w:r>
        <w:rPr>
          <w:color w:val="000000" w:themeColor="text1"/>
          <w14:textFill>
            <w14:solidFill>
              <w14:schemeClr w14:val="tx1"/>
            </w14:solidFill>
          </w14:textFill>
        </w:rPr>
        <w:t>园区表土平衡评价</w:t>
      </w:r>
    </w:p>
    <w:p w14:paraId="5A2E7C84">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园区内的表土主要分布在林地、草地和耕地等区域，其中西侧和北侧的平缓区域林地和耕地较多。经过卫星遥感影像和现场踏勘，园区表土厚度在15-30</w:t>
      </w:r>
      <w:r>
        <w:rPr>
          <w:rFonts w:hint="eastAsia" w:cs="Times New Roman"/>
          <w:color w:val="000000" w:themeColor="text1"/>
          <w14:textFill>
            <w14:solidFill>
              <w14:schemeClr w14:val="tx1"/>
            </w14:solidFill>
          </w14:textFill>
        </w:rPr>
        <w:t>c</w:t>
      </w:r>
      <w:r>
        <w:rPr>
          <w:rFonts w:cs="Times New Roman"/>
          <w:color w:val="000000" w:themeColor="text1"/>
          <w14:textFill>
            <w14:solidFill>
              <w14:schemeClr w14:val="tx1"/>
            </w14:solidFill>
          </w14:textFill>
        </w:rPr>
        <w:t>m之间，可剥离面积为235.69hm²，可剥离表土量为50.74万m³。其中，地块1（金山产业园北区）可剥离面积为230.57hm²，可剥离表土量为46.11万m³，地块2（下湿壕片区）可剥离面积为23.11hm²，可剥离表土量为4.62万m³。在建设过程中，表土做到了应剥尽剥，全部利用。</w:t>
      </w:r>
    </w:p>
    <w:p w14:paraId="0DCDEEAF">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园区未建区域总面积为315.81hm²，包括工矿用地和交通运输用地，由于项目区土质条件较差，为给后期产业园绿化提供条件，本评估报告设计对其表层土进行剥离，集中堆放后进行土质改善，用于后期产业园绿化区域绿化覆土。园区未建设区域范围内表土层可剥离范围为47.85hm²，可剥离量9.57万m³。产业园内线状工程剥离表土可就近集中堆放；点状工程剥离表土就近集中堆存于征用的土地范围内，且堆放场地表土不宜受到水蚀及风蚀，表土临时堆存一般采用推土机推叠，在自然稳定的前提下堆高3m。如果表土较多，项目本身绿化覆土后仍然有剩余表土，可堆存于产业园规划的表土中转场，用于其他项目覆土绿化，既解决了自身无堆存地点，也解决了其他项目表土资源缺乏，合理保护了表土资源。堆存表土应采取临时防护措施，如土袋围挡、临时苫盖等防护措施，堆存表土裸露时间超过一个生长季的在表面及边坡撒播草籽进行临时绿化防护。土地整治结束之后，把剥离表土回覆在需要绿化的地块表层，</w:t>
      </w:r>
      <w:r>
        <w:rPr>
          <w:rFonts w:hint="eastAsia" w:ascii="Times New Roman" w:hAnsi="Times New Roman" w:eastAsia="仿宋_GB2312"/>
          <w:color w:val="000000" w:themeColor="text1"/>
          <w14:textFill>
            <w14:solidFill>
              <w14:schemeClr w14:val="tx1"/>
            </w14:solidFill>
          </w14:textFill>
        </w:rPr>
        <w:t>有</w:t>
      </w:r>
      <w:r>
        <w:rPr>
          <w:rFonts w:ascii="Times New Roman" w:hAnsi="Times New Roman" w:eastAsia="仿宋_GB2312"/>
          <w:color w:val="000000" w:themeColor="text1"/>
          <w14:textFill>
            <w14:solidFill>
              <w14:schemeClr w14:val="tx1"/>
            </w14:solidFill>
          </w14:textFill>
        </w:rPr>
        <w:t>利于植被快速恢复，有利于防治水土流失，符合水土保持的要求。</w:t>
      </w:r>
    </w:p>
    <w:p w14:paraId="1FA58F24">
      <w:pPr>
        <w:pStyle w:val="5"/>
        <w:rPr>
          <w:color w:val="000000" w:themeColor="text1"/>
          <w14:textFill>
            <w14:solidFill>
              <w14:schemeClr w14:val="tx1"/>
            </w14:solidFill>
          </w14:textFill>
        </w:rPr>
      </w:pPr>
      <w:r>
        <w:rPr>
          <w:color w:val="000000" w:themeColor="text1"/>
          <w14:textFill>
            <w14:solidFill>
              <w14:schemeClr w14:val="tx1"/>
            </w14:solidFill>
          </w14:textFill>
        </w:rPr>
        <w:t>土方中转场</w:t>
      </w:r>
    </w:p>
    <w:p w14:paraId="4C3D0093">
      <w:pPr>
        <w:widowControl w:val="0"/>
        <w:tabs>
          <w:tab w:val="left" w:pos="3720"/>
        </w:tabs>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产业园计划在规划范围内设置7处土石中转场，产业园开发建设过程中，根据运距及土方调配使用情况可对中转场适当进行调整。</w:t>
      </w:r>
    </w:p>
    <w:p w14:paraId="04957260">
      <w:pPr>
        <w:widowControl w:val="0"/>
        <w:tabs>
          <w:tab w:val="left" w:pos="3720"/>
        </w:tabs>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中转场均未布设在河道及湖泊管理范围内，未涉及自然保护区、风景名胜区和水源保护区等生态敏感区范围内，堆高最高不超过3m，各个土方中转场选址地形为平地形，周边临近未开发工矿用地，方便土方倒运，临近道路，运输便利，距离周边居民点较远，扬尘影响较小，选址可行，布置较为理。</w:t>
      </w:r>
    </w:p>
    <w:p w14:paraId="34948205">
      <w:pPr>
        <w:pStyle w:val="5"/>
        <w:rPr>
          <w:color w:val="000000" w:themeColor="text1"/>
          <w14:textFill>
            <w14:solidFill>
              <w14:schemeClr w14:val="tx1"/>
            </w14:solidFill>
          </w14:textFill>
        </w:rPr>
      </w:pPr>
      <w:bookmarkStart w:id="221" w:name="_Toc85444575"/>
      <w:r>
        <w:rPr>
          <w:color w:val="000000" w:themeColor="text1"/>
          <w14:textFill>
            <w14:solidFill>
              <w14:schemeClr w14:val="tx1"/>
            </w14:solidFill>
          </w14:textFill>
        </w:rPr>
        <w:t>取土(石、砂)场设置评价</w:t>
      </w:r>
      <w:bookmarkEnd w:id="221"/>
    </w:p>
    <w:p w14:paraId="035D82C7">
      <w:pPr>
        <w:widowControl w:val="0"/>
        <w:spacing w:line="44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产业园的规划，基础设施建设过程中不会设置取土场，而是选择从具有开采资质的厂家外购砂石料。因此，因开采砂石料导致的水土流失问题将由相关厂家负责治理。这一措施有助于明确责任，确保水土保持工作的有效进行。</w:t>
      </w:r>
    </w:p>
    <w:p w14:paraId="143C9F39">
      <w:pPr>
        <w:widowControl w:val="0"/>
        <w:spacing w:line="44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在产业园的建设过程中，应加强施工管理，确保各项施工活动符合水土保持的要求。同时，需要采取相应的水土保持防护措施，如设置临时拦挡、苫盖、排水设施等，以最大程度地减少施工过程中可能产生的水土流失。</w:t>
      </w:r>
    </w:p>
    <w:p w14:paraId="589F72A8">
      <w:pPr>
        <w:widowControl w:val="0"/>
        <w:spacing w:line="44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进行土石方工程时，应做到随挖、随运、随填、随压。这种施工方式可以减少土石方的暴露时间和运输距离，有效降低水土流失的风险。</w:t>
      </w:r>
    </w:p>
    <w:p w14:paraId="4C3946ED">
      <w:pPr>
        <w:pStyle w:val="5"/>
        <w:rPr>
          <w:color w:val="000000" w:themeColor="text1"/>
          <w14:textFill>
            <w14:solidFill>
              <w14:schemeClr w14:val="tx1"/>
            </w14:solidFill>
          </w14:textFill>
        </w:rPr>
      </w:pPr>
      <w:bookmarkStart w:id="222" w:name="_Toc85444576"/>
      <w:r>
        <w:rPr>
          <w:color w:val="000000" w:themeColor="text1"/>
          <w14:textFill>
            <w14:solidFill>
              <w14:schemeClr w14:val="tx1"/>
            </w14:solidFill>
          </w14:textFill>
        </w:rPr>
        <w:t>弃土场设置评价</w:t>
      </w:r>
      <w:bookmarkEnd w:id="222"/>
    </w:p>
    <w:p w14:paraId="43952382">
      <w:pPr>
        <w:widowControl w:val="0"/>
        <w:tabs>
          <w:tab w:val="left" w:pos="3720"/>
        </w:tabs>
        <w:spacing w:line="44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经调查，园区已建区施工土石方挖填平衡，无余方、弃方。</w:t>
      </w:r>
    </w:p>
    <w:p w14:paraId="6C04FB1B">
      <w:pPr>
        <w:widowControl w:val="0"/>
        <w:tabs>
          <w:tab w:val="left" w:pos="3720"/>
        </w:tabs>
        <w:spacing w:line="44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的竖向布置充分利用了原有地形进行布置，各防治分区也采取了相应的水土保持防护措施。在施工过程中，没有涉及到大开挖、大回填的土石方工程，这有助于减少施工对环境的影响。同时，在利用原有施工工艺的基础上，优化了土石方的调配方案，力争做到随挖随填，无需另外布设弃土场。</w:t>
      </w:r>
    </w:p>
    <w:p w14:paraId="045E523D">
      <w:pPr>
        <w:widowControl w:val="0"/>
        <w:tabs>
          <w:tab w:val="left" w:pos="3720"/>
        </w:tabs>
        <w:spacing w:line="44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在园区规划建设期内，后续入驻的生产建设单位也应根据园区的规划建设要求，合理地调配土石方，确保园区整体的土石方都能达到挖填平衡。</w:t>
      </w:r>
    </w:p>
    <w:p w14:paraId="149A3FDB">
      <w:pPr>
        <w:widowControl w:val="0"/>
        <w:tabs>
          <w:tab w:val="left" w:pos="3720"/>
        </w:tabs>
        <w:spacing w:line="44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已建设完成工业固废垃圾堆场为包头金山工业园区公共一般工业固体废物渣场，该项目位于包头金山经济开发区南侧，红崖湾村委羊场卜子村西侧。渣场设计总库容为25万立方米(压实密度1.3吨/立方米)，设计填埋总量为32万吨，固废处置规模为4万吨/年，服务年限为8年。弃渣全部来源于包头金山经济开发区内的企业，由建设单位派专业运输设备运输至填埋库区进行填埋。工程总占地面积为.4.32hm²，已于2018年10月开始建设,2019年1月建成，目前堆渣量为0，可以有效解决园区弃渣问题。目前该弃渣场已编制水土保持方案。</w:t>
      </w:r>
    </w:p>
    <w:p w14:paraId="449F98E8">
      <w:pPr>
        <w:widowControl w:val="0"/>
        <w:tabs>
          <w:tab w:val="left" w:pos="3720"/>
        </w:tabs>
        <w:spacing w:line="440" w:lineRule="exact"/>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生活垃圾采用卫生填埋处理方式，运往西北部金山镇垃圾卫生填埋场，金山镇垃圾卫生填埋场于2009年4月开工建设，2010年9月建成投产，填埋场占地面积为96hm²，总库容53万立方，设计日处理垃圾90t，服务年限12年，现已填埋49万立方。目前卫生填埋场未编制水土保持方案。</w:t>
      </w:r>
    </w:p>
    <w:p w14:paraId="5D5153E5">
      <w:pPr>
        <w:pStyle w:val="3"/>
        <w:spacing w:before="120" w:after="120"/>
        <w:rPr>
          <w:lang w:eastAsia="zh-CN"/>
        </w:rPr>
      </w:pPr>
      <w:bookmarkStart w:id="223" w:name="_Toc85444577"/>
      <w:bookmarkStart w:id="224" w:name="_Toc152535474"/>
      <w:r>
        <w:rPr>
          <w:lang w:eastAsia="zh-CN"/>
        </w:rPr>
        <w:t>园区水土保持措施分析评价</w:t>
      </w:r>
      <w:bookmarkEnd w:id="223"/>
      <w:bookmarkEnd w:id="224"/>
    </w:p>
    <w:p w14:paraId="5629ACC6">
      <w:pPr>
        <w:pStyle w:val="4"/>
        <w:spacing w:before="120" w:after="120"/>
      </w:pPr>
      <w:r>
        <w:rPr>
          <w:rFonts w:hint="eastAsia"/>
        </w:rPr>
        <w:t>已建项目水土保持措施分析与评价</w:t>
      </w:r>
    </w:p>
    <w:p w14:paraId="7A89AFB7">
      <w:pPr>
        <w:widowControl w:val="0"/>
        <w:spacing w:line="440" w:lineRule="exact"/>
        <w:ind w:firstLine="480"/>
        <w:contextualSpacing/>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通过对包头金山经济开发区已实施的水土保持措施进行实地调查和评估，发现各功能区已完成了表土剥离及回填、</w:t>
      </w:r>
      <w:r>
        <w:rPr>
          <w:rFonts w:hint="eastAsia" w:cs="Times New Roman"/>
          <w:color w:val="000000" w:themeColor="text1"/>
          <w14:textFill>
            <w14:solidFill>
              <w14:schemeClr w14:val="tx1"/>
            </w14:solidFill>
          </w14:textFill>
        </w:rPr>
        <w:t>土地整治</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空地绿化、道路两侧绿化带</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雨水收集池、节水灌溉、排水暗管、混凝土排水沟</w:t>
      </w:r>
      <w:r>
        <w:rPr>
          <w:rFonts w:cs="Times New Roman"/>
          <w:color w:val="000000" w:themeColor="text1"/>
          <w14:textFill>
            <w14:solidFill>
              <w14:schemeClr w14:val="tx1"/>
            </w14:solidFill>
          </w14:textFill>
        </w:rPr>
        <w:t>、密目网苫盖</w:t>
      </w:r>
      <w:r>
        <w:rPr>
          <w:rFonts w:hint="eastAsia" w:cs="Times New Roman"/>
          <w:color w:val="000000" w:themeColor="text1"/>
          <w14:textFill>
            <w14:solidFill>
              <w14:schemeClr w14:val="tx1"/>
            </w14:solidFill>
          </w14:textFill>
        </w:rPr>
        <w:t>和</w:t>
      </w:r>
      <w:r>
        <w:rPr>
          <w:rFonts w:cs="Times New Roman"/>
          <w:color w:val="000000" w:themeColor="text1"/>
          <w14:textFill>
            <w14:solidFill>
              <w14:schemeClr w14:val="tx1"/>
            </w14:solidFill>
          </w14:textFill>
        </w:rPr>
        <w:t>透水砖铺装等水土保持措施。这些措施的实施可以有效地防治水土流失，具有较强水土保持功能，因此将其纳入本报告的水土保持防治措施体系中。同时，根据产业园现场调查结果，部分区域的植物存活率较低，需要进行补植补种。为此，本评估报告需补充设计相应的水土保持措施，以提高植被覆盖率和存活率。</w:t>
      </w:r>
    </w:p>
    <w:p w14:paraId="692C7B24">
      <w:pPr>
        <w:pStyle w:val="5"/>
      </w:pPr>
      <w:r>
        <w:rPr>
          <w:rFonts w:hint="eastAsia"/>
        </w:rPr>
        <w:t>地块1（金山产业园北区）</w:t>
      </w:r>
    </w:p>
    <w:p w14:paraId="52FEABF8">
      <w:pPr>
        <w:widowControl w:val="0"/>
        <w:spacing w:line="440" w:lineRule="exact"/>
        <w:ind w:firstLine="48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根据资料查阅及现场调查，采用的水土保持防护措施如下：</w:t>
      </w:r>
    </w:p>
    <w:p w14:paraId="04D7BB37">
      <w:pPr>
        <w:widowControl w:val="0"/>
        <w:spacing w:line="440" w:lineRule="exact"/>
        <w:ind w:firstLine="48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（1）工程措施：土地整治（含表土回覆）、表土剥离、节水灌溉、排水暗管、混凝土排水沟、雨水收集池、铺砌透水砖、碎石压盖。</w:t>
      </w:r>
    </w:p>
    <w:p w14:paraId="5E21E696">
      <w:pPr>
        <w:widowControl w:val="0"/>
        <w:spacing w:line="440" w:lineRule="exact"/>
        <w:ind w:firstLine="48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（2）植物措施：空地绿化、道路两侧绿化带</w:t>
      </w:r>
    </w:p>
    <w:p w14:paraId="6A20DA45">
      <w:pPr>
        <w:widowControl w:val="0"/>
        <w:spacing w:line="440" w:lineRule="exact"/>
        <w:ind w:firstLine="48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（3）临时措施：密目网苫盖</w:t>
      </w:r>
    </w:p>
    <w:p w14:paraId="6D29FCA2">
      <w:pPr>
        <w:pStyle w:val="5"/>
      </w:pPr>
      <w:r>
        <w:rPr>
          <w:rFonts w:hint="eastAsia"/>
        </w:rPr>
        <w:t>地块2（（下湿壕片区）</w:t>
      </w:r>
    </w:p>
    <w:p w14:paraId="456B1BD2">
      <w:pPr>
        <w:widowControl w:val="0"/>
        <w:spacing w:line="440" w:lineRule="exact"/>
        <w:ind w:firstLine="48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（1）工程措施：土地整治（含表土回覆）、表土剥离、排水暗管。</w:t>
      </w:r>
    </w:p>
    <w:p w14:paraId="2EFB50A5">
      <w:pPr>
        <w:widowControl w:val="0"/>
        <w:spacing w:line="440" w:lineRule="exact"/>
        <w:ind w:firstLine="48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（2）植物措施：</w:t>
      </w:r>
      <w:r>
        <w:rPr>
          <w:rFonts w:cs="Times New Roman"/>
          <w:color w:val="000000" w:themeColor="text1"/>
          <w:spacing w:val="-1"/>
          <w:sz w:val="21"/>
          <w:szCs w:val="21"/>
          <w14:textFill>
            <w14:solidFill>
              <w14:schemeClr w14:val="tx1"/>
            </w14:solidFill>
          </w14:textFill>
        </w:rPr>
        <w:t>空地绿化、道路两侧绿化带</w:t>
      </w:r>
      <w:r>
        <w:rPr>
          <w:rFonts w:hint="eastAsia" w:cs="Times New Roman"/>
          <w:color w:val="000000" w:themeColor="text1"/>
          <w:spacing w:val="-1"/>
          <w:sz w:val="21"/>
          <w:szCs w:val="21"/>
          <w14:textFill>
            <w14:solidFill>
              <w14:schemeClr w14:val="tx1"/>
            </w14:solidFill>
          </w14:textFill>
        </w:rPr>
        <w:t>。</w:t>
      </w:r>
    </w:p>
    <w:p w14:paraId="2901B244">
      <w:pPr>
        <w:widowControl w:val="0"/>
        <w:spacing w:line="440" w:lineRule="exact"/>
        <w:ind w:firstLine="48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（3）临时措施：密目网苫盖</w:t>
      </w:r>
    </w:p>
    <w:p w14:paraId="7E6A2483">
      <w:pPr>
        <w:widowControl w:val="0"/>
        <w:spacing w:line="440" w:lineRule="exact"/>
        <w:ind w:firstLine="48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已建区水土保持措施分析与评价见下表3</w:t>
      </w:r>
      <w:r>
        <w:rPr>
          <w:rFonts w:cs="Times New Roman"/>
          <w:color w:val="000000" w:themeColor="text1"/>
          <w14:textFill>
            <w14:solidFill>
              <w14:schemeClr w14:val="tx1"/>
            </w14:solidFill>
          </w14:textFill>
        </w:rPr>
        <w:t>-2</w:t>
      </w:r>
      <w:r>
        <w:rPr>
          <w:rFonts w:hint="eastAsia" w:cs="Times New Roman"/>
          <w:color w:val="000000" w:themeColor="text1"/>
          <w14:textFill>
            <w14:solidFill>
              <w14:schemeClr w14:val="tx1"/>
            </w14:solidFill>
          </w14:textFill>
        </w:rPr>
        <w:t>。</w:t>
      </w:r>
    </w:p>
    <w:p w14:paraId="20FF16E3">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表3-2                           已建区水土保持措施分析与评价表</w:t>
      </w:r>
    </w:p>
    <w:tbl>
      <w:tblPr>
        <w:tblStyle w:val="141"/>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214"/>
        <w:gridCol w:w="1231"/>
        <w:gridCol w:w="3618"/>
        <w:gridCol w:w="3027"/>
      </w:tblGrid>
      <w:tr w14:paraId="714A93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668" w:type="pct"/>
            <w:vMerge w:val="restart"/>
            <w:vAlign w:val="center"/>
          </w:tcPr>
          <w:p w14:paraId="04E77F75">
            <w:pPr>
              <w:pStyle w:val="142"/>
              <w:spacing w:before="139"/>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功能分区</w:t>
            </w:r>
          </w:p>
        </w:tc>
        <w:tc>
          <w:tcPr>
            <w:tcW w:w="2667" w:type="pct"/>
            <w:gridSpan w:val="2"/>
            <w:vAlign w:val="center"/>
          </w:tcPr>
          <w:p w14:paraId="715CABA5">
            <w:pPr>
              <w:pStyle w:val="142"/>
              <w:spacing w:before="9"/>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现状水土保持措施</w:t>
            </w:r>
          </w:p>
        </w:tc>
        <w:tc>
          <w:tcPr>
            <w:tcW w:w="1665" w:type="pct"/>
            <w:vMerge w:val="restart"/>
            <w:vAlign w:val="center"/>
          </w:tcPr>
          <w:p w14:paraId="60EB277D">
            <w:pPr>
              <w:pStyle w:val="142"/>
              <w:spacing w:before="136"/>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是否符</w:t>
            </w:r>
            <w:r>
              <w:rPr>
                <w:rFonts w:ascii="Times New Roman" w:hAnsi="Times New Roman" w:eastAsia="仿宋_GB2312" w:cs="Times New Roman"/>
                <w:color w:val="000000" w:themeColor="text1"/>
                <w:spacing w:val="5"/>
                <w:position w:val="-1"/>
                <w:sz w:val="21"/>
                <w:szCs w:val="21"/>
                <w:lang w:eastAsia="zh-CN"/>
                <w14:textFill>
                  <w14:solidFill>
                    <w14:schemeClr w14:val="tx1"/>
                  </w14:solidFill>
                </w14:textFill>
              </w:rPr>
              <w:t>合</w:t>
            </w:r>
            <w:r>
              <w:rPr>
                <w:rFonts w:ascii="Times New Roman" w:hAnsi="Times New Roman" w:eastAsia="仿宋_GB2312" w:cs="Times New Roman"/>
                <w:color w:val="000000" w:themeColor="text1"/>
                <w:sz w:val="21"/>
                <w:szCs w:val="21"/>
                <w:lang w:eastAsia="en-US"/>
                <w14:textFill>
                  <w14:solidFill>
                    <w14:schemeClr w14:val="tx1"/>
                  </w14:solidFill>
                </w14:textFill>
              </w:rPr>
              <w:t>水土保持要</w:t>
            </w:r>
            <w:r>
              <w:rPr>
                <w:rFonts w:ascii="Times New Roman" w:hAnsi="Times New Roman" w:eastAsia="仿宋_GB2312" w:cs="Times New Roman"/>
                <w:color w:val="000000" w:themeColor="text1"/>
                <w:spacing w:val="-10"/>
                <w:sz w:val="21"/>
                <w:szCs w:val="21"/>
                <w:lang w:eastAsia="en-US"/>
                <w14:textFill>
                  <w14:solidFill>
                    <w14:schemeClr w14:val="tx1"/>
                  </w14:solidFill>
                </w14:textFill>
              </w:rPr>
              <w:t>求</w:t>
            </w:r>
          </w:p>
        </w:tc>
      </w:tr>
      <w:tr w14:paraId="0B1AEB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668" w:type="pct"/>
            <w:vMerge w:val="continue"/>
            <w:tcBorders>
              <w:bottom w:val="double" w:color="auto" w:sz="4" w:space="0"/>
            </w:tcBorders>
            <w:vAlign w:val="center"/>
          </w:tcPr>
          <w:p w14:paraId="6B145A4E">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677" w:type="pct"/>
            <w:tcBorders>
              <w:bottom w:val="double" w:color="auto" w:sz="4" w:space="0"/>
            </w:tcBorders>
            <w:vAlign w:val="center"/>
          </w:tcPr>
          <w:p w14:paraId="738B7589">
            <w:pPr>
              <w:pStyle w:val="142"/>
              <w:spacing w:before="8"/>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zh-CN"/>
                <w14:textFill>
                  <w14:solidFill>
                    <w14:schemeClr w14:val="tx1"/>
                  </w14:solidFill>
                </w14:textFill>
              </w:rPr>
              <w:t>措施</w:t>
            </w:r>
            <w:r>
              <w:rPr>
                <w:rFonts w:ascii="Times New Roman" w:hAnsi="Times New Roman" w:eastAsia="仿宋_GB2312" w:cs="Times New Roman"/>
                <w:color w:val="000000" w:themeColor="text1"/>
                <w:spacing w:val="-3"/>
                <w:sz w:val="21"/>
                <w:szCs w:val="21"/>
                <w:lang w:eastAsia="en-US"/>
                <w14:textFill>
                  <w14:solidFill>
                    <w14:schemeClr w14:val="tx1"/>
                  </w14:solidFill>
                </w14:textFill>
              </w:rPr>
              <w:t>类型</w:t>
            </w:r>
          </w:p>
        </w:tc>
        <w:tc>
          <w:tcPr>
            <w:tcW w:w="1990" w:type="pct"/>
            <w:tcBorders>
              <w:bottom w:val="double" w:color="auto" w:sz="4" w:space="0"/>
            </w:tcBorders>
            <w:vAlign w:val="center"/>
          </w:tcPr>
          <w:p w14:paraId="6C5DF541">
            <w:pPr>
              <w:pStyle w:val="142"/>
              <w:spacing w:before="8"/>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措施</w:t>
            </w:r>
          </w:p>
        </w:tc>
        <w:tc>
          <w:tcPr>
            <w:tcW w:w="1665" w:type="pct"/>
            <w:vMerge w:val="continue"/>
            <w:tcBorders>
              <w:bottom w:val="double" w:color="auto" w:sz="4" w:space="0"/>
            </w:tcBorders>
            <w:vAlign w:val="center"/>
          </w:tcPr>
          <w:p w14:paraId="4C3005F0">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r>
      <w:tr w14:paraId="38D0B4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668" w:type="pct"/>
            <w:vMerge w:val="restart"/>
            <w:tcBorders>
              <w:top w:val="double" w:color="auto" w:sz="4" w:space="0"/>
            </w:tcBorders>
            <w:vAlign w:val="center"/>
          </w:tcPr>
          <w:p w14:paraId="2C0DE783">
            <w:pPr>
              <w:pStyle w:val="142"/>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21"/>
                <w:sz w:val="21"/>
                <w:szCs w:val="21"/>
                <w:lang w:eastAsia="zh-CN"/>
                <w14:textFill>
                  <w14:solidFill>
                    <w14:schemeClr w14:val="tx1"/>
                  </w14:solidFill>
                </w14:textFill>
              </w:rPr>
              <w:t>地块</w:t>
            </w:r>
            <w:r>
              <w:rPr>
                <w:rFonts w:ascii="Times New Roman" w:hAnsi="Times New Roman" w:eastAsia="仿宋_GB2312" w:cs="Times New Roman"/>
                <w:color w:val="000000" w:themeColor="text1"/>
                <w:spacing w:val="-8"/>
                <w:sz w:val="21"/>
                <w:szCs w:val="21"/>
                <w:lang w:eastAsia="zh-CN"/>
                <w14:textFill>
                  <w14:solidFill>
                    <w14:schemeClr w14:val="tx1"/>
                  </w14:solidFill>
                </w14:textFill>
              </w:rPr>
              <w:t>1</w:t>
            </w:r>
            <w:r>
              <w:rPr>
                <w:rFonts w:hint="eastAsia" w:ascii="Times New Roman" w:hAnsi="Times New Roman" w:eastAsia="仿宋_GB2312" w:cs="Times New Roman"/>
                <w:color w:val="000000" w:themeColor="text1"/>
                <w:spacing w:val="-8"/>
                <w:sz w:val="21"/>
                <w:szCs w:val="21"/>
                <w:lang w:eastAsia="zh-CN"/>
                <w14:textFill>
                  <w14:solidFill>
                    <w14:schemeClr w14:val="tx1"/>
                  </w14:solidFill>
                </w14:textFill>
              </w:rPr>
              <w:t>（</w:t>
            </w:r>
            <w:r>
              <w:rPr>
                <w:rFonts w:ascii="Times New Roman" w:hAnsi="Times New Roman" w:eastAsia="仿宋_GB2312" w:cs="Times New Roman"/>
                <w:color w:val="000000" w:themeColor="text1"/>
                <w:sz w:val="18"/>
                <w:szCs w:val="18"/>
                <w:lang w:eastAsia="zh-CN"/>
                <w14:textFill>
                  <w14:solidFill>
                    <w14:schemeClr w14:val="tx1"/>
                  </w14:solidFill>
                </w14:textFill>
              </w:rPr>
              <w:t>金山产业园北区</w:t>
            </w:r>
            <w:r>
              <w:rPr>
                <w:rFonts w:hint="eastAsia" w:ascii="Times New Roman" w:hAnsi="Times New Roman" w:eastAsia="仿宋_GB2312" w:cs="Times New Roman"/>
                <w:color w:val="000000" w:themeColor="text1"/>
                <w:spacing w:val="-8"/>
                <w:sz w:val="21"/>
                <w:szCs w:val="21"/>
                <w:lang w:eastAsia="zh-CN"/>
                <w14:textFill>
                  <w14:solidFill>
                    <w14:schemeClr w14:val="tx1"/>
                  </w14:solidFill>
                </w14:textFill>
              </w:rPr>
              <w:t>）</w:t>
            </w:r>
          </w:p>
        </w:tc>
        <w:tc>
          <w:tcPr>
            <w:tcW w:w="677" w:type="pct"/>
            <w:vMerge w:val="restart"/>
            <w:tcBorders>
              <w:top w:val="double" w:color="auto" w:sz="4" w:space="0"/>
            </w:tcBorders>
            <w:vAlign w:val="center"/>
          </w:tcPr>
          <w:p w14:paraId="14462FDB">
            <w:pPr>
              <w:pStyle w:val="142"/>
              <w:spacing w:before="7"/>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工程措施</w:t>
            </w:r>
          </w:p>
        </w:tc>
        <w:tc>
          <w:tcPr>
            <w:tcW w:w="1990" w:type="pct"/>
            <w:tcBorders>
              <w:top w:val="double" w:color="auto" w:sz="4" w:space="0"/>
            </w:tcBorders>
            <w:vAlign w:val="center"/>
          </w:tcPr>
          <w:p w14:paraId="0AAE5A19">
            <w:pPr>
              <w:pStyle w:val="142"/>
              <w:spacing w:before="7"/>
              <w:rPr>
                <w:rFonts w:ascii="Times New Roman" w:hAnsi="Times New Roman" w:eastAsia="仿宋_GB2312" w:cs="Times New Roman"/>
                <w:color w:val="000000" w:themeColor="text1"/>
                <w:spacing w:val="-3"/>
                <w:sz w:val="21"/>
                <w:szCs w:val="21"/>
                <w:lang w:eastAsia="zh-CN"/>
                <w14:textFill>
                  <w14:solidFill>
                    <w14:schemeClr w14:val="tx1"/>
                  </w14:solidFill>
                </w14:textFill>
              </w:rPr>
            </w:pPr>
            <w:r>
              <w:rPr>
                <w:rFonts w:ascii="Times New Roman" w:hAnsi="Times New Roman" w:eastAsia="仿宋_GB2312" w:cs="Times New Roman"/>
                <w:color w:val="000000" w:themeColor="text1"/>
                <w:spacing w:val="-3"/>
                <w:sz w:val="21"/>
                <w:szCs w:val="21"/>
                <w:lang w:eastAsia="zh-CN"/>
                <w14:textFill>
                  <w14:solidFill>
                    <w14:schemeClr w14:val="tx1"/>
                  </w14:solidFill>
                </w14:textFill>
              </w:rPr>
              <w:t>土地整治（含表土回覆）</w:t>
            </w:r>
            <w:r>
              <w:rPr>
                <w:rFonts w:hint="eastAsia" w:ascii="Times New Roman" w:hAnsi="Times New Roman" w:eastAsia="仿宋_GB2312" w:cs="Times New Roman"/>
                <w:color w:val="000000" w:themeColor="text1"/>
                <w:spacing w:val="-3"/>
                <w:sz w:val="21"/>
                <w:szCs w:val="21"/>
                <w:lang w:eastAsia="zh-CN"/>
                <w14:textFill>
                  <w14:solidFill>
                    <w14:schemeClr w14:val="tx1"/>
                  </w14:solidFill>
                </w14:textFill>
              </w:rPr>
              <w:t>、表土剥离</w:t>
            </w:r>
          </w:p>
        </w:tc>
        <w:tc>
          <w:tcPr>
            <w:tcW w:w="1665" w:type="pct"/>
            <w:vMerge w:val="restart"/>
            <w:tcBorders>
              <w:top w:val="double" w:color="auto" w:sz="4" w:space="0"/>
            </w:tcBorders>
            <w:vAlign w:val="center"/>
          </w:tcPr>
          <w:p w14:paraId="5B1EC4D1">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position w:val="2"/>
                <w:sz w:val="21"/>
                <w:szCs w:val="21"/>
                <w:lang w:eastAsia="en-US"/>
                <w14:textFill>
                  <w14:solidFill>
                    <w14:schemeClr w14:val="tx1"/>
                  </w14:solidFill>
                </w14:textFill>
              </w:rPr>
              <w:t>符</w:t>
            </w:r>
            <w:r>
              <w:rPr>
                <w:rFonts w:ascii="Times New Roman" w:hAnsi="Times New Roman" w:eastAsia="仿宋_GB2312" w:cs="Times New Roman"/>
                <w:color w:val="000000" w:themeColor="text1"/>
                <w:spacing w:val="5"/>
                <w:sz w:val="21"/>
                <w:szCs w:val="21"/>
                <w:lang w:eastAsia="zh-CN"/>
                <w14:textFill>
                  <w14:solidFill>
                    <w14:schemeClr w14:val="tx1"/>
                  </w14:solidFill>
                </w14:textFill>
              </w:rPr>
              <w:t>合</w:t>
            </w:r>
            <w:r>
              <w:rPr>
                <w:rFonts w:ascii="Times New Roman" w:hAnsi="Times New Roman" w:eastAsia="仿宋_GB2312" w:cs="Times New Roman"/>
                <w:color w:val="000000" w:themeColor="text1"/>
                <w:position w:val="2"/>
                <w:sz w:val="21"/>
                <w:szCs w:val="21"/>
                <w:lang w:eastAsia="en-US"/>
                <w14:textFill>
                  <w14:solidFill>
                    <w14:schemeClr w14:val="tx1"/>
                  </w14:solidFill>
                </w14:textFill>
              </w:rPr>
              <w:t>水土保持要</w:t>
            </w:r>
            <w:r>
              <w:rPr>
                <w:rFonts w:ascii="Times New Roman" w:hAnsi="Times New Roman" w:eastAsia="仿宋_GB2312" w:cs="Times New Roman"/>
                <w:color w:val="000000" w:themeColor="text1"/>
                <w:spacing w:val="-10"/>
                <w:position w:val="2"/>
                <w:sz w:val="21"/>
                <w:szCs w:val="21"/>
                <w:lang w:eastAsia="en-US"/>
                <w14:textFill>
                  <w14:solidFill>
                    <w14:schemeClr w14:val="tx1"/>
                  </w14:solidFill>
                </w14:textFill>
              </w:rPr>
              <w:t>求</w:t>
            </w:r>
          </w:p>
        </w:tc>
      </w:tr>
      <w:tr w14:paraId="1FD4DB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668" w:type="pct"/>
            <w:vMerge w:val="continue"/>
            <w:tcBorders>
              <w:top w:val="nil"/>
            </w:tcBorders>
            <w:vAlign w:val="center"/>
          </w:tcPr>
          <w:p w14:paraId="349FC032">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677" w:type="pct"/>
            <w:vMerge w:val="continue"/>
            <w:vAlign w:val="center"/>
          </w:tcPr>
          <w:p w14:paraId="5D9FAD08">
            <w:pPr>
              <w:pStyle w:val="142"/>
              <w:spacing w:before="9"/>
              <w:rPr>
                <w:rFonts w:ascii="Times New Roman" w:hAnsi="Times New Roman" w:eastAsia="仿宋_GB2312" w:cs="Times New Roman"/>
                <w:color w:val="000000" w:themeColor="text1"/>
                <w:sz w:val="21"/>
                <w:szCs w:val="21"/>
                <w:lang w:eastAsia="en-US"/>
                <w14:textFill>
                  <w14:solidFill>
                    <w14:schemeClr w14:val="tx1"/>
                  </w14:solidFill>
                </w14:textFill>
              </w:rPr>
            </w:pPr>
          </w:p>
        </w:tc>
        <w:tc>
          <w:tcPr>
            <w:tcW w:w="1990" w:type="pct"/>
            <w:vAlign w:val="center"/>
          </w:tcPr>
          <w:p w14:paraId="29F0D3D3">
            <w:pPr>
              <w:pStyle w:val="142"/>
              <w:spacing w:before="9"/>
              <w:rPr>
                <w:rFonts w:ascii="Times New Roman" w:hAnsi="Times New Roman" w:eastAsia="仿宋_GB2312" w:cs="Times New Roman"/>
                <w:color w:val="000000" w:themeColor="text1"/>
                <w:spacing w:val="-3"/>
                <w:sz w:val="21"/>
                <w:szCs w:val="21"/>
                <w:lang w:eastAsia="zh-CN"/>
                <w14:textFill>
                  <w14:solidFill>
                    <w14:schemeClr w14:val="tx1"/>
                  </w14:solidFill>
                </w14:textFill>
              </w:rPr>
            </w:pPr>
            <w:r>
              <w:rPr>
                <w:rFonts w:ascii="Times New Roman" w:hAnsi="Times New Roman" w:eastAsia="仿宋_GB2312" w:cs="Times New Roman"/>
                <w:color w:val="000000" w:themeColor="text1"/>
                <w:spacing w:val="-3"/>
                <w:sz w:val="21"/>
                <w:szCs w:val="21"/>
                <w:lang w:eastAsia="zh-CN"/>
                <w14:textFill>
                  <w14:solidFill>
                    <w14:schemeClr w14:val="tx1"/>
                  </w14:solidFill>
                </w14:textFill>
              </w:rPr>
              <w:t>节水灌溉</w:t>
            </w:r>
            <w:r>
              <w:rPr>
                <w:rFonts w:hint="eastAsia" w:ascii="Times New Roman" w:hAnsi="Times New Roman" w:eastAsia="仿宋_GB2312" w:cs="Times New Roman"/>
                <w:color w:val="000000" w:themeColor="text1"/>
                <w:spacing w:val="-3"/>
                <w:sz w:val="21"/>
                <w:szCs w:val="21"/>
                <w:lang w:eastAsia="zh-CN"/>
                <w14:textFill>
                  <w14:solidFill>
                    <w14:schemeClr w14:val="tx1"/>
                  </w14:solidFill>
                </w14:textFill>
              </w:rPr>
              <w:t>、排水暗管、混凝土排水沟、雨水收集池</w:t>
            </w:r>
          </w:p>
        </w:tc>
        <w:tc>
          <w:tcPr>
            <w:tcW w:w="1665" w:type="pct"/>
            <w:vMerge w:val="continue"/>
            <w:tcBorders>
              <w:top w:val="nil"/>
            </w:tcBorders>
            <w:vAlign w:val="center"/>
          </w:tcPr>
          <w:p w14:paraId="06CE6AB0">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r>
      <w:tr w14:paraId="62164D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668" w:type="pct"/>
            <w:vMerge w:val="continue"/>
            <w:tcBorders>
              <w:top w:val="nil"/>
            </w:tcBorders>
            <w:vAlign w:val="center"/>
          </w:tcPr>
          <w:p w14:paraId="723B1DE5">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677" w:type="pct"/>
            <w:vMerge w:val="continue"/>
            <w:vAlign w:val="center"/>
          </w:tcPr>
          <w:p w14:paraId="6361385C">
            <w:pPr>
              <w:pStyle w:val="142"/>
              <w:spacing w:before="8"/>
              <w:rPr>
                <w:rFonts w:ascii="Times New Roman" w:hAnsi="Times New Roman" w:eastAsia="仿宋_GB2312" w:cs="Times New Roman"/>
                <w:color w:val="000000" w:themeColor="text1"/>
                <w:sz w:val="21"/>
                <w:szCs w:val="21"/>
                <w:lang w:eastAsia="zh-CN"/>
                <w14:textFill>
                  <w14:solidFill>
                    <w14:schemeClr w14:val="tx1"/>
                  </w14:solidFill>
                </w14:textFill>
              </w:rPr>
            </w:pPr>
          </w:p>
        </w:tc>
        <w:tc>
          <w:tcPr>
            <w:tcW w:w="1990" w:type="pct"/>
            <w:vAlign w:val="center"/>
          </w:tcPr>
          <w:p w14:paraId="2C5925F3">
            <w:pPr>
              <w:pStyle w:val="142"/>
              <w:spacing w:before="8"/>
              <w:rPr>
                <w:rFonts w:ascii="Times New Roman" w:hAnsi="Times New Roman" w:eastAsia="仿宋_GB2312" w:cs="Times New Roman"/>
                <w:color w:val="000000" w:themeColor="text1"/>
                <w:spacing w:val="-3"/>
                <w:sz w:val="21"/>
                <w:szCs w:val="21"/>
                <w:lang w:eastAsia="zh-CN"/>
                <w14:textFill>
                  <w14:solidFill>
                    <w14:schemeClr w14:val="tx1"/>
                  </w14:solidFill>
                </w14:textFill>
              </w:rPr>
            </w:pPr>
            <w:r>
              <w:rPr>
                <w:rFonts w:hint="eastAsia" w:ascii="Times New Roman" w:hAnsi="Times New Roman" w:eastAsia="仿宋_GB2312" w:cs="Times New Roman"/>
                <w:color w:val="000000" w:themeColor="text1"/>
                <w:spacing w:val="-3"/>
                <w:sz w:val="21"/>
                <w:szCs w:val="21"/>
                <w:lang w:eastAsia="zh-CN"/>
                <w14:textFill>
                  <w14:solidFill>
                    <w14:schemeClr w14:val="tx1"/>
                  </w14:solidFill>
                </w14:textFill>
              </w:rPr>
              <w:t>铺砌</w:t>
            </w:r>
            <w:r>
              <w:rPr>
                <w:rFonts w:ascii="Times New Roman" w:hAnsi="Times New Roman" w:eastAsia="仿宋_GB2312" w:cs="Times New Roman"/>
                <w:color w:val="000000" w:themeColor="text1"/>
                <w:spacing w:val="-3"/>
                <w:sz w:val="21"/>
                <w:szCs w:val="21"/>
                <w:lang w:eastAsia="zh-CN"/>
                <w14:textFill>
                  <w14:solidFill>
                    <w14:schemeClr w14:val="tx1"/>
                  </w14:solidFill>
                </w14:textFill>
              </w:rPr>
              <w:t>透水砖</w:t>
            </w:r>
            <w:r>
              <w:rPr>
                <w:rFonts w:hint="eastAsia" w:ascii="Times New Roman" w:hAnsi="Times New Roman" w:eastAsia="仿宋_GB2312" w:cs="Times New Roman"/>
                <w:color w:val="000000" w:themeColor="text1"/>
                <w:spacing w:val="-3"/>
                <w:sz w:val="21"/>
                <w:szCs w:val="21"/>
                <w:lang w:eastAsia="zh-CN"/>
                <w14:textFill>
                  <w14:solidFill>
                    <w14:schemeClr w14:val="tx1"/>
                  </w14:solidFill>
                </w14:textFill>
              </w:rPr>
              <w:t>、碎石压盖</w:t>
            </w:r>
          </w:p>
        </w:tc>
        <w:tc>
          <w:tcPr>
            <w:tcW w:w="1665" w:type="pct"/>
            <w:vMerge w:val="continue"/>
            <w:tcBorders>
              <w:top w:val="nil"/>
            </w:tcBorders>
            <w:vAlign w:val="center"/>
          </w:tcPr>
          <w:p w14:paraId="05D16E5E">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r>
      <w:tr w14:paraId="4EB39A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668" w:type="pct"/>
            <w:vMerge w:val="continue"/>
            <w:tcBorders>
              <w:top w:val="nil"/>
            </w:tcBorders>
            <w:vAlign w:val="center"/>
          </w:tcPr>
          <w:p w14:paraId="35169B7A">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677" w:type="pct"/>
            <w:vAlign w:val="center"/>
          </w:tcPr>
          <w:p w14:paraId="3D8E6EAF">
            <w:pPr>
              <w:pStyle w:val="142"/>
              <w:spacing w:before="7"/>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植物措施</w:t>
            </w:r>
          </w:p>
        </w:tc>
        <w:tc>
          <w:tcPr>
            <w:tcW w:w="1990" w:type="pct"/>
            <w:vAlign w:val="center"/>
          </w:tcPr>
          <w:p w14:paraId="7ACEFBBB">
            <w:pPr>
              <w:pStyle w:val="142"/>
              <w:spacing w:before="7"/>
              <w:rPr>
                <w:rFonts w:ascii="Times New Roman" w:hAnsi="Times New Roman" w:eastAsia="仿宋_GB2312" w:cs="Times New Roman"/>
                <w:color w:val="000000" w:themeColor="text1"/>
                <w:spacing w:val="-3"/>
                <w:sz w:val="21"/>
                <w:szCs w:val="21"/>
                <w:lang w:eastAsia="zh-CN"/>
                <w14:textFill>
                  <w14:solidFill>
                    <w14:schemeClr w14:val="tx1"/>
                  </w14:solidFill>
                </w14:textFill>
              </w:rPr>
            </w:pPr>
            <w:r>
              <w:rPr>
                <w:rFonts w:ascii="Times New Roman" w:hAnsi="Times New Roman" w:eastAsia="仿宋_GB2312" w:cs="Times New Roman"/>
                <w:color w:val="000000" w:themeColor="text1"/>
                <w:spacing w:val="-3"/>
                <w:sz w:val="21"/>
                <w:szCs w:val="21"/>
                <w:lang w:eastAsia="zh-CN"/>
                <w14:textFill>
                  <w14:solidFill>
                    <w14:schemeClr w14:val="tx1"/>
                  </w14:solidFill>
                </w14:textFill>
              </w:rPr>
              <w:t>空地绿化、道路两侧绿化带</w:t>
            </w:r>
          </w:p>
        </w:tc>
        <w:tc>
          <w:tcPr>
            <w:tcW w:w="1665" w:type="pct"/>
            <w:vAlign w:val="center"/>
          </w:tcPr>
          <w:p w14:paraId="2D2FECDF">
            <w:pPr>
              <w:pStyle w:val="142"/>
              <w:spacing w:before="7"/>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需进行补植补种措施</w:t>
            </w:r>
          </w:p>
        </w:tc>
      </w:tr>
      <w:tr w14:paraId="06D95B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668" w:type="pct"/>
            <w:vMerge w:val="continue"/>
            <w:tcBorders>
              <w:top w:val="nil"/>
            </w:tcBorders>
            <w:vAlign w:val="center"/>
          </w:tcPr>
          <w:p w14:paraId="2A0DB7A9">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677" w:type="pct"/>
            <w:vAlign w:val="center"/>
          </w:tcPr>
          <w:p w14:paraId="7C6DFC4C">
            <w:pPr>
              <w:pStyle w:val="142"/>
              <w:spacing w:before="9"/>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临时措施</w:t>
            </w:r>
          </w:p>
        </w:tc>
        <w:tc>
          <w:tcPr>
            <w:tcW w:w="1990" w:type="pct"/>
            <w:vAlign w:val="center"/>
          </w:tcPr>
          <w:p w14:paraId="07F04CB4">
            <w:pPr>
              <w:pStyle w:val="142"/>
              <w:spacing w:before="9"/>
              <w:rPr>
                <w:rFonts w:ascii="Times New Roman" w:hAnsi="Times New Roman" w:eastAsia="仿宋_GB2312" w:cs="Times New Roman"/>
                <w:color w:val="000000" w:themeColor="text1"/>
                <w:spacing w:val="-3"/>
                <w:sz w:val="21"/>
                <w:szCs w:val="21"/>
                <w:lang w:eastAsia="zh-CN"/>
                <w14:textFill>
                  <w14:solidFill>
                    <w14:schemeClr w14:val="tx1"/>
                  </w14:solidFill>
                </w14:textFill>
              </w:rPr>
            </w:pPr>
            <w:r>
              <w:rPr>
                <w:rFonts w:ascii="Times New Roman" w:hAnsi="Times New Roman" w:eastAsia="仿宋_GB2312" w:cs="Times New Roman"/>
                <w:color w:val="000000" w:themeColor="text1"/>
                <w:spacing w:val="-3"/>
                <w:sz w:val="21"/>
                <w:szCs w:val="21"/>
                <w:lang w:eastAsia="zh-CN"/>
                <w14:textFill>
                  <w14:solidFill>
                    <w14:schemeClr w14:val="tx1"/>
                  </w14:solidFill>
                </w14:textFill>
              </w:rPr>
              <w:t>密目网苫盖</w:t>
            </w:r>
          </w:p>
        </w:tc>
        <w:tc>
          <w:tcPr>
            <w:tcW w:w="1665" w:type="pct"/>
            <w:vAlign w:val="center"/>
          </w:tcPr>
          <w:p w14:paraId="781E598A">
            <w:pPr>
              <w:pStyle w:val="142"/>
              <w:spacing w:before="9"/>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position w:val="2"/>
                <w:sz w:val="21"/>
                <w:szCs w:val="21"/>
                <w:lang w:eastAsia="en-US"/>
                <w14:textFill>
                  <w14:solidFill>
                    <w14:schemeClr w14:val="tx1"/>
                  </w14:solidFill>
                </w14:textFill>
              </w:rPr>
              <w:t>符</w:t>
            </w:r>
            <w:r>
              <w:rPr>
                <w:rFonts w:ascii="Times New Roman" w:hAnsi="Times New Roman" w:eastAsia="仿宋_GB2312" w:cs="Times New Roman"/>
                <w:color w:val="000000" w:themeColor="text1"/>
                <w:spacing w:val="5"/>
                <w:sz w:val="21"/>
                <w:szCs w:val="21"/>
                <w:lang w:eastAsia="zh-CN"/>
                <w14:textFill>
                  <w14:solidFill>
                    <w14:schemeClr w14:val="tx1"/>
                  </w14:solidFill>
                </w14:textFill>
              </w:rPr>
              <w:t>合</w:t>
            </w:r>
            <w:r>
              <w:rPr>
                <w:rFonts w:ascii="Times New Roman" w:hAnsi="Times New Roman" w:eastAsia="仿宋_GB2312" w:cs="Times New Roman"/>
                <w:color w:val="000000" w:themeColor="text1"/>
                <w:position w:val="2"/>
                <w:sz w:val="21"/>
                <w:szCs w:val="21"/>
                <w:lang w:eastAsia="en-US"/>
                <w14:textFill>
                  <w14:solidFill>
                    <w14:schemeClr w14:val="tx1"/>
                  </w14:solidFill>
                </w14:textFill>
              </w:rPr>
              <w:t>水土保持要</w:t>
            </w:r>
            <w:r>
              <w:rPr>
                <w:rFonts w:ascii="Times New Roman" w:hAnsi="Times New Roman" w:eastAsia="仿宋_GB2312" w:cs="Times New Roman"/>
                <w:color w:val="000000" w:themeColor="text1"/>
                <w:spacing w:val="-10"/>
                <w:position w:val="2"/>
                <w:sz w:val="21"/>
                <w:szCs w:val="21"/>
                <w:lang w:eastAsia="en-US"/>
                <w14:textFill>
                  <w14:solidFill>
                    <w14:schemeClr w14:val="tx1"/>
                  </w14:solidFill>
                </w14:textFill>
              </w:rPr>
              <w:t>求</w:t>
            </w:r>
          </w:p>
        </w:tc>
      </w:tr>
      <w:tr w14:paraId="6BACB8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668" w:type="pct"/>
            <w:vMerge w:val="restart"/>
            <w:vAlign w:val="center"/>
          </w:tcPr>
          <w:p w14:paraId="3C509650">
            <w:pPr>
              <w:pStyle w:val="142"/>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21"/>
                <w:sz w:val="21"/>
                <w:szCs w:val="21"/>
                <w:lang w:eastAsia="zh-CN"/>
                <w14:textFill>
                  <w14:solidFill>
                    <w14:schemeClr w14:val="tx1"/>
                  </w14:solidFill>
                </w14:textFill>
              </w:rPr>
              <w:t>地块</w:t>
            </w:r>
            <w:r>
              <w:rPr>
                <w:rFonts w:ascii="Times New Roman" w:hAnsi="Times New Roman" w:eastAsia="仿宋_GB2312" w:cs="Times New Roman"/>
                <w:color w:val="000000" w:themeColor="text1"/>
                <w:spacing w:val="-8"/>
                <w:sz w:val="21"/>
                <w:szCs w:val="21"/>
                <w:lang w:eastAsia="zh-CN"/>
                <w14:textFill>
                  <w14:solidFill>
                    <w14:schemeClr w14:val="tx1"/>
                  </w14:solidFill>
                </w14:textFill>
              </w:rPr>
              <w:t>2</w:t>
            </w:r>
            <w:r>
              <w:rPr>
                <w:rFonts w:hint="eastAsia" w:ascii="Times New Roman" w:hAnsi="Times New Roman" w:eastAsia="仿宋_GB2312" w:cs="Times New Roman"/>
                <w:color w:val="000000" w:themeColor="text1"/>
                <w:spacing w:val="-8"/>
                <w:sz w:val="21"/>
                <w:szCs w:val="21"/>
                <w:lang w:eastAsia="zh-CN"/>
                <w14:textFill>
                  <w14:solidFill>
                    <w14:schemeClr w14:val="tx1"/>
                  </w14:solidFill>
                </w14:textFill>
              </w:rPr>
              <w:t>（</w:t>
            </w:r>
            <w:r>
              <w:rPr>
                <w:rFonts w:ascii="Times New Roman" w:hAnsi="Times New Roman" w:eastAsia="仿宋_GB2312" w:cs="Times New Roman"/>
                <w:color w:val="000000" w:themeColor="text1"/>
                <w:lang w:eastAsia="en-US"/>
                <w14:textFill>
                  <w14:solidFill>
                    <w14:schemeClr w14:val="tx1"/>
                  </w14:solidFill>
                </w14:textFill>
              </w:rPr>
              <w:t>下湿壕片区</w:t>
            </w:r>
            <w:r>
              <w:rPr>
                <w:rFonts w:hint="eastAsia" w:ascii="Times New Roman" w:hAnsi="Times New Roman" w:eastAsia="仿宋_GB2312" w:cs="Times New Roman"/>
                <w:color w:val="000000" w:themeColor="text1"/>
                <w:spacing w:val="-8"/>
                <w:sz w:val="21"/>
                <w:szCs w:val="21"/>
                <w:lang w:eastAsia="zh-CN"/>
                <w14:textFill>
                  <w14:solidFill>
                    <w14:schemeClr w14:val="tx1"/>
                  </w14:solidFill>
                </w14:textFill>
              </w:rPr>
              <w:t>）</w:t>
            </w:r>
          </w:p>
        </w:tc>
        <w:tc>
          <w:tcPr>
            <w:tcW w:w="677" w:type="pct"/>
            <w:vMerge w:val="restart"/>
            <w:vAlign w:val="center"/>
          </w:tcPr>
          <w:p w14:paraId="3A81487F">
            <w:pPr>
              <w:pStyle w:val="142"/>
              <w:spacing w:before="8"/>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工程措施</w:t>
            </w:r>
          </w:p>
        </w:tc>
        <w:tc>
          <w:tcPr>
            <w:tcW w:w="1990" w:type="pct"/>
            <w:vAlign w:val="center"/>
          </w:tcPr>
          <w:p w14:paraId="094206B8">
            <w:pPr>
              <w:pStyle w:val="142"/>
              <w:spacing w:before="8"/>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3"/>
                <w:sz w:val="21"/>
                <w:szCs w:val="21"/>
                <w:lang w:eastAsia="zh-CN"/>
                <w14:textFill>
                  <w14:solidFill>
                    <w14:schemeClr w14:val="tx1"/>
                  </w14:solidFill>
                </w14:textFill>
              </w:rPr>
              <w:t>土地整治（含表土回覆）</w:t>
            </w:r>
            <w:r>
              <w:rPr>
                <w:rFonts w:hint="eastAsia" w:ascii="Times New Roman" w:hAnsi="Times New Roman" w:eastAsia="仿宋_GB2312" w:cs="Times New Roman"/>
                <w:color w:val="000000" w:themeColor="text1"/>
                <w:spacing w:val="-3"/>
                <w:sz w:val="21"/>
                <w:szCs w:val="21"/>
                <w:lang w:eastAsia="zh-CN"/>
                <w14:textFill>
                  <w14:solidFill>
                    <w14:schemeClr w14:val="tx1"/>
                  </w14:solidFill>
                </w14:textFill>
              </w:rPr>
              <w:t>、表土剥离</w:t>
            </w:r>
          </w:p>
        </w:tc>
        <w:tc>
          <w:tcPr>
            <w:tcW w:w="1665" w:type="pct"/>
            <w:vMerge w:val="restart"/>
            <w:vAlign w:val="center"/>
          </w:tcPr>
          <w:p w14:paraId="389EA43A">
            <w:pPr>
              <w:pStyle w:val="142"/>
              <w:spacing w:before="11"/>
              <w:rPr>
                <w:rFonts w:ascii="Times New Roman" w:hAnsi="Times New Roman" w:eastAsia="仿宋_GB2312" w:cs="Times New Roman"/>
                <w:color w:val="000000" w:themeColor="text1"/>
                <w:sz w:val="21"/>
                <w:szCs w:val="21"/>
                <w:lang w:eastAsia="zh-CN"/>
                <w14:textFill>
                  <w14:solidFill>
                    <w14:schemeClr w14:val="tx1"/>
                  </w14:solidFill>
                </w14:textFill>
              </w:rPr>
            </w:pPr>
          </w:p>
          <w:p w14:paraId="4C8A6F10">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position w:val="2"/>
                <w:sz w:val="21"/>
                <w:szCs w:val="21"/>
                <w:lang w:eastAsia="en-US"/>
                <w14:textFill>
                  <w14:solidFill>
                    <w14:schemeClr w14:val="tx1"/>
                  </w14:solidFill>
                </w14:textFill>
              </w:rPr>
              <w:t>符</w:t>
            </w:r>
            <w:r>
              <w:rPr>
                <w:rFonts w:ascii="Times New Roman" w:hAnsi="Times New Roman" w:eastAsia="仿宋_GB2312" w:cs="Times New Roman"/>
                <w:color w:val="000000" w:themeColor="text1"/>
                <w:spacing w:val="5"/>
                <w:sz w:val="21"/>
                <w:szCs w:val="21"/>
                <w:lang w:eastAsia="zh-CN"/>
                <w14:textFill>
                  <w14:solidFill>
                    <w14:schemeClr w14:val="tx1"/>
                  </w14:solidFill>
                </w14:textFill>
              </w:rPr>
              <w:t>合</w:t>
            </w:r>
            <w:r>
              <w:rPr>
                <w:rFonts w:ascii="Times New Roman" w:hAnsi="Times New Roman" w:eastAsia="仿宋_GB2312" w:cs="Times New Roman"/>
                <w:color w:val="000000" w:themeColor="text1"/>
                <w:position w:val="2"/>
                <w:sz w:val="21"/>
                <w:szCs w:val="21"/>
                <w:lang w:eastAsia="en-US"/>
                <w14:textFill>
                  <w14:solidFill>
                    <w14:schemeClr w14:val="tx1"/>
                  </w14:solidFill>
                </w14:textFill>
              </w:rPr>
              <w:t>水土保持要</w:t>
            </w:r>
            <w:r>
              <w:rPr>
                <w:rFonts w:ascii="Times New Roman" w:hAnsi="Times New Roman" w:eastAsia="仿宋_GB2312" w:cs="Times New Roman"/>
                <w:color w:val="000000" w:themeColor="text1"/>
                <w:spacing w:val="-10"/>
                <w:position w:val="2"/>
                <w:sz w:val="21"/>
                <w:szCs w:val="21"/>
                <w:lang w:eastAsia="en-US"/>
                <w14:textFill>
                  <w14:solidFill>
                    <w14:schemeClr w14:val="tx1"/>
                  </w14:solidFill>
                </w14:textFill>
              </w:rPr>
              <w:t>求</w:t>
            </w:r>
          </w:p>
        </w:tc>
      </w:tr>
      <w:tr w14:paraId="75E422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jc w:val="center"/>
        </w:trPr>
        <w:tc>
          <w:tcPr>
            <w:tcW w:w="668" w:type="pct"/>
            <w:vMerge w:val="continue"/>
            <w:tcBorders>
              <w:top w:val="nil"/>
            </w:tcBorders>
            <w:vAlign w:val="center"/>
          </w:tcPr>
          <w:p w14:paraId="2B58C999">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677" w:type="pct"/>
            <w:vMerge w:val="continue"/>
            <w:vAlign w:val="center"/>
          </w:tcPr>
          <w:p w14:paraId="0B272382">
            <w:pPr>
              <w:pStyle w:val="142"/>
              <w:spacing w:before="7"/>
              <w:rPr>
                <w:rFonts w:ascii="Times New Roman" w:hAnsi="Times New Roman" w:eastAsia="仿宋_GB2312" w:cs="Times New Roman"/>
                <w:color w:val="000000" w:themeColor="text1"/>
                <w:sz w:val="21"/>
                <w:szCs w:val="21"/>
                <w:lang w:eastAsia="en-US"/>
                <w14:textFill>
                  <w14:solidFill>
                    <w14:schemeClr w14:val="tx1"/>
                  </w14:solidFill>
                </w14:textFill>
              </w:rPr>
            </w:pPr>
          </w:p>
        </w:tc>
        <w:tc>
          <w:tcPr>
            <w:tcW w:w="1990" w:type="pct"/>
            <w:vAlign w:val="center"/>
          </w:tcPr>
          <w:p w14:paraId="31D649A1">
            <w:pPr>
              <w:pStyle w:val="142"/>
              <w:spacing w:before="7"/>
              <w:rPr>
                <w:rFonts w:ascii="Times New Roman" w:hAnsi="Times New Roman" w:eastAsia="仿宋_GB2312" w:cs="Times New Roman"/>
                <w:color w:val="000000" w:themeColor="text1"/>
                <w:sz w:val="21"/>
                <w:szCs w:val="21"/>
                <w:lang w:eastAsia="zh-CN"/>
                <w14:textFill>
                  <w14:solidFill>
                    <w14:schemeClr w14:val="tx1"/>
                  </w14:solidFill>
                </w14:textFill>
              </w:rPr>
            </w:pPr>
            <w:r>
              <w:rPr>
                <w:rFonts w:hint="eastAsia" w:ascii="Times New Roman" w:hAnsi="Times New Roman" w:eastAsia="仿宋_GB2312" w:cs="Times New Roman"/>
                <w:color w:val="000000" w:themeColor="text1"/>
                <w:sz w:val="21"/>
                <w:szCs w:val="21"/>
                <w:lang w:eastAsia="zh-CN"/>
                <w14:textFill>
                  <w14:solidFill>
                    <w14:schemeClr w14:val="tx1"/>
                  </w14:solidFill>
                </w14:textFill>
              </w:rPr>
              <w:t>排水暗管</w:t>
            </w:r>
          </w:p>
        </w:tc>
        <w:tc>
          <w:tcPr>
            <w:tcW w:w="1665" w:type="pct"/>
            <w:vMerge w:val="continue"/>
            <w:tcBorders>
              <w:top w:val="nil"/>
            </w:tcBorders>
            <w:vAlign w:val="center"/>
          </w:tcPr>
          <w:p w14:paraId="757D537D">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r>
      <w:tr w14:paraId="206417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668" w:type="pct"/>
            <w:vMerge w:val="continue"/>
            <w:tcBorders>
              <w:top w:val="nil"/>
            </w:tcBorders>
            <w:vAlign w:val="center"/>
          </w:tcPr>
          <w:p w14:paraId="4E03A29C">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677" w:type="pct"/>
            <w:vAlign w:val="center"/>
          </w:tcPr>
          <w:p w14:paraId="2B916B19">
            <w:pPr>
              <w:pStyle w:val="142"/>
              <w:spacing w:before="8"/>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植物措施</w:t>
            </w:r>
          </w:p>
        </w:tc>
        <w:tc>
          <w:tcPr>
            <w:tcW w:w="1990" w:type="pct"/>
            <w:vAlign w:val="center"/>
          </w:tcPr>
          <w:p w14:paraId="7FD5D321">
            <w:pPr>
              <w:pStyle w:val="142"/>
              <w:spacing w:before="8"/>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空地绿化、道路两侧绿化带</w:t>
            </w:r>
          </w:p>
        </w:tc>
        <w:tc>
          <w:tcPr>
            <w:tcW w:w="1665" w:type="pct"/>
            <w:vAlign w:val="center"/>
          </w:tcPr>
          <w:p w14:paraId="22401640">
            <w:pPr>
              <w:pStyle w:val="142"/>
              <w:spacing w:before="8"/>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需进行补植补种措施</w:t>
            </w:r>
          </w:p>
        </w:tc>
      </w:tr>
      <w:tr w14:paraId="73AAB3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668" w:type="pct"/>
            <w:vMerge w:val="continue"/>
            <w:tcBorders>
              <w:top w:val="nil"/>
            </w:tcBorders>
            <w:vAlign w:val="center"/>
          </w:tcPr>
          <w:p w14:paraId="6DA43066">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677" w:type="pct"/>
            <w:vAlign w:val="center"/>
          </w:tcPr>
          <w:p w14:paraId="7D8F95A7">
            <w:pPr>
              <w:pStyle w:val="142"/>
              <w:spacing w:before="7"/>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临时防护</w:t>
            </w:r>
          </w:p>
        </w:tc>
        <w:tc>
          <w:tcPr>
            <w:tcW w:w="1990" w:type="pct"/>
            <w:vAlign w:val="center"/>
          </w:tcPr>
          <w:p w14:paraId="6577A0F3">
            <w:pPr>
              <w:pStyle w:val="142"/>
              <w:spacing w:before="7"/>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密目网苫盖</w:t>
            </w:r>
          </w:p>
        </w:tc>
        <w:tc>
          <w:tcPr>
            <w:tcW w:w="1665" w:type="pct"/>
            <w:vAlign w:val="center"/>
          </w:tcPr>
          <w:p w14:paraId="29EAE228">
            <w:pPr>
              <w:pStyle w:val="142"/>
              <w:spacing w:before="7"/>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position w:val="2"/>
                <w:sz w:val="21"/>
                <w:szCs w:val="21"/>
                <w:lang w:eastAsia="en-US"/>
                <w14:textFill>
                  <w14:solidFill>
                    <w14:schemeClr w14:val="tx1"/>
                  </w14:solidFill>
                </w14:textFill>
              </w:rPr>
              <w:t>符</w:t>
            </w:r>
            <w:r>
              <w:rPr>
                <w:rFonts w:ascii="Times New Roman" w:hAnsi="Times New Roman" w:eastAsia="仿宋_GB2312" w:cs="Times New Roman"/>
                <w:color w:val="000000" w:themeColor="text1"/>
                <w:spacing w:val="5"/>
                <w:sz w:val="21"/>
                <w:szCs w:val="21"/>
                <w:lang w:eastAsia="zh-CN"/>
                <w14:textFill>
                  <w14:solidFill>
                    <w14:schemeClr w14:val="tx1"/>
                  </w14:solidFill>
                </w14:textFill>
              </w:rPr>
              <w:t>合</w:t>
            </w:r>
            <w:r>
              <w:rPr>
                <w:rFonts w:ascii="Times New Roman" w:hAnsi="Times New Roman" w:eastAsia="仿宋_GB2312" w:cs="Times New Roman"/>
                <w:color w:val="000000" w:themeColor="text1"/>
                <w:position w:val="2"/>
                <w:sz w:val="21"/>
                <w:szCs w:val="21"/>
                <w:lang w:eastAsia="en-US"/>
                <w14:textFill>
                  <w14:solidFill>
                    <w14:schemeClr w14:val="tx1"/>
                  </w14:solidFill>
                </w14:textFill>
              </w:rPr>
              <w:t>水土保持要</w:t>
            </w:r>
            <w:r>
              <w:rPr>
                <w:rFonts w:ascii="Times New Roman" w:hAnsi="Times New Roman" w:eastAsia="仿宋_GB2312" w:cs="Times New Roman"/>
                <w:color w:val="000000" w:themeColor="text1"/>
                <w:spacing w:val="-10"/>
                <w:position w:val="2"/>
                <w:sz w:val="21"/>
                <w:szCs w:val="21"/>
                <w:lang w:eastAsia="en-US"/>
                <w14:textFill>
                  <w14:solidFill>
                    <w14:schemeClr w14:val="tx1"/>
                  </w14:solidFill>
                </w14:textFill>
              </w:rPr>
              <w:t>求</w:t>
            </w:r>
          </w:p>
        </w:tc>
      </w:tr>
    </w:tbl>
    <w:p w14:paraId="61E1E2FA">
      <w:pPr>
        <w:pStyle w:val="4"/>
        <w:spacing w:before="120" w:after="120"/>
      </w:pPr>
      <w:r>
        <w:t>需补充完善的水土保持措施分析</w:t>
      </w:r>
    </w:p>
    <w:p w14:paraId="79F5CEC0">
      <w:pPr>
        <w:widowControl w:val="0"/>
        <w:spacing w:line="420" w:lineRule="exact"/>
        <w:ind w:firstLine="482" w:firstLineChars="0"/>
        <w:contextualSpacing/>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通过对园区具有水土保持功能的分析，目前园区未建面积为315.81hm²，在下一步建设过程中，除了</w:t>
      </w:r>
      <w:r>
        <w:rPr>
          <w:rFonts w:hint="eastAsia" w:cs="Times New Roman"/>
          <w:color w:val="000000" w:themeColor="text1"/>
          <w14:textFill>
            <w14:solidFill>
              <w14:schemeClr w14:val="tx1"/>
            </w14:solidFill>
          </w14:textFill>
        </w:rPr>
        <w:t>表土剥离及回填、土地整治（含表土回覆）、空地绿化、道路两侧绿化带、雨水收集池、节水灌溉、排水暗管、混凝土排水沟、密目网苫盖和透水砖铺装</w:t>
      </w:r>
      <w:r>
        <w:rPr>
          <w:rFonts w:cs="Times New Roman"/>
          <w:color w:val="000000" w:themeColor="text1"/>
          <w14:textFill>
            <w14:solidFill>
              <w14:schemeClr w14:val="tx1"/>
            </w14:solidFill>
          </w14:textFill>
        </w:rPr>
        <w:t>等水土保持措施外，还需补充</w:t>
      </w:r>
      <w:r>
        <w:rPr>
          <w:rFonts w:hint="eastAsia" w:cs="Times New Roman"/>
          <w:color w:val="000000" w:themeColor="text1"/>
          <w14:textFill>
            <w14:solidFill>
              <w14:schemeClr w14:val="tx1"/>
            </w14:solidFill>
          </w14:textFill>
        </w:rPr>
        <w:t>完善</w:t>
      </w:r>
      <w:r>
        <w:rPr>
          <w:rFonts w:cs="Times New Roman"/>
          <w:color w:val="000000" w:themeColor="text1"/>
          <w14:textFill>
            <w14:solidFill>
              <w14:schemeClr w14:val="tx1"/>
            </w14:solidFill>
          </w14:textFill>
        </w:rPr>
        <w:t>降水蓄渗</w:t>
      </w:r>
      <w:r>
        <w:rPr>
          <w:rFonts w:hint="eastAsia" w:cs="Times New Roman"/>
          <w:color w:val="000000" w:themeColor="text1"/>
          <w14:textFill>
            <w14:solidFill>
              <w14:schemeClr w14:val="tx1"/>
            </w14:solidFill>
          </w14:textFill>
        </w:rPr>
        <w:t>和节水灌溉，</w:t>
      </w:r>
      <w:r>
        <w:rPr>
          <w:rFonts w:cs="Times New Roman"/>
          <w:color w:val="000000" w:themeColor="text1"/>
          <w14:textFill>
            <w14:solidFill>
              <w14:schemeClr w14:val="tx1"/>
            </w14:solidFill>
          </w14:textFill>
        </w:rPr>
        <w:t>并加强植被的补植养护工作，以保障植被的成活率和覆盖面积。这些措施的实施将有助于提升产业园区的生态环境质量，促进可持续发展。</w:t>
      </w:r>
      <w:r>
        <w:rPr>
          <w:rFonts w:hint="eastAsia" w:cs="Times New Roman"/>
          <w:color w:val="000000" w:themeColor="text1"/>
          <w14:textFill>
            <w14:solidFill>
              <w14:schemeClr w14:val="tx1"/>
            </w14:solidFill>
          </w14:textFill>
        </w:rPr>
        <w:t>需补充完善的水保措施包括以下几个方面：</w:t>
      </w:r>
    </w:p>
    <w:p w14:paraId="1EA600F9">
      <w:pPr>
        <w:spacing w:line="420" w:lineRule="exact"/>
        <w:ind w:firstLine="482" w:firstLineChars="0"/>
        <w:rPr>
          <w:color w:val="000000" w:themeColor="text1"/>
          <w14:textFill>
            <w14:solidFill>
              <w14:schemeClr w14:val="tx1"/>
            </w14:solidFill>
          </w14:textFill>
        </w:rPr>
      </w:pPr>
      <w:r>
        <w:rPr>
          <w:color w:val="000000" w:themeColor="text1"/>
          <w14:textFill>
            <w14:solidFill>
              <w14:schemeClr w14:val="tx1"/>
            </w14:solidFill>
          </w14:textFill>
        </w:rPr>
        <w:t>1）工程措施</w:t>
      </w:r>
    </w:p>
    <w:p w14:paraId="67B086F8">
      <w:pPr>
        <w:widowControl w:val="0"/>
        <w:spacing w:line="420" w:lineRule="exact"/>
        <w:ind w:firstLine="482" w:firstLineChars="0"/>
        <w:contextualSpacing/>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①</w:t>
      </w:r>
      <w:r>
        <w:rPr>
          <w:rFonts w:cs="Times New Roman"/>
          <w:color w:val="000000" w:themeColor="text1"/>
          <w14:textFill>
            <w14:solidFill>
              <w14:schemeClr w14:val="tx1"/>
            </w14:solidFill>
          </w14:textFill>
        </w:rPr>
        <w:t>降水蓄渗：</w:t>
      </w:r>
      <w:r>
        <w:rPr>
          <w:rFonts w:hint="eastAsia" w:cs="Times New Roman"/>
          <w:color w:val="000000" w:themeColor="text1"/>
          <w14:textFill>
            <w14:solidFill>
              <w14:schemeClr w14:val="tx1"/>
            </w14:solidFill>
          </w14:textFill>
        </w:rPr>
        <w:t>产业园所在的地区属于干旱区，因此，本次评估设计并修建了多种雨水渗入设施，如渗井、渗沟和渗池等，旨在最大程度地利用雨水资源。为了让雨水更好地下渗并补充地下水，广场和人行道都采用了透水砖进行铺设，这样不仅可以减少地表径流，还能有效地补充地下水资源。为了更好地利用雨水，同时，在绿地和广场等区域布置了渗水地面和雨水集水池，这些设施可以承接和贮存雨水，进行调蓄利用，从而大大减少径流的外排。</w:t>
      </w:r>
    </w:p>
    <w:p w14:paraId="7C0B517F">
      <w:pPr>
        <w:widowControl w:val="0"/>
        <w:spacing w:line="420" w:lineRule="exact"/>
        <w:ind w:firstLine="482" w:firstLineChars="0"/>
        <w:contextualSpacing/>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②</w:t>
      </w:r>
      <w:r>
        <w:rPr>
          <w:rFonts w:cs="Times New Roman"/>
          <w:color w:val="000000" w:themeColor="text1"/>
          <w14:textFill>
            <w14:solidFill>
              <w14:schemeClr w14:val="tx1"/>
            </w14:solidFill>
          </w14:textFill>
        </w:rPr>
        <w:t>节水灌溉：产业园现已完成供水管网和污水管网的敷设，需依托园区中水管网适量布置节水灌溉措施，保障植物的成活率。</w:t>
      </w:r>
    </w:p>
    <w:p w14:paraId="7351EA63">
      <w:pPr>
        <w:widowControl w:val="0"/>
        <w:spacing w:line="420" w:lineRule="exact"/>
        <w:ind w:firstLine="482" w:firstLineChars="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③边坡防护：地块1未建区域未来施工时有可能会造成边坡，需做好边坡防护措施。边坡分为工程护坡和植草护坡。当边坡高度不大于3m时，边坡比小于1:1.5，边坡采用植草防护。边坡高度大于3m时，采用混凝土拱形骨架护坡，骨</w:t>
      </w:r>
    </w:p>
    <w:p w14:paraId="00D10E38">
      <w:pPr>
        <w:widowControl w:val="0"/>
        <w:spacing w:line="420" w:lineRule="exact"/>
        <w:ind w:firstLine="482" w:firstLineChars="0"/>
        <w:contextualSpacing/>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架内植草防护，点缀灌木固土、遮挡拱肋。</w:t>
      </w:r>
    </w:p>
    <w:p w14:paraId="239CAD3E">
      <w:pPr>
        <w:widowControl w:val="0"/>
        <w:spacing w:line="420" w:lineRule="exact"/>
        <w:ind w:firstLine="482" w:firstLineChars="0"/>
        <w:contextualSpacing/>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2）植物措施</w:t>
      </w:r>
    </w:p>
    <w:p w14:paraId="456CDE18">
      <w:pPr>
        <w:widowControl w:val="0"/>
        <w:spacing w:line="420" w:lineRule="exact"/>
        <w:ind w:firstLine="482" w:firstLineChars="0"/>
        <w:contextualSpacing/>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根据产业园各区块定位及布局的要求，对绿化区域采取乔灌草结合植物措施，道路两侧采用园林绿化设计，园区内入驻企业根据行业标准栽植栽种相关草树种。</w:t>
      </w:r>
    </w:p>
    <w:p w14:paraId="6BA036FB">
      <w:pPr>
        <w:widowControl w:val="0"/>
        <w:spacing w:line="420" w:lineRule="exact"/>
        <w:ind w:firstLine="482" w:firstLineChars="0"/>
        <w:contextualSpacing/>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3）临时措施</w:t>
      </w:r>
    </w:p>
    <w:p w14:paraId="069E656A">
      <w:pPr>
        <w:widowControl w:val="0"/>
        <w:spacing w:line="420" w:lineRule="exact"/>
        <w:ind w:firstLine="482" w:firstLineChars="0"/>
        <w:contextualSpacing/>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①</w:t>
      </w:r>
      <w:r>
        <w:rPr>
          <w:rFonts w:cs="Times New Roman"/>
          <w:color w:val="000000" w:themeColor="text1"/>
          <w14:textFill>
            <w14:solidFill>
              <w14:schemeClr w14:val="tx1"/>
            </w14:solidFill>
          </w14:textFill>
        </w:rPr>
        <w:t>临时挡护：临时堆料、土方中转场和表土堆存场等周边修建土袋围挡、土埂拦挡及彩钢板拦挡。</w:t>
      </w:r>
    </w:p>
    <w:p w14:paraId="49A4B374">
      <w:pPr>
        <w:widowControl w:val="0"/>
        <w:spacing w:line="420" w:lineRule="exact"/>
        <w:ind w:firstLine="482" w:firstLineChars="0"/>
        <w:contextualSpacing/>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②</w:t>
      </w:r>
      <w:r>
        <w:rPr>
          <w:rFonts w:cs="Times New Roman"/>
          <w:color w:val="000000" w:themeColor="text1"/>
          <w14:textFill>
            <w14:solidFill>
              <w14:schemeClr w14:val="tx1"/>
            </w14:solidFill>
          </w14:textFill>
        </w:rPr>
        <w:t>苫盖工程：临时堆料、土方中转场和表土堆存场采用密目网或无纺布进行苫盖防护。</w:t>
      </w:r>
    </w:p>
    <w:p w14:paraId="6F14D629">
      <w:pPr>
        <w:widowControl w:val="0"/>
        <w:spacing w:line="420" w:lineRule="exact"/>
        <w:ind w:firstLine="482" w:firstLineChars="0"/>
        <w:contextualSpacing/>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③</w:t>
      </w:r>
      <w:r>
        <w:rPr>
          <w:rFonts w:cs="Times New Roman"/>
          <w:color w:val="000000" w:themeColor="text1"/>
          <w14:textFill>
            <w14:solidFill>
              <w14:schemeClr w14:val="tx1"/>
            </w14:solidFill>
          </w14:textFill>
        </w:rPr>
        <w:t>临时种草：堆存表土裸露时间超过一个生长季的应当在表面及边坡撒播草籽进行临时绿化防护。</w:t>
      </w:r>
    </w:p>
    <w:p w14:paraId="2213066C">
      <w:pPr>
        <w:widowControl w:val="0"/>
        <w:spacing w:line="420" w:lineRule="exact"/>
        <w:ind w:firstLine="482" w:firstLineChars="0"/>
        <w:contextualSpacing/>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④</w:t>
      </w:r>
      <w:r>
        <w:rPr>
          <w:rFonts w:cs="Times New Roman"/>
          <w:color w:val="000000" w:themeColor="text1"/>
          <w14:textFill>
            <w14:solidFill>
              <w14:schemeClr w14:val="tx1"/>
            </w14:solidFill>
          </w14:textFill>
        </w:rPr>
        <w:t>临时排水：场内施工场地如果经历雨季，应该考虑设置临时排水沟及沉砂池。需补充完善的水土保持措施分析与评价详见表3-3。</w:t>
      </w:r>
    </w:p>
    <w:p w14:paraId="3508EB7E">
      <w:pPr>
        <w:spacing w:line="240" w:lineRule="auto"/>
        <w:ind w:firstLine="0" w:firstLineChars="0"/>
        <w:jc w:val="left"/>
        <w:rPr>
          <w:rFonts w:eastAsia="宋体" w:cs="仿宋"/>
          <w:b/>
          <w:color w:val="000000" w:themeColor="text1"/>
          <w:spacing w:val="4"/>
          <w:szCs w:val="18"/>
          <w14:textFill>
            <w14:solidFill>
              <w14:schemeClr w14:val="tx1"/>
            </w14:solidFill>
          </w14:textFill>
        </w:rPr>
      </w:pPr>
      <w:r>
        <w:rPr>
          <w:color w:val="000000" w:themeColor="text1"/>
          <w14:textFill>
            <w14:solidFill>
              <w14:schemeClr w14:val="tx1"/>
            </w14:solidFill>
          </w14:textFill>
        </w:rPr>
        <w:br w:type="page"/>
      </w:r>
    </w:p>
    <w:p w14:paraId="63C3975A">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表3-3                         </w:t>
      </w:r>
      <w:r>
        <w:rPr>
          <w:rFonts w:hint="eastAsia"/>
          <w:color w:val="000000" w:themeColor="text1"/>
          <w:lang w:eastAsia="zh-CN"/>
          <w14:textFill>
            <w14:solidFill>
              <w14:schemeClr w14:val="tx1"/>
            </w14:solidFill>
          </w14:textFill>
        </w:rPr>
        <w:t>需补充完善的水土保持措施分析与评价表</w:t>
      </w:r>
    </w:p>
    <w:tbl>
      <w:tblPr>
        <w:tblStyle w:val="27"/>
        <w:tblW w:w="0" w:type="auto"/>
        <w:jc w:val="center"/>
        <w:tblLayout w:type="autofit"/>
        <w:tblCellMar>
          <w:top w:w="0" w:type="dxa"/>
          <w:left w:w="108" w:type="dxa"/>
          <w:bottom w:w="0" w:type="dxa"/>
          <w:right w:w="108" w:type="dxa"/>
        </w:tblCellMar>
      </w:tblPr>
      <w:tblGrid>
        <w:gridCol w:w="1413"/>
        <w:gridCol w:w="1446"/>
        <w:gridCol w:w="1672"/>
        <w:gridCol w:w="1560"/>
        <w:gridCol w:w="2969"/>
      </w:tblGrid>
      <w:tr w14:paraId="47B42066">
        <w:tblPrEx>
          <w:tblCellMar>
            <w:top w:w="0" w:type="dxa"/>
            <w:left w:w="108" w:type="dxa"/>
            <w:bottom w:w="0" w:type="dxa"/>
            <w:right w:w="108" w:type="dxa"/>
          </w:tblCellMar>
        </w:tblPrEx>
        <w:trPr>
          <w:trHeight w:val="397" w:hRule="atLeast"/>
          <w:tblHeader/>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68A57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功能分区</w:t>
            </w:r>
          </w:p>
        </w:tc>
        <w:tc>
          <w:tcPr>
            <w:tcW w:w="3118" w:type="dxa"/>
            <w:gridSpan w:val="2"/>
            <w:tcBorders>
              <w:top w:val="single" w:color="auto" w:sz="4" w:space="0"/>
              <w:left w:val="nil"/>
              <w:bottom w:val="single" w:color="auto" w:sz="4" w:space="0"/>
              <w:right w:val="single" w:color="auto" w:sz="4" w:space="0"/>
            </w:tcBorders>
            <w:shd w:val="clear" w:color="auto" w:fill="auto"/>
            <w:vAlign w:val="center"/>
          </w:tcPr>
          <w:p w14:paraId="77B2E5C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规划水土保持措施</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4978F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是否符水土保持要求</w:t>
            </w:r>
          </w:p>
        </w:tc>
        <w:tc>
          <w:tcPr>
            <w:tcW w:w="296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8532EE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补充水土保持措施</w:t>
            </w:r>
          </w:p>
        </w:tc>
      </w:tr>
      <w:tr w14:paraId="62699574">
        <w:tblPrEx>
          <w:tblCellMar>
            <w:top w:w="0" w:type="dxa"/>
            <w:left w:w="108" w:type="dxa"/>
            <w:bottom w:w="0" w:type="dxa"/>
            <w:right w:w="108" w:type="dxa"/>
          </w:tblCellMar>
        </w:tblPrEx>
        <w:trPr>
          <w:trHeight w:val="397" w:hRule="atLeast"/>
          <w:tblHeader/>
          <w:jc w:val="center"/>
        </w:trPr>
        <w:tc>
          <w:tcPr>
            <w:tcW w:w="1413" w:type="dxa"/>
            <w:vMerge w:val="continue"/>
            <w:tcBorders>
              <w:top w:val="single" w:color="auto" w:sz="4" w:space="0"/>
              <w:left w:val="single" w:color="auto" w:sz="4" w:space="0"/>
              <w:bottom w:val="double" w:color="auto" w:sz="4" w:space="0"/>
              <w:right w:val="single" w:color="auto" w:sz="4" w:space="0"/>
            </w:tcBorders>
            <w:vAlign w:val="center"/>
          </w:tcPr>
          <w:p w14:paraId="38A29B9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46" w:type="dxa"/>
            <w:tcBorders>
              <w:top w:val="nil"/>
              <w:left w:val="nil"/>
              <w:bottom w:val="double" w:color="auto" w:sz="4" w:space="0"/>
              <w:right w:val="single" w:color="auto" w:sz="4" w:space="0"/>
            </w:tcBorders>
            <w:shd w:val="clear" w:color="auto" w:fill="auto"/>
            <w:vAlign w:val="center"/>
          </w:tcPr>
          <w:p w14:paraId="312F019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措施类型</w:t>
            </w:r>
          </w:p>
        </w:tc>
        <w:tc>
          <w:tcPr>
            <w:tcW w:w="1672" w:type="dxa"/>
            <w:tcBorders>
              <w:top w:val="nil"/>
              <w:left w:val="nil"/>
              <w:bottom w:val="double" w:color="auto" w:sz="4" w:space="0"/>
              <w:right w:val="single" w:color="auto" w:sz="4" w:space="0"/>
            </w:tcBorders>
            <w:shd w:val="clear" w:color="auto" w:fill="auto"/>
            <w:vAlign w:val="center"/>
          </w:tcPr>
          <w:p w14:paraId="47AD5E8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措施</w:t>
            </w:r>
          </w:p>
        </w:tc>
        <w:tc>
          <w:tcPr>
            <w:tcW w:w="1560" w:type="dxa"/>
            <w:vMerge w:val="continue"/>
            <w:tcBorders>
              <w:top w:val="single" w:color="auto" w:sz="4" w:space="0"/>
              <w:left w:val="single" w:color="auto" w:sz="4" w:space="0"/>
              <w:bottom w:val="double" w:color="auto" w:sz="4" w:space="0"/>
              <w:right w:val="single" w:color="auto" w:sz="4" w:space="0"/>
            </w:tcBorders>
            <w:vAlign w:val="center"/>
          </w:tcPr>
          <w:p w14:paraId="42FC877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969" w:type="dxa"/>
            <w:vMerge w:val="continue"/>
            <w:tcBorders>
              <w:top w:val="single" w:color="auto" w:sz="4" w:space="0"/>
              <w:left w:val="single" w:color="auto" w:sz="4" w:space="0"/>
              <w:bottom w:val="double" w:color="auto" w:sz="4" w:space="0"/>
              <w:right w:val="single" w:color="auto" w:sz="4" w:space="0"/>
            </w:tcBorders>
            <w:vAlign w:val="center"/>
          </w:tcPr>
          <w:p w14:paraId="3FE5BA94">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3A990982">
        <w:tblPrEx>
          <w:tblCellMar>
            <w:top w:w="0" w:type="dxa"/>
            <w:left w:w="108" w:type="dxa"/>
            <w:bottom w:w="0" w:type="dxa"/>
            <w:right w:w="108" w:type="dxa"/>
          </w:tblCellMar>
        </w:tblPrEx>
        <w:trPr>
          <w:trHeight w:val="397" w:hRule="atLeast"/>
          <w:tblHeader/>
          <w:jc w:val="center"/>
        </w:trPr>
        <w:tc>
          <w:tcPr>
            <w:tcW w:w="1413"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3C415BA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pacing w:val="-21"/>
                <w:sz w:val="21"/>
                <w:szCs w:val="21"/>
                <w14:textFill>
                  <w14:solidFill>
                    <w14:schemeClr w14:val="tx1"/>
                  </w14:solidFill>
                </w14:textFill>
              </w:rPr>
              <w:t>地块</w:t>
            </w:r>
            <w:r>
              <w:rPr>
                <w:rFonts w:cs="Times New Roman"/>
                <w:color w:val="000000" w:themeColor="text1"/>
                <w:spacing w:val="-8"/>
                <w:sz w:val="21"/>
                <w:szCs w:val="21"/>
                <w14:textFill>
                  <w14:solidFill>
                    <w14:schemeClr w14:val="tx1"/>
                  </w14:solidFill>
                </w14:textFill>
              </w:rPr>
              <w:t>1</w:t>
            </w:r>
            <w:r>
              <w:rPr>
                <w:rFonts w:hint="eastAsia" w:cs="Times New Roman"/>
                <w:color w:val="000000" w:themeColor="text1"/>
                <w:spacing w:val="-8"/>
                <w:sz w:val="21"/>
                <w:szCs w:val="21"/>
                <w14:textFill>
                  <w14:solidFill>
                    <w14:schemeClr w14:val="tx1"/>
                  </w14:solidFill>
                </w14:textFill>
              </w:rPr>
              <w:t>（</w:t>
            </w:r>
            <w:r>
              <w:rPr>
                <w:rFonts w:cs="Times New Roman"/>
                <w:color w:val="000000" w:themeColor="text1"/>
                <w:sz w:val="21"/>
                <w:szCs w:val="21"/>
                <w14:textFill>
                  <w14:solidFill>
                    <w14:schemeClr w14:val="tx1"/>
                  </w14:solidFill>
                </w14:textFill>
              </w:rPr>
              <w:t>金山产业园北区</w:t>
            </w:r>
            <w:r>
              <w:rPr>
                <w:rFonts w:hint="eastAsia" w:cs="Times New Roman"/>
                <w:color w:val="000000" w:themeColor="text1"/>
                <w:spacing w:val="-8"/>
                <w:sz w:val="21"/>
                <w:szCs w:val="21"/>
                <w14:textFill>
                  <w14:solidFill>
                    <w14:schemeClr w14:val="tx1"/>
                  </w14:solidFill>
                </w14:textFill>
              </w:rPr>
              <w:t>）</w:t>
            </w:r>
          </w:p>
          <w:p w14:paraId="5432D69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46" w:type="dxa"/>
            <w:vMerge w:val="restart"/>
            <w:tcBorders>
              <w:top w:val="double" w:color="auto" w:sz="4" w:space="0"/>
              <w:left w:val="single" w:color="auto" w:sz="4" w:space="0"/>
              <w:right w:val="single" w:color="auto" w:sz="4" w:space="0"/>
            </w:tcBorders>
            <w:shd w:val="clear" w:color="auto" w:fill="auto"/>
            <w:vAlign w:val="center"/>
          </w:tcPr>
          <w:p w14:paraId="68D78F5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工程措施</w:t>
            </w:r>
          </w:p>
        </w:tc>
        <w:tc>
          <w:tcPr>
            <w:tcW w:w="1672" w:type="dxa"/>
            <w:tcBorders>
              <w:top w:val="double" w:color="auto" w:sz="4" w:space="0"/>
              <w:left w:val="nil"/>
              <w:bottom w:val="single" w:color="auto" w:sz="4" w:space="0"/>
              <w:right w:val="single" w:color="auto" w:sz="4" w:space="0"/>
            </w:tcBorders>
            <w:shd w:val="clear" w:color="auto" w:fill="auto"/>
            <w:vAlign w:val="center"/>
          </w:tcPr>
          <w:p w14:paraId="70678EE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表土剥离</w:t>
            </w:r>
          </w:p>
        </w:tc>
        <w:tc>
          <w:tcPr>
            <w:tcW w:w="1560"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5E5A4C4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降水蓄渗措施不</w:t>
            </w:r>
            <w:r>
              <w:rPr>
                <w:rFonts w:hint="eastAsia" w:cs="Times New Roman"/>
                <w:color w:val="000000" w:themeColor="text1"/>
                <w:sz w:val="21"/>
                <w:szCs w:val="21"/>
                <w14:textFill>
                  <w14:solidFill>
                    <w14:schemeClr w14:val="tx1"/>
                  </w14:solidFill>
                </w14:textFill>
              </w:rPr>
              <w:t>完善</w:t>
            </w:r>
            <w:r>
              <w:rPr>
                <w:rFonts w:cs="Times New Roman"/>
                <w:color w:val="000000" w:themeColor="text1"/>
                <w:sz w:val="21"/>
                <w:szCs w:val="21"/>
                <w14:textFill>
                  <w14:solidFill>
                    <w14:schemeClr w14:val="tx1"/>
                  </w14:solidFill>
                </w14:textFill>
              </w:rPr>
              <w:t>，植被成活率低，不符合水土保持要求。</w:t>
            </w:r>
          </w:p>
        </w:tc>
        <w:tc>
          <w:tcPr>
            <w:tcW w:w="2969" w:type="dxa"/>
            <w:tcBorders>
              <w:top w:val="double" w:color="auto" w:sz="4" w:space="0"/>
              <w:left w:val="nil"/>
              <w:bottom w:val="single" w:color="auto" w:sz="4" w:space="0"/>
              <w:right w:val="single" w:color="auto" w:sz="4" w:space="0"/>
            </w:tcBorders>
            <w:shd w:val="clear" w:color="auto" w:fill="auto"/>
            <w:vAlign w:val="center"/>
          </w:tcPr>
          <w:p w14:paraId="47EED8CA">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5CDC39BE">
        <w:tblPrEx>
          <w:tblCellMar>
            <w:top w:w="0" w:type="dxa"/>
            <w:left w:w="108" w:type="dxa"/>
            <w:bottom w:w="0" w:type="dxa"/>
            <w:right w:w="108" w:type="dxa"/>
          </w:tblCellMar>
        </w:tblPrEx>
        <w:trPr>
          <w:trHeight w:val="397" w:hRule="atLeast"/>
          <w:tblHeader/>
          <w:jc w:val="center"/>
        </w:trPr>
        <w:tc>
          <w:tcPr>
            <w:tcW w:w="1413" w:type="dxa"/>
            <w:vMerge w:val="continue"/>
            <w:tcBorders>
              <w:top w:val="nil"/>
              <w:left w:val="single" w:color="auto" w:sz="4" w:space="0"/>
              <w:bottom w:val="single" w:color="auto" w:sz="4" w:space="0"/>
              <w:right w:val="single" w:color="auto" w:sz="4" w:space="0"/>
            </w:tcBorders>
            <w:vAlign w:val="center"/>
          </w:tcPr>
          <w:p w14:paraId="1B4A3A4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46" w:type="dxa"/>
            <w:vMerge w:val="continue"/>
            <w:tcBorders>
              <w:left w:val="single" w:color="auto" w:sz="4" w:space="0"/>
              <w:right w:val="single" w:color="auto" w:sz="4" w:space="0"/>
            </w:tcBorders>
            <w:vAlign w:val="center"/>
          </w:tcPr>
          <w:p w14:paraId="1AECF88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672" w:type="dxa"/>
            <w:tcBorders>
              <w:top w:val="nil"/>
              <w:left w:val="nil"/>
              <w:bottom w:val="single" w:color="auto" w:sz="4" w:space="0"/>
              <w:right w:val="single" w:color="auto" w:sz="4" w:space="0"/>
            </w:tcBorders>
            <w:shd w:val="clear" w:color="auto" w:fill="auto"/>
            <w:vAlign w:val="center"/>
          </w:tcPr>
          <w:p w14:paraId="14F5A4D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表土回填</w:t>
            </w:r>
          </w:p>
        </w:tc>
        <w:tc>
          <w:tcPr>
            <w:tcW w:w="1560" w:type="dxa"/>
            <w:vMerge w:val="continue"/>
            <w:tcBorders>
              <w:top w:val="nil"/>
              <w:left w:val="single" w:color="auto" w:sz="4" w:space="0"/>
              <w:bottom w:val="single" w:color="auto" w:sz="4" w:space="0"/>
              <w:right w:val="single" w:color="auto" w:sz="4" w:space="0"/>
            </w:tcBorders>
            <w:vAlign w:val="center"/>
          </w:tcPr>
          <w:p w14:paraId="2E9251B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969" w:type="dxa"/>
            <w:tcBorders>
              <w:top w:val="nil"/>
              <w:left w:val="nil"/>
              <w:bottom w:val="single" w:color="auto" w:sz="4" w:space="0"/>
              <w:right w:val="single" w:color="auto" w:sz="4" w:space="0"/>
            </w:tcBorders>
            <w:shd w:val="clear" w:color="auto" w:fill="auto"/>
            <w:vAlign w:val="center"/>
          </w:tcPr>
          <w:p w14:paraId="2755062D">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75009D2E">
        <w:tblPrEx>
          <w:tblCellMar>
            <w:top w:w="0" w:type="dxa"/>
            <w:left w:w="108" w:type="dxa"/>
            <w:bottom w:w="0" w:type="dxa"/>
            <w:right w:w="108" w:type="dxa"/>
          </w:tblCellMar>
        </w:tblPrEx>
        <w:trPr>
          <w:trHeight w:val="397" w:hRule="atLeast"/>
          <w:tblHeader/>
          <w:jc w:val="center"/>
        </w:trPr>
        <w:tc>
          <w:tcPr>
            <w:tcW w:w="1413" w:type="dxa"/>
            <w:vMerge w:val="continue"/>
            <w:tcBorders>
              <w:top w:val="nil"/>
              <w:left w:val="single" w:color="auto" w:sz="4" w:space="0"/>
              <w:bottom w:val="single" w:color="auto" w:sz="4" w:space="0"/>
              <w:right w:val="single" w:color="auto" w:sz="4" w:space="0"/>
            </w:tcBorders>
            <w:vAlign w:val="center"/>
          </w:tcPr>
          <w:p w14:paraId="1027E57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46" w:type="dxa"/>
            <w:vMerge w:val="continue"/>
            <w:tcBorders>
              <w:left w:val="single" w:color="auto" w:sz="4" w:space="0"/>
              <w:right w:val="single" w:color="auto" w:sz="4" w:space="0"/>
            </w:tcBorders>
            <w:vAlign w:val="center"/>
          </w:tcPr>
          <w:p w14:paraId="1F1ADCE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672" w:type="dxa"/>
            <w:tcBorders>
              <w:top w:val="nil"/>
              <w:left w:val="nil"/>
              <w:bottom w:val="single" w:color="auto" w:sz="4" w:space="0"/>
              <w:right w:val="single" w:color="auto" w:sz="4" w:space="0"/>
            </w:tcBorders>
            <w:shd w:val="clear" w:color="auto" w:fill="auto"/>
            <w:vAlign w:val="center"/>
          </w:tcPr>
          <w:p w14:paraId="1F47A59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土地整治</w:t>
            </w:r>
          </w:p>
        </w:tc>
        <w:tc>
          <w:tcPr>
            <w:tcW w:w="1560" w:type="dxa"/>
            <w:vMerge w:val="continue"/>
            <w:tcBorders>
              <w:top w:val="nil"/>
              <w:left w:val="single" w:color="auto" w:sz="4" w:space="0"/>
              <w:bottom w:val="single" w:color="auto" w:sz="4" w:space="0"/>
              <w:right w:val="single" w:color="auto" w:sz="4" w:space="0"/>
            </w:tcBorders>
            <w:vAlign w:val="center"/>
          </w:tcPr>
          <w:p w14:paraId="2E6B456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969" w:type="dxa"/>
            <w:tcBorders>
              <w:top w:val="nil"/>
              <w:left w:val="nil"/>
              <w:bottom w:val="single" w:color="auto" w:sz="4" w:space="0"/>
              <w:right w:val="single" w:color="auto" w:sz="4" w:space="0"/>
            </w:tcBorders>
            <w:shd w:val="clear" w:color="auto" w:fill="auto"/>
            <w:vAlign w:val="center"/>
          </w:tcPr>
          <w:p w14:paraId="10148580">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6EB462A0">
        <w:tblPrEx>
          <w:tblCellMar>
            <w:top w:w="0" w:type="dxa"/>
            <w:left w:w="108" w:type="dxa"/>
            <w:bottom w:w="0" w:type="dxa"/>
            <w:right w:w="108" w:type="dxa"/>
          </w:tblCellMar>
        </w:tblPrEx>
        <w:trPr>
          <w:trHeight w:val="397" w:hRule="atLeast"/>
          <w:tblHeader/>
          <w:jc w:val="center"/>
        </w:trPr>
        <w:tc>
          <w:tcPr>
            <w:tcW w:w="1413" w:type="dxa"/>
            <w:vMerge w:val="continue"/>
            <w:tcBorders>
              <w:top w:val="nil"/>
              <w:left w:val="single" w:color="auto" w:sz="4" w:space="0"/>
              <w:bottom w:val="single" w:color="auto" w:sz="4" w:space="0"/>
              <w:right w:val="single" w:color="auto" w:sz="4" w:space="0"/>
            </w:tcBorders>
            <w:vAlign w:val="center"/>
          </w:tcPr>
          <w:p w14:paraId="7405C6F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46" w:type="dxa"/>
            <w:vMerge w:val="continue"/>
            <w:tcBorders>
              <w:left w:val="single" w:color="auto" w:sz="4" w:space="0"/>
              <w:right w:val="single" w:color="auto" w:sz="4" w:space="0"/>
            </w:tcBorders>
            <w:vAlign w:val="center"/>
          </w:tcPr>
          <w:p w14:paraId="7A9B233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672" w:type="dxa"/>
            <w:tcBorders>
              <w:top w:val="nil"/>
              <w:left w:val="nil"/>
              <w:bottom w:val="single" w:color="auto" w:sz="4" w:space="0"/>
              <w:right w:val="single" w:color="auto" w:sz="4" w:space="0"/>
            </w:tcBorders>
            <w:shd w:val="clear" w:color="auto" w:fill="auto"/>
            <w:vAlign w:val="center"/>
          </w:tcPr>
          <w:p w14:paraId="2C7EEA5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透水砖铺设</w:t>
            </w:r>
          </w:p>
        </w:tc>
        <w:tc>
          <w:tcPr>
            <w:tcW w:w="1560" w:type="dxa"/>
            <w:vMerge w:val="continue"/>
            <w:tcBorders>
              <w:top w:val="nil"/>
              <w:left w:val="single" w:color="auto" w:sz="4" w:space="0"/>
              <w:bottom w:val="single" w:color="auto" w:sz="4" w:space="0"/>
              <w:right w:val="single" w:color="auto" w:sz="4" w:space="0"/>
            </w:tcBorders>
            <w:vAlign w:val="center"/>
          </w:tcPr>
          <w:p w14:paraId="318C72B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969" w:type="dxa"/>
            <w:tcBorders>
              <w:top w:val="nil"/>
              <w:left w:val="nil"/>
              <w:bottom w:val="single" w:color="auto" w:sz="4" w:space="0"/>
              <w:right w:val="single" w:color="auto" w:sz="4" w:space="0"/>
            </w:tcBorders>
            <w:shd w:val="clear" w:color="auto" w:fill="auto"/>
            <w:vAlign w:val="center"/>
          </w:tcPr>
          <w:p w14:paraId="40E07A3D">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3CF06597">
        <w:tblPrEx>
          <w:tblCellMar>
            <w:top w:w="0" w:type="dxa"/>
            <w:left w:w="108" w:type="dxa"/>
            <w:bottom w:w="0" w:type="dxa"/>
            <w:right w:w="108" w:type="dxa"/>
          </w:tblCellMar>
        </w:tblPrEx>
        <w:trPr>
          <w:trHeight w:val="397" w:hRule="atLeast"/>
          <w:tblHeader/>
          <w:jc w:val="center"/>
        </w:trPr>
        <w:tc>
          <w:tcPr>
            <w:tcW w:w="1413" w:type="dxa"/>
            <w:vMerge w:val="continue"/>
            <w:tcBorders>
              <w:top w:val="nil"/>
              <w:left w:val="single" w:color="auto" w:sz="4" w:space="0"/>
              <w:bottom w:val="single" w:color="auto" w:sz="4" w:space="0"/>
              <w:right w:val="single" w:color="auto" w:sz="4" w:space="0"/>
            </w:tcBorders>
            <w:vAlign w:val="center"/>
          </w:tcPr>
          <w:p w14:paraId="3508B47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46" w:type="dxa"/>
            <w:vMerge w:val="continue"/>
            <w:tcBorders>
              <w:left w:val="single" w:color="auto" w:sz="4" w:space="0"/>
              <w:right w:val="single" w:color="auto" w:sz="4" w:space="0"/>
            </w:tcBorders>
            <w:vAlign w:val="center"/>
          </w:tcPr>
          <w:p w14:paraId="1825A07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672" w:type="dxa"/>
            <w:tcBorders>
              <w:top w:val="nil"/>
              <w:left w:val="nil"/>
              <w:bottom w:val="single" w:color="auto" w:sz="4" w:space="0"/>
              <w:right w:val="single" w:color="auto" w:sz="4" w:space="0"/>
            </w:tcBorders>
            <w:shd w:val="clear" w:color="auto" w:fill="auto"/>
            <w:vAlign w:val="center"/>
          </w:tcPr>
          <w:p w14:paraId="74D35256">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碎石压盖</w:t>
            </w:r>
          </w:p>
        </w:tc>
        <w:tc>
          <w:tcPr>
            <w:tcW w:w="1560" w:type="dxa"/>
            <w:vMerge w:val="continue"/>
            <w:tcBorders>
              <w:top w:val="nil"/>
              <w:left w:val="single" w:color="auto" w:sz="4" w:space="0"/>
              <w:bottom w:val="single" w:color="auto" w:sz="4" w:space="0"/>
              <w:right w:val="single" w:color="auto" w:sz="4" w:space="0"/>
            </w:tcBorders>
            <w:vAlign w:val="center"/>
          </w:tcPr>
          <w:p w14:paraId="2BB2B4C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969" w:type="dxa"/>
            <w:tcBorders>
              <w:top w:val="nil"/>
              <w:left w:val="nil"/>
              <w:bottom w:val="single" w:color="auto" w:sz="4" w:space="0"/>
              <w:right w:val="single" w:color="auto" w:sz="4" w:space="0"/>
            </w:tcBorders>
            <w:shd w:val="clear" w:color="auto" w:fill="auto"/>
            <w:vAlign w:val="center"/>
          </w:tcPr>
          <w:p w14:paraId="3B922CB4">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01E41451">
        <w:tblPrEx>
          <w:tblCellMar>
            <w:top w:w="0" w:type="dxa"/>
            <w:left w:w="108" w:type="dxa"/>
            <w:bottom w:w="0" w:type="dxa"/>
            <w:right w:w="108" w:type="dxa"/>
          </w:tblCellMar>
        </w:tblPrEx>
        <w:trPr>
          <w:trHeight w:val="397" w:hRule="atLeast"/>
          <w:tblHeader/>
          <w:jc w:val="center"/>
        </w:trPr>
        <w:tc>
          <w:tcPr>
            <w:tcW w:w="1413" w:type="dxa"/>
            <w:vMerge w:val="continue"/>
            <w:tcBorders>
              <w:top w:val="nil"/>
              <w:left w:val="single" w:color="auto" w:sz="4" w:space="0"/>
              <w:bottom w:val="single" w:color="auto" w:sz="4" w:space="0"/>
              <w:right w:val="single" w:color="auto" w:sz="4" w:space="0"/>
            </w:tcBorders>
            <w:vAlign w:val="center"/>
          </w:tcPr>
          <w:p w14:paraId="2E1DAAC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46" w:type="dxa"/>
            <w:vMerge w:val="continue"/>
            <w:tcBorders>
              <w:left w:val="single" w:color="auto" w:sz="4" w:space="0"/>
              <w:right w:val="single" w:color="auto" w:sz="4" w:space="0"/>
            </w:tcBorders>
            <w:vAlign w:val="center"/>
          </w:tcPr>
          <w:p w14:paraId="63DD700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672" w:type="dxa"/>
            <w:tcBorders>
              <w:top w:val="nil"/>
              <w:left w:val="nil"/>
              <w:bottom w:val="single" w:color="auto" w:sz="4" w:space="0"/>
              <w:right w:val="single" w:color="auto" w:sz="4" w:space="0"/>
            </w:tcBorders>
            <w:shd w:val="clear" w:color="auto" w:fill="auto"/>
            <w:vAlign w:val="center"/>
          </w:tcPr>
          <w:p w14:paraId="07CBB11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节水灌溉</w:t>
            </w:r>
          </w:p>
        </w:tc>
        <w:tc>
          <w:tcPr>
            <w:tcW w:w="1560" w:type="dxa"/>
            <w:vMerge w:val="continue"/>
            <w:tcBorders>
              <w:top w:val="nil"/>
              <w:left w:val="single" w:color="auto" w:sz="4" w:space="0"/>
              <w:bottom w:val="single" w:color="auto" w:sz="4" w:space="0"/>
              <w:right w:val="single" w:color="auto" w:sz="4" w:space="0"/>
            </w:tcBorders>
            <w:vAlign w:val="center"/>
          </w:tcPr>
          <w:p w14:paraId="534D98F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969" w:type="dxa"/>
            <w:tcBorders>
              <w:top w:val="nil"/>
              <w:left w:val="nil"/>
              <w:bottom w:val="single" w:color="auto" w:sz="4" w:space="0"/>
              <w:right w:val="single" w:color="auto" w:sz="4" w:space="0"/>
            </w:tcBorders>
            <w:shd w:val="clear" w:color="auto" w:fill="auto"/>
            <w:vAlign w:val="center"/>
          </w:tcPr>
          <w:p w14:paraId="3C36146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节水灌溉</w:t>
            </w:r>
          </w:p>
        </w:tc>
      </w:tr>
      <w:tr w14:paraId="727DB28D">
        <w:tblPrEx>
          <w:tblCellMar>
            <w:top w:w="0" w:type="dxa"/>
            <w:left w:w="108" w:type="dxa"/>
            <w:bottom w:w="0" w:type="dxa"/>
            <w:right w:w="108" w:type="dxa"/>
          </w:tblCellMar>
        </w:tblPrEx>
        <w:trPr>
          <w:trHeight w:val="397" w:hRule="atLeast"/>
          <w:tblHeader/>
          <w:jc w:val="center"/>
        </w:trPr>
        <w:tc>
          <w:tcPr>
            <w:tcW w:w="1413" w:type="dxa"/>
            <w:vMerge w:val="continue"/>
            <w:tcBorders>
              <w:top w:val="nil"/>
              <w:left w:val="single" w:color="auto" w:sz="4" w:space="0"/>
              <w:bottom w:val="single" w:color="auto" w:sz="4" w:space="0"/>
              <w:right w:val="single" w:color="auto" w:sz="4" w:space="0"/>
            </w:tcBorders>
            <w:vAlign w:val="center"/>
          </w:tcPr>
          <w:p w14:paraId="6A2F601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46" w:type="dxa"/>
            <w:vMerge w:val="continue"/>
            <w:tcBorders>
              <w:left w:val="single" w:color="auto" w:sz="4" w:space="0"/>
              <w:right w:val="single" w:color="auto" w:sz="4" w:space="0"/>
            </w:tcBorders>
            <w:vAlign w:val="center"/>
          </w:tcPr>
          <w:p w14:paraId="5416618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672" w:type="dxa"/>
            <w:tcBorders>
              <w:top w:val="nil"/>
              <w:left w:val="nil"/>
              <w:bottom w:val="single" w:color="auto" w:sz="4" w:space="0"/>
              <w:right w:val="single" w:color="auto" w:sz="4" w:space="0"/>
            </w:tcBorders>
            <w:shd w:val="clear" w:color="auto" w:fill="auto"/>
            <w:vAlign w:val="center"/>
          </w:tcPr>
          <w:p w14:paraId="40CCD96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排水管道</w:t>
            </w:r>
            <w:r>
              <w:rPr>
                <w:rFonts w:hint="eastAsia" w:cs="Times New Roman"/>
                <w:color w:val="000000" w:themeColor="text1"/>
                <w:sz w:val="21"/>
                <w:szCs w:val="21"/>
                <w14:textFill>
                  <w14:solidFill>
                    <w14:schemeClr w14:val="tx1"/>
                  </w14:solidFill>
                </w14:textFill>
              </w:rPr>
              <w:t>，混凝土排水沟</w:t>
            </w:r>
          </w:p>
        </w:tc>
        <w:tc>
          <w:tcPr>
            <w:tcW w:w="1560" w:type="dxa"/>
            <w:vMerge w:val="continue"/>
            <w:tcBorders>
              <w:top w:val="nil"/>
              <w:left w:val="single" w:color="auto" w:sz="4" w:space="0"/>
              <w:bottom w:val="single" w:color="auto" w:sz="4" w:space="0"/>
              <w:right w:val="single" w:color="auto" w:sz="4" w:space="0"/>
            </w:tcBorders>
            <w:vAlign w:val="center"/>
          </w:tcPr>
          <w:p w14:paraId="299683A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969" w:type="dxa"/>
            <w:tcBorders>
              <w:top w:val="nil"/>
              <w:left w:val="nil"/>
              <w:bottom w:val="single" w:color="auto" w:sz="4" w:space="0"/>
              <w:right w:val="single" w:color="auto" w:sz="4" w:space="0"/>
            </w:tcBorders>
            <w:shd w:val="clear" w:color="auto" w:fill="auto"/>
            <w:vAlign w:val="center"/>
          </w:tcPr>
          <w:p w14:paraId="51978170">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276EB03A">
        <w:tblPrEx>
          <w:tblCellMar>
            <w:top w:w="0" w:type="dxa"/>
            <w:left w:w="108" w:type="dxa"/>
            <w:bottom w:w="0" w:type="dxa"/>
            <w:right w:w="108" w:type="dxa"/>
          </w:tblCellMar>
        </w:tblPrEx>
        <w:trPr>
          <w:trHeight w:val="397" w:hRule="atLeast"/>
          <w:tblHeader/>
          <w:jc w:val="center"/>
        </w:trPr>
        <w:tc>
          <w:tcPr>
            <w:tcW w:w="1413" w:type="dxa"/>
            <w:vMerge w:val="continue"/>
            <w:tcBorders>
              <w:top w:val="nil"/>
              <w:left w:val="single" w:color="auto" w:sz="4" w:space="0"/>
              <w:bottom w:val="single" w:color="auto" w:sz="4" w:space="0"/>
              <w:right w:val="single" w:color="auto" w:sz="4" w:space="0"/>
            </w:tcBorders>
            <w:vAlign w:val="center"/>
          </w:tcPr>
          <w:p w14:paraId="59ECCC3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46" w:type="dxa"/>
            <w:vMerge w:val="continue"/>
            <w:tcBorders>
              <w:left w:val="single" w:color="auto" w:sz="4" w:space="0"/>
              <w:right w:val="single" w:color="auto" w:sz="4" w:space="0"/>
            </w:tcBorders>
            <w:vAlign w:val="center"/>
          </w:tcPr>
          <w:p w14:paraId="2BD5B55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672" w:type="dxa"/>
            <w:tcBorders>
              <w:top w:val="nil"/>
              <w:left w:val="nil"/>
              <w:bottom w:val="single" w:color="auto" w:sz="4" w:space="0"/>
              <w:right w:val="single" w:color="auto" w:sz="4" w:space="0"/>
            </w:tcBorders>
            <w:shd w:val="clear" w:color="auto" w:fill="auto"/>
            <w:vAlign w:val="center"/>
          </w:tcPr>
          <w:p w14:paraId="5152C6B4">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雨水收集池</w:t>
            </w:r>
          </w:p>
        </w:tc>
        <w:tc>
          <w:tcPr>
            <w:tcW w:w="1560" w:type="dxa"/>
            <w:vMerge w:val="continue"/>
            <w:tcBorders>
              <w:top w:val="nil"/>
              <w:left w:val="single" w:color="auto" w:sz="4" w:space="0"/>
              <w:bottom w:val="single" w:color="auto" w:sz="4" w:space="0"/>
              <w:right w:val="single" w:color="auto" w:sz="4" w:space="0"/>
            </w:tcBorders>
            <w:vAlign w:val="center"/>
          </w:tcPr>
          <w:p w14:paraId="6B76F83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969" w:type="dxa"/>
            <w:tcBorders>
              <w:top w:val="nil"/>
              <w:left w:val="nil"/>
              <w:bottom w:val="single" w:color="auto" w:sz="4" w:space="0"/>
              <w:right w:val="single" w:color="auto" w:sz="4" w:space="0"/>
            </w:tcBorders>
            <w:shd w:val="clear" w:color="auto" w:fill="auto"/>
            <w:vAlign w:val="center"/>
          </w:tcPr>
          <w:p w14:paraId="7F6C488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蓄水池</w:t>
            </w:r>
          </w:p>
        </w:tc>
      </w:tr>
      <w:tr w14:paraId="6FC9AD33">
        <w:tblPrEx>
          <w:tblCellMar>
            <w:top w:w="0" w:type="dxa"/>
            <w:left w:w="108" w:type="dxa"/>
            <w:bottom w:w="0" w:type="dxa"/>
            <w:right w:w="108" w:type="dxa"/>
          </w:tblCellMar>
        </w:tblPrEx>
        <w:trPr>
          <w:trHeight w:val="397" w:hRule="atLeast"/>
          <w:tblHeader/>
          <w:jc w:val="center"/>
        </w:trPr>
        <w:tc>
          <w:tcPr>
            <w:tcW w:w="1413" w:type="dxa"/>
            <w:vMerge w:val="continue"/>
            <w:tcBorders>
              <w:top w:val="nil"/>
              <w:left w:val="single" w:color="auto" w:sz="4" w:space="0"/>
              <w:bottom w:val="single" w:color="auto" w:sz="4" w:space="0"/>
              <w:right w:val="single" w:color="auto" w:sz="4" w:space="0"/>
            </w:tcBorders>
            <w:vAlign w:val="center"/>
          </w:tcPr>
          <w:p w14:paraId="61F0F78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46" w:type="dxa"/>
            <w:vMerge w:val="continue"/>
            <w:tcBorders>
              <w:left w:val="single" w:color="auto" w:sz="4" w:space="0"/>
              <w:bottom w:val="single" w:color="auto" w:sz="4" w:space="0"/>
              <w:right w:val="single" w:color="auto" w:sz="4" w:space="0"/>
            </w:tcBorders>
            <w:vAlign w:val="center"/>
          </w:tcPr>
          <w:p w14:paraId="798C8BF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672" w:type="dxa"/>
            <w:tcBorders>
              <w:top w:val="nil"/>
              <w:left w:val="nil"/>
              <w:bottom w:val="single" w:color="auto" w:sz="4" w:space="0"/>
              <w:right w:val="single" w:color="auto" w:sz="4" w:space="0"/>
            </w:tcBorders>
            <w:shd w:val="clear" w:color="auto" w:fill="auto"/>
            <w:vAlign w:val="center"/>
          </w:tcPr>
          <w:p w14:paraId="607F8DA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60" w:type="dxa"/>
            <w:vMerge w:val="continue"/>
            <w:tcBorders>
              <w:top w:val="nil"/>
              <w:left w:val="single" w:color="auto" w:sz="4" w:space="0"/>
              <w:bottom w:val="single" w:color="auto" w:sz="4" w:space="0"/>
              <w:right w:val="single" w:color="auto" w:sz="4" w:space="0"/>
            </w:tcBorders>
            <w:vAlign w:val="center"/>
          </w:tcPr>
          <w:p w14:paraId="2464EE0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969" w:type="dxa"/>
            <w:tcBorders>
              <w:top w:val="nil"/>
              <w:left w:val="nil"/>
              <w:bottom w:val="single" w:color="auto" w:sz="4" w:space="0"/>
              <w:right w:val="single" w:color="auto" w:sz="4" w:space="0"/>
            </w:tcBorders>
            <w:shd w:val="clear" w:color="auto" w:fill="auto"/>
            <w:vAlign w:val="center"/>
          </w:tcPr>
          <w:p w14:paraId="0EB46700">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边坡防护</w:t>
            </w:r>
          </w:p>
        </w:tc>
      </w:tr>
      <w:tr w14:paraId="676A5423">
        <w:tblPrEx>
          <w:tblCellMar>
            <w:top w:w="0" w:type="dxa"/>
            <w:left w:w="108" w:type="dxa"/>
            <w:bottom w:w="0" w:type="dxa"/>
            <w:right w:w="108" w:type="dxa"/>
          </w:tblCellMar>
        </w:tblPrEx>
        <w:trPr>
          <w:trHeight w:val="397" w:hRule="atLeast"/>
          <w:tblHeader/>
          <w:jc w:val="center"/>
        </w:trPr>
        <w:tc>
          <w:tcPr>
            <w:tcW w:w="1413" w:type="dxa"/>
            <w:vMerge w:val="continue"/>
            <w:tcBorders>
              <w:top w:val="nil"/>
              <w:left w:val="single" w:color="auto" w:sz="4" w:space="0"/>
              <w:bottom w:val="single" w:color="auto" w:sz="4" w:space="0"/>
              <w:right w:val="single" w:color="auto" w:sz="4" w:space="0"/>
            </w:tcBorders>
            <w:vAlign w:val="center"/>
          </w:tcPr>
          <w:p w14:paraId="30FE377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46" w:type="dxa"/>
            <w:tcBorders>
              <w:top w:val="nil"/>
              <w:left w:val="nil"/>
              <w:bottom w:val="single" w:color="auto" w:sz="4" w:space="0"/>
              <w:right w:val="single" w:color="auto" w:sz="4" w:space="0"/>
            </w:tcBorders>
            <w:shd w:val="clear" w:color="auto" w:fill="auto"/>
            <w:vAlign w:val="center"/>
          </w:tcPr>
          <w:p w14:paraId="554F2BD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植物措施</w:t>
            </w:r>
          </w:p>
        </w:tc>
        <w:tc>
          <w:tcPr>
            <w:tcW w:w="1672" w:type="dxa"/>
            <w:tcBorders>
              <w:top w:val="nil"/>
              <w:left w:val="nil"/>
              <w:bottom w:val="single" w:color="auto" w:sz="4" w:space="0"/>
              <w:right w:val="single" w:color="auto" w:sz="4" w:space="0"/>
            </w:tcBorders>
            <w:shd w:val="clear" w:color="auto" w:fill="auto"/>
            <w:vAlign w:val="center"/>
          </w:tcPr>
          <w:p w14:paraId="30C9E8C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空地绿化、道路两侧绿化带</w:t>
            </w:r>
          </w:p>
        </w:tc>
        <w:tc>
          <w:tcPr>
            <w:tcW w:w="1560" w:type="dxa"/>
            <w:vMerge w:val="continue"/>
            <w:tcBorders>
              <w:top w:val="nil"/>
              <w:left w:val="single" w:color="auto" w:sz="4" w:space="0"/>
              <w:bottom w:val="single" w:color="auto" w:sz="4" w:space="0"/>
              <w:right w:val="single" w:color="auto" w:sz="4" w:space="0"/>
            </w:tcBorders>
            <w:vAlign w:val="center"/>
          </w:tcPr>
          <w:p w14:paraId="09BE168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969" w:type="dxa"/>
            <w:tcBorders>
              <w:top w:val="nil"/>
              <w:left w:val="nil"/>
              <w:bottom w:val="single" w:color="auto" w:sz="4" w:space="0"/>
              <w:right w:val="single" w:color="auto" w:sz="4" w:space="0"/>
            </w:tcBorders>
            <w:shd w:val="clear" w:color="auto" w:fill="auto"/>
            <w:vAlign w:val="center"/>
          </w:tcPr>
          <w:p w14:paraId="16563EE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空地绿化、道路两侧绿化带，已建区植物存活率较低区域补植补种</w:t>
            </w:r>
          </w:p>
        </w:tc>
      </w:tr>
      <w:tr w14:paraId="0EE25170">
        <w:tblPrEx>
          <w:tblCellMar>
            <w:top w:w="0" w:type="dxa"/>
            <w:left w:w="108" w:type="dxa"/>
            <w:bottom w:w="0" w:type="dxa"/>
            <w:right w:w="108" w:type="dxa"/>
          </w:tblCellMar>
        </w:tblPrEx>
        <w:trPr>
          <w:trHeight w:val="397" w:hRule="atLeast"/>
          <w:tblHeader/>
          <w:jc w:val="center"/>
        </w:trPr>
        <w:tc>
          <w:tcPr>
            <w:tcW w:w="1413" w:type="dxa"/>
            <w:vMerge w:val="continue"/>
            <w:tcBorders>
              <w:top w:val="nil"/>
              <w:left w:val="single" w:color="auto" w:sz="4" w:space="0"/>
              <w:bottom w:val="single" w:color="auto" w:sz="4" w:space="0"/>
              <w:right w:val="single" w:color="auto" w:sz="4" w:space="0"/>
            </w:tcBorders>
            <w:vAlign w:val="center"/>
          </w:tcPr>
          <w:p w14:paraId="2EEE7D3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46" w:type="dxa"/>
            <w:tcBorders>
              <w:top w:val="nil"/>
              <w:left w:val="nil"/>
              <w:bottom w:val="single" w:color="auto" w:sz="4" w:space="0"/>
              <w:right w:val="single" w:color="auto" w:sz="4" w:space="0"/>
            </w:tcBorders>
            <w:shd w:val="clear" w:color="auto" w:fill="auto"/>
            <w:vAlign w:val="center"/>
          </w:tcPr>
          <w:p w14:paraId="27E5EE2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临时措施</w:t>
            </w:r>
          </w:p>
        </w:tc>
        <w:tc>
          <w:tcPr>
            <w:tcW w:w="1672" w:type="dxa"/>
            <w:tcBorders>
              <w:top w:val="nil"/>
              <w:left w:val="nil"/>
              <w:bottom w:val="single" w:color="auto" w:sz="4" w:space="0"/>
              <w:right w:val="single" w:color="auto" w:sz="4" w:space="0"/>
            </w:tcBorders>
            <w:shd w:val="clear" w:color="auto" w:fill="auto"/>
            <w:vAlign w:val="center"/>
          </w:tcPr>
          <w:p w14:paraId="4E416D3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密目网苫盖</w:t>
            </w:r>
          </w:p>
        </w:tc>
        <w:tc>
          <w:tcPr>
            <w:tcW w:w="1560" w:type="dxa"/>
            <w:vMerge w:val="continue"/>
            <w:tcBorders>
              <w:top w:val="nil"/>
              <w:left w:val="single" w:color="auto" w:sz="4" w:space="0"/>
              <w:bottom w:val="single" w:color="auto" w:sz="4" w:space="0"/>
              <w:right w:val="single" w:color="auto" w:sz="4" w:space="0"/>
            </w:tcBorders>
            <w:vAlign w:val="center"/>
          </w:tcPr>
          <w:p w14:paraId="772D842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969" w:type="dxa"/>
            <w:tcBorders>
              <w:top w:val="nil"/>
              <w:left w:val="nil"/>
              <w:bottom w:val="single" w:color="auto" w:sz="4" w:space="0"/>
              <w:right w:val="single" w:color="auto" w:sz="4" w:space="0"/>
            </w:tcBorders>
            <w:shd w:val="clear" w:color="auto" w:fill="auto"/>
            <w:vAlign w:val="center"/>
          </w:tcPr>
          <w:p w14:paraId="0EF4174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临时拦挡</w:t>
            </w:r>
            <w:r>
              <w:rPr>
                <w:rFonts w:hint="eastAsia" w:cs="Times New Roman"/>
                <w:color w:val="000000" w:themeColor="text1"/>
                <w:sz w:val="21"/>
                <w:szCs w:val="21"/>
                <w14:textFill>
                  <w14:solidFill>
                    <w14:schemeClr w14:val="tx1"/>
                  </w14:solidFill>
                </w14:textFill>
              </w:rPr>
              <w:t>、临时种草、临时排水</w:t>
            </w:r>
          </w:p>
        </w:tc>
      </w:tr>
      <w:tr w14:paraId="61B5EBEB">
        <w:tblPrEx>
          <w:tblCellMar>
            <w:top w:w="0" w:type="dxa"/>
            <w:left w:w="108" w:type="dxa"/>
            <w:bottom w:w="0" w:type="dxa"/>
            <w:right w:w="108" w:type="dxa"/>
          </w:tblCellMar>
        </w:tblPrEx>
        <w:trPr>
          <w:trHeight w:val="397" w:hRule="atLeast"/>
          <w:tblHeader/>
          <w:jc w:val="center"/>
        </w:trPr>
        <w:tc>
          <w:tcPr>
            <w:tcW w:w="1413" w:type="dxa"/>
            <w:vMerge w:val="restart"/>
            <w:tcBorders>
              <w:top w:val="nil"/>
              <w:left w:val="single" w:color="auto" w:sz="4" w:space="0"/>
              <w:bottom w:val="single" w:color="auto" w:sz="4" w:space="0"/>
              <w:right w:val="single" w:color="auto" w:sz="4" w:space="0"/>
            </w:tcBorders>
            <w:shd w:val="clear" w:color="auto" w:fill="auto"/>
            <w:noWrap/>
            <w:vAlign w:val="center"/>
          </w:tcPr>
          <w:p w14:paraId="68F1987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pacing w:val="-21"/>
                <w:sz w:val="21"/>
                <w:szCs w:val="21"/>
                <w14:textFill>
                  <w14:solidFill>
                    <w14:schemeClr w14:val="tx1"/>
                  </w14:solidFill>
                </w14:textFill>
              </w:rPr>
              <w:t>地块</w:t>
            </w:r>
            <w:r>
              <w:rPr>
                <w:rFonts w:cs="Times New Roman"/>
                <w:color w:val="000000" w:themeColor="text1"/>
                <w:spacing w:val="-8"/>
                <w:sz w:val="21"/>
                <w:szCs w:val="21"/>
                <w14:textFill>
                  <w14:solidFill>
                    <w14:schemeClr w14:val="tx1"/>
                  </w14:solidFill>
                </w14:textFill>
              </w:rPr>
              <w:t>2</w:t>
            </w:r>
            <w:r>
              <w:rPr>
                <w:rFonts w:hint="eastAsia" w:cs="Times New Roman"/>
                <w:color w:val="000000" w:themeColor="text1"/>
                <w:spacing w:val="-8"/>
                <w:sz w:val="21"/>
                <w:szCs w:val="21"/>
                <w14:textFill>
                  <w14:solidFill>
                    <w14:schemeClr w14:val="tx1"/>
                  </w14:solidFill>
                </w14:textFill>
              </w:rPr>
              <w:t>（</w:t>
            </w:r>
            <w:r>
              <w:rPr>
                <w:rFonts w:cs="Times New Roman"/>
                <w:color w:val="000000" w:themeColor="text1"/>
                <w:sz w:val="21"/>
                <w:szCs w:val="21"/>
                <w14:textFill>
                  <w14:solidFill>
                    <w14:schemeClr w14:val="tx1"/>
                  </w14:solidFill>
                </w14:textFill>
              </w:rPr>
              <w:t>下湿壕片区</w:t>
            </w:r>
            <w:r>
              <w:rPr>
                <w:rFonts w:hint="eastAsia" w:cs="Times New Roman"/>
                <w:color w:val="000000" w:themeColor="text1"/>
                <w:spacing w:val="-8"/>
                <w:sz w:val="21"/>
                <w:szCs w:val="21"/>
                <w14:textFill>
                  <w14:solidFill>
                    <w14:schemeClr w14:val="tx1"/>
                  </w14:solidFill>
                </w14:textFill>
              </w:rPr>
              <w:t>）</w:t>
            </w:r>
          </w:p>
        </w:tc>
        <w:tc>
          <w:tcPr>
            <w:tcW w:w="1446" w:type="dxa"/>
            <w:vMerge w:val="restart"/>
            <w:tcBorders>
              <w:top w:val="nil"/>
              <w:left w:val="single" w:color="auto" w:sz="4" w:space="0"/>
              <w:bottom w:val="single" w:color="auto" w:sz="4" w:space="0"/>
              <w:right w:val="single" w:color="auto" w:sz="4" w:space="0"/>
            </w:tcBorders>
            <w:shd w:val="clear" w:color="auto" w:fill="auto"/>
            <w:vAlign w:val="center"/>
          </w:tcPr>
          <w:p w14:paraId="0BC887B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工程措施</w:t>
            </w:r>
          </w:p>
        </w:tc>
        <w:tc>
          <w:tcPr>
            <w:tcW w:w="1672" w:type="dxa"/>
            <w:tcBorders>
              <w:top w:val="nil"/>
              <w:left w:val="nil"/>
              <w:bottom w:val="single" w:color="auto" w:sz="4" w:space="0"/>
              <w:right w:val="single" w:color="auto" w:sz="4" w:space="0"/>
            </w:tcBorders>
            <w:shd w:val="clear" w:color="auto" w:fill="auto"/>
            <w:vAlign w:val="center"/>
          </w:tcPr>
          <w:p w14:paraId="24D199B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表土剥离</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14:paraId="6D3D90C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降水蓄渗措施不全面，植被成活率低，不符合水土保持要求。</w:t>
            </w:r>
          </w:p>
        </w:tc>
        <w:tc>
          <w:tcPr>
            <w:tcW w:w="2969" w:type="dxa"/>
            <w:tcBorders>
              <w:top w:val="nil"/>
              <w:left w:val="nil"/>
              <w:bottom w:val="single" w:color="auto" w:sz="4" w:space="0"/>
              <w:right w:val="single" w:color="auto" w:sz="4" w:space="0"/>
            </w:tcBorders>
            <w:shd w:val="clear" w:color="auto" w:fill="auto"/>
            <w:noWrap/>
            <w:vAlign w:val="center"/>
          </w:tcPr>
          <w:p w14:paraId="00BDC0A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691DFC00">
        <w:tblPrEx>
          <w:tblCellMar>
            <w:top w:w="0" w:type="dxa"/>
            <w:left w:w="108" w:type="dxa"/>
            <w:bottom w:w="0" w:type="dxa"/>
            <w:right w:w="108" w:type="dxa"/>
          </w:tblCellMar>
        </w:tblPrEx>
        <w:trPr>
          <w:trHeight w:val="397" w:hRule="atLeast"/>
          <w:tblHeader/>
          <w:jc w:val="center"/>
        </w:trPr>
        <w:tc>
          <w:tcPr>
            <w:tcW w:w="1413" w:type="dxa"/>
            <w:vMerge w:val="continue"/>
            <w:tcBorders>
              <w:top w:val="nil"/>
              <w:left w:val="single" w:color="auto" w:sz="4" w:space="0"/>
              <w:bottom w:val="single" w:color="auto" w:sz="4" w:space="0"/>
              <w:right w:val="single" w:color="auto" w:sz="4" w:space="0"/>
            </w:tcBorders>
            <w:vAlign w:val="center"/>
          </w:tcPr>
          <w:p w14:paraId="5E1F2C5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46" w:type="dxa"/>
            <w:vMerge w:val="continue"/>
            <w:tcBorders>
              <w:top w:val="nil"/>
              <w:left w:val="single" w:color="auto" w:sz="4" w:space="0"/>
              <w:bottom w:val="single" w:color="auto" w:sz="4" w:space="0"/>
              <w:right w:val="single" w:color="auto" w:sz="4" w:space="0"/>
            </w:tcBorders>
            <w:vAlign w:val="center"/>
          </w:tcPr>
          <w:p w14:paraId="5F9A977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672" w:type="dxa"/>
            <w:tcBorders>
              <w:top w:val="nil"/>
              <w:left w:val="nil"/>
              <w:bottom w:val="single" w:color="auto" w:sz="4" w:space="0"/>
              <w:right w:val="single" w:color="auto" w:sz="4" w:space="0"/>
            </w:tcBorders>
            <w:shd w:val="clear" w:color="auto" w:fill="auto"/>
            <w:vAlign w:val="center"/>
          </w:tcPr>
          <w:p w14:paraId="0C02D83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表土回填</w:t>
            </w:r>
          </w:p>
        </w:tc>
        <w:tc>
          <w:tcPr>
            <w:tcW w:w="1560" w:type="dxa"/>
            <w:vMerge w:val="continue"/>
            <w:tcBorders>
              <w:top w:val="nil"/>
              <w:left w:val="single" w:color="auto" w:sz="4" w:space="0"/>
              <w:bottom w:val="single" w:color="auto" w:sz="4" w:space="0"/>
              <w:right w:val="single" w:color="auto" w:sz="4" w:space="0"/>
            </w:tcBorders>
            <w:vAlign w:val="center"/>
          </w:tcPr>
          <w:p w14:paraId="6B2709D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969" w:type="dxa"/>
            <w:tcBorders>
              <w:top w:val="nil"/>
              <w:left w:val="nil"/>
              <w:bottom w:val="single" w:color="auto" w:sz="4" w:space="0"/>
              <w:right w:val="single" w:color="auto" w:sz="4" w:space="0"/>
            </w:tcBorders>
            <w:shd w:val="clear" w:color="auto" w:fill="auto"/>
            <w:noWrap/>
            <w:vAlign w:val="center"/>
          </w:tcPr>
          <w:p w14:paraId="7BBFA61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64DCC9E7">
        <w:tblPrEx>
          <w:tblCellMar>
            <w:top w:w="0" w:type="dxa"/>
            <w:left w:w="108" w:type="dxa"/>
            <w:bottom w:w="0" w:type="dxa"/>
            <w:right w:w="108" w:type="dxa"/>
          </w:tblCellMar>
        </w:tblPrEx>
        <w:trPr>
          <w:trHeight w:val="397" w:hRule="atLeast"/>
          <w:tblHeader/>
          <w:jc w:val="center"/>
        </w:trPr>
        <w:tc>
          <w:tcPr>
            <w:tcW w:w="1413" w:type="dxa"/>
            <w:vMerge w:val="continue"/>
            <w:tcBorders>
              <w:top w:val="nil"/>
              <w:left w:val="single" w:color="auto" w:sz="4" w:space="0"/>
              <w:bottom w:val="single" w:color="auto" w:sz="4" w:space="0"/>
              <w:right w:val="single" w:color="auto" w:sz="4" w:space="0"/>
            </w:tcBorders>
            <w:vAlign w:val="center"/>
          </w:tcPr>
          <w:p w14:paraId="78C15CA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46" w:type="dxa"/>
            <w:vMerge w:val="continue"/>
            <w:tcBorders>
              <w:top w:val="nil"/>
              <w:left w:val="single" w:color="auto" w:sz="4" w:space="0"/>
              <w:bottom w:val="single" w:color="auto" w:sz="4" w:space="0"/>
              <w:right w:val="single" w:color="auto" w:sz="4" w:space="0"/>
            </w:tcBorders>
            <w:vAlign w:val="center"/>
          </w:tcPr>
          <w:p w14:paraId="590D769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672" w:type="dxa"/>
            <w:tcBorders>
              <w:top w:val="nil"/>
              <w:left w:val="nil"/>
              <w:bottom w:val="single" w:color="auto" w:sz="4" w:space="0"/>
              <w:right w:val="single" w:color="auto" w:sz="4" w:space="0"/>
            </w:tcBorders>
            <w:shd w:val="clear" w:color="auto" w:fill="auto"/>
            <w:vAlign w:val="center"/>
          </w:tcPr>
          <w:p w14:paraId="7564C93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土地整治</w:t>
            </w:r>
          </w:p>
        </w:tc>
        <w:tc>
          <w:tcPr>
            <w:tcW w:w="1560" w:type="dxa"/>
            <w:vMerge w:val="continue"/>
            <w:tcBorders>
              <w:top w:val="nil"/>
              <w:left w:val="single" w:color="auto" w:sz="4" w:space="0"/>
              <w:bottom w:val="single" w:color="auto" w:sz="4" w:space="0"/>
              <w:right w:val="single" w:color="auto" w:sz="4" w:space="0"/>
            </w:tcBorders>
            <w:vAlign w:val="center"/>
          </w:tcPr>
          <w:p w14:paraId="051F8E3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969" w:type="dxa"/>
            <w:tcBorders>
              <w:top w:val="nil"/>
              <w:left w:val="nil"/>
              <w:bottom w:val="single" w:color="auto" w:sz="4" w:space="0"/>
              <w:right w:val="single" w:color="auto" w:sz="4" w:space="0"/>
            </w:tcBorders>
            <w:shd w:val="clear" w:color="auto" w:fill="auto"/>
            <w:noWrap/>
            <w:vAlign w:val="center"/>
          </w:tcPr>
          <w:p w14:paraId="043960C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1AF0F3C5">
        <w:tblPrEx>
          <w:tblCellMar>
            <w:top w:w="0" w:type="dxa"/>
            <w:left w:w="108" w:type="dxa"/>
            <w:bottom w:w="0" w:type="dxa"/>
            <w:right w:w="108" w:type="dxa"/>
          </w:tblCellMar>
        </w:tblPrEx>
        <w:trPr>
          <w:trHeight w:val="397" w:hRule="atLeast"/>
          <w:tblHeader/>
          <w:jc w:val="center"/>
        </w:trPr>
        <w:tc>
          <w:tcPr>
            <w:tcW w:w="1413" w:type="dxa"/>
            <w:vMerge w:val="continue"/>
            <w:tcBorders>
              <w:top w:val="nil"/>
              <w:left w:val="single" w:color="auto" w:sz="4" w:space="0"/>
              <w:bottom w:val="single" w:color="auto" w:sz="4" w:space="0"/>
              <w:right w:val="single" w:color="auto" w:sz="4" w:space="0"/>
            </w:tcBorders>
            <w:vAlign w:val="center"/>
          </w:tcPr>
          <w:p w14:paraId="0D2DAD1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46" w:type="dxa"/>
            <w:vMerge w:val="continue"/>
            <w:tcBorders>
              <w:top w:val="nil"/>
              <w:left w:val="single" w:color="auto" w:sz="4" w:space="0"/>
              <w:bottom w:val="single" w:color="auto" w:sz="4" w:space="0"/>
              <w:right w:val="single" w:color="auto" w:sz="4" w:space="0"/>
            </w:tcBorders>
            <w:vAlign w:val="center"/>
          </w:tcPr>
          <w:p w14:paraId="446F03D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672" w:type="dxa"/>
            <w:tcBorders>
              <w:top w:val="nil"/>
              <w:left w:val="nil"/>
              <w:bottom w:val="single" w:color="auto" w:sz="4" w:space="0"/>
              <w:right w:val="single" w:color="auto" w:sz="4" w:space="0"/>
            </w:tcBorders>
            <w:shd w:val="clear" w:color="auto" w:fill="auto"/>
            <w:vAlign w:val="center"/>
          </w:tcPr>
          <w:p w14:paraId="0D5AAD9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排水</w:t>
            </w:r>
            <w:r>
              <w:rPr>
                <w:rFonts w:hint="eastAsia" w:cs="Times New Roman"/>
                <w:color w:val="000000" w:themeColor="text1"/>
                <w:sz w:val="21"/>
                <w:szCs w:val="21"/>
                <w14:textFill>
                  <w14:solidFill>
                    <w14:schemeClr w14:val="tx1"/>
                  </w14:solidFill>
                </w14:textFill>
              </w:rPr>
              <w:t>暗管</w:t>
            </w:r>
          </w:p>
        </w:tc>
        <w:tc>
          <w:tcPr>
            <w:tcW w:w="1560" w:type="dxa"/>
            <w:vMerge w:val="continue"/>
            <w:tcBorders>
              <w:top w:val="nil"/>
              <w:left w:val="single" w:color="auto" w:sz="4" w:space="0"/>
              <w:bottom w:val="single" w:color="auto" w:sz="4" w:space="0"/>
              <w:right w:val="single" w:color="auto" w:sz="4" w:space="0"/>
            </w:tcBorders>
            <w:vAlign w:val="center"/>
          </w:tcPr>
          <w:p w14:paraId="2E91642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969" w:type="dxa"/>
            <w:tcBorders>
              <w:top w:val="nil"/>
              <w:left w:val="nil"/>
              <w:bottom w:val="single" w:color="auto" w:sz="4" w:space="0"/>
              <w:right w:val="single" w:color="auto" w:sz="4" w:space="0"/>
            </w:tcBorders>
            <w:shd w:val="clear" w:color="auto" w:fill="auto"/>
            <w:noWrap/>
            <w:vAlign w:val="center"/>
          </w:tcPr>
          <w:p w14:paraId="6CC16A9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节水灌溉，蓄水池</w:t>
            </w:r>
          </w:p>
        </w:tc>
      </w:tr>
      <w:tr w14:paraId="013CD846">
        <w:tblPrEx>
          <w:tblCellMar>
            <w:top w:w="0" w:type="dxa"/>
            <w:left w:w="108" w:type="dxa"/>
            <w:bottom w:w="0" w:type="dxa"/>
            <w:right w:w="108" w:type="dxa"/>
          </w:tblCellMar>
        </w:tblPrEx>
        <w:trPr>
          <w:trHeight w:val="397" w:hRule="atLeast"/>
          <w:tblHeader/>
          <w:jc w:val="center"/>
        </w:trPr>
        <w:tc>
          <w:tcPr>
            <w:tcW w:w="1413" w:type="dxa"/>
            <w:vMerge w:val="continue"/>
            <w:tcBorders>
              <w:top w:val="nil"/>
              <w:left w:val="single" w:color="auto" w:sz="4" w:space="0"/>
              <w:bottom w:val="single" w:color="auto" w:sz="4" w:space="0"/>
              <w:right w:val="single" w:color="auto" w:sz="4" w:space="0"/>
            </w:tcBorders>
            <w:vAlign w:val="center"/>
          </w:tcPr>
          <w:p w14:paraId="7A614C8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46" w:type="dxa"/>
            <w:tcBorders>
              <w:top w:val="nil"/>
              <w:left w:val="nil"/>
              <w:bottom w:val="single" w:color="auto" w:sz="4" w:space="0"/>
              <w:right w:val="single" w:color="auto" w:sz="4" w:space="0"/>
            </w:tcBorders>
            <w:shd w:val="clear" w:color="auto" w:fill="auto"/>
            <w:vAlign w:val="center"/>
          </w:tcPr>
          <w:p w14:paraId="452BD3E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植物措施</w:t>
            </w:r>
          </w:p>
        </w:tc>
        <w:tc>
          <w:tcPr>
            <w:tcW w:w="1672" w:type="dxa"/>
            <w:tcBorders>
              <w:top w:val="nil"/>
              <w:left w:val="nil"/>
              <w:bottom w:val="single" w:color="auto" w:sz="4" w:space="0"/>
              <w:right w:val="single" w:color="auto" w:sz="4" w:space="0"/>
            </w:tcBorders>
            <w:shd w:val="clear" w:color="auto" w:fill="auto"/>
            <w:vAlign w:val="center"/>
          </w:tcPr>
          <w:p w14:paraId="55837C4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空地绿化、道路两侧绿化带</w:t>
            </w:r>
          </w:p>
        </w:tc>
        <w:tc>
          <w:tcPr>
            <w:tcW w:w="1560" w:type="dxa"/>
            <w:vMerge w:val="continue"/>
            <w:tcBorders>
              <w:top w:val="nil"/>
              <w:left w:val="single" w:color="auto" w:sz="4" w:space="0"/>
              <w:bottom w:val="single" w:color="auto" w:sz="4" w:space="0"/>
              <w:right w:val="single" w:color="auto" w:sz="4" w:space="0"/>
            </w:tcBorders>
            <w:vAlign w:val="center"/>
          </w:tcPr>
          <w:p w14:paraId="3D759C3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969" w:type="dxa"/>
            <w:tcBorders>
              <w:top w:val="nil"/>
              <w:left w:val="nil"/>
              <w:bottom w:val="single" w:color="auto" w:sz="4" w:space="0"/>
              <w:right w:val="single" w:color="auto" w:sz="4" w:space="0"/>
            </w:tcBorders>
            <w:shd w:val="clear" w:color="auto" w:fill="auto"/>
            <w:vAlign w:val="center"/>
          </w:tcPr>
          <w:p w14:paraId="1C3BA48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空地绿化、道路两侧绿化带，已建区植物存活率较低区域补植补种</w:t>
            </w:r>
          </w:p>
        </w:tc>
      </w:tr>
      <w:tr w14:paraId="449A1D4D">
        <w:tblPrEx>
          <w:tblCellMar>
            <w:top w:w="0" w:type="dxa"/>
            <w:left w:w="108" w:type="dxa"/>
            <w:bottom w:w="0" w:type="dxa"/>
            <w:right w:w="108" w:type="dxa"/>
          </w:tblCellMar>
        </w:tblPrEx>
        <w:trPr>
          <w:trHeight w:val="397" w:hRule="atLeast"/>
          <w:tblHeader/>
          <w:jc w:val="center"/>
        </w:trPr>
        <w:tc>
          <w:tcPr>
            <w:tcW w:w="1413" w:type="dxa"/>
            <w:vMerge w:val="continue"/>
            <w:tcBorders>
              <w:top w:val="nil"/>
              <w:left w:val="single" w:color="auto" w:sz="4" w:space="0"/>
              <w:bottom w:val="single" w:color="auto" w:sz="4" w:space="0"/>
              <w:right w:val="single" w:color="auto" w:sz="4" w:space="0"/>
            </w:tcBorders>
            <w:vAlign w:val="center"/>
          </w:tcPr>
          <w:p w14:paraId="4C5AFB5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46" w:type="dxa"/>
            <w:tcBorders>
              <w:top w:val="nil"/>
              <w:left w:val="nil"/>
              <w:bottom w:val="single" w:color="auto" w:sz="4" w:space="0"/>
              <w:right w:val="single" w:color="auto" w:sz="4" w:space="0"/>
            </w:tcBorders>
            <w:shd w:val="clear" w:color="auto" w:fill="auto"/>
            <w:vAlign w:val="center"/>
          </w:tcPr>
          <w:p w14:paraId="2409C76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临时措施</w:t>
            </w:r>
          </w:p>
        </w:tc>
        <w:tc>
          <w:tcPr>
            <w:tcW w:w="1672" w:type="dxa"/>
            <w:tcBorders>
              <w:top w:val="nil"/>
              <w:left w:val="nil"/>
              <w:bottom w:val="single" w:color="auto" w:sz="4" w:space="0"/>
              <w:right w:val="single" w:color="auto" w:sz="4" w:space="0"/>
            </w:tcBorders>
            <w:shd w:val="clear" w:color="auto" w:fill="auto"/>
            <w:vAlign w:val="center"/>
          </w:tcPr>
          <w:p w14:paraId="243A53E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密目网苫盖</w:t>
            </w:r>
          </w:p>
        </w:tc>
        <w:tc>
          <w:tcPr>
            <w:tcW w:w="1560" w:type="dxa"/>
            <w:vMerge w:val="continue"/>
            <w:tcBorders>
              <w:top w:val="nil"/>
              <w:left w:val="single" w:color="auto" w:sz="4" w:space="0"/>
              <w:bottom w:val="single" w:color="auto" w:sz="4" w:space="0"/>
              <w:right w:val="single" w:color="auto" w:sz="4" w:space="0"/>
            </w:tcBorders>
            <w:vAlign w:val="center"/>
          </w:tcPr>
          <w:p w14:paraId="6CC7881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969" w:type="dxa"/>
            <w:tcBorders>
              <w:top w:val="nil"/>
              <w:left w:val="nil"/>
              <w:bottom w:val="single" w:color="auto" w:sz="4" w:space="0"/>
              <w:right w:val="single" w:color="auto" w:sz="4" w:space="0"/>
            </w:tcBorders>
            <w:shd w:val="clear" w:color="auto" w:fill="auto"/>
            <w:noWrap/>
            <w:vAlign w:val="center"/>
          </w:tcPr>
          <w:p w14:paraId="62EB554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bl>
    <w:p w14:paraId="5A15D571">
      <w:pPr>
        <w:widowControl w:val="0"/>
        <w:ind w:firstLine="480"/>
        <w:contextualSpacing/>
        <w:rPr>
          <w:rFonts w:cs="Times New Roman"/>
          <w:color w:val="000000" w:themeColor="text1"/>
          <w14:textFill>
            <w14:solidFill>
              <w14:schemeClr w14:val="tx1"/>
            </w14:solidFill>
          </w14:textFill>
        </w:rPr>
      </w:pPr>
    </w:p>
    <w:p w14:paraId="6DFB8BF4">
      <w:pPr>
        <w:widowControl w:val="0"/>
        <w:ind w:firstLine="480"/>
        <w:rPr>
          <w:rFonts w:cs="Times New Roman"/>
          <w:color w:val="000000" w:themeColor="text1"/>
          <w14:textFill>
            <w14:solidFill>
              <w14:schemeClr w14:val="tx1"/>
            </w14:solidFill>
          </w14:textFill>
        </w:rPr>
        <w:sectPr>
          <w:headerReference r:id="rId47" w:type="default"/>
          <w:footerReference r:id="rId48" w:type="default"/>
          <w:pgSz w:w="11906" w:h="16838"/>
          <w:pgMar w:top="1418" w:right="1418" w:bottom="1418" w:left="1418" w:header="850" w:footer="850" w:gutter="0"/>
          <w:cols w:space="720" w:num="1"/>
          <w:docGrid w:linePitch="326" w:charSpace="0"/>
        </w:sectPr>
      </w:pPr>
    </w:p>
    <w:bookmarkEnd w:id="208"/>
    <w:p w14:paraId="274C0784">
      <w:pPr>
        <w:pStyle w:val="2"/>
        <w:rPr>
          <w:color w:val="000000" w:themeColor="text1"/>
          <w14:textFill>
            <w14:solidFill>
              <w14:schemeClr w14:val="tx1"/>
            </w14:solidFill>
          </w14:textFill>
        </w:rPr>
      </w:pPr>
      <w:bookmarkStart w:id="225" w:name="_Toc4863068"/>
      <w:bookmarkEnd w:id="225"/>
      <w:bookmarkStart w:id="226" w:name="_Toc4863071"/>
      <w:bookmarkEnd w:id="226"/>
      <w:bookmarkStart w:id="227" w:name="_Toc4863069"/>
      <w:bookmarkEnd w:id="227"/>
      <w:bookmarkStart w:id="228" w:name="_Toc4863065"/>
      <w:bookmarkEnd w:id="228"/>
      <w:bookmarkStart w:id="229" w:name="_Toc4863074"/>
      <w:bookmarkEnd w:id="229"/>
      <w:bookmarkStart w:id="230" w:name="_Toc4863073"/>
      <w:bookmarkEnd w:id="230"/>
      <w:bookmarkStart w:id="231" w:name="_Toc4863075"/>
      <w:bookmarkEnd w:id="231"/>
      <w:bookmarkStart w:id="232" w:name="_Toc4863070"/>
      <w:bookmarkEnd w:id="232"/>
      <w:bookmarkStart w:id="233" w:name="_Toc4863064"/>
      <w:bookmarkEnd w:id="233"/>
      <w:bookmarkStart w:id="234" w:name="_Toc4863076"/>
      <w:bookmarkEnd w:id="234"/>
      <w:bookmarkStart w:id="235" w:name="_Toc4863066"/>
      <w:bookmarkEnd w:id="235"/>
      <w:bookmarkStart w:id="236" w:name="_Toc4863072"/>
      <w:bookmarkEnd w:id="236"/>
      <w:bookmarkStart w:id="237" w:name="_Toc4863067"/>
      <w:bookmarkEnd w:id="237"/>
      <w:bookmarkStart w:id="238" w:name="_Toc88833979"/>
      <w:bookmarkStart w:id="239" w:name="_Toc85444450"/>
      <w:bookmarkStart w:id="240" w:name="_Toc55920610"/>
      <w:bookmarkStart w:id="241" w:name="_Toc85444726"/>
      <w:bookmarkStart w:id="242" w:name="_Toc152535475"/>
      <w:bookmarkStart w:id="243" w:name="_Toc85444582"/>
      <w:bookmarkStart w:id="244" w:name="_Toc5480390"/>
      <w:bookmarkStart w:id="245" w:name="_Toc88821218"/>
      <w:bookmarkStart w:id="246" w:name="_Toc256342029"/>
      <w:bookmarkStart w:id="247" w:name="_Toc244940233"/>
      <w:bookmarkStart w:id="248" w:name="_Toc231439358"/>
      <w:r>
        <w:rPr>
          <w:color w:val="000000" w:themeColor="text1"/>
          <w14:textFill>
            <w14:solidFill>
              <w14:schemeClr w14:val="tx1"/>
            </w14:solidFill>
          </w14:textFill>
        </w:rPr>
        <w:t>水土流失分析与预测</w:t>
      </w:r>
      <w:bookmarkEnd w:id="238"/>
      <w:bookmarkEnd w:id="239"/>
      <w:bookmarkEnd w:id="240"/>
      <w:bookmarkEnd w:id="241"/>
      <w:bookmarkEnd w:id="242"/>
      <w:bookmarkEnd w:id="243"/>
      <w:bookmarkEnd w:id="244"/>
      <w:bookmarkEnd w:id="245"/>
    </w:p>
    <w:p w14:paraId="2870666A">
      <w:pPr>
        <w:pStyle w:val="3"/>
        <w:spacing w:before="120" w:after="120"/>
      </w:pPr>
      <w:bookmarkStart w:id="249" w:name="_Toc85444583"/>
      <w:bookmarkStart w:id="250" w:name="_Toc88833980"/>
      <w:bookmarkStart w:id="251" w:name="_Toc152535476"/>
      <w:bookmarkStart w:id="252" w:name="_Toc88821219"/>
      <w:bookmarkStart w:id="253" w:name="_Toc5480391"/>
      <w:bookmarkStart w:id="254" w:name="_Toc85444727"/>
      <w:bookmarkStart w:id="255" w:name="_Toc55920611"/>
      <w:bookmarkStart w:id="256" w:name="_Toc85444451"/>
      <w:r>
        <w:rPr>
          <w:lang w:eastAsia="zh-CN"/>
        </w:rPr>
        <w:t>区域</w:t>
      </w:r>
      <w:r>
        <w:t>水土流失现状</w:t>
      </w:r>
      <w:bookmarkEnd w:id="249"/>
      <w:bookmarkEnd w:id="250"/>
      <w:bookmarkEnd w:id="251"/>
      <w:bookmarkEnd w:id="252"/>
      <w:bookmarkEnd w:id="253"/>
      <w:bookmarkEnd w:id="254"/>
      <w:bookmarkEnd w:id="255"/>
      <w:bookmarkEnd w:id="256"/>
    </w:p>
    <w:p w14:paraId="11B0A7E5">
      <w:pPr>
        <w:pStyle w:val="4"/>
        <w:spacing w:before="120" w:after="120"/>
      </w:pPr>
      <w:bookmarkStart w:id="257" w:name="_Toc85444584"/>
      <w:r>
        <w:t>区域水土流失现状</w:t>
      </w:r>
      <w:bookmarkEnd w:id="257"/>
    </w:p>
    <w:p w14:paraId="0D50E255">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水利部办公厅印发《全国水土保持规划国家级水土流失重点预防区和重点治理区复核划分成果》的通知”（办水保〔2013〕188号）及《内蒙古自治区人民政府关于划分水土流失重点预防区和重点治理区的通告》（内政发〔2016〕44号）。项目所在地固阳县属黄河自治区级水土流失重点治理区，土壤侵蚀以风力侵蚀为主，兼有季节性水力侵蚀。</w:t>
      </w:r>
    </w:p>
    <w:p w14:paraId="2D57A635">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第一次全国水利普查内蒙古自治区水土保持情况公报（2013年），固阳县水土流失总面积2649.7km²，占全旗总面积的52.73%。水土流失形式为水力侵蚀和风力侵蚀，其中水力侵蚀面积1869.62km²，主要集中在昆河两岸的金山镇、银号镇及西斗铺镇的乌苏图勒河一带；风力侵蚀面积780.08km²，主要集中在怀逆镇、兴顺西镇、西斗铺镇北部的低山丘陵区。固阳县水土流失面积统计见表4-1。</w:t>
      </w:r>
    </w:p>
    <w:p w14:paraId="0049C169">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表4-1                                固阳县水土流失面积统计表                     （单位：km²）</w:t>
      </w:r>
    </w:p>
    <w:tbl>
      <w:tblPr>
        <w:tblStyle w:val="27"/>
        <w:tblW w:w="917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1286"/>
        <w:gridCol w:w="1342"/>
        <w:gridCol w:w="1341"/>
        <w:gridCol w:w="1341"/>
        <w:gridCol w:w="1295"/>
        <w:gridCol w:w="1296"/>
        <w:gridCol w:w="1271"/>
      </w:tblGrid>
      <w:tr w14:paraId="2EDDF9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69" w:hRule="atLeast"/>
          <w:jc w:val="center"/>
        </w:trPr>
        <w:tc>
          <w:tcPr>
            <w:tcW w:w="1286" w:type="dxa"/>
            <w:tcBorders>
              <w:top w:val="single" w:color="auto" w:sz="12" w:space="0"/>
              <w:left w:val="single" w:color="auto" w:sz="12" w:space="0"/>
              <w:bottom w:val="double" w:color="auto" w:sz="4" w:space="0"/>
            </w:tcBorders>
            <w:vAlign w:val="center"/>
          </w:tcPr>
          <w:p w14:paraId="08CAD6D4">
            <w:pPr>
              <w:pStyle w:val="33"/>
              <w:rPr>
                <w:color w:val="000000" w:themeColor="text1"/>
                <w14:textFill>
                  <w14:solidFill>
                    <w14:schemeClr w14:val="tx1"/>
                  </w14:solidFill>
                </w14:textFill>
              </w:rPr>
            </w:pPr>
            <w:r>
              <w:rPr>
                <w:color w:val="000000" w:themeColor="text1"/>
                <w14:textFill>
                  <w14:solidFill>
                    <w14:schemeClr w14:val="tx1"/>
                  </w14:solidFill>
                </w14:textFill>
              </w:rPr>
              <w:t>强度类型</w:t>
            </w:r>
          </w:p>
        </w:tc>
        <w:tc>
          <w:tcPr>
            <w:tcW w:w="1342" w:type="dxa"/>
            <w:tcBorders>
              <w:top w:val="single" w:color="auto" w:sz="12" w:space="0"/>
              <w:bottom w:val="double" w:color="auto" w:sz="4" w:space="0"/>
            </w:tcBorders>
            <w:vAlign w:val="center"/>
          </w:tcPr>
          <w:p w14:paraId="61B9E212">
            <w:pPr>
              <w:pStyle w:val="33"/>
              <w:rPr>
                <w:color w:val="000000" w:themeColor="text1"/>
                <w14:textFill>
                  <w14:solidFill>
                    <w14:schemeClr w14:val="tx1"/>
                  </w14:solidFill>
                </w14:textFill>
              </w:rPr>
            </w:pPr>
            <w:r>
              <w:rPr>
                <w:color w:val="000000" w:themeColor="text1"/>
                <w14:textFill>
                  <w14:solidFill>
                    <w14:schemeClr w14:val="tx1"/>
                  </w14:solidFill>
                </w14:textFill>
              </w:rPr>
              <w:t>轻度侵蚀</w:t>
            </w:r>
          </w:p>
        </w:tc>
        <w:tc>
          <w:tcPr>
            <w:tcW w:w="1341" w:type="dxa"/>
            <w:tcBorders>
              <w:top w:val="single" w:color="auto" w:sz="12" w:space="0"/>
              <w:bottom w:val="double" w:color="auto" w:sz="4" w:space="0"/>
            </w:tcBorders>
            <w:vAlign w:val="center"/>
          </w:tcPr>
          <w:p w14:paraId="293D3CD9">
            <w:pPr>
              <w:pStyle w:val="33"/>
              <w:rPr>
                <w:color w:val="000000" w:themeColor="text1"/>
                <w14:textFill>
                  <w14:solidFill>
                    <w14:schemeClr w14:val="tx1"/>
                  </w14:solidFill>
                </w14:textFill>
              </w:rPr>
            </w:pPr>
            <w:r>
              <w:rPr>
                <w:color w:val="000000" w:themeColor="text1"/>
                <w14:textFill>
                  <w14:solidFill>
                    <w14:schemeClr w14:val="tx1"/>
                  </w14:solidFill>
                </w14:textFill>
              </w:rPr>
              <w:t>中度侵蚀</w:t>
            </w:r>
          </w:p>
        </w:tc>
        <w:tc>
          <w:tcPr>
            <w:tcW w:w="1341" w:type="dxa"/>
            <w:tcBorders>
              <w:top w:val="single" w:color="auto" w:sz="12" w:space="0"/>
              <w:bottom w:val="double" w:color="auto" w:sz="4" w:space="0"/>
            </w:tcBorders>
            <w:vAlign w:val="center"/>
          </w:tcPr>
          <w:p w14:paraId="1541E939">
            <w:pPr>
              <w:pStyle w:val="33"/>
              <w:rPr>
                <w:color w:val="000000" w:themeColor="text1"/>
                <w14:textFill>
                  <w14:solidFill>
                    <w14:schemeClr w14:val="tx1"/>
                  </w14:solidFill>
                </w14:textFill>
              </w:rPr>
            </w:pPr>
            <w:r>
              <w:rPr>
                <w:color w:val="000000" w:themeColor="text1"/>
                <w14:textFill>
                  <w14:solidFill>
                    <w14:schemeClr w14:val="tx1"/>
                  </w14:solidFill>
                </w14:textFill>
              </w:rPr>
              <w:t>强烈侵蚀</w:t>
            </w:r>
          </w:p>
        </w:tc>
        <w:tc>
          <w:tcPr>
            <w:tcW w:w="1295" w:type="dxa"/>
            <w:tcBorders>
              <w:top w:val="single" w:color="auto" w:sz="12" w:space="0"/>
              <w:bottom w:val="double" w:color="auto" w:sz="4" w:space="0"/>
            </w:tcBorders>
            <w:vAlign w:val="center"/>
          </w:tcPr>
          <w:p w14:paraId="74BC8195">
            <w:pPr>
              <w:pStyle w:val="33"/>
              <w:rPr>
                <w:color w:val="000000" w:themeColor="text1"/>
                <w14:textFill>
                  <w14:solidFill>
                    <w14:schemeClr w14:val="tx1"/>
                  </w14:solidFill>
                </w14:textFill>
              </w:rPr>
            </w:pPr>
            <w:r>
              <w:rPr>
                <w:color w:val="000000" w:themeColor="text1"/>
                <w14:textFill>
                  <w14:solidFill>
                    <w14:schemeClr w14:val="tx1"/>
                  </w14:solidFill>
                </w14:textFill>
              </w:rPr>
              <w:t>极强烈侵蚀</w:t>
            </w:r>
          </w:p>
        </w:tc>
        <w:tc>
          <w:tcPr>
            <w:tcW w:w="1296" w:type="dxa"/>
            <w:tcBorders>
              <w:top w:val="single" w:color="auto" w:sz="12" w:space="0"/>
              <w:bottom w:val="double" w:color="auto" w:sz="4" w:space="0"/>
            </w:tcBorders>
            <w:vAlign w:val="center"/>
          </w:tcPr>
          <w:p w14:paraId="3B470D5E">
            <w:pPr>
              <w:pStyle w:val="33"/>
              <w:rPr>
                <w:color w:val="000000" w:themeColor="text1"/>
                <w14:textFill>
                  <w14:solidFill>
                    <w14:schemeClr w14:val="tx1"/>
                  </w14:solidFill>
                </w14:textFill>
              </w:rPr>
            </w:pPr>
            <w:r>
              <w:rPr>
                <w:color w:val="000000" w:themeColor="text1"/>
                <w14:textFill>
                  <w14:solidFill>
                    <w14:schemeClr w14:val="tx1"/>
                  </w14:solidFill>
                </w14:textFill>
              </w:rPr>
              <w:t>剧烈侵蚀</w:t>
            </w:r>
          </w:p>
        </w:tc>
        <w:tc>
          <w:tcPr>
            <w:tcW w:w="1271" w:type="dxa"/>
            <w:tcBorders>
              <w:top w:val="single" w:color="auto" w:sz="12" w:space="0"/>
              <w:bottom w:val="double" w:color="auto" w:sz="4" w:space="0"/>
              <w:right w:val="single" w:color="auto" w:sz="12" w:space="0"/>
            </w:tcBorders>
            <w:vAlign w:val="center"/>
          </w:tcPr>
          <w:p w14:paraId="0E5FA1A4">
            <w:pPr>
              <w:pStyle w:val="33"/>
              <w:rPr>
                <w:color w:val="000000" w:themeColor="text1"/>
                <w14:textFill>
                  <w14:solidFill>
                    <w14:schemeClr w14:val="tx1"/>
                  </w14:solidFill>
                </w14:textFill>
              </w:rPr>
            </w:pPr>
            <w:r>
              <w:rPr>
                <w:color w:val="000000" w:themeColor="text1"/>
                <w14:textFill>
                  <w14:solidFill>
                    <w14:schemeClr w14:val="tx1"/>
                  </w14:solidFill>
                </w14:textFill>
              </w:rPr>
              <w:t>合计</w:t>
            </w:r>
          </w:p>
        </w:tc>
      </w:tr>
      <w:tr w14:paraId="58D62A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69" w:hRule="atLeast"/>
          <w:jc w:val="center"/>
        </w:trPr>
        <w:tc>
          <w:tcPr>
            <w:tcW w:w="1286" w:type="dxa"/>
            <w:tcBorders>
              <w:top w:val="double" w:color="auto" w:sz="4" w:space="0"/>
              <w:left w:val="single" w:color="auto" w:sz="12" w:space="0"/>
            </w:tcBorders>
            <w:vAlign w:val="center"/>
          </w:tcPr>
          <w:p w14:paraId="38398DF1">
            <w:pPr>
              <w:pStyle w:val="33"/>
              <w:rPr>
                <w:color w:val="000000" w:themeColor="text1"/>
                <w14:textFill>
                  <w14:solidFill>
                    <w14:schemeClr w14:val="tx1"/>
                  </w14:solidFill>
                </w14:textFill>
              </w:rPr>
            </w:pPr>
            <w:r>
              <w:rPr>
                <w:color w:val="000000" w:themeColor="text1"/>
                <w14:textFill>
                  <w14:solidFill>
                    <w14:schemeClr w14:val="tx1"/>
                  </w14:solidFill>
                </w14:textFill>
              </w:rPr>
              <w:t>水力侵蚀</w:t>
            </w:r>
          </w:p>
        </w:tc>
        <w:tc>
          <w:tcPr>
            <w:tcW w:w="1342" w:type="dxa"/>
            <w:tcBorders>
              <w:top w:val="double" w:color="auto" w:sz="4" w:space="0"/>
            </w:tcBorders>
            <w:vAlign w:val="center"/>
          </w:tcPr>
          <w:p w14:paraId="44E0C54A">
            <w:pPr>
              <w:pStyle w:val="33"/>
              <w:rPr>
                <w:color w:val="000000" w:themeColor="text1"/>
                <w14:textFill>
                  <w14:solidFill>
                    <w14:schemeClr w14:val="tx1"/>
                  </w14:solidFill>
                </w14:textFill>
              </w:rPr>
            </w:pPr>
            <w:r>
              <w:rPr>
                <w:color w:val="000000" w:themeColor="text1"/>
                <w14:textFill>
                  <w14:solidFill>
                    <w14:schemeClr w14:val="tx1"/>
                  </w14:solidFill>
                </w14:textFill>
              </w:rPr>
              <w:t>1558.69</w:t>
            </w:r>
          </w:p>
        </w:tc>
        <w:tc>
          <w:tcPr>
            <w:tcW w:w="1341" w:type="dxa"/>
            <w:tcBorders>
              <w:top w:val="double" w:color="auto" w:sz="4" w:space="0"/>
            </w:tcBorders>
            <w:vAlign w:val="center"/>
          </w:tcPr>
          <w:p w14:paraId="7462D595">
            <w:pPr>
              <w:pStyle w:val="33"/>
              <w:rPr>
                <w:color w:val="000000" w:themeColor="text1"/>
                <w14:textFill>
                  <w14:solidFill>
                    <w14:schemeClr w14:val="tx1"/>
                  </w14:solidFill>
                </w14:textFill>
              </w:rPr>
            </w:pPr>
            <w:r>
              <w:rPr>
                <w:color w:val="000000" w:themeColor="text1"/>
                <w14:textFill>
                  <w14:solidFill>
                    <w14:schemeClr w14:val="tx1"/>
                  </w14:solidFill>
                </w14:textFill>
              </w:rPr>
              <w:t>266.56</w:t>
            </w:r>
          </w:p>
        </w:tc>
        <w:tc>
          <w:tcPr>
            <w:tcW w:w="1341" w:type="dxa"/>
            <w:tcBorders>
              <w:top w:val="double" w:color="auto" w:sz="4" w:space="0"/>
            </w:tcBorders>
            <w:vAlign w:val="center"/>
          </w:tcPr>
          <w:p w14:paraId="18949A3D">
            <w:pPr>
              <w:pStyle w:val="33"/>
              <w:rPr>
                <w:color w:val="000000" w:themeColor="text1"/>
                <w14:textFill>
                  <w14:solidFill>
                    <w14:schemeClr w14:val="tx1"/>
                  </w14:solidFill>
                </w14:textFill>
              </w:rPr>
            </w:pPr>
            <w:r>
              <w:rPr>
                <w:color w:val="000000" w:themeColor="text1"/>
                <w14:textFill>
                  <w14:solidFill>
                    <w14:schemeClr w14:val="tx1"/>
                  </w14:solidFill>
                </w14:textFill>
              </w:rPr>
              <w:t>32.31</w:t>
            </w:r>
          </w:p>
        </w:tc>
        <w:tc>
          <w:tcPr>
            <w:tcW w:w="1295" w:type="dxa"/>
            <w:tcBorders>
              <w:top w:val="double" w:color="auto" w:sz="4" w:space="0"/>
            </w:tcBorders>
            <w:vAlign w:val="center"/>
          </w:tcPr>
          <w:p w14:paraId="4294EEC0">
            <w:pPr>
              <w:pStyle w:val="33"/>
              <w:rPr>
                <w:color w:val="000000" w:themeColor="text1"/>
                <w14:textFill>
                  <w14:solidFill>
                    <w14:schemeClr w14:val="tx1"/>
                  </w14:solidFill>
                </w14:textFill>
              </w:rPr>
            </w:pPr>
            <w:r>
              <w:rPr>
                <w:color w:val="000000" w:themeColor="text1"/>
                <w14:textFill>
                  <w14:solidFill>
                    <w14:schemeClr w14:val="tx1"/>
                  </w14:solidFill>
                </w14:textFill>
              </w:rPr>
              <w:t>5.84</w:t>
            </w:r>
          </w:p>
        </w:tc>
        <w:tc>
          <w:tcPr>
            <w:tcW w:w="1296" w:type="dxa"/>
            <w:tcBorders>
              <w:top w:val="double" w:color="auto" w:sz="4" w:space="0"/>
            </w:tcBorders>
            <w:vAlign w:val="center"/>
          </w:tcPr>
          <w:p w14:paraId="036B6804">
            <w:pPr>
              <w:pStyle w:val="33"/>
              <w:rPr>
                <w:color w:val="000000" w:themeColor="text1"/>
                <w14:textFill>
                  <w14:solidFill>
                    <w14:schemeClr w14:val="tx1"/>
                  </w14:solidFill>
                </w14:textFill>
              </w:rPr>
            </w:pPr>
            <w:r>
              <w:rPr>
                <w:color w:val="000000" w:themeColor="text1"/>
                <w14:textFill>
                  <w14:solidFill>
                    <w14:schemeClr w14:val="tx1"/>
                  </w14:solidFill>
                </w14:textFill>
              </w:rPr>
              <w:t>6.22</w:t>
            </w:r>
          </w:p>
        </w:tc>
        <w:tc>
          <w:tcPr>
            <w:tcW w:w="1271" w:type="dxa"/>
            <w:tcBorders>
              <w:top w:val="double" w:color="auto" w:sz="4" w:space="0"/>
              <w:right w:val="single" w:color="auto" w:sz="12" w:space="0"/>
            </w:tcBorders>
            <w:vAlign w:val="center"/>
          </w:tcPr>
          <w:p w14:paraId="37F9A16A">
            <w:pPr>
              <w:pStyle w:val="33"/>
              <w:rPr>
                <w:color w:val="000000" w:themeColor="text1"/>
                <w14:textFill>
                  <w14:solidFill>
                    <w14:schemeClr w14:val="tx1"/>
                  </w14:solidFill>
                </w14:textFill>
              </w:rPr>
            </w:pPr>
            <w:r>
              <w:rPr>
                <w:color w:val="000000" w:themeColor="text1"/>
                <w14:textFill>
                  <w14:solidFill>
                    <w14:schemeClr w14:val="tx1"/>
                  </w14:solidFill>
                </w14:textFill>
              </w:rPr>
              <w:t>1869.62</w:t>
            </w:r>
          </w:p>
        </w:tc>
      </w:tr>
      <w:tr w14:paraId="4A5450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69" w:hRule="atLeast"/>
          <w:jc w:val="center"/>
        </w:trPr>
        <w:tc>
          <w:tcPr>
            <w:tcW w:w="1286" w:type="dxa"/>
            <w:tcBorders>
              <w:left w:val="single" w:color="auto" w:sz="12" w:space="0"/>
              <w:bottom w:val="single" w:color="auto" w:sz="12" w:space="0"/>
            </w:tcBorders>
            <w:vAlign w:val="center"/>
          </w:tcPr>
          <w:p w14:paraId="368D2339">
            <w:pPr>
              <w:pStyle w:val="33"/>
              <w:rPr>
                <w:color w:val="000000" w:themeColor="text1"/>
                <w14:textFill>
                  <w14:solidFill>
                    <w14:schemeClr w14:val="tx1"/>
                  </w14:solidFill>
                </w14:textFill>
              </w:rPr>
            </w:pPr>
            <w:r>
              <w:rPr>
                <w:color w:val="000000" w:themeColor="text1"/>
                <w14:textFill>
                  <w14:solidFill>
                    <w14:schemeClr w14:val="tx1"/>
                  </w14:solidFill>
                </w14:textFill>
              </w:rPr>
              <w:t>风力侵蚀</w:t>
            </w:r>
          </w:p>
        </w:tc>
        <w:tc>
          <w:tcPr>
            <w:tcW w:w="1342" w:type="dxa"/>
            <w:tcBorders>
              <w:bottom w:val="single" w:color="auto" w:sz="12" w:space="0"/>
            </w:tcBorders>
            <w:vAlign w:val="center"/>
          </w:tcPr>
          <w:p w14:paraId="15714459">
            <w:pPr>
              <w:pStyle w:val="33"/>
              <w:rPr>
                <w:color w:val="000000" w:themeColor="text1"/>
                <w14:textFill>
                  <w14:solidFill>
                    <w14:schemeClr w14:val="tx1"/>
                  </w14:solidFill>
                </w14:textFill>
              </w:rPr>
            </w:pPr>
            <w:r>
              <w:rPr>
                <w:color w:val="000000" w:themeColor="text1"/>
                <w14:textFill>
                  <w14:solidFill>
                    <w14:schemeClr w14:val="tx1"/>
                  </w14:solidFill>
                </w14:textFill>
              </w:rPr>
              <w:t>780.00</w:t>
            </w:r>
          </w:p>
        </w:tc>
        <w:tc>
          <w:tcPr>
            <w:tcW w:w="1341" w:type="dxa"/>
            <w:tcBorders>
              <w:bottom w:val="single" w:color="auto" w:sz="12" w:space="0"/>
            </w:tcBorders>
            <w:vAlign w:val="center"/>
          </w:tcPr>
          <w:p w14:paraId="5D0C81CF">
            <w:pPr>
              <w:pStyle w:val="33"/>
              <w:rPr>
                <w:color w:val="000000" w:themeColor="text1"/>
                <w14:textFill>
                  <w14:solidFill>
                    <w14:schemeClr w14:val="tx1"/>
                  </w14:solidFill>
                </w14:textFill>
              </w:rPr>
            </w:pPr>
          </w:p>
        </w:tc>
        <w:tc>
          <w:tcPr>
            <w:tcW w:w="1341" w:type="dxa"/>
            <w:tcBorders>
              <w:bottom w:val="single" w:color="auto" w:sz="12" w:space="0"/>
            </w:tcBorders>
            <w:vAlign w:val="center"/>
          </w:tcPr>
          <w:p w14:paraId="3C36AE45">
            <w:pPr>
              <w:pStyle w:val="33"/>
              <w:rPr>
                <w:color w:val="000000" w:themeColor="text1"/>
                <w14:textFill>
                  <w14:solidFill>
                    <w14:schemeClr w14:val="tx1"/>
                  </w14:solidFill>
                </w14:textFill>
              </w:rPr>
            </w:pPr>
          </w:p>
        </w:tc>
        <w:tc>
          <w:tcPr>
            <w:tcW w:w="1295" w:type="dxa"/>
            <w:tcBorders>
              <w:bottom w:val="single" w:color="auto" w:sz="12" w:space="0"/>
            </w:tcBorders>
            <w:vAlign w:val="center"/>
          </w:tcPr>
          <w:p w14:paraId="5A34BEC3">
            <w:pPr>
              <w:pStyle w:val="33"/>
              <w:rPr>
                <w:color w:val="000000" w:themeColor="text1"/>
                <w14:textFill>
                  <w14:solidFill>
                    <w14:schemeClr w14:val="tx1"/>
                  </w14:solidFill>
                </w14:textFill>
              </w:rPr>
            </w:pPr>
            <w:r>
              <w:rPr>
                <w:color w:val="000000" w:themeColor="text1"/>
                <w14:textFill>
                  <w14:solidFill>
                    <w14:schemeClr w14:val="tx1"/>
                  </w14:solidFill>
                </w14:textFill>
              </w:rPr>
              <w:t>0.08</w:t>
            </w:r>
          </w:p>
        </w:tc>
        <w:tc>
          <w:tcPr>
            <w:tcW w:w="1296" w:type="dxa"/>
            <w:tcBorders>
              <w:bottom w:val="single" w:color="auto" w:sz="12" w:space="0"/>
            </w:tcBorders>
            <w:vAlign w:val="center"/>
          </w:tcPr>
          <w:p w14:paraId="0E14AC3B">
            <w:pPr>
              <w:pStyle w:val="33"/>
              <w:rPr>
                <w:color w:val="000000" w:themeColor="text1"/>
                <w14:textFill>
                  <w14:solidFill>
                    <w14:schemeClr w14:val="tx1"/>
                  </w14:solidFill>
                </w14:textFill>
              </w:rPr>
            </w:pPr>
          </w:p>
        </w:tc>
        <w:tc>
          <w:tcPr>
            <w:tcW w:w="1271" w:type="dxa"/>
            <w:tcBorders>
              <w:bottom w:val="single" w:color="auto" w:sz="12" w:space="0"/>
              <w:right w:val="single" w:color="auto" w:sz="12" w:space="0"/>
            </w:tcBorders>
            <w:vAlign w:val="center"/>
          </w:tcPr>
          <w:p w14:paraId="27F0F41A">
            <w:pPr>
              <w:pStyle w:val="33"/>
              <w:rPr>
                <w:color w:val="000000" w:themeColor="text1"/>
                <w14:textFill>
                  <w14:solidFill>
                    <w14:schemeClr w14:val="tx1"/>
                  </w14:solidFill>
                </w14:textFill>
              </w:rPr>
            </w:pPr>
            <w:r>
              <w:rPr>
                <w:color w:val="000000" w:themeColor="text1"/>
                <w14:textFill>
                  <w14:solidFill>
                    <w14:schemeClr w14:val="tx1"/>
                  </w14:solidFill>
                </w14:textFill>
              </w:rPr>
              <w:t>780.08</w:t>
            </w:r>
          </w:p>
        </w:tc>
      </w:tr>
    </w:tbl>
    <w:p w14:paraId="7E56D238">
      <w:pPr>
        <w:pStyle w:val="4"/>
        <w:spacing w:before="120" w:after="120"/>
      </w:pPr>
      <w:bookmarkStart w:id="258" w:name="_Toc85444585"/>
      <w:r>
        <w:t>项目区水土流失现状及调查</w:t>
      </w:r>
      <w:bookmarkEnd w:id="258"/>
    </w:p>
    <w:p w14:paraId="21B1A40C">
      <w:pPr>
        <w:widowControl w:val="0"/>
        <w:ind w:firstLine="480"/>
        <w:rPr>
          <w:rFonts w:cs="Times New Roman"/>
          <w:color w:val="000000" w:themeColor="text1"/>
          <w14:textFill>
            <w14:solidFill>
              <w14:schemeClr w14:val="tx1"/>
            </w14:solidFill>
          </w14:textFill>
        </w:rPr>
      </w:pPr>
      <w:bookmarkStart w:id="259" w:name="_Toc5480392"/>
      <w:bookmarkStart w:id="260" w:name="_Toc55920612"/>
      <w:r>
        <w:rPr>
          <w:rFonts w:cs="Times New Roman"/>
          <w:color w:val="000000" w:themeColor="text1"/>
          <w14:textFill>
            <w14:solidFill>
              <w14:schemeClr w14:val="tx1"/>
            </w14:solidFill>
          </w14:textFill>
        </w:rPr>
        <w:t>在对园区原地面土壤结构、植被盖度、地面坡度及大风和降雨强度等现状调查分析的基础上，结合项目区占地类型及相关资料，通过判读遥感图件，确定园区所处区域风力侵蚀为轻度，风力侵蚀模数为2000t/km²·a</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水力侵蚀为轻度，侵蚀模数为1000t/km²·a。依据《土壤侵蚀分类分级标准》（SL190-2007）和《生产建设项目水土流失防治标准》（GB/T50434-2018），结合当地土壤形成速度的实际情况，确定园区容许土壤流失量为1000t/km²·a。园区土壤侵蚀情况见附图3。</w:t>
      </w:r>
    </w:p>
    <w:p w14:paraId="5B9E9116">
      <w:pPr>
        <w:pStyle w:val="3"/>
        <w:spacing w:before="120" w:after="120"/>
      </w:pPr>
      <w:bookmarkStart w:id="261" w:name="_Toc152535477"/>
      <w:bookmarkStart w:id="262" w:name="_Toc85444728"/>
      <w:bookmarkStart w:id="263" w:name="_Toc88821220"/>
      <w:bookmarkStart w:id="264" w:name="_Toc88833981"/>
      <w:bookmarkStart w:id="265" w:name="_Toc85444586"/>
      <w:bookmarkStart w:id="266" w:name="_Toc85444452"/>
      <w:r>
        <w:t>水土流失影响因素分析</w:t>
      </w:r>
      <w:bookmarkEnd w:id="259"/>
      <w:bookmarkEnd w:id="260"/>
      <w:bookmarkEnd w:id="261"/>
      <w:bookmarkEnd w:id="262"/>
      <w:bookmarkEnd w:id="263"/>
      <w:bookmarkEnd w:id="264"/>
      <w:bookmarkEnd w:id="265"/>
      <w:bookmarkEnd w:id="266"/>
    </w:p>
    <w:p w14:paraId="1657EB96">
      <w:pPr>
        <w:ind w:firstLine="466"/>
        <w:rPr>
          <w:rFonts w:cs="Times New Roman"/>
          <w:color w:val="000000" w:themeColor="text1"/>
          <w:spacing w:val="-7"/>
          <w14:textFill>
            <w14:solidFill>
              <w14:schemeClr w14:val="tx1"/>
            </w14:solidFill>
          </w14:textFill>
        </w:rPr>
      </w:pPr>
      <w:bookmarkStart w:id="267" w:name="_Hlk151727856"/>
      <w:r>
        <w:rPr>
          <w:rFonts w:cs="Times New Roman"/>
          <w:color w:val="000000" w:themeColor="text1"/>
          <w:spacing w:val="-7"/>
          <w14:textFill>
            <w14:solidFill>
              <w14:schemeClr w14:val="tx1"/>
            </w14:solidFill>
          </w14:textFill>
        </w:rPr>
        <w:t>（1）水土流失的影响因素</w:t>
      </w:r>
    </w:p>
    <w:p w14:paraId="4B058846">
      <w:pPr>
        <w:pStyle w:val="66"/>
        <w:ind w:firstLine="466"/>
      </w:pPr>
      <w:r>
        <w:rPr>
          <w:spacing w:val="-7"/>
        </w:rPr>
        <w:t>园区建设造成的水土流失主要发生在施工期间，水土流失加剧的主要因素为</w:t>
      </w:r>
      <w:r>
        <w:rPr>
          <w:spacing w:val="-4"/>
        </w:rPr>
        <w:t>园区建设过程中人为的短时间、高强度的人为干扰活动造成的，包括施工过程中人为对原地貌、地质、土壤、植被等因子的扰动，使原有的地形地貌、土壤植被等遭到破坏，在外营力（以风力为主）的作用下，极易造成严重的水土流失，但</w:t>
      </w:r>
      <w:r>
        <w:t>同时在施工过程中人为对造成水土流失地段的防治和防护，又可以减轻水土流</w:t>
      </w:r>
      <w:r>
        <w:rPr>
          <w:spacing w:val="-5"/>
        </w:rPr>
        <w:t>失，保持水土，改善环境；而气候因子对加剧水土流失的影响较小。园区建设活</w:t>
      </w:r>
      <w:r>
        <w:rPr>
          <w:spacing w:val="-1"/>
        </w:rPr>
        <w:t>动与水土流失影响因子关系。</w:t>
      </w:r>
    </w:p>
    <w:p w14:paraId="1B814531">
      <w:pPr>
        <w:pStyle w:val="66"/>
      </w:pPr>
      <w:r>
        <w:t>根据园区“五通一平”阶段施工工艺、水土流失特点以及区域水土流失现状，</w:t>
      </w:r>
      <w:r>
        <w:rPr>
          <w:spacing w:val="-3"/>
        </w:rPr>
        <w:t>园区水土流失影响因素的识别见表</w:t>
      </w:r>
      <w:r>
        <w:t>4-2。</w:t>
      </w:r>
    </w:p>
    <w:p w14:paraId="6E866510">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表4-2                              园区水土流失影响因素识别表</w:t>
      </w:r>
    </w:p>
    <w:tbl>
      <w:tblPr>
        <w:tblStyle w:val="141"/>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454"/>
        <w:gridCol w:w="3520"/>
        <w:gridCol w:w="2898"/>
        <w:gridCol w:w="1218"/>
      </w:tblGrid>
      <w:tr w14:paraId="26091C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800" w:type="pct"/>
            <w:tcBorders>
              <w:bottom w:val="double" w:color="auto" w:sz="4" w:space="0"/>
            </w:tcBorders>
            <w:vAlign w:val="center"/>
          </w:tcPr>
          <w:p w14:paraId="6914DA0B">
            <w:pPr>
              <w:pStyle w:val="142"/>
              <w:spacing w:before="2"/>
              <w:ind w:left="191" w:right="198"/>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施工行为</w:t>
            </w:r>
          </w:p>
        </w:tc>
        <w:tc>
          <w:tcPr>
            <w:tcW w:w="1936" w:type="pct"/>
            <w:tcBorders>
              <w:bottom w:val="double" w:color="auto" w:sz="4" w:space="0"/>
            </w:tcBorders>
            <w:vAlign w:val="center"/>
          </w:tcPr>
          <w:p w14:paraId="5C6CF90C">
            <w:pPr>
              <w:pStyle w:val="142"/>
              <w:spacing w:before="2"/>
              <w:ind w:left="438" w:right="417"/>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影响原因</w:t>
            </w:r>
          </w:p>
        </w:tc>
        <w:tc>
          <w:tcPr>
            <w:tcW w:w="1594" w:type="pct"/>
            <w:tcBorders>
              <w:bottom w:val="double" w:color="auto" w:sz="4" w:space="0"/>
            </w:tcBorders>
            <w:vAlign w:val="center"/>
          </w:tcPr>
          <w:p w14:paraId="4E72C936">
            <w:pPr>
              <w:pStyle w:val="142"/>
              <w:spacing w:before="2"/>
              <w:ind w:left="298" w:right="279"/>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主要影响环节</w:t>
            </w:r>
          </w:p>
        </w:tc>
        <w:tc>
          <w:tcPr>
            <w:tcW w:w="670" w:type="pct"/>
            <w:tcBorders>
              <w:bottom w:val="double" w:color="auto" w:sz="4" w:space="0"/>
            </w:tcBorders>
            <w:vAlign w:val="center"/>
          </w:tcPr>
          <w:p w14:paraId="776E716B">
            <w:pPr>
              <w:pStyle w:val="142"/>
              <w:spacing w:before="2"/>
              <w:ind w:left="197" w:right="178"/>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影响程度</w:t>
            </w:r>
          </w:p>
        </w:tc>
      </w:tr>
      <w:tr w14:paraId="1B33A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800" w:type="pct"/>
            <w:tcBorders>
              <w:top w:val="double" w:color="auto" w:sz="4" w:space="0"/>
            </w:tcBorders>
            <w:vAlign w:val="center"/>
          </w:tcPr>
          <w:p w14:paraId="30E27378">
            <w:pPr>
              <w:pStyle w:val="142"/>
              <w:spacing w:before="3"/>
              <w:ind w:left="215" w:right="196"/>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施工场地</w:t>
            </w:r>
          </w:p>
        </w:tc>
        <w:tc>
          <w:tcPr>
            <w:tcW w:w="1936" w:type="pct"/>
            <w:tcBorders>
              <w:top w:val="double" w:color="auto" w:sz="4" w:space="0"/>
            </w:tcBorders>
            <w:vAlign w:val="center"/>
          </w:tcPr>
          <w:p w14:paraId="1D910EAE">
            <w:pPr>
              <w:pStyle w:val="142"/>
              <w:spacing w:before="3"/>
              <w:ind w:left="438" w:right="417"/>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破坏植被及土壤结构，临时堆土</w:t>
            </w:r>
          </w:p>
        </w:tc>
        <w:tc>
          <w:tcPr>
            <w:tcW w:w="1594" w:type="pct"/>
            <w:tcBorders>
              <w:top w:val="double" w:color="auto" w:sz="4" w:space="0"/>
            </w:tcBorders>
            <w:vAlign w:val="center"/>
          </w:tcPr>
          <w:p w14:paraId="767C347B">
            <w:pPr>
              <w:pStyle w:val="142"/>
              <w:spacing w:before="3"/>
              <w:ind w:left="298" w:right="281"/>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临时堆土、土方开挖</w:t>
            </w:r>
          </w:p>
        </w:tc>
        <w:tc>
          <w:tcPr>
            <w:tcW w:w="670" w:type="pct"/>
            <w:tcBorders>
              <w:top w:val="double" w:color="auto" w:sz="4" w:space="0"/>
            </w:tcBorders>
            <w:vAlign w:val="center"/>
          </w:tcPr>
          <w:p w14:paraId="32EA1F14">
            <w:pPr>
              <w:pStyle w:val="142"/>
              <w:tabs>
                <w:tab w:val="left" w:pos="516"/>
              </w:tabs>
              <w:rPr>
                <w:rFonts w:ascii="Times New Roman" w:hAnsi="Times New Roman" w:eastAsia="仿宋_GB2312" w:cs="Times New Roman"/>
                <w:color w:val="000000" w:themeColor="text1"/>
                <w:sz w:val="21"/>
                <w:szCs w:val="21"/>
                <w:lang w:eastAsia="en-US"/>
                <w14:textFill>
                  <w14:solidFill>
                    <w14:schemeClr w14:val="tx1"/>
                  </w14:solidFill>
                </w14:textFill>
              </w:rPr>
            </w:pPr>
            <w:r>
              <w:rPr>
                <w:rFonts w:hint="eastAsia"/>
                <w:color w:val="000000" w:themeColor="text1"/>
                <w:spacing w:val="-2"/>
                <w:sz w:val="21"/>
                <w:szCs w:val="21"/>
                <w:lang w:eastAsia="en-US"/>
                <w14:textFill>
                  <w14:solidFill>
                    <w14:schemeClr w14:val="tx1"/>
                  </w14:solidFill>
                </w14:textFill>
              </w:rPr>
              <w:t>◇</w:t>
            </w:r>
            <w:r>
              <w:rPr>
                <w:rFonts w:ascii="Times New Roman" w:hAnsi="Times New Roman" w:eastAsia="仿宋_GB2312" w:cs="Times New Roman"/>
                <w:color w:val="000000" w:themeColor="text1"/>
                <w:spacing w:val="-5"/>
                <w:sz w:val="21"/>
                <w:szCs w:val="21"/>
                <w:lang w:eastAsia="en-US"/>
                <w14:textFill>
                  <w14:solidFill>
                    <w14:schemeClr w14:val="tx1"/>
                  </w14:solidFill>
                </w14:textFill>
              </w:rPr>
              <w:t>●</w:t>
            </w:r>
            <w:r>
              <w:rPr>
                <w:rFonts w:hint="eastAsia"/>
                <w:color w:val="000000" w:themeColor="text1"/>
                <w:spacing w:val="-5"/>
                <w:sz w:val="21"/>
                <w:szCs w:val="21"/>
                <w:lang w:eastAsia="en-US"/>
                <w14:textFill>
                  <w14:solidFill>
                    <w14:schemeClr w14:val="tx1"/>
                  </w14:solidFill>
                </w14:textFill>
              </w:rPr>
              <w:t>▽</w:t>
            </w:r>
          </w:p>
        </w:tc>
      </w:tr>
      <w:tr w14:paraId="617914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800" w:type="pct"/>
            <w:vAlign w:val="center"/>
          </w:tcPr>
          <w:p w14:paraId="00FC3A72">
            <w:pPr>
              <w:pStyle w:val="142"/>
              <w:spacing w:before="1"/>
              <w:ind w:left="215" w:right="196"/>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基础开挖</w:t>
            </w:r>
          </w:p>
        </w:tc>
        <w:tc>
          <w:tcPr>
            <w:tcW w:w="1936" w:type="pct"/>
            <w:vAlign w:val="center"/>
          </w:tcPr>
          <w:p w14:paraId="58319537">
            <w:pPr>
              <w:pStyle w:val="142"/>
              <w:spacing w:before="1"/>
              <w:ind w:left="435" w:right="417"/>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土石方开挖、边坡破碎陡峭且裸露</w:t>
            </w:r>
          </w:p>
        </w:tc>
        <w:tc>
          <w:tcPr>
            <w:tcW w:w="1594" w:type="pct"/>
            <w:vAlign w:val="center"/>
          </w:tcPr>
          <w:p w14:paraId="74706351">
            <w:pPr>
              <w:pStyle w:val="142"/>
              <w:spacing w:before="1"/>
              <w:ind w:left="298" w:right="279"/>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深挖边坡</w:t>
            </w:r>
          </w:p>
        </w:tc>
        <w:tc>
          <w:tcPr>
            <w:tcW w:w="670" w:type="pct"/>
            <w:vAlign w:val="center"/>
          </w:tcPr>
          <w:p w14:paraId="33C382DA">
            <w:pPr>
              <w:pStyle w:val="142"/>
              <w:tabs>
                <w:tab w:val="left" w:pos="518"/>
              </w:tabs>
              <w:rPr>
                <w:rFonts w:ascii="Times New Roman" w:hAnsi="Times New Roman" w:eastAsia="仿宋_GB2312" w:cs="Times New Roman"/>
                <w:color w:val="000000" w:themeColor="text1"/>
                <w:sz w:val="21"/>
                <w:szCs w:val="21"/>
                <w:lang w:eastAsia="en-US"/>
                <w14:textFill>
                  <w14:solidFill>
                    <w14:schemeClr w14:val="tx1"/>
                  </w14:solidFill>
                </w14:textFill>
              </w:rPr>
            </w:pPr>
            <w:r>
              <w:rPr>
                <w:rFonts w:hint="eastAsia"/>
                <w:color w:val="000000" w:themeColor="text1"/>
                <w:spacing w:val="-2"/>
                <w:sz w:val="21"/>
                <w:szCs w:val="21"/>
                <w:lang w:eastAsia="en-US"/>
                <w14:textFill>
                  <w14:solidFill>
                    <w14:schemeClr w14:val="tx1"/>
                  </w14:solidFill>
                </w14:textFill>
              </w:rPr>
              <w:t>◇</w:t>
            </w:r>
            <w:r>
              <w:rPr>
                <w:rFonts w:ascii="Times New Roman" w:hAnsi="Times New Roman" w:eastAsia="仿宋_GB2312" w:cs="Times New Roman"/>
                <w:color w:val="000000" w:themeColor="text1"/>
                <w:spacing w:val="-5"/>
                <w:sz w:val="21"/>
                <w:szCs w:val="21"/>
                <w:lang w:eastAsia="en-US"/>
                <w14:textFill>
                  <w14:solidFill>
                    <w14:schemeClr w14:val="tx1"/>
                  </w14:solidFill>
                </w14:textFill>
              </w:rPr>
              <w:t>●</w:t>
            </w:r>
            <w:r>
              <w:rPr>
                <w:rFonts w:ascii="Times New Roman" w:hAnsi="Times New Roman" w:eastAsia="微软雅黑" w:cs="Times New Roman"/>
                <w:color w:val="000000" w:themeColor="text1"/>
                <w:spacing w:val="-5"/>
                <w:sz w:val="21"/>
                <w:szCs w:val="21"/>
                <w:lang w:eastAsia="en-US"/>
                <w14:textFill>
                  <w14:solidFill>
                    <w14:schemeClr w14:val="tx1"/>
                  </w14:solidFill>
                </w14:textFill>
              </w:rPr>
              <w:t>▼</w:t>
            </w:r>
          </w:p>
        </w:tc>
      </w:tr>
      <w:tr w14:paraId="161A05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800" w:type="pct"/>
            <w:vAlign w:val="center"/>
          </w:tcPr>
          <w:p w14:paraId="0D1DF0D8">
            <w:pPr>
              <w:pStyle w:val="142"/>
              <w:spacing w:before="2"/>
              <w:ind w:left="215" w:right="196"/>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基础回填</w:t>
            </w:r>
          </w:p>
        </w:tc>
        <w:tc>
          <w:tcPr>
            <w:tcW w:w="1936" w:type="pct"/>
            <w:vAlign w:val="center"/>
          </w:tcPr>
          <w:p w14:paraId="2E712C62">
            <w:pPr>
              <w:pStyle w:val="142"/>
              <w:spacing w:before="2"/>
              <w:ind w:left="438" w:right="417"/>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土壤结构变化、植被破坏、坡面裸露</w:t>
            </w:r>
          </w:p>
        </w:tc>
        <w:tc>
          <w:tcPr>
            <w:tcW w:w="1594" w:type="pct"/>
            <w:vAlign w:val="center"/>
          </w:tcPr>
          <w:p w14:paraId="0AC05B59">
            <w:pPr>
              <w:pStyle w:val="142"/>
              <w:spacing w:before="2"/>
              <w:ind w:left="298" w:right="279"/>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高填边坡</w:t>
            </w:r>
          </w:p>
        </w:tc>
        <w:tc>
          <w:tcPr>
            <w:tcW w:w="670" w:type="pct"/>
            <w:vAlign w:val="center"/>
          </w:tcPr>
          <w:p w14:paraId="3AD7D95C">
            <w:pPr>
              <w:pStyle w:val="142"/>
              <w:tabs>
                <w:tab w:val="left" w:pos="518"/>
              </w:tabs>
              <w:rPr>
                <w:rFonts w:ascii="Times New Roman" w:hAnsi="Times New Roman" w:eastAsia="仿宋_GB2312" w:cs="Times New Roman"/>
                <w:color w:val="000000" w:themeColor="text1"/>
                <w:sz w:val="21"/>
                <w:szCs w:val="21"/>
                <w:lang w:eastAsia="en-US"/>
                <w14:textFill>
                  <w14:solidFill>
                    <w14:schemeClr w14:val="tx1"/>
                  </w14:solidFill>
                </w14:textFill>
              </w:rPr>
            </w:pPr>
            <w:r>
              <w:rPr>
                <w:rFonts w:hint="eastAsia"/>
                <w:color w:val="000000" w:themeColor="text1"/>
                <w:spacing w:val="-2"/>
                <w:sz w:val="21"/>
                <w:szCs w:val="21"/>
                <w:lang w:eastAsia="en-US"/>
                <w14:textFill>
                  <w14:solidFill>
                    <w14:schemeClr w14:val="tx1"/>
                  </w14:solidFill>
                </w14:textFill>
              </w:rPr>
              <w:t>◇</w:t>
            </w:r>
            <w:r>
              <w:rPr>
                <w:rFonts w:ascii="Times New Roman" w:hAnsi="Times New Roman" w:eastAsia="仿宋_GB2312" w:cs="Times New Roman"/>
                <w:color w:val="000000" w:themeColor="text1"/>
                <w:spacing w:val="-5"/>
                <w:sz w:val="21"/>
                <w:szCs w:val="21"/>
                <w:lang w:eastAsia="en-US"/>
                <w14:textFill>
                  <w14:solidFill>
                    <w14:schemeClr w14:val="tx1"/>
                  </w14:solidFill>
                </w14:textFill>
              </w:rPr>
              <w:t>●</w:t>
            </w:r>
            <w:r>
              <w:rPr>
                <w:rFonts w:ascii="Times New Roman" w:hAnsi="Times New Roman" w:eastAsia="微软雅黑" w:cs="Times New Roman"/>
                <w:color w:val="000000" w:themeColor="text1"/>
                <w:spacing w:val="-5"/>
                <w:sz w:val="21"/>
                <w:szCs w:val="21"/>
                <w:lang w:eastAsia="en-US"/>
                <w14:textFill>
                  <w14:solidFill>
                    <w14:schemeClr w14:val="tx1"/>
                  </w14:solidFill>
                </w14:textFill>
              </w:rPr>
              <w:t>▼</w:t>
            </w:r>
          </w:p>
        </w:tc>
      </w:tr>
      <w:tr w14:paraId="6B0841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800" w:type="pct"/>
            <w:vAlign w:val="center"/>
          </w:tcPr>
          <w:p w14:paraId="7DB32CD3">
            <w:pPr>
              <w:pStyle w:val="142"/>
              <w:ind w:left="215" w:right="196"/>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管沟开挖</w:t>
            </w:r>
          </w:p>
        </w:tc>
        <w:tc>
          <w:tcPr>
            <w:tcW w:w="1936" w:type="pct"/>
            <w:vAlign w:val="center"/>
          </w:tcPr>
          <w:p w14:paraId="26EE7C88">
            <w:pPr>
              <w:pStyle w:val="142"/>
              <w:ind w:left="435" w:right="417"/>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土石方开挖、边坡破碎陡峭且裸露</w:t>
            </w:r>
          </w:p>
        </w:tc>
        <w:tc>
          <w:tcPr>
            <w:tcW w:w="1594" w:type="pct"/>
            <w:vAlign w:val="center"/>
          </w:tcPr>
          <w:p w14:paraId="127E1A15">
            <w:pPr>
              <w:pStyle w:val="142"/>
              <w:ind w:left="298" w:right="279"/>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深挖边坡</w:t>
            </w:r>
          </w:p>
        </w:tc>
        <w:tc>
          <w:tcPr>
            <w:tcW w:w="670" w:type="pct"/>
            <w:vAlign w:val="center"/>
          </w:tcPr>
          <w:p w14:paraId="2E917557">
            <w:pPr>
              <w:pStyle w:val="142"/>
              <w:tabs>
                <w:tab w:val="left" w:pos="518"/>
              </w:tabs>
              <w:rPr>
                <w:rFonts w:ascii="Times New Roman" w:hAnsi="Times New Roman" w:eastAsia="仿宋_GB2312" w:cs="Times New Roman"/>
                <w:color w:val="000000" w:themeColor="text1"/>
                <w:sz w:val="21"/>
                <w:szCs w:val="21"/>
                <w:lang w:eastAsia="en-US"/>
                <w14:textFill>
                  <w14:solidFill>
                    <w14:schemeClr w14:val="tx1"/>
                  </w14:solidFill>
                </w14:textFill>
              </w:rPr>
            </w:pPr>
            <w:r>
              <w:rPr>
                <w:rFonts w:hint="eastAsia"/>
                <w:color w:val="000000" w:themeColor="text1"/>
                <w:spacing w:val="-2"/>
                <w:sz w:val="21"/>
                <w:szCs w:val="21"/>
                <w:lang w:eastAsia="en-US"/>
                <w14:textFill>
                  <w14:solidFill>
                    <w14:schemeClr w14:val="tx1"/>
                  </w14:solidFill>
                </w14:textFill>
              </w:rPr>
              <w:t>◇</w:t>
            </w:r>
            <w:r>
              <w:rPr>
                <w:rFonts w:ascii="Times New Roman" w:hAnsi="Times New Roman" w:eastAsia="仿宋_GB2312" w:cs="Times New Roman"/>
                <w:color w:val="000000" w:themeColor="text1"/>
                <w:spacing w:val="-5"/>
                <w:sz w:val="21"/>
                <w:szCs w:val="21"/>
                <w:lang w:eastAsia="en-US"/>
                <w14:textFill>
                  <w14:solidFill>
                    <w14:schemeClr w14:val="tx1"/>
                  </w14:solidFill>
                </w14:textFill>
              </w:rPr>
              <w:t>●</w:t>
            </w:r>
            <w:r>
              <w:rPr>
                <w:rFonts w:ascii="Times New Roman" w:hAnsi="Times New Roman" w:eastAsia="微软雅黑" w:cs="Times New Roman"/>
                <w:color w:val="000000" w:themeColor="text1"/>
                <w:spacing w:val="-5"/>
                <w:sz w:val="21"/>
                <w:szCs w:val="21"/>
                <w:lang w:eastAsia="en-US"/>
                <w14:textFill>
                  <w14:solidFill>
                    <w14:schemeClr w14:val="tx1"/>
                  </w14:solidFill>
                </w14:textFill>
              </w:rPr>
              <w:t>▼</w:t>
            </w:r>
          </w:p>
        </w:tc>
      </w:tr>
      <w:tr w14:paraId="1AF180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800" w:type="pct"/>
            <w:vAlign w:val="center"/>
          </w:tcPr>
          <w:p w14:paraId="77F5675F">
            <w:pPr>
              <w:pStyle w:val="142"/>
              <w:spacing w:before="1"/>
              <w:ind w:left="215" w:right="198"/>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zh-CN"/>
                <w14:textFill>
                  <w14:solidFill>
                    <w14:schemeClr w14:val="tx1"/>
                  </w14:solidFill>
                </w14:textFill>
              </w:rPr>
              <w:t>土方中转场</w:t>
            </w:r>
          </w:p>
        </w:tc>
        <w:tc>
          <w:tcPr>
            <w:tcW w:w="1936" w:type="pct"/>
            <w:vAlign w:val="center"/>
          </w:tcPr>
          <w:p w14:paraId="79452944">
            <w:pPr>
              <w:pStyle w:val="142"/>
              <w:spacing w:before="1"/>
              <w:ind w:left="438" w:right="417"/>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地表植被破坏、堆土、开挖的裸露面</w:t>
            </w:r>
          </w:p>
        </w:tc>
        <w:tc>
          <w:tcPr>
            <w:tcW w:w="1594" w:type="pct"/>
            <w:vAlign w:val="center"/>
          </w:tcPr>
          <w:p w14:paraId="38C4BA40">
            <w:pPr>
              <w:pStyle w:val="142"/>
              <w:spacing w:before="1"/>
              <w:ind w:left="298" w:right="281"/>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开挖、弃土</w:t>
            </w:r>
          </w:p>
        </w:tc>
        <w:tc>
          <w:tcPr>
            <w:tcW w:w="670" w:type="pct"/>
            <w:vAlign w:val="center"/>
          </w:tcPr>
          <w:p w14:paraId="014D6F1C">
            <w:pPr>
              <w:pStyle w:val="142"/>
              <w:tabs>
                <w:tab w:val="left" w:pos="518"/>
              </w:tabs>
              <w:rPr>
                <w:rFonts w:ascii="Times New Roman" w:hAnsi="Times New Roman" w:eastAsia="仿宋_GB2312" w:cs="Times New Roman"/>
                <w:color w:val="000000" w:themeColor="text1"/>
                <w:sz w:val="21"/>
                <w:szCs w:val="21"/>
                <w:lang w:eastAsia="en-US"/>
                <w14:textFill>
                  <w14:solidFill>
                    <w14:schemeClr w14:val="tx1"/>
                  </w14:solidFill>
                </w14:textFill>
              </w:rPr>
            </w:pPr>
            <w:r>
              <w:rPr>
                <w:rFonts w:hint="eastAsia"/>
                <w:color w:val="000000" w:themeColor="text1"/>
                <w:spacing w:val="-2"/>
                <w:sz w:val="21"/>
                <w:szCs w:val="21"/>
                <w:lang w:eastAsia="en-US"/>
                <w14:textFill>
                  <w14:solidFill>
                    <w14:schemeClr w14:val="tx1"/>
                  </w14:solidFill>
                </w14:textFill>
              </w:rPr>
              <w:t>◆</w:t>
            </w:r>
            <w:r>
              <w:rPr>
                <w:rFonts w:ascii="Times New Roman" w:hAnsi="Times New Roman" w:eastAsia="仿宋_GB2312" w:cs="Times New Roman"/>
                <w:color w:val="000000" w:themeColor="text1"/>
                <w:spacing w:val="-5"/>
                <w:sz w:val="21"/>
                <w:szCs w:val="21"/>
                <w:lang w:eastAsia="en-US"/>
                <w14:textFill>
                  <w14:solidFill>
                    <w14:schemeClr w14:val="tx1"/>
                  </w14:solidFill>
                </w14:textFill>
              </w:rPr>
              <w:t>●</w:t>
            </w:r>
            <w:r>
              <w:rPr>
                <w:rFonts w:ascii="Times New Roman" w:hAnsi="Times New Roman" w:eastAsia="微软雅黑" w:cs="Times New Roman"/>
                <w:color w:val="000000" w:themeColor="text1"/>
                <w:spacing w:val="-5"/>
                <w:sz w:val="21"/>
                <w:szCs w:val="21"/>
                <w:lang w:eastAsia="en-US"/>
                <w14:textFill>
                  <w14:solidFill>
                    <w14:schemeClr w14:val="tx1"/>
                  </w14:solidFill>
                </w14:textFill>
              </w:rPr>
              <w:t>▼</w:t>
            </w:r>
          </w:p>
        </w:tc>
      </w:tr>
    </w:tbl>
    <w:p w14:paraId="0D2AD9A5">
      <w:pPr>
        <w:ind w:left="237" w:firstLine="356"/>
        <w:rPr>
          <w:rFonts w:cs="Times New Roman"/>
          <w:color w:val="000000" w:themeColor="text1"/>
          <w:sz w:val="18"/>
          <w14:textFill>
            <w14:solidFill>
              <w14:schemeClr w14:val="tx1"/>
            </w14:solidFill>
          </w14:textFill>
        </w:rPr>
      </w:pPr>
      <w:r>
        <w:rPr>
          <w:rFonts w:cs="Times New Roman"/>
          <w:color w:val="000000" w:themeColor="text1"/>
          <w:spacing w:val="-2"/>
          <w:sz w:val="18"/>
          <w14:textFill>
            <w14:solidFill>
              <w14:schemeClr w14:val="tx1"/>
            </w14:solidFill>
          </w14:textFill>
        </w:rPr>
        <w:t>注：</w:t>
      </w:r>
      <w:r>
        <w:rPr>
          <w:rFonts w:hint="eastAsia" w:ascii="宋体" w:hAnsi="宋体" w:eastAsia="宋体"/>
          <w:color w:val="000000" w:themeColor="text1"/>
          <w:spacing w:val="-2"/>
          <w:sz w:val="18"/>
          <w14:textFill>
            <w14:solidFill>
              <w14:schemeClr w14:val="tx1"/>
            </w14:solidFill>
          </w14:textFill>
        </w:rPr>
        <w:t>◆</w:t>
      </w:r>
      <w:r>
        <w:rPr>
          <w:rFonts w:cs="Times New Roman"/>
          <w:color w:val="000000" w:themeColor="text1"/>
          <w:spacing w:val="-2"/>
          <w:sz w:val="18"/>
          <w14:textFill>
            <w14:solidFill>
              <w14:schemeClr w14:val="tx1"/>
            </w14:solidFill>
          </w14:textFill>
        </w:rPr>
        <w:t>/</w:t>
      </w:r>
      <w:r>
        <w:rPr>
          <w:rFonts w:hint="eastAsia" w:ascii="宋体" w:hAnsi="宋体" w:eastAsia="宋体"/>
          <w:color w:val="000000" w:themeColor="text1"/>
          <w:spacing w:val="-2"/>
          <w:sz w:val="18"/>
          <w14:textFill>
            <w14:solidFill>
              <w14:schemeClr w14:val="tx1"/>
            </w14:solidFill>
          </w14:textFill>
        </w:rPr>
        <w:t>◇</w:t>
      </w:r>
      <w:r>
        <w:rPr>
          <w:rFonts w:cs="Times New Roman"/>
          <w:color w:val="000000" w:themeColor="text1"/>
          <w:spacing w:val="-2"/>
          <w:sz w:val="18"/>
          <w14:textFill>
            <w14:solidFill>
              <w14:schemeClr w14:val="tx1"/>
            </w14:solidFill>
          </w14:textFill>
        </w:rPr>
        <w:t>——长期/短期；○/●——有利/不利影响；</w:t>
      </w:r>
      <w:r>
        <w:rPr>
          <w:rFonts w:eastAsia="微软雅黑" w:cs="Times New Roman"/>
          <w:color w:val="000000" w:themeColor="text1"/>
          <w:spacing w:val="-2"/>
          <w:sz w:val="18"/>
          <w14:textFill>
            <w14:solidFill>
              <w14:schemeClr w14:val="tx1"/>
            </w14:solidFill>
          </w14:textFill>
        </w:rPr>
        <w:t>▼</w:t>
      </w:r>
      <w:r>
        <w:rPr>
          <w:rFonts w:cs="Times New Roman"/>
          <w:color w:val="000000" w:themeColor="text1"/>
          <w:spacing w:val="-2"/>
          <w:sz w:val="18"/>
          <w14:textFill>
            <w14:solidFill>
              <w14:schemeClr w14:val="tx1"/>
            </w14:solidFill>
          </w14:textFill>
        </w:rPr>
        <w:t>/</w:t>
      </w:r>
      <w:r>
        <w:rPr>
          <w:rFonts w:hint="eastAsia" w:ascii="宋体" w:hAnsi="宋体" w:eastAsia="宋体"/>
          <w:color w:val="000000" w:themeColor="text1"/>
          <w:spacing w:val="-2"/>
          <w:sz w:val="18"/>
          <w14:textFill>
            <w14:solidFill>
              <w14:schemeClr w14:val="tx1"/>
            </w14:solidFill>
          </w14:textFill>
        </w:rPr>
        <w:t>▽</w:t>
      </w:r>
      <w:r>
        <w:rPr>
          <w:rFonts w:cs="Times New Roman"/>
          <w:color w:val="000000" w:themeColor="text1"/>
          <w:spacing w:val="-2"/>
          <w:sz w:val="18"/>
          <w14:textFill>
            <w14:solidFill>
              <w14:schemeClr w14:val="tx1"/>
            </w14:solidFill>
          </w14:textFill>
        </w:rPr>
        <w:t>——严重/</w:t>
      </w:r>
      <w:r>
        <w:rPr>
          <w:rFonts w:cs="Times New Roman"/>
          <w:color w:val="000000" w:themeColor="text1"/>
          <w:spacing w:val="-4"/>
          <w:sz w:val="18"/>
          <w14:textFill>
            <w14:solidFill>
              <w14:schemeClr w14:val="tx1"/>
            </w14:solidFill>
          </w14:textFill>
        </w:rPr>
        <w:t>一般影响。</w:t>
      </w:r>
    </w:p>
    <w:p w14:paraId="24AE9F8D">
      <w:pPr>
        <w:pStyle w:val="66"/>
      </w:pPr>
      <w:r>
        <w:t>从表4-2中可以看出，园区施工期的基础挖填、</w:t>
      </w:r>
      <w:r>
        <w:rPr>
          <w:rFonts w:hint="eastAsia"/>
        </w:rPr>
        <w:t>管沟开挖，土方中转场</w:t>
      </w:r>
      <w:r>
        <w:t>的施工对水土流失影响最大。</w:t>
      </w:r>
    </w:p>
    <w:p w14:paraId="53F3FC78">
      <w:pPr>
        <w:pStyle w:val="66"/>
      </w:pPr>
      <w:r>
        <w:t>（2）包头金山经济开发区建设对水土流失的影响</w:t>
      </w:r>
    </w:p>
    <w:p w14:paraId="1BADD4F0">
      <w:pPr>
        <w:pStyle w:val="66"/>
      </w:pPr>
      <w:r>
        <w:rPr>
          <w:rFonts w:hint="eastAsia" w:ascii="宋体" w:hAnsi="宋体" w:eastAsia="宋体" w:cs="宋体"/>
        </w:rPr>
        <w:t>①</w:t>
      </w:r>
      <w:r>
        <w:t>河湖、沟渠水系</w:t>
      </w:r>
    </w:p>
    <w:p w14:paraId="7057C825">
      <w:pPr>
        <w:pStyle w:val="66"/>
      </w:pPr>
      <w:r>
        <w:t>包头金山经济开发区南侧紧邻南排沟，若园区建设过程中施工管理不当，水土保持措施布置不到位，会带来较大的水土流失，阻塞沟道，是园区建设中水土流失防治的重点区域。</w:t>
      </w:r>
    </w:p>
    <w:p w14:paraId="0B6B783B">
      <w:pPr>
        <w:pStyle w:val="66"/>
      </w:pPr>
      <w:r>
        <w:rPr>
          <w:rFonts w:hint="eastAsia" w:ascii="宋体" w:hAnsi="宋体" w:eastAsia="宋体" w:cs="宋体"/>
        </w:rPr>
        <w:t>②</w:t>
      </w:r>
      <w:r>
        <w:t>基础开挖与填筑</w:t>
      </w:r>
    </w:p>
    <w:p w14:paraId="6AAE9A91">
      <w:pPr>
        <w:pStyle w:val="66"/>
      </w:pPr>
      <w:r>
        <w:t>在场平、道路、管网等工程开挖过程中，将有大量土石方开挖、回填，破坏地表，增大地表裸露面积，使开挖面的土壤结构发生较大改变，其抵抗侵蚀的能力也随之减弱，不可避免的会加大坡面的径流系数，强度大、时程短、突发性强等潜在影响的自然因素，均通过人为生产活动的诱发、引发、触发作用而造成大量的水土流失是园区建设中水土流失的重点防治区域。</w:t>
      </w:r>
    </w:p>
    <w:p w14:paraId="6E3750CC">
      <w:pPr>
        <w:pStyle w:val="66"/>
      </w:pPr>
      <w:r>
        <w:rPr>
          <w:rFonts w:hint="eastAsia" w:ascii="宋体" w:hAnsi="宋体" w:eastAsia="宋体" w:cs="宋体"/>
        </w:rPr>
        <w:t>③</w:t>
      </w:r>
      <w:r>
        <w:t>土石方临时堆放</w:t>
      </w:r>
    </w:p>
    <w:p w14:paraId="5A8302AD">
      <w:pPr>
        <w:pStyle w:val="66"/>
      </w:pPr>
      <w:r>
        <w:t>在临时土石方及剥离表土的堆放过程中，将形成大量松散裸露的堆渣边坡，遇降雨则极易造成大量水土流失。此外，大量临时堆土堆放于园区场内空地，将</w:t>
      </w:r>
      <w:r>
        <w:rPr>
          <w:spacing w:val="-16"/>
        </w:rPr>
        <w:t>造成大面积原地貌重塑，同时也改变了原地表的汇流条件，在排水系统未形成前，</w:t>
      </w:r>
      <w:r>
        <w:t>极易造成弃体冲刷，形成大量水土流失，是水土流失防治的重要区域。</w:t>
      </w:r>
    </w:p>
    <w:p w14:paraId="7E43F5E0">
      <w:pPr>
        <w:pStyle w:val="66"/>
        <w:ind w:firstLineChars="0"/>
      </w:pPr>
      <w:r>
        <w:rPr>
          <w:rFonts w:hint="eastAsia" w:ascii="宋体" w:hAnsi="宋体" w:eastAsia="宋体" w:cs="宋体"/>
        </w:rPr>
        <w:t>④</w:t>
      </w:r>
      <w:r>
        <w:t>施工临时工程</w:t>
      </w:r>
    </w:p>
    <w:p w14:paraId="567368F1">
      <w:pPr>
        <w:pStyle w:val="66"/>
        <w:rPr>
          <w:spacing w:val="-10"/>
        </w:rPr>
      </w:pPr>
      <w:r>
        <w:t>包头金山经济开发区建设过程中，施工</w:t>
      </w:r>
      <w:r>
        <w:rPr>
          <w:spacing w:val="-10"/>
        </w:rPr>
        <w:t>场</w:t>
      </w:r>
      <w:bookmarkEnd w:id="267"/>
      <w:r>
        <w:rPr>
          <w:spacing w:val="-10"/>
        </w:rPr>
        <w:t>地、施工便道等一些临时占地行为，将对占地范围内的植被和地表土壤造成一定程度的破坏，这也会为水土流失的发生和加剧创造条件。</w:t>
      </w:r>
    </w:p>
    <w:p w14:paraId="0CE11EE5">
      <w:pPr>
        <w:pStyle w:val="66"/>
        <w:ind w:firstLine="460"/>
      </w:pPr>
      <w:r>
        <w:rPr>
          <w:spacing w:val="-10"/>
        </w:rPr>
        <w:t>综上所述，施工期包头金山经济开发区水土流失由自然因素和人为因素综作用而造成，自然因素是产生水土流失的基础和潜在因素，而人为因素是造成水土流失的主导因素。自然恢复期中，对已破坏的地面采取的工程措施和植物措施，已发挥固土保水的作用，可以达到保护环境、恢复生态的目的。</w:t>
      </w:r>
      <w:r>
        <w:rPr>
          <w:rFonts w:hint="eastAsia"/>
          <w:spacing w:val="-10"/>
        </w:rPr>
        <w:t>产业园</w:t>
      </w:r>
      <w:r>
        <w:rPr>
          <w:spacing w:val="-10"/>
        </w:rPr>
        <w:t>“五通一平”后，自然恢复期的水土流失可以大大减少，因此包头金山经济开发区建设造成的水土流失主要发生在施工期。</w:t>
      </w:r>
    </w:p>
    <w:p w14:paraId="4CA11872">
      <w:pPr>
        <w:pStyle w:val="3"/>
        <w:spacing w:before="120" w:after="120" w:line="324" w:lineRule="auto"/>
        <w:rPr>
          <w:lang w:eastAsia="zh-CN"/>
        </w:rPr>
      </w:pPr>
      <w:bookmarkStart w:id="268" w:name="_Toc85444453"/>
      <w:bookmarkStart w:id="269" w:name="_Toc152535478"/>
      <w:bookmarkStart w:id="270" w:name="_Toc85444591"/>
      <w:bookmarkStart w:id="271" w:name="_Toc88821221"/>
      <w:bookmarkStart w:id="272" w:name="_Toc5480393"/>
      <w:bookmarkStart w:id="273" w:name="_Toc88833982"/>
      <w:bookmarkStart w:id="274" w:name="_Toc55920613"/>
      <w:bookmarkStart w:id="275" w:name="_Toc85444729"/>
      <w:r>
        <w:rPr>
          <w:lang w:eastAsia="zh-CN"/>
        </w:rPr>
        <w:t>土壤侵蚀量预测</w:t>
      </w:r>
      <w:bookmarkEnd w:id="268"/>
      <w:bookmarkEnd w:id="269"/>
      <w:bookmarkEnd w:id="270"/>
      <w:bookmarkEnd w:id="271"/>
      <w:bookmarkEnd w:id="272"/>
      <w:bookmarkEnd w:id="273"/>
      <w:bookmarkEnd w:id="274"/>
      <w:bookmarkEnd w:id="275"/>
    </w:p>
    <w:p w14:paraId="5985CD0D">
      <w:pPr>
        <w:pStyle w:val="4"/>
        <w:spacing w:before="120" w:after="120" w:line="324" w:lineRule="auto"/>
      </w:pPr>
      <w:r>
        <w:t>预测单元的划分</w:t>
      </w:r>
    </w:p>
    <w:p w14:paraId="647621CC">
      <w:pPr>
        <w:widowControl w:val="0"/>
        <w:ind w:firstLine="480"/>
        <w:rPr>
          <w:rFonts w:cs="Times New Roman"/>
          <w:color w:val="000000" w:themeColor="text1"/>
          <w:lang w:val="zh-CN"/>
          <w14:textFill>
            <w14:solidFill>
              <w14:schemeClr w14:val="tx1"/>
            </w14:solidFill>
          </w14:textFill>
        </w:rPr>
        <w:sectPr>
          <w:headerReference r:id="rId49" w:type="default"/>
          <w:headerReference r:id="rId50" w:type="even"/>
          <w:pgSz w:w="11906" w:h="16838"/>
          <w:pgMar w:top="1418" w:right="1418" w:bottom="1418" w:left="1418" w:header="850" w:footer="850" w:gutter="0"/>
          <w:cols w:space="720" w:num="1"/>
          <w:docGrid w:linePitch="326" w:charSpace="0"/>
        </w:sectPr>
      </w:pPr>
      <w:r>
        <w:rPr>
          <w:rFonts w:cs="Times New Roman"/>
          <w:color w:val="000000" w:themeColor="text1"/>
          <w14:textFill>
            <w14:solidFill>
              <w14:schemeClr w14:val="tx1"/>
            </w14:solidFill>
          </w14:textFill>
        </w:rPr>
        <w:t>本评估报告根据项目建设期间可能造成的水土流失危害、扰动原地貌及破坏植被情况，确定本项目工程扰动土地面积即为水土流失预测面积，共计1276.72hm²，其中预测施工期扰动面积为1276.72hm²，自然恢复期面积共计285.12hm²。依据施工特征及水土流失特点将本工程建设区域划分为</w:t>
      </w:r>
      <w:bookmarkStart w:id="276" w:name="_Hlk151826631"/>
      <w:r>
        <w:rPr>
          <w:rFonts w:cs="Times New Roman"/>
          <w:color w:val="000000" w:themeColor="text1"/>
          <w14:textFill>
            <w14:solidFill>
              <w14:schemeClr w14:val="tx1"/>
            </w14:solidFill>
          </w14:textFill>
        </w:rPr>
        <w:t>地块1（金山产业园北区）和地块2（下湿壕片区）</w:t>
      </w:r>
      <w:bookmarkEnd w:id="276"/>
      <w:r>
        <w:rPr>
          <w:rFonts w:cs="Times New Roman"/>
          <w:color w:val="000000" w:themeColor="text1"/>
          <w14:textFill>
            <w14:solidFill>
              <w14:schemeClr w14:val="tx1"/>
            </w14:solidFill>
          </w14:textFill>
        </w:rPr>
        <w:t>2个一级预测单元；将地块1（金山产业园北区）和地块2（下湿壕片区）分为公共管理与公共服务用地、商业服务业用地、工矿用地、交通运输用地、公用设施用地、绿地与开敞空间用地和陆地水域7个预测单元。</w:t>
      </w:r>
      <w:r>
        <w:rPr>
          <w:rFonts w:hint="eastAsia" w:cs="Times New Roman"/>
          <w:color w:val="000000" w:themeColor="text1"/>
          <w14:textFill>
            <w14:solidFill>
              <w14:schemeClr w14:val="tx1"/>
            </w14:solidFill>
          </w14:textFill>
        </w:rPr>
        <w:t>水土流失预测单元划分表</w:t>
      </w:r>
      <w:r>
        <w:rPr>
          <w:rFonts w:cs="Times New Roman"/>
          <w:color w:val="000000" w:themeColor="text1"/>
          <w14:textFill>
            <w14:solidFill>
              <w14:schemeClr w14:val="tx1"/>
            </w14:solidFill>
          </w14:textFill>
        </w:rPr>
        <w:t>4-3。</w:t>
      </w:r>
    </w:p>
    <w:p w14:paraId="5DCDDCCF">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表4-3                                                                                  </w:t>
      </w:r>
      <w:r>
        <w:rPr>
          <w:rFonts w:hint="eastAsia"/>
          <w:color w:val="000000" w:themeColor="text1"/>
          <w:lang w:eastAsia="zh-CN"/>
          <w14:textFill>
            <w14:solidFill>
              <w14:schemeClr w14:val="tx1"/>
            </w14:solidFill>
          </w14:textFill>
        </w:rPr>
        <w:t>水土流失预测单元划分表</w:t>
      </w:r>
    </w:p>
    <w:tbl>
      <w:tblPr>
        <w:tblStyle w:val="27"/>
        <w:tblW w:w="5000" w:type="pct"/>
        <w:jc w:val="center"/>
        <w:tblLayout w:type="autofit"/>
        <w:tblCellMar>
          <w:top w:w="0" w:type="dxa"/>
          <w:left w:w="108" w:type="dxa"/>
          <w:bottom w:w="0" w:type="dxa"/>
          <w:right w:w="108" w:type="dxa"/>
        </w:tblCellMar>
      </w:tblPr>
      <w:tblGrid>
        <w:gridCol w:w="1341"/>
        <w:gridCol w:w="2456"/>
        <w:gridCol w:w="1239"/>
        <w:gridCol w:w="1447"/>
        <w:gridCol w:w="1520"/>
        <w:gridCol w:w="1317"/>
        <w:gridCol w:w="881"/>
        <w:gridCol w:w="1153"/>
        <w:gridCol w:w="878"/>
        <w:gridCol w:w="881"/>
        <w:gridCol w:w="1333"/>
      </w:tblGrid>
      <w:tr w14:paraId="7F6C4AD8">
        <w:tblPrEx>
          <w:tblCellMar>
            <w:top w:w="0" w:type="dxa"/>
            <w:left w:w="108" w:type="dxa"/>
            <w:bottom w:w="0" w:type="dxa"/>
            <w:right w:w="108" w:type="dxa"/>
          </w:tblCellMar>
        </w:tblPrEx>
        <w:trPr>
          <w:trHeight w:val="397" w:hRule="atLeast"/>
          <w:jc w:val="center"/>
        </w:trPr>
        <w:tc>
          <w:tcPr>
            <w:tcW w:w="1314" w:type="pct"/>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68FAB9C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分区名称</w:t>
            </w:r>
          </w:p>
        </w:tc>
        <w:tc>
          <w:tcPr>
            <w:tcW w:w="429"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FFB8BC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占地面积（hm²）</w:t>
            </w:r>
          </w:p>
        </w:tc>
        <w:tc>
          <w:tcPr>
            <w:tcW w:w="3257" w:type="pct"/>
            <w:gridSpan w:val="8"/>
            <w:tcBorders>
              <w:top w:val="single" w:color="auto" w:sz="4" w:space="0"/>
              <w:left w:val="nil"/>
              <w:bottom w:val="single" w:color="auto" w:sz="4" w:space="0"/>
              <w:right w:val="single" w:color="auto" w:sz="4" w:space="0"/>
            </w:tcBorders>
            <w:shd w:val="clear" w:color="auto" w:fill="auto"/>
            <w:vAlign w:val="center"/>
          </w:tcPr>
          <w:p w14:paraId="58639B0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水土流失面积</w:t>
            </w:r>
          </w:p>
        </w:tc>
      </w:tr>
      <w:tr w14:paraId="204B5611">
        <w:tblPrEx>
          <w:tblCellMar>
            <w:top w:w="0" w:type="dxa"/>
            <w:left w:w="108" w:type="dxa"/>
            <w:bottom w:w="0" w:type="dxa"/>
            <w:right w:w="108" w:type="dxa"/>
          </w:tblCellMar>
        </w:tblPrEx>
        <w:trPr>
          <w:trHeight w:val="397" w:hRule="atLeast"/>
          <w:jc w:val="center"/>
        </w:trPr>
        <w:tc>
          <w:tcPr>
            <w:tcW w:w="1314" w:type="pct"/>
            <w:gridSpan w:val="2"/>
            <w:vMerge w:val="continue"/>
            <w:tcBorders>
              <w:top w:val="single" w:color="auto" w:sz="4" w:space="0"/>
              <w:left w:val="single" w:color="auto" w:sz="4" w:space="0"/>
              <w:bottom w:val="single" w:color="000000" w:sz="4" w:space="0"/>
              <w:right w:val="single" w:color="000000" w:sz="4" w:space="0"/>
            </w:tcBorders>
            <w:vAlign w:val="center"/>
          </w:tcPr>
          <w:p w14:paraId="1E74C2F7">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429" w:type="pct"/>
            <w:vMerge w:val="continue"/>
            <w:tcBorders>
              <w:top w:val="single" w:color="auto" w:sz="4" w:space="0"/>
              <w:left w:val="single" w:color="auto" w:sz="4" w:space="0"/>
              <w:bottom w:val="single" w:color="000000" w:sz="4" w:space="0"/>
              <w:right w:val="single" w:color="auto" w:sz="4" w:space="0"/>
            </w:tcBorders>
            <w:vAlign w:val="center"/>
          </w:tcPr>
          <w:p w14:paraId="07017883">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2796" w:type="pct"/>
            <w:gridSpan w:val="7"/>
            <w:tcBorders>
              <w:top w:val="single" w:color="auto" w:sz="4" w:space="0"/>
              <w:left w:val="nil"/>
              <w:bottom w:val="single" w:color="auto" w:sz="4" w:space="0"/>
              <w:right w:val="single" w:color="auto" w:sz="4" w:space="0"/>
            </w:tcBorders>
            <w:shd w:val="clear" w:color="auto" w:fill="auto"/>
            <w:vAlign w:val="center"/>
          </w:tcPr>
          <w:p w14:paraId="13781EB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施工期（hm²）</w:t>
            </w:r>
          </w:p>
        </w:tc>
        <w:tc>
          <w:tcPr>
            <w:tcW w:w="461" w:type="pct"/>
            <w:vMerge w:val="restart"/>
            <w:tcBorders>
              <w:top w:val="nil"/>
              <w:left w:val="single" w:color="auto" w:sz="4" w:space="0"/>
              <w:bottom w:val="single" w:color="auto" w:sz="4" w:space="0"/>
              <w:right w:val="single" w:color="auto" w:sz="4" w:space="0"/>
            </w:tcBorders>
            <w:shd w:val="clear" w:color="auto" w:fill="auto"/>
            <w:vAlign w:val="center"/>
          </w:tcPr>
          <w:p w14:paraId="52C5703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自然恢复期（hm²）</w:t>
            </w:r>
          </w:p>
        </w:tc>
      </w:tr>
      <w:tr w14:paraId="61C42F96">
        <w:tblPrEx>
          <w:tblCellMar>
            <w:top w:w="0" w:type="dxa"/>
            <w:left w:w="108" w:type="dxa"/>
            <w:bottom w:w="0" w:type="dxa"/>
            <w:right w:w="108" w:type="dxa"/>
          </w:tblCellMar>
        </w:tblPrEx>
        <w:trPr>
          <w:trHeight w:val="397" w:hRule="atLeast"/>
          <w:jc w:val="center"/>
        </w:trPr>
        <w:tc>
          <w:tcPr>
            <w:tcW w:w="1314" w:type="pct"/>
            <w:gridSpan w:val="2"/>
            <w:vMerge w:val="continue"/>
            <w:tcBorders>
              <w:top w:val="single" w:color="auto" w:sz="4" w:space="0"/>
              <w:left w:val="single" w:color="auto" w:sz="4" w:space="0"/>
              <w:bottom w:val="single" w:color="000000" w:sz="4" w:space="0"/>
              <w:right w:val="single" w:color="000000" w:sz="4" w:space="0"/>
            </w:tcBorders>
            <w:vAlign w:val="center"/>
          </w:tcPr>
          <w:p w14:paraId="5ABF0ED7">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429" w:type="pct"/>
            <w:vMerge w:val="continue"/>
            <w:tcBorders>
              <w:top w:val="single" w:color="auto" w:sz="4" w:space="0"/>
              <w:left w:val="single" w:color="auto" w:sz="4" w:space="0"/>
              <w:bottom w:val="single" w:color="000000" w:sz="4" w:space="0"/>
              <w:right w:val="single" w:color="auto" w:sz="4" w:space="0"/>
            </w:tcBorders>
            <w:vAlign w:val="center"/>
          </w:tcPr>
          <w:p w14:paraId="3BED421C">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1788" w:type="pct"/>
            <w:gridSpan w:val="4"/>
            <w:tcBorders>
              <w:top w:val="single" w:color="auto" w:sz="4" w:space="0"/>
              <w:left w:val="nil"/>
              <w:bottom w:val="single" w:color="auto" w:sz="4" w:space="0"/>
              <w:right w:val="single" w:color="auto" w:sz="4" w:space="0"/>
            </w:tcBorders>
            <w:shd w:val="clear" w:color="auto" w:fill="auto"/>
            <w:vAlign w:val="center"/>
          </w:tcPr>
          <w:p w14:paraId="51693A4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水蚀</w:t>
            </w:r>
          </w:p>
        </w:tc>
        <w:tc>
          <w:tcPr>
            <w:tcW w:w="1008" w:type="pct"/>
            <w:gridSpan w:val="3"/>
            <w:tcBorders>
              <w:top w:val="single" w:color="auto" w:sz="4" w:space="0"/>
              <w:left w:val="nil"/>
              <w:bottom w:val="single" w:color="auto" w:sz="4" w:space="0"/>
              <w:right w:val="single" w:color="auto" w:sz="4" w:space="0"/>
            </w:tcBorders>
            <w:shd w:val="clear" w:color="auto" w:fill="auto"/>
            <w:vAlign w:val="center"/>
          </w:tcPr>
          <w:p w14:paraId="6355CE8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风蚀</w:t>
            </w:r>
          </w:p>
        </w:tc>
        <w:tc>
          <w:tcPr>
            <w:tcW w:w="461" w:type="pct"/>
            <w:vMerge w:val="continue"/>
            <w:tcBorders>
              <w:top w:val="nil"/>
              <w:left w:val="single" w:color="auto" w:sz="4" w:space="0"/>
              <w:bottom w:val="single" w:color="auto" w:sz="4" w:space="0"/>
              <w:right w:val="single" w:color="auto" w:sz="4" w:space="0"/>
            </w:tcBorders>
            <w:vAlign w:val="center"/>
          </w:tcPr>
          <w:p w14:paraId="2DB6CAD1">
            <w:pPr>
              <w:spacing w:line="240" w:lineRule="auto"/>
              <w:ind w:firstLine="0" w:firstLineChars="0"/>
              <w:jc w:val="center"/>
              <w:rPr>
                <w:rFonts w:cs="Times New Roman"/>
                <w:color w:val="000000" w:themeColor="text1"/>
                <w:sz w:val="20"/>
                <w:szCs w:val="20"/>
                <w14:textFill>
                  <w14:solidFill>
                    <w14:schemeClr w14:val="tx1"/>
                  </w14:solidFill>
                </w14:textFill>
              </w:rPr>
            </w:pPr>
          </w:p>
        </w:tc>
      </w:tr>
      <w:tr w14:paraId="53CE5203">
        <w:tblPrEx>
          <w:tblCellMar>
            <w:top w:w="0" w:type="dxa"/>
            <w:left w:w="108" w:type="dxa"/>
            <w:bottom w:w="0" w:type="dxa"/>
            <w:right w:w="108" w:type="dxa"/>
          </w:tblCellMar>
        </w:tblPrEx>
        <w:trPr>
          <w:trHeight w:val="397" w:hRule="atLeast"/>
          <w:jc w:val="center"/>
        </w:trPr>
        <w:tc>
          <w:tcPr>
            <w:tcW w:w="1314" w:type="pct"/>
            <w:gridSpan w:val="2"/>
            <w:vMerge w:val="continue"/>
            <w:tcBorders>
              <w:top w:val="single" w:color="auto" w:sz="4" w:space="0"/>
              <w:left w:val="single" w:color="auto" w:sz="4" w:space="0"/>
              <w:bottom w:val="double" w:color="auto" w:sz="4" w:space="0"/>
              <w:right w:val="single" w:color="000000" w:sz="4" w:space="0"/>
            </w:tcBorders>
            <w:vAlign w:val="center"/>
          </w:tcPr>
          <w:p w14:paraId="5E3ADC1D">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429" w:type="pct"/>
            <w:vMerge w:val="continue"/>
            <w:tcBorders>
              <w:top w:val="single" w:color="auto" w:sz="4" w:space="0"/>
              <w:left w:val="single" w:color="auto" w:sz="4" w:space="0"/>
              <w:bottom w:val="double" w:color="auto" w:sz="4" w:space="0"/>
              <w:right w:val="single" w:color="auto" w:sz="4" w:space="0"/>
            </w:tcBorders>
            <w:vAlign w:val="center"/>
          </w:tcPr>
          <w:p w14:paraId="71B5503E">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501" w:type="pct"/>
            <w:tcBorders>
              <w:top w:val="nil"/>
              <w:left w:val="nil"/>
              <w:bottom w:val="double" w:color="auto" w:sz="4" w:space="0"/>
              <w:right w:val="single" w:color="auto" w:sz="4" w:space="0"/>
            </w:tcBorders>
            <w:shd w:val="clear" w:color="auto" w:fill="auto"/>
            <w:vAlign w:val="center"/>
          </w:tcPr>
          <w:p w14:paraId="5F72F6AF">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上方无来水工程开挖面</w:t>
            </w:r>
          </w:p>
        </w:tc>
        <w:tc>
          <w:tcPr>
            <w:tcW w:w="526" w:type="pct"/>
            <w:tcBorders>
              <w:top w:val="nil"/>
              <w:left w:val="nil"/>
              <w:bottom w:val="double" w:color="auto" w:sz="4" w:space="0"/>
              <w:right w:val="single" w:color="auto" w:sz="4" w:space="0"/>
            </w:tcBorders>
            <w:shd w:val="clear" w:color="auto" w:fill="auto"/>
            <w:vAlign w:val="center"/>
          </w:tcPr>
          <w:p w14:paraId="6BF3D4B0">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地表翻扰型一般扰动地表</w:t>
            </w:r>
          </w:p>
        </w:tc>
        <w:tc>
          <w:tcPr>
            <w:tcW w:w="456" w:type="pct"/>
            <w:tcBorders>
              <w:top w:val="nil"/>
              <w:left w:val="nil"/>
              <w:bottom w:val="double" w:color="auto" w:sz="4" w:space="0"/>
              <w:right w:val="single" w:color="auto" w:sz="4" w:space="0"/>
            </w:tcBorders>
            <w:shd w:val="clear" w:color="auto" w:fill="auto"/>
            <w:vAlign w:val="center"/>
          </w:tcPr>
          <w:p w14:paraId="0A5843E4">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上方无来水工程堆积体</w:t>
            </w:r>
          </w:p>
        </w:tc>
        <w:tc>
          <w:tcPr>
            <w:tcW w:w="305" w:type="pct"/>
            <w:tcBorders>
              <w:top w:val="nil"/>
              <w:left w:val="nil"/>
              <w:bottom w:val="double" w:color="auto" w:sz="4" w:space="0"/>
              <w:right w:val="single" w:color="auto" w:sz="4" w:space="0"/>
            </w:tcBorders>
            <w:shd w:val="clear" w:color="auto" w:fill="auto"/>
            <w:vAlign w:val="center"/>
          </w:tcPr>
          <w:p w14:paraId="132AC45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合计</w:t>
            </w:r>
          </w:p>
        </w:tc>
        <w:tc>
          <w:tcPr>
            <w:tcW w:w="399" w:type="pct"/>
            <w:tcBorders>
              <w:top w:val="nil"/>
              <w:left w:val="nil"/>
              <w:bottom w:val="double" w:color="auto" w:sz="4" w:space="0"/>
              <w:right w:val="single" w:color="auto" w:sz="4" w:space="0"/>
            </w:tcBorders>
            <w:shd w:val="clear" w:color="auto" w:fill="auto"/>
            <w:vAlign w:val="center"/>
          </w:tcPr>
          <w:p w14:paraId="030BB479">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一般扰动地表</w:t>
            </w:r>
          </w:p>
        </w:tc>
        <w:tc>
          <w:tcPr>
            <w:tcW w:w="304" w:type="pct"/>
            <w:tcBorders>
              <w:top w:val="nil"/>
              <w:left w:val="nil"/>
              <w:bottom w:val="double" w:color="auto" w:sz="4" w:space="0"/>
              <w:right w:val="single" w:color="auto" w:sz="4" w:space="0"/>
            </w:tcBorders>
            <w:shd w:val="clear" w:color="auto" w:fill="auto"/>
            <w:vAlign w:val="center"/>
          </w:tcPr>
          <w:p w14:paraId="63CBCC7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工程堆积体</w:t>
            </w:r>
          </w:p>
        </w:tc>
        <w:tc>
          <w:tcPr>
            <w:tcW w:w="305" w:type="pct"/>
            <w:tcBorders>
              <w:top w:val="nil"/>
              <w:left w:val="nil"/>
              <w:bottom w:val="double" w:color="auto" w:sz="4" w:space="0"/>
              <w:right w:val="single" w:color="auto" w:sz="4" w:space="0"/>
            </w:tcBorders>
            <w:shd w:val="clear" w:color="auto" w:fill="auto"/>
            <w:vAlign w:val="center"/>
          </w:tcPr>
          <w:p w14:paraId="551F5A7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合计</w:t>
            </w:r>
          </w:p>
        </w:tc>
        <w:tc>
          <w:tcPr>
            <w:tcW w:w="461" w:type="pct"/>
            <w:vMerge w:val="continue"/>
            <w:tcBorders>
              <w:top w:val="nil"/>
              <w:left w:val="single" w:color="auto" w:sz="4" w:space="0"/>
              <w:bottom w:val="double" w:color="auto" w:sz="4" w:space="0"/>
              <w:right w:val="single" w:color="auto" w:sz="4" w:space="0"/>
            </w:tcBorders>
            <w:vAlign w:val="center"/>
          </w:tcPr>
          <w:p w14:paraId="5BE1A56E">
            <w:pPr>
              <w:spacing w:line="240" w:lineRule="auto"/>
              <w:ind w:firstLine="0" w:firstLineChars="0"/>
              <w:jc w:val="center"/>
              <w:rPr>
                <w:rFonts w:cs="Times New Roman"/>
                <w:color w:val="000000" w:themeColor="text1"/>
                <w:sz w:val="20"/>
                <w:szCs w:val="20"/>
                <w14:textFill>
                  <w14:solidFill>
                    <w14:schemeClr w14:val="tx1"/>
                  </w14:solidFill>
                </w14:textFill>
              </w:rPr>
            </w:pPr>
          </w:p>
        </w:tc>
      </w:tr>
      <w:tr w14:paraId="20B0D995">
        <w:tblPrEx>
          <w:tblCellMar>
            <w:top w:w="0" w:type="dxa"/>
            <w:left w:w="108" w:type="dxa"/>
            <w:bottom w:w="0" w:type="dxa"/>
            <w:right w:w="108" w:type="dxa"/>
          </w:tblCellMar>
        </w:tblPrEx>
        <w:trPr>
          <w:trHeight w:val="397" w:hRule="atLeast"/>
          <w:jc w:val="center"/>
        </w:trPr>
        <w:tc>
          <w:tcPr>
            <w:tcW w:w="464" w:type="pct"/>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5BB9BFB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地块1（金山产业园北区）</w:t>
            </w:r>
          </w:p>
        </w:tc>
        <w:tc>
          <w:tcPr>
            <w:tcW w:w="850" w:type="pct"/>
            <w:tcBorders>
              <w:top w:val="double" w:color="auto" w:sz="4" w:space="0"/>
              <w:left w:val="nil"/>
              <w:bottom w:val="single" w:color="auto" w:sz="4" w:space="0"/>
              <w:right w:val="single" w:color="auto" w:sz="4" w:space="0"/>
            </w:tcBorders>
            <w:shd w:val="clear" w:color="auto" w:fill="auto"/>
            <w:noWrap/>
            <w:vAlign w:val="center"/>
          </w:tcPr>
          <w:p w14:paraId="3408269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公共管理与公共服务用地</w:t>
            </w:r>
          </w:p>
        </w:tc>
        <w:tc>
          <w:tcPr>
            <w:tcW w:w="429" w:type="pct"/>
            <w:tcBorders>
              <w:top w:val="double" w:color="auto" w:sz="4" w:space="0"/>
              <w:left w:val="nil"/>
              <w:bottom w:val="single" w:color="auto" w:sz="4" w:space="0"/>
              <w:right w:val="single" w:color="auto" w:sz="4" w:space="0"/>
            </w:tcBorders>
            <w:shd w:val="clear" w:color="auto" w:fill="auto"/>
            <w:noWrap/>
            <w:vAlign w:val="center"/>
          </w:tcPr>
          <w:p w14:paraId="6D9555C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1.07 </w:t>
            </w:r>
          </w:p>
        </w:tc>
        <w:tc>
          <w:tcPr>
            <w:tcW w:w="501" w:type="pct"/>
            <w:tcBorders>
              <w:top w:val="double" w:color="auto" w:sz="4" w:space="0"/>
              <w:left w:val="nil"/>
              <w:bottom w:val="single" w:color="auto" w:sz="4" w:space="0"/>
              <w:right w:val="single" w:color="auto" w:sz="4" w:space="0"/>
            </w:tcBorders>
            <w:shd w:val="clear" w:color="auto" w:fill="auto"/>
            <w:vAlign w:val="center"/>
          </w:tcPr>
          <w:p w14:paraId="56992AA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0.40 </w:t>
            </w:r>
          </w:p>
        </w:tc>
        <w:tc>
          <w:tcPr>
            <w:tcW w:w="526" w:type="pct"/>
            <w:tcBorders>
              <w:top w:val="double" w:color="auto" w:sz="4" w:space="0"/>
              <w:left w:val="nil"/>
              <w:bottom w:val="single" w:color="auto" w:sz="4" w:space="0"/>
              <w:right w:val="single" w:color="auto" w:sz="4" w:space="0"/>
            </w:tcBorders>
            <w:shd w:val="clear" w:color="auto" w:fill="auto"/>
            <w:vAlign w:val="center"/>
          </w:tcPr>
          <w:p w14:paraId="2C2825A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0.47 </w:t>
            </w:r>
          </w:p>
        </w:tc>
        <w:tc>
          <w:tcPr>
            <w:tcW w:w="456" w:type="pct"/>
            <w:tcBorders>
              <w:top w:val="double" w:color="auto" w:sz="4" w:space="0"/>
              <w:left w:val="nil"/>
              <w:bottom w:val="single" w:color="auto" w:sz="4" w:space="0"/>
              <w:right w:val="single" w:color="auto" w:sz="4" w:space="0"/>
            </w:tcBorders>
            <w:shd w:val="clear" w:color="auto" w:fill="auto"/>
            <w:vAlign w:val="center"/>
          </w:tcPr>
          <w:p w14:paraId="40F23EB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0.20 </w:t>
            </w:r>
          </w:p>
        </w:tc>
        <w:tc>
          <w:tcPr>
            <w:tcW w:w="305" w:type="pct"/>
            <w:tcBorders>
              <w:top w:val="double" w:color="auto" w:sz="4" w:space="0"/>
              <w:left w:val="nil"/>
              <w:bottom w:val="single" w:color="auto" w:sz="4" w:space="0"/>
              <w:right w:val="single" w:color="auto" w:sz="4" w:space="0"/>
            </w:tcBorders>
            <w:shd w:val="clear" w:color="auto" w:fill="auto"/>
            <w:vAlign w:val="center"/>
          </w:tcPr>
          <w:p w14:paraId="64EC363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1.07 </w:t>
            </w:r>
          </w:p>
        </w:tc>
        <w:tc>
          <w:tcPr>
            <w:tcW w:w="399" w:type="pct"/>
            <w:tcBorders>
              <w:top w:val="double" w:color="auto" w:sz="4" w:space="0"/>
              <w:left w:val="nil"/>
              <w:bottom w:val="single" w:color="auto" w:sz="4" w:space="0"/>
              <w:right w:val="single" w:color="auto" w:sz="4" w:space="0"/>
            </w:tcBorders>
            <w:shd w:val="clear" w:color="auto" w:fill="auto"/>
            <w:vAlign w:val="center"/>
          </w:tcPr>
          <w:p w14:paraId="68DD5B2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0.87 </w:t>
            </w:r>
          </w:p>
        </w:tc>
        <w:tc>
          <w:tcPr>
            <w:tcW w:w="304" w:type="pct"/>
            <w:tcBorders>
              <w:top w:val="double" w:color="auto" w:sz="4" w:space="0"/>
              <w:left w:val="nil"/>
              <w:bottom w:val="single" w:color="auto" w:sz="4" w:space="0"/>
              <w:right w:val="single" w:color="auto" w:sz="4" w:space="0"/>
            </w:tcBorders>
            <w:shd w:val="clear" w:color="auto" w:fill="auto"/>
            <w:vAlign w:val="center"/>
          </w:tcPr>
          <w:p w14:paraId="3EFDC49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0.20 </w:t>
            </w:r>
          </w:p>
        </w:tc>
        <w:tc>
          <w:tcPr>
            <w:tcW w:w="305" w:type="pct"/>
            <w:tcBorders>
              <w:top w:val="double" w:color="auto" w:sz="4" w:space="0"/>
              <w:left w:val="nil"/>
              <w:bottom w:val="single" w:color="auto" w:sz="4" w:space="0"/>
              <w:right w:val="single" w:color="auto" w:sz="4" w:space="0"/>
            </w:tcBorders>
            <w:shd w:val="clear" w:color="auto" w:fill="auto"/>
            <w:vAlign w:val="center"/>
          </w:tcPr>
          <w:p w14:paraId="27BB9C5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1.07 </w:t>
            </w:r>
          </w:p>
        </w:tc>
        <w:tc>
          <w:tcPr>
            <w:tcW w:w="461" w:type="pct"/>
            <w:tcBorders>
              <w:top w:val="double" w:color="auto" w:sz="4" w:space="0"/>
              <w:left w:val="nil"/>
              <w:bottom w:val="single" w:color="auto" w:sz="4" w:space="0"/>
              <w:right w:val="single" w:color="auto" w:sz="4" w:space="0"/>
            </w:tcBorders>
            <w:shd w:val="clear" w:color="auto" w:fill="auto"/>
            <w:vAlign w:val="center"/>
          </w:tcPr>
          <w:p w14:paraId="49E4BAB8">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0.37 </w:t>
            </w:r>
          </w:p>
        </w:tc>
      </w:tr>
      <w:tr w14:paraId="0CC92EBB">
        <w:tblPrEx>
          <w:tblCellMar>
            <w:top w:w="0" w:type="dxa"/>
            <w:left w:w="108" w:type="dxa"/>
            <w:bottom w:w="0" w:type="dxa"/>
            <w:right w:w="108" w:type="dxa"/>
          </w:tblCellMar>
        </w:tblPrEx>
        <w:trPr>
          <w:trHeight w:val="397" w:hRule="atLeast"/>
          <w:jc w:val="center"/>
        </w:trPr>
        <w:tc>
          <w:tcPr>
            <w:tcW w:w="464" w:type="pct"/>
            <w:vMerge w:val="continue"/>
            <w:tcBorders>
              <w:top w:val="nil"/>
              <w:left w:val="single" w:color="auto" w:sz="4" w:space="0"/>
              <w:bottom w:val="single" w:color="auto" w:sz="4" w:space="0"/>
              <w:right w:val="single" w:color="auto" w:sz="4" w:space="0"/>
            </w:tcBorders>
            <w:vAlign w:val="center"/>
          </w:tcPr>
          <w:p w14:paraId="41FD9085">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850" w:type="pct"/>
            <w:tcBorders>
              <w:top w:val="nil"/>
              <w:left w:val="nil"/>
              <w:bottom w:val="single" w:color="auto" w:sz="4" w:space="0"/>
              <w:right w:val="single" w:color="auto" w:sz="4" w:space="0"/>
            </w:tcBorders>
            <w:shd w:val="clear" w:color="auto" w:fill="auto"/>
            <w:noWrap/>
            <w:vAlign w:val="center"/>
          </w:tcPr>
          <w:p w14:paraId="77B628A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商业服务业用地</w:t>
            </w:r>
          </w:p>
        </w:tc>
        <w:tc>
          <w:tcPr>
            <w:tcW w:w="429" w:type="pct"/>
            <w:tcBorders>
              <w:top w:val="nil"/>
              <w:left w:val="nil"/>
              <w:bottom w:val="single" w:color="auto" w:sz="4" w:space="0"/>
              <w:right w:val="single" w:color="auto" w:sz="4" w:space="0"/>
            </w:tcBorders>
            <w:shd w:val="clear" w:color="auto" w:fill="auto"/>
            <w:noWrap/>
            <w:vAlign w:val="center"/>
          </w:tcPr>
          <w:p w14:paraId="6780FE1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4.37 </w:t>
            </w:r>
          </w:p>
        </w:tc>
        <w:tc>
          <w:tcPr>
            <w:tcW w:w="501" w:type="pct"/>
            <w:tcBorders>
              <w:top w:val="nil"/>
              <w:left w:val="nil"/>
              <w:bottom w:val="single" w:color="auto" w:sz="4" w:space="0"/>
              <w:right w:val="single" w:color="auto" w:sz="4" w:space="0"/>
            </w:tcBorders>
            <w:shd w:val="clear" w:color="auto" w:fill="auto"/>
            <w:vAlign w:val="center"/>
          </w:tcPr>
          <w:p w14:paraId="7D0193C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1.31 </w:t>
            </w:r>
          </w:p>
        </w:tc>
        <w:tc>
          <w:tcPr>
            <w:tcW w:w="526" w:type="pct"/>
            <w:tcBorders>
              <w:top w:val="nil"/>
              <w:left w:val="nil"/>
              <w:bottom w:val="single" w:color="auto" w:sz="4" w:space="0"/>
              <w:right w:val="single" w:color="auto" w:sz="4" w:space="0"/>
            </w:tcBorders>
            <w:shd w:val="clear" w:color="auto" w:fill="auto"/>
            <w:vAlign w:val="center"/>
          </w:tcPr>
          <w:p w14:paraId="0D6D71E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2.56 </w:t>
            </w:r>
          </w:p>
        </w:tc>
        <w:tc>
          <w:tcPr>
            <w:tcW w:w="456" w:type="pct"/>
            <w:tcBorders>
              <w:top w:val="nil"/>
              <w:left w:val="nil"/>
              <w:bottom w:val="single" w:color="auto" w:sz="4" w:space="0"/>
              <w:right w:val="single" w:color="auto" w:sz="4" w:space="0"/>
            </w:tcBorders>
            <w:shd w:val="clear" w:color="auto" w:fill="auto"/>
            <w:vAlign w:val="center"/>
          </w:tcPr>
          <w:p w14:paraId="48C43F1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0.50 </w:t>
            </w:r>
          </w:p>
        </w:tc>
        <w:tc>
          <w:tcPr>
            <w:tcW w:w="305" w:type="pct"/>
            <w:tcBorders>
              <w:top w:val="nil"/>
              <w:left w:val="nil"/>
              <w:bottom w:val="single" w:color="auto" w:sz="4" w:space="0"/>
              <w:right w:val="single" w:color="auto" w:sz="4" w:space="0"/>
            </w:tcBorders>
            <w:shd w:val="clear" w:color="auto" w:fill="auto"/>
            <w:vAlign w:val="center"/>
          </w:tcPr>
          <w:p w14:paraId="479FD8E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4.37 </w:t>
            </w:r>
          </w:p>
        </w:tc>
        <w:tc>
          <w:tcPr>
            <w:tcW w:w="399" w:type="pct"/>
            <w:tcBorders>
              <w:top w:val="nil"/>
              <w:left w:val="nil"/>
              <w:bottom w:val="single" w:color="auto" w:sz="4" w:space="0"/>
              <w:right w:val="single" w:color="auto" w:sz="4" w:space="0"/>
            </w:tcBorders>
            <w:shd w:val="clear" w:color="auto" w:fill="auto"/>
            <w:vAlign w:val="center"/>
          </w:tcPr>
          <w:p w14:paraId="16B94DC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3.87 </w:t>
            </w:r>
          </w:p>
        </w:tc>
        <w:tc>
          <w:tcPr>
            <w:tcW w:w="304" w:type="pct"/>
            <w:tcBorders>
              <w:top w:val="nil"/>
              <w:left w:val="nil"/>
              <w:bottom w:val="single" w:color="auto" w:sz="4" w:space="0"/>
              <w:right w:val="single" w:color="auto" w:sz="4" w:space="0"/>
            </w:tcBorders>
            <w:shd w:val="clear" w:color="auto" w:fill="auto"/>
            <w:vAlign w:val="center"/>
          </w:tcPr>
          <w:p w14:paraId="4FBC89B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0.50 </w:t>
            </w:r>
          </w:p>
        </w:tc>
        <w:tc>
          <w:tcPr>
            <w:tcW w:w="305" w:type="pct"/>
            <w:tcBorders>
              <w:top w:val="nil"/>
              <w:left w:val="nil"/>
              <w:bottom w:val="single" w:color="auto" w:sz="4" w:space="0"/>
              <w:right w:val="single" w:color="auto" w:sz="4" w:space="0"/>
            </w:tcBorders>
            <w:shd w:val="clear" w:color="auto" w:fill="auto"/>
            <w:vAlign w:val="center"/>
          </w:tcPr>
          <w:p w14:paraId="4D817ED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4.37 </w:t>
            </w:r>
          </w:p>
        </w:tc>
        <w:tc>
          <w:tcPr>
            <w:tcW w:w="461" w:type="pct"/>
            <w:tcBorders>
              <w:top w:val="nil"/>
              <w:left w:val="nil"/>
              <w:bottom w:val="single" w:color="auto" w:sz="4" w:space="0"/>
              <w:right w:val="single" w:color="auto" w:sz="4" w:space="0"/>
            </w:tcBorders>
            <w:shd w:val="clear" w:color="auto" w:fill="auto"/>
            <w:vAlign w:val="center"/>
          </w:tcPr>
          <w:p w14:paraId="4EB08781">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1.53 </w:t>
            </w:r>
          </w:p>
        </w:tc>
      </w:tr>
      <w:tr w14:paraId="389E7802">
        <w:tblPrEx>
          <w:tblCellMar>
            <w:top w:w="0" w:type="dxa"/>
            <w:left w:w="108" w:type="dxa"/>
            <w:bottom w:w="0" w:type="dxa"/>
            <w:right w:w="108" w:type="dxa"/>
          </w:tblCellMar>
        </w:tblPrEx>
        <w:trPr>
          <w:trHeight w:val="397" w:hRule="atLeast"/>
          <w:jc w:val="center"/>
        </w:trPr>
        <w:tc>
          <w:tcPr>
            <w:tcW w:w="464" w:type="pct"/>
            <w:vMerge w:val="continue"/>
            <w:tcBorders>
              <w:top w:val="nil"/>
              <w:left w:val="single" w:color="auto" w:sz="4" w:space="0"/>
              <w:bottom w:val="single" w:color="auto" w:sz="4" w:space="0"/>
              <w:right w:val="single" w:color="auto" w:sz="4" w:space="0"/>
            </w:tcBorders>
            <w:vAlign w:val="center"/>
          </w:tcPr>
          <w:p w14:paraId="256B78CD">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850" w:type="pct"/>
            <w:tcBorders>
              <w:top w:val="nil"/>
              <w:left w:val="nil"/>
              <w:bottom w:val="single" w:color="auto" w:sz="4" w:space="0"/>
              <w:right w:val="single" w:color="auto" w:sz="4" w:space="0"/>
            </w:tcBorders>
            <w:shd w:val="clear" w:color="auto" w:fill="auto"/>
            <w:noWrap/>
            <w:vAlign w:val="center"/>
          </w:tcPr>
          <w:p w14:paraId="507463F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工矿用地</w:t>
            </w:r>
          </w:p>
        </w:tc>
        <w:tc>
          <w:tcPr>
            <w:tcW w:w="429" w:type="pct"/>
            <w:tcBorders>
              <w:top w:val="nil"/>
              <w:left w:val="nil"/>
              <w:bottom w:val="single" w:color="auto" w:sz="4" w:space="0"/>
              <w:right w:val="single" w:color="auto" w:sz="4" w:space="0"/>
            </w:tcBorders>
            <w:shd w:val="clear" w:color="auto" w:fill="auto"/>
            <w:noWrap/>
            <w:vAlign w:val="center"/>
          </w:tcPr>
          <w:p w14:paraId="73576BA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1004.28 </w:t>
            </w:r>
          </w:p>
        </w:tc>
        <w:tc>
          <w:tcPr>
            <w:tcW w:w="501" w:type="pct"/>
            <w:tcBorders>
              <w:top w:val="nil"/>
              <w:left w:val="nil"/>
              <w:bottom w:val="single" w:color="auto" w:sz="4" w:space="0"/>
              <w:right w:val="single" w:color="auto" w:sz="4" w:space="0"/>
            </w:tcBorders>
            <w:shd w:val="clear" w:color="auto" w:fill="auto"/>
            <w:vAlign w:val="center"/>
          </w:tcPr>
          <w:p w14:paraId="28D378B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502.14 </w:t>
            </w:r>
          </w:p>
        </w:tc>
        <w:tc>
          <w:tcPr>
            <w:tcW w:w="526" w:type="pct"/>
            <w:tcBorders>
              <w:top w:val="nil"/>
              <w:left w:val="nil"/>
              <w:bottom w:val="single" w:color="auto" w:sz="4" w:space="0"/>
              <w:right w:val="single" w:color="auto" w:sz="4" w:space="0"/>
            </w:tcBorders>
            <w:shd w:val="clear" w:color="auto" w:fill="auto"/>
            <w:vAlign w:val="center"/>
          </w:tcPr>
          <w:p w14:paraId="6757B6F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481.14 </w:t>
            </w:r>
          </w:p>
        </w:tc>
        <w:tc>
          <w:tcPr>
            <w:tcW w:w="456" w:type="pct"/>
            <w:tcBorders>
              <w:top w:val="nil"/>
              <w:left w:val="nil"/>
              <w:bottom w:val="single" w:color="auto" w:sz="4" w:space="0"/>
              <w:right w:val="single" w:color="auto" w:sz="4" w:space="0"/>
            </w:tcBorders>
            <w:shd w:val="clear" w:color="auto" w:fill="auto"/>
            <w:vAlign w:val="center"/>
          </w:tcPr>
          <w:p w14:paraId="670E77A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21.00 </w:t>
            </w:r>
          </w:p>
        </w:tc>
        <w:tc>
          <w:tcPr>
            <w:tcW w:w="305" w:type="pct"/>
            <w:tcBorders>
              <w:top w:val="nil"/>
              <w:left w:val="nil"/>
              <w:bottom w:val="single" w:color="auto" w:sz="4" w:space="0"/>
              <w:right w:val="single" w:color="auto" w:sz="4" w:space="0"/>
            </w:tcBorders>
            <w:shd w:val="clear" w:color="auto" w:fill="auto"/>
            <w:vAlign w:val="center"/>
          </w:tcPr>
          <w:p w14:paraId="05B1422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1004.28 </w:t>
            </w:r>
          </w:p>
        </w:tc>
        <w:tc>
          <w:tcPr>
            <w:tcW w:w="399" w:type="pct"/>
            <w:tcBorders>
              <w:top w:val="nil"/>
              <w:left w:val="nil"/>
              <w:bottom w:val="single" w:color="auto" w:sz="4" w:space="0"/>
              <w:right w:val="single" w:color="auto" w:sz="4" w:space="0"/>
            </w:tcBorders>
            <w:shd w:val="clear" w:color="auto" w:fill="auto"/>
            <w:vAlign w:val="center"/>
          </w:tcPr>
          <w:p w14:paraId="1717F5B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983.28 </w:t>
            </w:r>
          </w:p>
        </w:tc>
        <w:tc>
          <w:tcPr>
            <w:tcW w:w="304" w:type="pct"/>
            <w:tcBorders>
              <w:top w:val="nil"/>
              <w:left w:val="nil"/>
              <w:bottom w:val="single" w:color="auto" w:sz="4" w:space="0"/>
              <w:right w:val="single" w:color="auto" w:sz="4" w:space="0"/>
            </w:tcBorders>
            <w:shd w:val="clear" w:color="auto" w:fill="auto"/>
            <w:vAlign w:val="center"/>
          </w:tcPr>
          <w:p w14:paraId="5CDBDCB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21.00 </w:t>
            </w:r>
          </w:p>
        </w:tc>
        <w:tc>
          <w:tcPr>
            <w:tcW w:w="305" w:type="pct"/>
            <w:tcBorders>
              <w:top w:val="nil"/>
              <w:left w:val="nil"/>
              <w:bottom w:val="single" w:color="auto" w:sz="4" w:space="0"/>
              <w:right w:val="single" w:color="auto" w:sz="4" w:space="0"/>
            </w:tcBorders>
            <w:shd w:val="clear" w:color="auto" w:fill="auto"/>
            <w:vAlign w:val="center"/>
          </w:tcPr>
          <w:p w14:paraId="4D2EEA9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1004.28 </w:t>
            </w:r>
          </w:p>
        </w:tc>
        <w:tc>
          <w:tcPr>
            <w:tcW w:w="461" w:type="pct"/>
            <w:tcBorders>
              <w:top w:val="nil"/>
              <w:left w:val="nil"/>
              <w:bottom w:val="single" w:color="auto" w:sz="4" w:space="0"/>
              <w:right w:val="single" w:color="auto" w:sz="4" w:space="0"/>
            </w:tcBorders>
            <w:shd w:val="clear" w:color="auto" w:fill="auto"/>
            <w:vAlign w:val="center"/>
          </w:tcPr>
          <w:p w14:paraId="3BB96388">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200.86 </w:t>
            </w:r>
          </w:p>
        </w:tc>
      </w:tr>
      <w:tr w14:paraId="761168AF">
        <w:tblPrEx>
          <w:tblCellMar>
            <w:top w:w="0" w:type="dxa"/>
            <w:left w:w="108" w:type="dxa"/>
            <w:bottom w:w="0" w:type="dxa"/>
            <w:right w:w="108" w:type="dxa"/>
          </w:tblCellMar>
        </w:tblPrEx>
        <w:trPr>
          <w:trHeight w:val="397" w:hRule="atLeast"/>
          <w:jc w:val="center"/>
        </w:trPr>
        <w:tc>
          <w:tcPr>
            <w:tcW w:w="464" w:type="pct"/>
            <w:vMerge w:val="continue"/>
            <w:tcBorders>
              <w:top w:val="nil"/>
              <w:left w:val="single" w:color="auto" w:sz="4" w:space="0"/>
              <w:bottom w:val="single" w:color="auto" w:sz="4" w:space="0"/>
              <w:right w:val="single" w:color="auto" w:sz="4" w:space="0"/>
            </w:tcBorders>
            <w:vAlign w:val="center"/>
          </w:tcPr>
          <w:p w14:paraId="34048442">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850" w:type="pct"/>
            <w:tcBorders>
              <w:top w:val="nil"/>
              <w:left w:val="nil"/>
              <w:bottom w:val="single" w:color="auto" w:sz="4" w:space="0"/>
              <w:right w:val="single" w:color="auto" w:sz="4" w:space="0"/>
            </w:tcBorders>
            <w:shd w:val="clear" w:color="auto" w:fill="auto"/>
            <w:noWrap/>
            <w:vAlign w:val="center"/>
          </w:tcPr>
          <w:p w14:paraId="6998853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交通运输用地</w:t>
            </w:r>
          </w:p>
        </w:tc>
        <w:tc>
          <w:tcPr>
            <w:tcW w:w="429" w:type="pct"/>
            <w:tcBorders>
              <w:top w:val="nil"/>
              <w:left w:val="nil"/>
              <w:bottom w:val="single" w:color="auto" w:sz="4" w:space="0"/>
              <w:right w:val="single" w:color="auto" w:sz="4" w:space="0"/>
            </w:tcBorders>
            <w:shd w:val="clear" w:color="auto" w:fill="auto"/>
            <w:noWrap/>
            <w:vAlign w:val="center"/>
          </w:tcPr>
          <w:p w14:paraId="1314842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90.70 </w:t>
            </w:r>
          </w:p>
        </w:tc>
        <w:tc>
          <w:tcPr>
            <w:tcW w:w="501" w:type="pct"/>
            <w:tcBorders>
              <w:top w:val="nil"/>
              <w:left w:val="nil"/>
              <w:bottom w:val="single" w:color="auto" w:sz="4" w:space="0"/>
              <w:right w:val="single" w:color="auto" w:sz="4" w:space="0"/>
            </w:tcBorders>
            <w:shd w:val="clear" w:color="auto" w:fill="auto"/>
            <w:vAlign w:val="center"/>
          </w:tcPr>
          <w:p w14:paraId="0671B4F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49.16 </w:t>
            </w:r>
          </w:p>
        </w:tc>
        <w:tc>
          <w:tcPr>
            <w:tcW w:w="526" w:type="pct"/>
            <w:tcBorders>
              <w:top w:val="nil"/>
              <w:left w:val="nil"/>
              <w:bottom w:val="single" w:color="auto" w:sz="4" w:space="0"/>
              <w:right w:val="single" w:color="auto" w:sz="4" w:space="0"/>
            </w:tcBorders>
            <w:shd w:val="clear" w:color="auto" w:fill="auto"/>
            <w:vAlign w:val="center"/>
          </w:tcPr>
          <w:p w14:paraId="79E80AA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31.54 </w:t>
            </w:r>
          </w:p>
        </w:tc>
        <w:tc>
          <w:tcPr>
            <w:tcW w:w="456" w:type="pct"/>
            <w:tcBorders>
              <w:top w:val="nil"/>
              <w:left w:val="nil"/>
              <w:bottom w:val="single" w:color="auto" w:sz="4" w:space="0"/>
              <w:right w:val="single" w:color="auto" w:sz="4" w:space="0"/>
            </w:tcBorders>
            <w:shd w:val="clear" w:color="auto" w:fill="auto"/>
            <w:vAlign w:val="center"/>
          </w:tcPr>
          <w:p w14:paraId="2EB43E2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10.00 </w:t>
            </w:r>
          </w:p>
        </w:tc>
        <w:tc>
          <w:tcPr>
            <w:tcW w:w="305" w:type="pct"/>
            <w:tcBorders>
              <w:top w:val="nil"/>
              <w:left w:val="nil"/>
              <w:bottom w:val="single" w:color="auto" w:sz="4" w:space="0"/>
              <w:right w:val="single" w:color="auto" w:sz="4" w:space="0"/>
            </w:tcBorders>
            <w:shd w:val="clear" w:color="auto" w:fill="auto"/>
            <w:vAlign w:val="center"/>
          </w:tcPr>
          <w:p w14:paraId="029D5E2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90.70 </w:t>
            </w:r>
          </w:p>
        </w:tc>
        <w:tc>
          <w:tcPr>
            <w:tcW w:w="399" w:type="pct"/>
            <w:tcBorders>
              <w:top w:val="nil"/>
              <w:left w:val="nil"/>
              <w:bottom w:val="single" w:color="auto" w:sz="4" w:space="0"/>
              <w:right w:val="single" w:color="auto" w:sz="4" w:space="0"/>
            </w:tcBorders>
            <w:shd w:val="clear" w:color="auto" w:fill="auto"/>
            <w:vAlign w:val="center"/>
          </w:tcPr>
          <w:p w14:paraId="1B16C3E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80.70 </w:t>
            </w:r>
          </w:p>
        </w:tc>
        <w:tc>
          <w:tcPr>
            <w:tcW w:w="304" w:type="pct"/>
            <w:tcBorders>
              <w:top w:val="nil"/>
              <w:left w:val="nil"/>
              <w:bottom w:val="single" w:color="auto" w:sz="4" w:space="0"/>
              <w:right w:val="single" w:color="auto" w:sz="4" w:space="0"/>
            </w:tcBorders>
            <w:shd w:val="clear" w:color="auto" w:fill="auto"/>
            <w:vAlign w:val="center"/>
          </w:tcPr>
          <w:p w14:paraId="532E1F3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10.00 </w:t>
            </w:r>
          </w:p>
        </w:tc>
        <w:tc>
          <w:tcPr>
            <w:tcW w:w="305" w:type="pct"/>
            <w:tcBorders>
              <w:top w:val="nil"/>
              <w:left w:val="nil"/>
              <w:bottom w:val="single" w:color="auto" w:sz="4" w:space="0"/>
              <w:right w:val="single" w:color="auto" w:sz="4" w:space="0"/>
            </w:tcBorders>
            <w:shd w:val="clear" w:color="auto" w:fill="auto"/>
            <w:vAlign w:val="center"/>
          </w:tcPr>
          <w:p w14:paraId="70BDF8F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90.70 </w:t>
            </w:r>
          </w:p>
        </w:tc>
        <w:tc>
          <w:tcPr>
            <w:tcW w:w="461" w:type="pct"/>
            <w:tcBorders>
              <w:top w:val="nil"/>
              <w:left w:val="nil"/>
              <w:bottom w:val="single" w:color="auto" w:sz="4" w:space="0"/>
              <w:right w:val="single" w:color="auto" w:sz="4" w:space="0"/>
            </w:tcBorders>
            <w:shd w:val="clear" w:color="auto" w:fill="auto"/>
            <w:vAlign w:val="center"/>
          </w:tcPr>
          <w:p w14:paraId="59DDF9D3">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41.54 </w:t>
            </w:r>
          </w:p>
        </w:tc>
      </w:tr>
      <w:tr w14:paraId="6DB5A1E1">
        <w:tblPrEx>
          <w:tblCellMar>
            <w:top w:w="0" w:type="dxa"/>
            <w:left w:w="108" w:type="dxa"/>
            <w:bottom w:w="0" w:type="dxa"/>
            <w:right w:w="108" w:type="dxa"/>
          </w:tblCellMar>
        </w:tblPrEx>
        <w:trPr>
          <w:trHeight w:val="397" w:hRule="atLeast"/>
          <w:jc w:val="center"/>
        </w:trPr>
        <w:tc>
          <w:tcPr>
            <w:tcW w:w="464" w:type="pct"/>
            <w:vMerge w:val="continue"/>
            <w:tcBorders>
              <w:top w:val="nil"/>
              <w:left w:val="single" w:color="auto" w:sz="4" w:space="0"/>
              <w:bottom w:val="single" w:color="auto" w:sz="4" w:space="0"/>
              <w:right w:val="single" w:color="auto" w:sz="4" w:space="0"/>
            </w:tcBorders>
            <w:vAlign w:val="center"/>
          </w:tcPr>
          <w:p w14:paraId="4C8CAEF0">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850" w:type="pct"/>
            <w:tcBorders>
              <w:top w:val="nil"/>
              <w:left w:val="nil"/>
              <w:bottom w:val="single" w:color="auto" w:sz="4" w:space="0"/>
              <w:right w:val="single" w:color="auto" w:sz="4" w:space="0"/>
            </w:tcBorders>
            <w:shd w:val="clear" w:color="auto" w:fill="auto"/>
            <w:noWrap/>
            <w:vAlign w:val="center"/>
          </w:tcPr>
          <w:p w14:paraId="62E68DD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公用设施用地</w:t>
            </w:r>
          </w:p>
        </w:tc>
        <w:tc>
          <w:tcPr>
            <w:tcW w:w="429" w:type="pct"/>
            <w:tcBorders>
              <w:top w:val="nil"/>
              <w:left w:val="nil"/>
              <w:bottom w:val="single" w:color="auto" w:sz="4" w:space="0"/>
              <w:right w:val="single" w:color="auto" w:sz="4" w:space="0"/>
            </w:tcBorders>
            <w:shd w:val="clear" w:color="auto" w:fill="auto"/>
            <w:noWrap/>
            <w:vAlign w:val="center"/>
          </w:tcPr>
          <w:p w14:paraId="3F09793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10.66 </w:t>
            </w:r>
          </w:p>
        </w:tc>
        <w:tc>
          <w:tcPr>
            <w:tcW w:w="501" w:type="pct"/>
            <w:tcBorders>
              <w:top w:val="nil"/>
              <w:left w:val="nil"/>
              <w:bottom w:val="single" w:color="auto" w:sz="4" w:space="0"/>
              <w:right w:val="single" w:color="auto" w:sz="4" w:space="0"/>
            </w:tcBorders>
            <w:shd w:val="clear" w:color="auto" w:fill="auto"/>
            <w:vAlign w:val="center"/>
          </w:tcPr>
          <w:p w14:paraId="562F42C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3.73 </w:t>
            </w:r>
          </w:p>
        </w:tc>
        <w:tc>
          <w:tcPr>
            <w:tcW w:w="526" w:type="pct"/>
            <w:tcBorders>
              <w:top w:val="nil"/>
              <w:left w:val="nil"/>
              <w:bottom w:val="single" w:color="auto" w:sz="4" w:space="0"/>
              <w:right w:val="single" w:color="auto" w:sz="4" w:space="0"/>
            </w:tcBorders>
            <w:shd w:val="clear" w:color="auto" w:fill="auto"/>
            <w:vAlign w:val="center"/>
          </w:tcPr>
          <w:p w14:paraId="2DD1BE5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5.93 </w:t>
            </w:r>
          </w:p>
        </w:tc>
        <w:tc>
          <w:tcPr>
            <w:tcW w:w="456" w:type="pct"/>
            <w:tcBorders>
              <w:top w:val="nil"/>
              <w:left w:val="nil"/>
              <w:bottom w:val="single" w:color="auto" w:sz="4" w:space="0"/>
              <w:right w:val="single" w:color="auto" w:sz="4" w:space="0"/>
            </w:tcBorders>
            <w:shd w:val="clear" w:color="auto" w:fill="auto"/>
            <w:vAlign w:val="center"/>
          </w:tcPr>
          <w:p w14:paraId="0FAD60F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1.00 </w:t>
            </w:r>
          </w:p>
        </w:tc>
        <w:tc>
          <w:tcPr>
            <w:tcW w:w="305" w:type="pct"/>
            <w:tcBorders>
              <w:top w:val="nil"/>
              <w:left w:val="nil"/>
              <w:bottom w:val="single" w:color="auto" w:sz="4" w:space="0"/>
              <w:right w:val="single" w:color="auto" w:sz="4" w:space="0"/>
            </w:tcBorders>
            <w:shd w:val="clear" w:color="auto" w:fill="auto"/>
            <w:vAlign w:val="center"/>
          </w:tcPr>
          <w:p w14:paraId="75615D7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10.66 </w:t>
            </w:r>
          </w:p>
        </w:tc>
        <w:tc>
          <w:tcPr>
            <w:tcW w:w="399" w:type="pct"/>
            <w:tcBorders>
              <w:top w:val="nil"/>
              <w:left w:val="nil"/>
              <w:bottom w:val="single" w:color="auto" w:sz="4" w:space="0"/>
              <w:right w:val="single" w:color="auto" w:sz="4" w:space="0"/>
            </w:tcBorders>
            <w:shd w:val="clear" w:color="auto" w:fill="auto"/>
            <w:vAlign w:val="center"/>
          </w:tcPr>
          <w:p w14:paraId="4FA9A33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9.66 </w:t>
            </w:r>
          </w:p>
        </w:tc>
        <w:tc>
          <w:tcPr>
            <w:tcW w:w="304" w:type="pct"/>
            <w:tcBorders>
              <w:top w:val="nil"/>
              <w:left w:val="nil"/>
              <w:bottom w:val="single" w:color="auto" w:sz="4" w:space="0"/>
              <w:right w:val="single" w:color="auto" w:sz="4" w:space="0"/>
            </w:tcBorders>
            <w:shd w:val="clear" w:color="auto" w:fill="auto"/>
            <w:vAlign w:val="center"/>
          </w:tcPr>
          <w:p w14:paraId="5FBC527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1.00 </w:t>
            </w:r>
          </w:p>
        </w:tc>
        <w:tc>
          <w:tcPr>
            <w:tcW w:w="305" w:type="pct"/>
            <w:tcBorders>
              <w:top w:val="nil"/>
              <w:left w:val="nil"/>
              <w:bottom w:val="single" w:color="auto" w:sz="4" w:space="0"/>
              <w:right w:val="single" w:color="auto" w:sz="4" w:space="0"/>
            </w:tcBorders>
            <w:shd w:val="clear" w:color="auto" w:fill="auto"/>
            <w:vAlign w:val="center"/>
          </w:tcPr>
          <w:p w14:paraId="4270C7C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10.66 </w:t>
            </w:r>
          </w:p>
        </w:tc>
        <w:tc>
          <w:tcPr>
            <w:tcW w:w="461" w:type="pct"/>
            <w:tcBorders>
              <w:top w:val="nil"/>
              <w:left w:val="nil"/>
              <w:bottom w:val="single" w:color="auto" w:sz="4" w:space="0"/>
              <w:right w:val="single" w:color="auto" w:sz="4" w:space="0"/>
            </w:tcBorders>
            <w:shd w:val="clear" w:color="auto" w:fill="auto"/>
            <w:vAlign w:val="center"/>
          </w:tcPr>
          <w:p w14:paraId="61321CB4">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3.73 </w:t>
            </w:r>
          </w:p>
        </w:tc>
      </w:tr>
      <w:tr w14:paraId="65929518">
        <w:tblPrEx>
          <w:tblCellMar>
            <w:top w:w="0" w:type="dxa"/>
            <w:left w:w="108" w:type="dxa"/>
            <w:bottom w:w="0" w:type="dxa"/>
            <w:right w:w="108" w:type="dxa"/>
          </w:tblCellMar>
        </w:tblPrEx>
        <w:trPr>
          <w:trHeight w:val="397" w:hRule="atLeast"/>
          <w:jc w:val="center"/>
        </w:trPr>
        <w:tc>
          <w:tcPr>
            <w:tcW w:w="464" w:type="pct"/>
            <w:vMerge w:val="continue"/>
            <w:tcBorders>
              <w:top w:val="nil"/>
              <w:left w:val="single" w:color="auto" w:sz="4" w:space="0"/>
              <w:bottom w:val="single" w:color="auto" w:sz="4" w:space="0"/>
              <w:right w:val="single" w:color="auto" w:sz="4" w:space="0"/>
            </w:tcBorders>
            <w:vAlign w:val="center"/>
          </w:tcPr>
          <w:p w14:paraId="1CAAAFB3">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850" w:type="pct"/>
            <w:tcBorders>
              <w:top w:val="nil"/>
              <w:left w:val="nil"/>
              <w:bottom w:val="single" w:color="auto" w:sz="4" w:space="0"/>
              <w:right w:val="single" w:color="auto" w:sz="4" w:space="0"/>
            </w:tcBorders>
            <w:shd w:val="clear" w:color="auto" w:fill="auto"/>
            <w:noWrap/>
            <w:vAlign w:val="center"/>
          </w:tcPr>
          <w:p w14:paraId="4BA344E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绿地与开敞空间用地</w:t>
            </w:r>
          </w:p>
        </w:tc>
        <w:tc>
          <w:tcPr>
            <w:tcW w:w="429" w:type="pct"/>
            <w:tcBorders>
              <w:top w:val="nil"/>
              <w:left w:val="nil"/>
              <w:bottom w:val="single" w:color="auto" w:sz="4" w:space="0"/>
              <w:right w:val="single" w:color="auto" w:sz="4" w:space="0"/>
            </w:tcBorders>
            <w:shd w:val="clear" w:color="auto" w:fill="auto"/>
            <w:noWrap/>
            <w:vAlign w:val="center"/>
          </w:tcPr>
          <w:p w14:paraId="3126236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3.54 </w:t>
            </w:r>
          </w:p>
        </w:tc>
        <w:tc>
          <w:tcPr>
            <w:tcW w:w="501" w:type="pct"/>
            <w:tcBorders>
              <w:top w:val="nil"/>
              <w:left w:val="nil"/>
              <w:bottom w:val="single" w:color="auto" w:sz="4" w:space="0"/>
              <w:right w:val="single" w:color="auto" w:sz="4" w:space="0"/>
            </w:tcBorders>
            <w:shd w:val="clear" w:color="auto" w:fill="auto"/>
            <w:vAlign w:val="center"/>
          </w:tcPr>
          <w:p w14:paraId="2DCCF5B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526" w:type="pct"/>
            <w:tcBorders>
              <w:top w:val="nil"/>
              <w:left w:val="nil"/>
              <w:bottom w:val="single" w:color="auto" w:sz="4" w:space="0"/>
              <w:right w:val="single" w:color="auto" w:sz="4" w:space="0"/>
            </w:tcBorders>
            <w:shd w:val="clear" w:color="auto" w:fill="auto"/>
            <w:vAlign w:val="center"/>
          </w:tcPr>
          <w:p w14:paraId="7048599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3.54 </w:t>
            </w:r>
          </w:p>
        </w:tc>
        <w:tc>
          <w:tcPr>
            <w:tcW w:w="456" w:type="pct"/>
            <w:tcBorders>
              <w:top w:val="nil"/>
              <w:left w:val="nil"/>
              <w:bottom w:val="single" w:color="auto" w:sz="4" w:space="0"/>
              <w:right w:val="single" w:color="auto" w:sz="4" w:space="0"/>
            </w:tcBorders>
            <w:shd w:val="clear" w:color="auto" w:fill="auto"/>
            <w:vAlign w:val="center"/>
          </w:tcPr>
          <w:p w14:paraId="043CED1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305" w:type="pct"/>
            <w:tcBorders>
              <w:top w:val="nil"/>
              <w:left w:val="nil"/>
              <w:bottom w:val="single" w:color="auto" w:sz="4" w:space="0"/>
              <w:right w:val="single" w:color="auto" w:sz="4" w:space="0"/>
            </w:tcBorders>
            <w:shd w:val="clear" w:color="auto" w:fill="auto"/>
            <w:vAlign w:val="center"/>
          </w:tcPr>
          <w:p w14:paraId="3B1442C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3.54 </w:t>
            </w:r>
          </w:p>
        </w:tc>
        <w:tc>
          <w:tcPr>
            <w:tcW w:w="399" w:type="pct"/>
            <w:tcBorders>
              <w:top w:val="nil"/>
              <w:left w:val="nil"/>
              <w:bottom w:val="single" w:color="auto" w:sz="4" w:space="0"/>
              <w:right w:val="single" w:color="auto" w:sz="4" w:space="0"/>
            </w:tcBorders>
            <w:shd w:val="clear" w:color="auto" w:fill="auto"/>
            <w:vAlign w:val="center"/>
          </w:tcPr>
          <w:p w14:paraId="556AE34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3.54 </w:t>
            </w:r>
          </w:p>
        </w:tc>
        <w:tc>
          <w:tcPr>
            <w:tcW w:w="304" w:type="pct"/>
            <w:tcBorders>
              <w:top w:val="nil"/>
              <w:left w:val="nil"/>
              <w:bottom w:val="single" w:color="auto" w:sz="4" w:space="0"/>
              <w:right w:val="single" w:color="auto" w:sz="4" w:space="0"/>
            </w:tcBorders>
            <w:shd w:val="clear" w:color="auto" w:fill="auto"/>
            <w:vAlign w:val="center"/>
          </w:tcPr>
          <w:p w14:paraId="1F6EE4CA">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305" w:type="pct"/>
            <w:tcBorders>
              <w:top w:val="nil"/>
              <w:left w:val="nil"/>
              <w:bottom w:val="single" w:color="auto" w:sz="4" w:space="0"/>
              <w:right w:val="single" w:color="auto" w:sz="4" w:space="0"/>
            </w:tcBorders>
            <w:shd w:val="clear" w:color="auto" w:fill="auto"/>
            <w:vAlign w:val="center"/>
          </w:tcPr>
          <w:p w14:paraId="16E958A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3.54 </w:t>
            </w:r>
          </w:p>
        </w:tc>
        <w:tc>
          <w:tcPr>
            <w:tcW w:w="461" w:type="pct"/>
            <w:tcBorders>
              <w:top w:val="nil"/>
              <w:left w:val="nil"/>
              <w:bottom w:val="single" w:color="auto" w:sz="4" w:space="0"/>
              <w:right w:val="single" w:color="auto" w:sz="4" w:space="0"/>
            </w:tcBorders>
            <w:shd w:val="clear" w:color="auto" w:fill="auto"/>
            <w:vAlign w:val="center"/>
          </w:tcPr>
          <w:p w14:paraId="790CA560">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3.54 </w:t>
            </w:r>
          </w:p>
        </w:tc>
      </w:tr>
      <w:tr w14:paraId="2BC4C93A">
        <w:tblPrEx>
          <w:tblCellMar>
            <w:top w:w="0" w:type="dxa"/>
            <w:left w:w="108" w:type="dxa"/>
            <w:bottom w:w="0" w:type="dxa"/>
            <w:right w:w="108" w:type="dxa"/>
          </w:tblCellMar>
        </w:tblPrEx>
        <w:trPr>
          <w:trHeight w:val="397" w:hRule="atLeast"/>
          <w:jc w:val="center"/>
        </w:trPr>
        <w:tc>
          <w:tcPr>
            <w:tcW w:w="13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F2451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小计</w:t>
            </w:r>
          </w:p>
        </w:tc>
        <w:tc>
          <w:tcPr>
            <w:tcW w:w="429" w:type="pct"/>
            <w:tcBorders>
              <w:top w:val="nil"/>
              <w:left w:val="nil"/>
              <w:bottom w:val="single" w:color="auto" w:sz="4" w:space="0"/>
              <w:right w:val="single" w:color="auto" w:sz="4" w:space="0"/>
            </w:tcBorders>
            <w:shd w:val="clear" w:color="auto" w:fill="auto"/>
            <w:noWrap/>
            <w:vAlign w:val="center"/>
          </w:tcPr>
          <w:p w14:paraId="295F4FC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1114.62</w:t>
            </w:r>
          </w:p>
        </w:tc>
        <w:tc>
          <w:tcPr>
            <w:tcW w:w="501" w:type="pct"/>
            <w:tcBorders>
              <w:top w:val="nil"/>
              <w:left w:val="nil"/>
              <w:bottom w:val="single" w:color="auto" w:sz="4" w:space="0"/>
              <w:right w:val="single" w:color="auto" w:sz="4" w:space="0"/>
            </w:tcBorders>
            <w:shd w:val="clear" w:color="auto" w:fill="auto"/>
            <w:vAlign w:val="center"/>
          </w:tcPr>
          <w:p w14:paraId="178B406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556.74</w:t>
            </w:r>
          </w:p>
        </w:tc>
        <w:tc>
          <w:tcPr>
            <w:tcW w:w="526" w:type="pct"/>
            <w:tcBorders>
              <w:top w:val="nil"/>
              <w:left w:val="nil"/>
              <w:bottom w:val="single" w:color="auto" w:sz="4" w:space="0"/>
              <w:right w:val="single" w:color="auto" w:sz="4" w:space="0"/>
            </w:tcBorders>
            <w:shd w:val="clear" w:color="auto" w:fill="auto"/>
            <w:vAlign w:val="center"/>
          </w:tcPr>
          <w:p w14:paraId="4B254EA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525.18</w:t>
            </w:r>
          </w:p>
        </w:tc>
        <w:tc>
          <w:tcPr>
            <w:tcW w:w="456" w:type="pct"/>
            <w:tcBorders>
              <w:top w:val="nil"/>
              <w:left w:val="nil"/>
              <w:bottom w:val="single" w:color="auto" w:sz="4" w:space="0"/>
              <w:right w:val="single" w:color="auto" w:sz="4" w:space="0"/>
            </w:tcBorders>
            <w:shd w:val="clear" w:color="auto" w:fill="auto"/>
            <w:vAlign w:val="center"/>
          </w:tcPr>
          <w:p w14:paraId="4D00F39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32.70</w:t>
            </w:r>
          </w:p>
        </w:tc>
        <w:tc>
          <w:tcPr>
            <w:tcW w:w="305" w:type="pct"/>
            <w:tcBorders>
              <w:top w:val="nil"/>
              <w:left w:val="nil"/>
              <w:bottom w:val="single" w:color="auto" w:sz="4" w:space="0"/>
              <w:right w:val="single" w:color="auto" w:sz="4" w:space="0"/>
            </w:tcBorders>
            <w:shd w:val="clear" w:color="auto" w:fill="auto"/>
            <w:vAlign w:val="center"/>
          </w:tcPr>
          <w:p w14:paraId="19F472C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1114.62</w:t>
            </w:r>
          </w:p>
        </w:tc>
        <w:tc>
          <w:tcPr>
            <w:tcW w:w="399" w:type="pct"/>
            <w:tcBorders>
              <w:top w:val="nil"/>
              <w:left w:val="nil"/>
              <w:bottom w:val="single" w:color="auto" w:sz="4" w:space="0"/>
              <w:right w:val="single" w:color="auto" w:sz="4" w:space="0"/>
            </w:tcBorders>
            <w:shd w:val="clear" w:color="auto" w:fill="auto"/>
            <w:vAlign w:val="center"/>
          </w:tcPr>
          <w:p w14:paraId="20735D7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1081.92</w:t>
            </w:r>
          </w:p>
        </w:tc>
        <w:tc>
          <w:tcPr>
            <w:tcW w:w="304" w:type="pct"/>
            <w:tcBorders>
              <w:top w:val="nil"/>
              <w:left w:val="nil"/>
              <w:bottom w:val="single" w:color="auto" w:sz="4" w:space="0"/>
              <w:right w:val="single" w:color="auto" w:sz="4" w:space="0"/>
            </w:tcBorders>
            <w:shd w:val="clear" w:color="auto" w:fill="auto"/>
            <w:vAlign w:val="center"/>
          </w:tcPr>
          <w:p w14:paraId="38F2C34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32.70</w:t>
            </w:r>
          </w:p>
        </w:tc>
        <w:tc>
          <w:tcPr>
            <w:tcW w:w="305" w:type="pct"/>
            <w:tcBorders>
              <w:top w:val="nil"/>
              <w:left w:val="nil"/>
              <w:bottom w:val="single" w:color="auto" w:sz="4" w:space="0"/>
              <w:right w:val="single" w:color="auto" w:sz="4" w:space="0"/>
            </w:tcBorders>
            <w:shd w:val="clear" w:color="auto" w:fill="auto"/>
            <w:vAlign w:val="center"/>
          </w:tcPr>
          <w:p w14:paraId="49EB155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1114.62</w:t>
            </w:r>
          </w:p>
        </w:tc>
        <w:tc>
          <w:tcPr>
            <w:tcW w:w="461" w:type="pct"/>
            <w:tcBorders>
              <w:top w:val="nil"/>
              <w:left w:val="nil"/>
              <w:bottom w:val="single" w:color="auto" w:sz="4" w:space="0"/>
              <w:right w:val="single" w:color="auto" w:sz="4" w:space="0"/>
            </w:tcBorders>
            <w:shd w:val="clear" w:color="auto" w:fill="auto"/>
            <w:vAlign w:val="center"/>
          </w:tcPr>
          <w:p w14:paraId="10D03380">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251.57</w:t>
            </w:r>
          </w:p>
        </w:tc>
      </w:tr>
      <w:tr w14:paraId="2E0525C6">
        <w:tblPrEx>
          <w:tblCellMar>
            <w:top w:w="0" w:type="dxa"/>
            <w:left w:w="108" w:type="dxa"/>
            <w:bottom w:w="0" w:type="dxa"/>
            <w:right w:w="108" w:type="dxa"/>
          </w:tblCellMar>
        </w:tblPrEx>
        <w:trPr>
          <w:trHeight w:val="397" w:hRule="atLeast"/>
          <w:jc w:val="center"/>
        </w:trPr>
        <w:tc>
          <w:tcPr>
            <w:tcW w:w="464" w:type="pct"/>
            <w:vMerge w:val="restart"/>
            <w:tcBorders>
              <w:top w:val="nil"/>
              <w:left w:val="single" w:color="auto" w:sz="4" w:space="0"/>
              <w:bottom w:val="single" w:color="auto" w:sz="4" w:space="0"/>
              <w:right w:val="single" w:color="auto" w:sz="4" w:space="0"/>
            </w:tcBorders>
            <w:shd w:val="clear" w:color="auto" w:fill="auto"/>
            <w:vAlign w:val="center"/>
          </w:tcPr>
          <w:p w14:paraId="2E5FA5D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地块2（下湿壕片区）</w:t>
            </w:r>
          </w:p>
        </w:tc>
        <w:tc>
          <w:tcPr>
            <w:tcW w:w="850" w:type="pct"/>
            <w:tcBorders>
              <w:top w:val="nil"/>
              <w:left w:val="nil"/>
              <w:bottom w:val="single" w:color="auto" w:sz="4" w:space="0"/>
              <w:right w:val="single" w:color="auto" w:sz="4" w:space="0"/>
            </w:tcBorders>
            <w:shd w:val="clear" w:color="auto" w:fill="auto"/>
            <w:noWrap/>
            <w:vAlign w:val="center"/>
          </w:tcPr>
          <w:p w14:paraId="03A6B61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工矿用地</w:t>
            </w:r>
          </w:p>
        </w:tc>
        <w:tc>
          <w:tcPr>
            <w:tcW w:w="429" w:type="pct"/>
            <w:tcBorders>
              <w:top w:val="nil"/>
              <w:left w:val="nil"/>
              <w:bottom w:val="single" w:color="auto" w:sz="4" w:space="0"/>
              <w:right w:val="single" w:color="auto" w:sz="4" w:space="0"/>
            </w:tcBorders>
            <w:shd w:val="clear" w:color="auto" w:fill="auto"/>
            <w:noWrap/>
            <w:vAlign w:val="center"/>
          </w:tcPr>
          <w:p w14:paraId="746F49D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147.08 </w:t>
            </w:r>
          </w:p>
        </w:tc>
        <w:tc>
          <w:tcPr>
            <w:tcW w:w="501" w:type="pct"/>
            <w:tcBorders>
              <w:top w:val="nil"/>
              <w:left w:val="nil"/>
              <w:bottom w:val="single" w:color="auto" w:sz="4" w:space="0"/>
              <w:right w:val="single" w:color="auto" w:sz="4" w:space="0"/>
            </w:tcBorders>
            <w:shd w:val="clear" w:color="auto" w:fill="auto"/>
            <w:vAlign w:val="center"/>
          </w:tcPr>
          <w:p w14:paraId="5890B90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73.54 </w:t>
            </w:r>
          </w:p>
        </w:tc>
        <w:tc>
          <w:tcPr>
            <w:tcW w:w="526" w:type="pct"/>
            <w:tcBorders>
              <w:top w:val="nil"/>
              <w:left w:val="nil"/>
              <w:bottom w:val="single" w:color="auto" w:sz="4" w:space="0"/>
              <w:right w:val="single" w:color="auto" w:sz="4" w:space="0"/>
            </w:tcBorders>
            <w:shd w:val="clear" w:color="auto" w:fill="auto"/>
            <w:vAlign w:val="center"/>
          </w:tcPr>
          <w:p w14:paraId="52DB134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66.34 </w:t>
            </w:r>
          </w:p>
        </w:tc>
        <w:tc>
          <w:tcPr>
            <w:tcW w:w="456" w:type="pct"/>
            <w:tcBorders>
              <w:top w:val="nil"/>
              <w:left w:val="nil"/>
              <w:bottom w:val="single" w:color="auto" w:sz="4" w:space="0"/>
              <w:right w:val="single" w:color="auto" w:sz="4" w:space="0"/>
            </w:tcBorders>
            <w:shd w:val="clear" w:color="auto" w:fill="auto"/>
            <w:vAlign w:val="center"/>
          </w:tcPr>
          <w:p w14:paraId="0BE748B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7.20 </w:t>
            </w:r>
          </w:p>
        </w:tc>
        <w:tc>
          <w:tcPr>
            <w:tcW w:w="305" w:type="pct"/>
            <w:tcBorders>
              <w:top w:val="nil"/>
              <w:left w:val="nil"/>
              <w:bottom w:val="single" w:color="auto" w:sz="4" w:space="0"/>
              <w:right w:val="single" w:color="auto" w:sz="4" w:space="0"/>
            </w:tcBorders>
            <w:shd w:val="clear" w:color="auto" w:fill="auto"/>
            <w:vAlign w:val="center"/>
          </w:tcPr>
          <w:p w14:paraId="417F84A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147.08 </w:t>
            </w:r>
          </w:p>
        </w:tc>
        <w:tc>
          <w:tcPr>
            <w:tcW w:w="399" w:type="pct"/>
            <w:tcBorders>
              <w:top w:val="nil"/>
              <w:left w:val="nil"/>
              <w:bottom w:val="single" w:color="auto" w:sz="4" w:space="0"/>
              <w:right w:val="single" w:color="auto" w:sz="4" w:space="0"/>
            </w:tcBorders>
            <w:shd w:val="clear" w:color="auto" w:fill="auto"/>
            <w:vAlign w:val="center"/>
          </w:tcPr>
          <w:p w14:paraId="02D1793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139.88 </w:t>
            </w:r>
          </w:p>
        </w:tc>
        <w:tc>
          <w:tcPr>
            <w:tcW w:w="304" w:type="pct"/>
            <w:tcBorders>
              <w:top w:val="nil"/>
              <w:left w:val="nil"/>
              <w:bottom w:val="single" w:color="auto" w:sz="4" w:space="0"/>
              <w:right w:val="single" w:color="auto" w:sz="4" w:space="0"/>
            </w:tcBorders>
            <w:shd w:val="clear" w:color="auto" w:fill="auto"/>
            <w:vAlign w:val="center"/>
          </w:tcPr>
          <w:p w14:paraId="24A87E9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7.20 </w:t>
            </w:r>
          </w:p>
        </w:tc>
        <w:tc>
          <w:tcPr>
            <w:tcW w:w="305" w:type="pct"/>
            <w:tcBorders>
              <w:top w:val="nil"/>
              <w:left w:val="nil"/>
              <w:bottom w:val="single" w:color="auto" w:sz="4" w:space="0"/>
              <w:right w:val="single" w:color="auto" w:sz="4" w:space="0"/>
            </w:tcBorders>
            <w:shd w:val="clear" w:color="auto" w:fill="auto"/>
            <w:vAlign w:val="center"/>
          </w:tcPr>
          <w:p w14:paraId="3ACB3A7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147.08 </w:t>
            </w:r>
          </w:p>
        </w:tc>
        <w:tc>
          <w:tcPr>
            <w:tcW w:w="461" w:type="pct"/>
            <w:tcBorders>
              <w:top w:val="nil"/>
              <w:left w:val="nil"/>
              <w:bottom w:val="single" w:color="auto" w:sz="4" w:space="0"/>
              <w:right w:val="single" w:color="auto" w:sz="4" w:space="0"/>
            </w:tcBorders>
            <w:shd w:val="clear" w:color="auto" w:fill="auto"/>
            <w:vAlign w:val="center"/>
          </w:tcPr>
          <w:p w14:paraId="6B04C5AC">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29.42 </w:t>
            </w:r>
          </w:p>
        </w:tc>
      </w:tr>
      <w:tr w14:paraId="620FA04C">
        <w:tblPrEx>
          <w:tblCellMar>
            <w:top w:w="0" w:type="dxa"/>
            <w:left w:w="108" w:type="dxa"/>
            <w:bottom w:w="0" w:type="dxa"/>
            <w:right w:w="108" w:type="dxa"/>
          </w:tblCellMar>
        </w:tblPrEx>
        <w:trPr>
          <w:trHeight w:val="397" w:hRule="atLeast"/>
          <w:jc w:val="center"/>
        </w:trPr>
        <w:tc>
          <w:tcPr>
            <w:tcW w:w="464" w:type="pct"/>
            <w:vMerge w:val="continue"/>
            <w:tcBorders>
              <w:top w:val="nil"/>
              <w:left w:val="single" w:color="auto" w:sz="4" w:space="0"/>
              <w:bottom w:val="single" w:color="auto" w:sz="4" w:space="0"/>
              <w:right w:val="single" w:color="auto" w:sz="4" w:space="0"/>
            </w:tcBorders>
            <w:vAlign w:val="center"/>
          </w:tcPr>
          <w:p w14:paraId="60EAC0B2">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850" w:type="pct"/>
            <w:tcBorders>
              <w:top w:val="nil"/>
              <w:left w:val="nil"/>
              <w:bottom w:val="single" w:color="auto" w:sz="4" w:space="0"/>
              <w:right w:val="single" w:color="auto" w:sz="4" w:space="0"/>
            </w:tcBorders>
            <w:shd w:val="clear" w:color="auto" w:fill="auto"/>
            <w:noWrap/>
            <w:vAlign w:val="center"/>
          </w:tcPr>
          <w:p w14:paraId="0C9EB19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交通运输用地</w:t>
            </w:r>
          </w:p>
        </w:tc>
        <w:tc>
          <w:tcPr>
            <w:tcW w:w="429" w:type="pct"/>
            <w:tcBorders>
              <w:top w:val="nil"/>
              <w:left w:val="nil"/>
              <w:bottom w:val="single" w:color="auto" w:sz="4" w:space="0"/>
              <w:right w:val="single" w:color="auto" w:sz="4" w:space="0"/>
            </w:tcBorders>
            <w:shd w:val="clear" w:color="auto" w:fill="auto"/>
            <w:noWrap/>
            <w:vAlign w:val="center"/>
          </w:tcPr>
          <w:p w14:paraId="273BC58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3.09 </w:t>
            </w:r>
          </w:p>
        </w:tc>
        <w:tc>
          <w:tcPr>
            <w:tcW w:w="501" w:type="pct"/>
            <w:tcBorders>
              <w:top w:val="nil"/>
              <w:left w:val="nil"/>
              <w:bottom w:val="single" w:color="auto" w:sz="4" w:space="0"/>
              <w:right w:val="single" w:color="auto" w:sz="4" w:space="0"/>
            </w:tcBorders>
            <w:shd w:val="clear" w:color="auto" w:fill="auto"/>
            <w:vAlign w:val="center"/>
          </w:tcPr>
          <w:p w14:paraId="3F6D471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1.85 </w:t>
            </w:r>
          </w:p>
        </w:tc>
        <w:tc>
          <w:tcPr>
            <w:tcW w:w="526" w:type="pct"/>
            <w:tcBorders>
              <w:top w:val="nil"/>
              <w:left w:val="nil"/>
              <w:bottom w:val="single" w:color="auto" w:sz="4" w:space="0"/>
              <w:right w:val="single" w:color="auto" w:sz="4" w:space="0"/>
            </w:tcBorders>
            <w:shd w:val="clear" w:color="auto" w:fill="auto"/>
            <w:vAlign w:val="center"/>
          </w:tcPr>
          <w:p w14:paraId="77FB4EF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0.89 </w:t>
            </w:r>
          </w:p>
        </w:tc>
        <w:tc>
          <w:tcPr>
            <w:tcW w:w="456" w:type="pct"/>
            <w:tcBorders>
              <w:top w:val="nil"/>
              <w:left w:val="nil"/>
              <w:bottom w:val="single" w:color="auto" w:sz="4" w:space="0"/>
              <w:right w:val="single" w:color="auto" w:sz="4" w:space="0"/>
            </w:tcBorders>
            <w:shd w:val="clear" w:color="auto" w:fill="auto"/>
            <w:vAlign w:val="center"/>
          </w:tcPr>
          <w:p w14:paraId="5820386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0.35 </w:t>
            </w:r>
          </w:p>
        </w:tc>
        <w:tc>
          <w:tcPr>
            <w:tcW w:w="305" w:type="pct"/>
            <w:tcBorders>
              <w:top w:val="nil"/>
              <w:left w:val="nil"/>
              <w:bottom w:val="single" w:color="auto" w:sz="4" w:space="0"/>
              <w:right w:val="single" w:color="auto" w:sz="4" w:space="0"/>
            </w:tcBorders>
            <w:shd w:val="clear" w:color="auto" w:fill="auto"/>
            <w:vAlign w:val="center"/>
          </w:tcPr>
          <w:p w14:paraId="646D1D3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3.09 </w:t>
            </w:r>
          </w:p>
        </w:tc>
        <w:tc>
          <w:tcPr>
            <w:tcW w:w="399" w:type="pct"/>
            <w:tcBorders>
              <w:top w:val="nil"/>
              <w:left w:val="nil"/>
              <w:bottom w:val="single" w:color="auto" w:sz="4" w:space="0"/>
              <w:right w:val="single" w:color="auto" w:sz="4" w:space="0"/>
            </w:tcBorders>
            <w:shd w:val="clear" w:color="auto" w:fill="auto"/>
            <w:vAlign w:val="center"/>
          </w:tcPr>
          <w:p w14:paraId="7DC92A1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2.74 </w:t>
            </w:r>
          </w:p>
        </w:tc>
        <w:tc>
          <w:tcPr>
            <w:tcW w:w="304" w:type="pct"/>
            <w:tcBorders>
              <w:top w:val="nil"/>
              <w:left w:val="nil"/>
              <w:bottom w:val="single" w:color="auto" w:sz="4" w:space="0"/>
              <w:right w:val="single" w:color="auto" w:sz="4" w:space="0"/>
            </w:tcBorders>
            <w:shd w:val="clear" w:color="auto" w:fill="auto"/>
            <w:vAlign w:val="center"/>
          </w:tcPr>
          <w:p w14:paraId="01EEAD2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0.35 </w:t>
            </w:r>
          </w:p>
        </w:tc>
        <w:tc>
          <w:tcPr>
            <w:tcW w:w="305" w:type="pct"/>
            <w:tcBorders>
              <w:top w:val="nil"/>
              <w:left w:val="nil"/>
              <w:bottom w:val="single" w:color="auto" w:sz="4" w:space="0"/>
              <w:right w:val="single" w:color="auto" w:sz="4" w:space="0"/>
            </w:tcBorders>
            <w:shd w:val="clear" w:color="auto" w:fill="auto"/>
            <w:vAlign w:val="center"/>
          </w:tcPr>
          <w:p w14:paraId="37CD530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3.09 </w:t>
            </w:r>
          </w:p>
        </w:tc>
        <w:tc>
          <w:tcPr>
            <w:tcW w:w="461" w:type="pct"/>
            <w:tcBorders>
              <w:top w:val="nil"/>
              <w:left w:val="nil"/>
              <w:bottom w:val="single" w:color="auto" w:sz="4" w:space="0"/>
              <w:right w:val="single" w:color="auto" w:sz="4" w:space="0"/>
            </w:tcBorders>
            <w:shd w:val="clear" w:color="auto" w:fill="auto"/>
            <w:vAlign w:val="center"/>
          </w:tcPr>
          <w:p w14:paraId="1F982E4E">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1.20 </w:t>
            </w:r>
          </w:p>
        </w:tc>
      </w:tr>
      <w:tr w14:paraId="48031C5A">
        <w:tblPrEx>
          <w:tblCellMar>
            <w:top w:w="0" w:type="dxa"/>
            <w:left w:w="108" w:type="dxa"/>
            <w:bottom w:w="0" w:type="dxa"/>
            <w:right w:w="108" w:type="dxa"/>
          </w:tblCellMar>
        </w:tblPrEx>
        <w:trPr>
          <w:trHeight w:val="397" w:hRule="atLeast"/>
          <w:jc w:val="center"/>
        </w:trPr>
        <w:tc>
          <w:tcPr>
            <w:tcW w:w="464" w:type="pct"/>
            <w:vMerge w:val="continue"/>
            <w:tcBorders>
              <w:top w:val="nil"/>
              <w:left w:val="single" w:color="auto" w:sz="4" w:space="0"/>
              <w:bottom w:val="single" w:color="auto" w:sz="4" w:space="0"/>
              <w:right w:val="single" w:color="auto" w:sz="4" w:space="0"/>
            </w:tcBorders>
            <w:vAlign w:val="center"/>
          </w:tcPr>
          <w:p w14:paraId="3FC182A8">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850" w:type="pct"/>
            <w:tcBorders>
              <w:top w:val="nil"/>
              <w:left w:val="nil"/>
              <w:bottom w:val="single" w:color="auto" w:sz="4" w:space="0"/>
              <w:right w:val="single" w:color="auto" w:sz="4" w:space="0"/>
            </w:tcBorders>
            <w:shd w:val="clear" w:color="auto" w:fill="auto"/>
            <w:noWrap/>
            <w:vAlign w:val="center"/>
          </w:tcPr>
          <w:p w14:paraId="3AB8A05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绿地与开敞空间用地</w:t>
            </w:r>
          </w:p>
        </w:tc>
        <w:tc>
          <w:tcPr>
            <w:tcW w:w="429" w:type="pct"/>
            <w:tcBorders>
              <w:top w:val="nil"/>
              <w:left w:val="nil"/>
              <w:bottom w:val="single" w:color="auto" w:sz="4" w:space="0"/>
              <w:right w:val="single" w:color="auto" w:sz="4" w:space="0"/>
            </w:tcBorders>
            <w:shd w:val="clear" w:color="auto" w:fill="auto"/>
            <w:noWrap/>
            <w:vAlign w:val="center"/>
          </w:tcPr>
          <w:p w14:paraId="51716C8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1.83 </w:t>
            </w:r>
          </w:p>
        </w:tc>
        <w:tc>
          <w:tcPr>
            <w:tcW w:w="501" w:type="pct"/>
            <w:tcBorders>
              <w:top w:val="nil"/>
              <w:left w:val="nil"/>
              <w:bottom w:val="single" w:color="auto" w:sz="4" w:space="0"/>
              <w:right w:val="single" w:color="auto" w:sz="4" w:space="0"/>
            </w:tcBorders>
            <w:shd w:val="clear" w:color="auto" w:fill="auto"/>
            <w:vAlign w:val="center"/>
          </w:tcPr>
          <w:p w14:paraId="222DD12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526" w:type="pct"/>
            <w:tcBorders>
              <w:top w:val="nil"/>
              <w:left w:val="nil"/>
              <w:bottom w:val="single" w:color="auto" w:sz="4" w:space="0"/>
              <w:right w:val="single" w:color="auto" w:sz="4" w:space="0"/>
            </w:tcBorders>
            <w:shd w:val="clear" w:color="auto" w:fill="auto"/>
            <w:vAlign w:val="center"/>
          </w:tcPr>
          <w:p w14:paraId="214B816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1.83 </w:t>
            </w:r>
          </w:p>
        </w:tc>
        <w:tc>
          <w:tcPr>
            <w:tcW w:w="456" w:type="pct"/>
            <w:tcBorders>
              <w:top w:val="nil"/>
              <w:left w:val="nil"/>
              <w:bottom w:val="single" w:color="auto" w:sz="4" w:space="0"/>
              <w:right w:val="single" w:color="auto" w:sz="4" w:space="0"/>
            </w:tcBorders>
            <w:shd w:val="clear" w:color="auto" w:fill="auto"/>
            <w:vAlign w:val="center"/>
          </w:tcPr>
          <w:p w14:paraId="671EE81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305" w:type="pct"/>
            <w:tcBorders>
              <w:top w:val="nil"/>
              <w:left w:val="nil"/>
              <w:bottom w:val="single" w:color="auto" w:sz="4" w:space="0"/>
              <w:right w:val="single" w:color="auto" w:sz="4" w:space="0"/>
            </w:tcBorders>
            <w:shd w:val="clear" w:color="auto" w:fill="auto"/>
            <w:vAlign w:val="center"/>
          </w:tcPr>
          <w:p w14:paraId="72FEACD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1.83 </w:t>
            </w:r>
          </w:p>
        </w:tc>
        <w:tc>
          <w:tcPr>
            <w:tcW w:w="399" w:type="pct"/>
            <w:tcBorders>
              <w:top w:val="nil"/>
              <w:left w:val="nil"/>
              <w:bottom w:val="single" w:color="auto" w:sz="4" w:space="0"/>
              <w:right w:val="single" w:color="auto" w:sz="4" w:space="0"/>
            </w:tcBorders>
            <w:shd w:val="clear" w:color="auto" w:fill="auto"/>
            <w:vAlign w:val="center"/>
          </w:tcPr>
          <w:p w14:paraId="7D94C0E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1.83 </w:t>
            </w:r>
          </w:p>
        </w:tc>
        <w:tc>
          <w:tcPr>
            <w:tcW w:w="304" w:type="pct"/>
            <w:tcBorders>
              <w:top w:val="nil"/>
              <w:left w:val="nil"/>
              <w:bottom w:val="single" w:color="auto" w:sz="4" w:space="0"/>
              <w:right w:val="single" w:color="auto" w:sz="4" w:space="0"/>
            </w:tcBorders>
            <w:shd w:val="clear" w:color="auto" w:fill="auto"/>
            <w:vAlign w:val="center"/>
          </w:tcPr>
          <w:p w14:paraId="5226B3D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0.00 </w:t>
            </w:r>
          </w:p>
        </w:tc>
        <w:tc>
          <w:tcPr>
            <w:tcW w:w="305" w:type="pct"/>
            <w:tcBorders>
              <w:top w:val="nil"/>
              <w:left w:val="nil"/>
              <w:bottom w:val="single" w:color="auto" w:sz="4" w:space="0"/>
              <w:right w:val="single" w:color="auto" w:sz="4" w:space="0"/>
            </w:tcBorders>
            <w:shd w:val="clear" w:color="auto" w:fill="auto"/>
            <w:vAlign w:val="center"/>
          </w:tcPr>
          <w:p w14:paraId="525CF54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1.83 </w:t>
            </w:r>
          </w:p>
        </w:tc>
        <w:tc>
          <w:tcPr>
            <w:tcW w:w="461" w:type="pct"/>
            <w:tcBorders>
              <w:top w:val="nil"/>
              <w:left w:val="nil"/>
              <w:bottom w:val="single" w:color="auto" w:sz="4" w:space="0"/>
              <w:right w:val="single" w:color="auto" w:sz="4" w:space="0"/>
            </w:tcBorders>
            <w:shd w:val="clear" w:color="auto" w:fill="auto"/>
            <w:vAlign w:val="center"/>
          </w:tcPr>
          <w:p w14:paraId="6736E35B">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1.83 </w:t>
            </w:r>
          </w:p>
        </w:tc>
      </w:tr>
      <w:tr w14:paraId="3F146FF8">
        <w:tblPrEx>
          <w:tblCellMar>
            <w:top w:w="0" w:type="dxa"/>
            <w:left w:w="108" w:type="dxa"/>
            <w:bottom w:w="0" w:type="dxa"/>
            <w:right w:w="108" w:type="dxa"/>
          </w:tblCellMar>
        </w:tblPrEx>
        <w:trPr>
          <w:trHeight w:val="397" w:hRule="atLeast"/>
          <w:jc w:val="center"/>
        </w:trPr>
        <w:tc>
          <w:tcPr>
            <w:tcW w:w="464" w:type="pct"/>
            <w:vMerge w:val="continue"/>
            <w:tcBorders>
              <w:top w:val="nil"/>
              <w:left w:val="single" w:color="auto" w:sz="4" w:space="0"/>
              <w:bottom w:val="single" w:color="auto" w:sz="4" w:space="0"/>
              <w:right w:val="single" w:color="auto" w:sz="4" w:space="0"/>
            </w:tcBorders>
            <w:vAlign w:val="center"/>
          </w:tcPr>
          <w:p w14:paraId="7F47CD6F">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850" w:type="pct"/>
            <w:tcBorders>
              <w:top w:val="nil"/>
              <w:left w:val="nil"/>
              <w:bottom w:val="single" w:color="auto" w:sz="4" w:space="0"/>
              <w:right w:val="single" w:color="auto" w:sz="4" w:space="0"/>
            </w:tcBorders>
            <w:shd w:val="clear" w:color="auto" w:fill="auto"/>
            <w:noWrap/>
            <w:vAlign w:val="center"/>
          </w:tcPr>
          <w:p w14:paraId="3B70212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陆地水域</w:t>
            </w:r>
          </w:p>
        </w:tc>
        <w:tc>
          <w:tcPr>
            <w:tcW w:w="429" w:type="pct"/>
            <w:tcBorders>
              <w:top w:val="nil"/>
              <w:left w:val="nil"/>
              <w:bottom w:val="single" w:color="auto" w:sz="4" w:space="0"/>
              <w:right w:val="single" w:color="auto" w:sz="4" w:space="0"/>
            </w:tcBorders>
            <w:shd w:val="clear" w:color="auto" w:fill="auto"/>
            <w:noWrap/>
            <w:vAlign w:val="center"/>
          </w:tcPr>
          <w:p w14:paraId="2EFE80B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1.10 </w:t>
            </w:r>
          </w:p>
        </w:tc>
        <w:tc>
          <w:tcPr>
            <w:tcW w:w="501" w:type="pct"/>
            <w:tcBorders>
              <w:top w:val="nil"/>
              <w:left w:val="nil"/>
              <w:bottom w:val="single" w:color="auto" w:sz="4" w:space="0"/>
              <w:right w:val="single" w:color="auto" w:sz="4" w:space="0"/>
            </w:tcBorders>
            <w:shd w:val="clear" w:color="auto" w:fill="auto"/>
            <w:vAlign w:val="center"/>
          </w:tcPr>
          <w:p w14:paraId="025A8F9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526" w:type="pct"/>
            <w:tcBorders>
              <w:top w:val="nil"/>
              <w:left w:val="nil"/>
              <w:bottom w:val="single" w:color="auto" w:sz="4" w:space="0"/>
              <w:right w:val="single" w:color="auto" w:sz="4" w:space="0"/>
            </w:tcBorders>
            <w:shd w:val="clear" w:color="auto" w:fill="auto"/>
            <w:vAlign w:val="center"/>
          </w:tcPr>
          <w:p w14:paraId="4312803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1.10 </w:t>
            </w:r>
          </w:p>
        </w:tc>
        <w:tc>
          <w:tcPr>
            <w:tcW w:w="456" w:type="pct"/>
            <w:tcBorders>
              <w:top w:val="nil"/>
              <w:left w:val="nil"/>
              <w:bottom w:val="single" w:color="auto" w:sz="4" w:space="0"/>
              <w:right w:val="single" w:color="auto" w:sz="4" w:space="0"/>
            </w:tcBorders>
            <w:shd w:val="clear" w:color="auto" w:fill="auto"/>
            <w:vAlign w:val="center"/>
          </w:tcPr>
          <w:p w14:paraId="0647E7B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305" w:type="pct"/>
            <w:tcBorders>
              <w:top w:val="nil"/>
              <w:left w:val="nil"/>
              <w:bottom w:val="single" w:color="auto" w:sz="4" w:space="0"/>
              <w:right w:val="single" w:color="auto" w:sz="4" w:space="0"/>
            </w:tcBorders>
            <w:shd w:val="clear" w:color="auto" w:fill="auto"/>
            <w:vAlign w:val="center"/>
          </w:tcPr>
          <w:p w14:paraId="2EF404A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1.10 </w:t>
            </w:r>
          </w:p>
        </w:tc>
        <w:tc>
          <w:tcPr>
            <w:tcW w:w="399" w:type="pct"/>
            <w:tcBorders>
              <w:top w:val="nil"/>
              <w:left w:val="nil"/>
              <w:bottom w:val="single" w:color="auto" w:sz="4" w:space="0"/>
              <w:right w:val="single" w:color="auto" w:sz="4" w:space="0"/>
            </w:tcBorders>
            <w:shd w:val="clear" w:color="auto" w:fill="auto"/>
            <w:vAlign w:val="center"/>
          </w:tcPr>
          <w:p w14:paraId="23DBF37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1.10 </w:t>
            </w:r>
          </w:p>
        </w:tc>
        <w:tc>
          <w:tcPr>
            <w:tcW w:w="304" w:type="pct"/>
            <w:tcBorders>
              <w:top w:val="nil"/>
              <w:left w:val="nil"/>
              <w:bottom w:val="single" w:color="auto" w:sz="4" w:space="0"/>
              <w:right w:val="single" w:color="auto" w:sz="4" w:space="0"/>
            </w:tcBorders>
            <w:shd w:val="clear" w:color="auto" w:fill="auto"/>
            <w:vAlign w:val="center"/>
          </w:tcPr>
          <w:p w14:paraId="2177F15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0.00 </w:t>
            </w:r>
          </w:p>
        </w:tc>
        <w:tc>
          <w:tcPr>
            <w:tcW w:w="305" w:type="pct"/>
            <w:tcBorders>
              <w:top w:val="nil"/>
              <w:left w:val="nil"/>
              <w:bottom w:val="single" w:color="auto" w:sz="4" w:space="0"/>
              <w:right w:val="single" w:color="auto" w:sz="4" w:space="0"/>
            </w:tcBorders>
            <w:shd w:val="clear" w:color="auto" w:fill="auto"/>
            <w:vAlign w:val="center"/>
          </w:tcPr>
          <w:p w14:paraId="061F848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1.10 </w:t>
            </w:r>
          </w:p>
        </w:tc>
        <w:tc>
          <w:tcPr>
            <w:tcW w:w="461" w:type="pct"/>
            <w:tcBorders>
              <w:top w:val="nil"/>
              <w:left w:val="nil"/>
              <w:bottom w:val="single" w:color="auto" w:sz="4" w:space="0"/>
              <w:right w:val="single" w:color="auto" w:sz="4" w:space="0"/>
            </w:tcBorders>
            <w:shd w:val="clear" w:color="auto" w:fill="auto"/>
            <w:vAlign w:val="center"/>
          </w:tcPr>
          <w:p w14:paraId="2B56B885">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xml:space="preserve">1.10 </w:t>
            </w:r>
          </w:p>
        </w:tc>
      </w:tr>
      <w:tr w14:paraId="750C2782">
        <w:tblPrEx>
          <w:tblCellMar>
            <w:top w:w="0" w:type="dxa"/>
            <w:left w:w="108" w:type="dxa"/>
            <w:bottom w:w="0" w:type="dxa"/>
            <w:right w:w="108" w:type="dxa"/>
          </w:tblCellMar>
        </w:tblPrEx>
        <w:trPr>
          <w:trHeight w:val="397" w:hRule="atLeast"/>
          <w:jc w:val="center"/>
        </w:trPr>
        <w:tc>
          <w:tcPr>
            <w:tcW w:w="13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C8A73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小计</w:t>
            </w:r>
          </w:p>
        </w:tc>
        <w:tc>
          <w:tcPr>
            <w:tcW w:w="429" w:type="pct"/>
            <w:tcBorders>
              <w:top w:val="nil"/>
              <w:left w:val="nil"/>
              <w:bottom w:val="single" w:color="auto" w:sz="4" w:space="0"/>
              <w:right w:val="single" w:color="auto" w:sz="4" w:space="0"/>
            </w:tcBorders>
            <w:shd w:val="clear" w:color="auto" w:fill="auto"/>
            <w:noWrap/>
            <w:vAlign w:val="center"/>
          </w:tcPr>
          <w:p w14:paraId="37108C4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153.10</w:t>
            </w:r>
          </w:p>
        </w:tc>
        <w:tc>
          <w:tcPr>
            <w:tcW w:w="501" w:type="pct"/>
            <w:tcBorders>
              <w:top w:val="nil"/>
              <w:left w:val="nil"/>
              <w:bottom w:val="single" w:color="auto" w:sz="4" w:space="0"/>
              <w:right w:val="single" w:color="auto" w:sz="4" w:space="0"/>
            </w:tcBorders>
            <w:shd w:val="clear" w:color="auto" w:fill="auto"/>
            <w:vAlign w:val="center"/>
          </w:tcPr>
          <w:p w14:paraId="17C6891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75.39</w:t>
            </w:r>
          </w:p>
        </w:tc>
        <w:tc>
          <w:tcPr>
            <w:tcW w:w="526" w:type="pct"/>
            <w:tcBorders>
              <w:top w:val="nil"/>
              <w:left w:val="nil"/>
              <w:bottom w:val="single" w:color="auto" w:sz="4" w:space="0"/>
              <w:right w:val="single" w:color="auto" w:sz="4" w:space="0"/>
            </w:tcBorders>
            <w:shd w:val="clear" w:color="auto" w:fill="auto"/>
            <w:vAlign w:val="center"/>
          </w:tcPr>
          <w:p w14:paraId="1902073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70.16</w:t>
            </w:r>
          </w:p>
        </w:tc>
        <w:tc>
          <w:tcPr>
            <w:tcW w:w="456" w:type="pct"/>
            <w:tcBorders>
              <w:top w:val="nil"/>
              <w:left w:val="nil"/>
              <w:bottom w:val="single" w:color="auto" w:sz="4" w:space="0"/>
              <w:right w:val="single" w:color="auto" w:sz="4" w:space="0"/>
            </w:tcBorders>
            <w:shd w:val="clear" w:color="auto" w:fill="auto"/>
            <w:vAlign w:val="center"/>
          </w:tcPr>
          <w:p w14:paraId="7948F33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7.55</w:t>
            </w:r>
          </w:p>
        </w:tc>
        <w:tc>
          <w:tcPr>
            <w:tcW w:w="305" w:type="pct"/>
            <w:tcBorders>
              <w:top w:val="nil"/>
              <w:left w:val="nil"/>
              <w:bottom w:val="single" w:color="auto" w:sz="4" w:space="0"/>
              <w:right w:val="single" w:color="auto" w:sz="4" w:space="0"/>
            </w:tcBorders>
            <w:shd w:val="clear" w:color="auto" w:fill="auto"/>
            <w:vAlign w:val="center"/>
          </w:tcPr>
          <w:p w14:paraId="3C5B852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153.10</w:t>
            </w:r>
          </w:p>
        </w:tc>
        <w:tc>
          <w:tcPr>
            <w:tcW w:w="399" w:type="pct"/>
            <w:tcBorders>
              <w:top w:val="nil"/>
              <w:left w:val="nil"/>
              <w:bottom w:val="single" w:color="auto" w:sz="4" w:space="0"/>
              <w:right w:val="single" w:color="auto" w:sz="4" w:space="0"/>
            </w:tcBorders>
            <w:shd w:val="clear" w:color="auto" w:fill="auto"/>
            <w:vAlign w:val="center"/>
          </w:tcPr>
          <w:p w14:paraId="4C9AEED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145.55</w:t>
            </w:r>
          </w:p>
        </w:tc>
        <w:tc>
          <w:tcPr>
            <w:tcW w:w="304" w:type="pct"/>
            <w:tcBorders>
              <w:top w:val="nil"/>
              <w:left w:val="nil"/>
              <w:bottom w:val="single" w:color="auto" w:sz="4" w:space="0"/>
              <w:right w:val="single" w:color="auto" w:sz="4" w:space="0"/>
            </w:tcBorders>
            <w:shd w:val="clear" w:color="auto" w:fill="auto"/>
            <w:vAlign w:val="center"/>
          </w:tcPr>
          <w:p w14:paraId="0E24D79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7.55</w:t>
            </w:r>
          </w:p>
        </w:tc>
        <w:tc>
          <w:tcPr>
            <w:tcW w:w="305" w:type="pct"/>
            <w:tcBorders>
              <w:top w:val="nil"/>
              <w:left w:val="nil"/>
              <w:bottom w:val="single" w:color="auto" w:sz="4" w:space="0"/>
              <w:right w:val="single" w:color="auto" w:sz="4" w:space="0"/>
            </w:tcBorders>
            <w:shd w:val="clear" w:color="auto" w:fill="auto"/>
            <w:vAlign w:val="center"/>
          </w:tcPr>
          <w:p w14:paraId="3AC2B34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153.10</w:t>
            </w:r>
          </w:p>
        </w:tc>
        <w:tc>
          <w:tcPr>
            <w:tcW w:w="461" w:type="pct"/>
            <w:tcBorders>
              <w:top w:val="nil"/>
              <w:left w:val="nil"/>
              <w:bottom w:val="single" w:color="auto" w:sz="4" w:space="0"/>
              <w:right w:val="single" w:color="auto" w:sz="4" w:space="0"/>
            </w:tcBorders>
            <w:shd w:val="clear" w:color="auto" w:fill="auto"/>
            <w:vAlign w:val="center"/>
          </w:tcPr>
          <w:p w14:paraId="56E0E356">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33.55</w:t>
            </w:r>
          </w:p>
        </w:tc>
      </w:tr>
      <w:tr w14:paraId="68C0ADFF">
        <w:tblPrEx>
          <w:tblCellMar>
            <w:top w:w="0" w:type="dxa"/>
            <w:left w:w="108" w:type="dxa"/>
            <w:bottom w:w="0" w:type="dxa"/>
            <w:right w:w="108" w:type="dxa"/>
          </w:tblCellMar>
        </w:tblPrEx>
        <w:trPr>
          <w:trHeight w:val="397" w:hRule="atLeast"/>
          <w:jc w:val="center"/>
        </w:trPr>
        <w:tc>
          <w:tcPr>
            <w:tcW w:w="131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906CF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合计</w:t>
            </w:r>
          </w:p>
        </w:tc>
        <w:tc>
          <w:tcPr>
            <w:tcW w:w="429" w:type="pct"/>
            <w:tcBorders>
              <w:top w:val="nil"/>
              <w:left w:val="nil"/>
              <w:bottom w:val="single" w:color="auto" w:sz="4" w:space="0"/>
              <w:right w:val="single" w:color="auto" w:sz="4" w:space="0"/>
            </w:tcBorders>
            <w:shd w:val="clear" w:color="auto" w:fill="auto"/>
            <w:vAlign w:val="center"/>
          </w:tcPr>
          <w:p w14:paraId="0543313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1267.72</w:t>
            </w:r>
          </w:p>
        </w:tc>
        <w:tc>
          <w:tcPr>
            <w:tcW w:w="501" w:type="pct"/>
            <w:tcBorders>
              <w:top w:val="nil"/>
              <w:left w:val="nil"/>
              <w:bottom w:val="single" w:color="auto" w:sz="4" w:space="0"/>
              <w:right w:val="single" w:color="auto" w:sz="4" w:space="0"/>
            </w:tcBorders>
            <w:shd w:val="clear" w:color="auto" w:fill="auto"/>
            <w:vAlign w:val="center"/>
          </w:tcPr>
          <w:p w14:paraId="777CCBA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632.14</w:t>
            </w:r>
          </w:p>
        </w:tc>
        <w:tc>
          <w:tcPr>
            <w:tcW w:w="526" w:type="pct"/>
            <w:tcBorders>
              <w:top w:val="nil"/>
              <w:left w:val="nil"/>
              <w:bottom w:val="single" w:color="auto" w:sz="4" w:space="0"/>
              <w:right w:val="single" w:color="auto" w:sz="4" w:space="0"/>
            </w:tcBorders>
            <w:shd w:val="clear" w:color="auto" w:fill="auto"/>
            <w:vAlign w:val="center"/>
          </w:tcPr>
          <w:p w14:paraId="173236D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595.33</w:t>
            </w:r>
          </w:p>
        </w:tc>
        <w:tc>
          <w:tcPr>
            <w:tcW w:w="456" w:type="pct"/>
            <w:tcBorders>
              <w:top w:val="nil"/>
              <w:left w:val="nil"/>
              <w:bottom w:val="single" w:color="auto" w:sz="4" w:space="0"/>
              <w:right w:val="single" w:color="auto" w:sz="4" w:space="0"/>
            </w:tcBorders>
            <w:shd w:val="clear" w:color="auto" w:fill="auto"/>
            <w:vAlign w:val="center"/>
          </w:tcPr>
          <w:p w14:paraId="17FEDC8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40.25</w:t>
            </w:r>
          </w:p>
        </w:tc>
        <w:tc>
          <w:tcPr>
            <w:tcW w:w="305" w:type="pct"/>
            <w:tcBorders>
              <w:top w:val="nil"/>
              <w:left w:val="nil"/>
              <w:bottom w:val="single" w:color="auto" w:sz="4" w:space="0"/>
              <w:right w:val="single" w:color="auto" w:sz="4" w:space="0"/>
            </w:tcBorders>
            <w:shd w:val="clear" w:color="auto" w:fill="auto"/>
            <w:vAlign w:val="center"/>
          </w:tcPr>
          <w:p w14:paraId="39A76EB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1267.72</w:t>
            </w:r>
          </w:p>
        </w:tc>
        <w:tc>
          <w:tcPr>
            <w:tcW w:w="399" w:type="pct"/>
            <w:tcBorders>
              <w:top w:val="nil"/>
              <w:left w:val="nil"/>
              <w:bottom w:val="single" w:color="auto" w:sz="4" w:space="0"/>
              <w:right w:val="single" w:color="auto" w:sz="4" w:space="0"/>
            </w:tcBorders>
            <w:shd w:val="clear" w:color="auto" w:fill="auto"/>
            <w:vAlign w:val="center"/>
          </w:tcPr>
          <w:p w14:paraId="2D9CDBE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1227.47</w:t>
            </w:r>
          </w:p>
        </w:tc>
        <w:tc>
          <w:tcPr>
            <w:tcW w:w="304" w:type="pct"/>
            <w:tcBorders>
              <w:top w:val="nil"/>
              <w:left w:val="nil"/>
              <w:bottom w:val="single" w:color="auto" w:sz="4" w:space="0"/>
              <w:right w:val="single" w:color="auto" w:sz="4" w:space="0"/>
            </w:tcBorders>
            <w:shd w:val="clear" w:color="auto" w:fill="auto"/>
            <w:vAlign w:val="center"/>
          </w:tcPr>
          <w:p w14:paraId="2BE050C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40.25</w:t>
            </w:r>
          </w:p>
        </w:tc>
        <w:tc>
          <w:tcPr>
            <w:tcW w:w="305" w:type="pct"/>
            <w:tcBorders>
              <w:top w:val="nil"/>
              <w:left w:val="nil"/>
              <w:bottom w:val="single" w:color="auto" w:sz="4" w:space="0"/>
              <w:right w:val="single" w:color="auto" w:sz="4" w:space="0"/>
            </w:tcBorders>
            <w:shd w:val="clear" w:color="auto" w:fill="auto"/>
            <w:vAlign w:val="center"/>
          </w:tcPr>
          <w:p w14:paraId="199A207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1267.72</w:t>
            </w:r>
          </w:p>
        </w:tc>
        <w:tc>
          <w:tcPr>
            <w:tcW w:w="461" w:type="pct"/>
            <w:tcBorders>
              <w:top w:val="nil"/>
              <w:left w:val="nil"/>
              <w:bottom w:val="single" w:color="auto" w:sz="4" w:space="0"/>
              <w:right w:val="single" w:color="auto" w:sz="4" w:space="0"/>
            </w:tcBorders>
            <w:shd w:val="clear" w:color="auto" w:fill="auto"/>
            <w:vAlign w:val="center"/>
          </w:tcPr>
          <w:p w14:paraId="7CBA4F94">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285.12</w:t>
            </w:r>
          </w:p>
        </w:tc>
      </w:tr>
    </w:tbl>
    <w:p w14:paraId="276768DE">
      <w:pPr>
        <w:pStyle w:val="44"/>
        <w:rPr>
          <w:color w:val="000000" w:themeColor="text1"/>
          <w14:textFill>
            <w14:solidFill>
              <w14:schemeClr w14:val="tx1"/>
            </w14:solidFill>
          </w14:textFill>
        </w:rPr>
      </w:pPr>
    </w:p>
    <w:p w14:paraId="25358594">
      <w:pPr>
        <w:pStyle w:val="44"/>
        <w:rPr>
          <w:color w:val="000000" w:themeColor="text1"/>
          <w:lang w:val="zh-CN" w:bidi="zh-CN"/>
          <w14:textFill>
            <w14:solidFill>
              <w14:schemeClr w14:val="tx1"/>
            </w14:solidFill>
          </w14:textFill>
        </w:rPr>
      </w:pPr>
    </w:p>
    <w:p w14:paraId="6432C49E">
      <w:pPr>
        <w:widowControl w:val="0"/>
        <w:ind w:left="480" w:firstLine="0" w:firstLineChars="0"/>
        <w:rPr>
          <w:rFonts w:cs="Times New Roman"/>
          <w:color w:val="000000" w:themeColor="text1"/>
          <w14:textFill>
            <w14:solidFill>
              <w14:schemeClr w14:val="tx1"/>
            </w14:solidFill>
          </w14:textFill>
        </w:rPr>
        <w:sectPr>
          <w:footerReference r:id="rId51" w:type="default"/>
          <w:pgSz w:w="16838" w:h="11906" w:orient="landscape"/>
          <w:pgMar w:top="1418" w:right="1304" w:bottom="1418" w:left="1304" w:header="851" w:footer="851" w:gutter="0"/>
          <w:cols w:space="720" w:num="1"/>
          <w:docGrid w:linePitch="326" w:charSpace="0"/>
        </w:sectPr>
      </w:pPr>
    </w:p>
    <w:p w14:paraId="3FFB2B57">
      <w:pPr>
        <w:pStyle w:val="4"/>
        <w:spacing w:before="120" w:after="120"/>
      </w:pPr>
      <w:bookmarkStart w:id="277" w:name="_Toc85444594"/>
      <w:r>
        <w:t>预测时段</w:t>
      </w:r>
      <w:bookmarkEnd w:id="277"/>
    </w:p>
    <w:p w14:paraId="3BFFB8BE">
      <w:pPr>
        <w:pStyle w:val="66"/>
        <w:ind w:firstLine="476"/>
      </w:pPr>
      <w:r>
        <w:rPr>
          <w:spacing w:val="-2"/>
        </w:rPr>
        <w:t>参照《生产建设项目水土保持技术标准》（GB50433-2018）规定，园区可</w:t>
      </w:r>
      <w:r>
        <w:t>能产生的水土流失量应按施工期（含施工准备期、施工期）、自然恢复期两个时</w:t>
      </w:r>
      <w:r>
        <w:rPr>
          <w:spacing w:val="-7"/>
        </w:rPr>
        <w:t>段进行预测。施工期预测时间应按连续</w:t>
      </w:r>
      <w:r>
        <w:rPr>
          <w:spacing w:val="-6"/>
        </w:rPr>
        <w:t>12</w:t>
      </w:r>
      <w:r>
        <w:rPr>
          <w:spacing w:val="-11"/>
        </w:rPr>
        <w:t>个月为</w:t>
      </w:r>
      <w:r>
        <w:rPr>
          <w:spacing w:val="-6"/>
        </w:rPr>
        <w:t>1</w:t>
      </w:r>
      <w:r>
        <w:rPr>
          <w:spacing w:val="-9"/>
        </w:rPr>
        <w:t>年计；不足</w:t>
      </w:r>
      <w:r>
        <w:rPr>
          <w:spacing w:val="-6"/>
        </w:rPr>
        <w:t>12个月，但达到</w:t>
      </w:r>
      <w:r>
        <w:t>一个雨（风）季长度的，按占雨（风）季长度的比例计算，施工期预测时间根据产业园</w:t>
      </w:r>
      <w:r>
        <w:rPr>
          <w:rFonts w:hint="eastAsia"/>
          <w:spacing w:val="5"/>
          <w:position w:val="-2"/>
        </w:rPr>
        <w:t>各</w:t>
      </w:r>
      <w:r>
        <w:t>企业开完工时间实际调查结果取平均值。依据当地气候等自然条件，自</w:t>
      </w:r>
      <w:r>
        <w:rPr>
          <w:spacing w:val="-2"/>
        </w:rPr>
        <w:t>然恢复期确定为</w:t>
      </w:r>
      <w:r>
        <w:t>5</w:t>
      </w:r>
      <w:r>
        <w:rPr>
          <w:spacing w:val="-1"/>
        </w:rPr>
        <w:t>年。水土流失预测时段调查结果见表</w:t>
      </w:r>
      <w:r>
        <w:t>4-4。</w:t>
      </w:r>
    </w:p>
    <w:p w14:paraId="42B562C2">
      <w:pPr>
        <w:pStyle w:val="44"/>
        <w:rPr>
          <w:color w:val="000000" w:themeColor="text1"/>
          <w:spacing w:val="-4"/>
          <w:vertAlign w:val="superscript"/>
          <w:lang w:eastAsia="zh-CN"/>
          <w14:textFill>
            <w14:solidFill>
              <w14:schemeClr w14:val="tx1"/>
            </w14:solidFill>
          </w14:textFill>
        </w:rPr>
      </w:pPr>
      <w:r>
        <w:rPr>
          <w:color w:val="000000" w:themeColor="text1"/>
          <w:lang w:eastAsia="zh-CN"/>
          <w14:textFill>
            <w14:solidFill>
              <w14:schemeClr w14:val="tx1"/>
            </w14:solidFill>
          </w14:textFill>
        </w:rPr>
        <w:t>表4-</w:t>
      </w:r>
      <w:r>
        <w:rPr>
          <w:color w:val="000000" w:themeColor="text1"/>
          <w:spacing w:val="-12"/>
          <w:lang w:eastAsia="zh-CN"/>
          <w14:textFill>
            <w14:solidFill>
              <w14:schemeClr w14:val="tx1"/>
            </w14:solidFill>
          </w14:textFill>
        </w:rPr>
        <w:t>4</w:t>
      </w:r>
      <w:r>
        <w:rPr>
          <w:color w:val="000000" w:themeColor="text1"/>
          <w:lang w:eastAsia="zh-CN"/>
          <w14:textFill>
            <w14:solidFill>
              <w14:schemeClr w14:val="tx1"/>
            </w14:solidFill>
          </w14:textFill>
        </w:rPr>
        <w:t xml:space="preserve">                                         园区预测时段调查</w:t>
      </w:r>
      <w:r>
        <w:rPr>
          <w:color w:val="000000" w:themeColor="text1"/>
          <w:spacing w:val="-10"/>
          <w:lang w:eastAsia="zh-CN"/>
          <w14:textFill>
            <w14:solidFill>
              <w14:schemeClr w14:val="tx1"/>
            </w14:solidFill>
          </w14:textFill>
        </w:rPr>
        <w:t>表</w:t>
      </w:r>
      <w:r>
        <w:rPr>
          <w:color w:val="000000" w:themeColor="text1"/>
          <w:lang w:eastAsia="zh-CN"/>
          <w14:textFill>
            <w14:solidFill>
              <w14:schemeClr w14:val="tx1"/>
            </w14:solidFill>
          </w14:textFill>
        </w:rPr>
        <w:t xml:space="preserve">                                  单位</w:t>
      </w:r>
      <w:r>
        <w:rPr>
          <w:color w:val="000000" w:themeColor="text1"/>
          <w:spacing w:val="-4"/>
          <w:lang w:eastAsia="zh-CN"/>
          <w14:textFill>
            <w14:solidFill>
              <w14:schemeClr w14:val="tx1"/>
            </w14:solidFill>
          </w14:textFill>
        </w:rPr>
        <w:t>：hm²</w:t>
      </w:r>
    </w:p>
    <w:tbl>
      <w:tblPr>
        <w:tblStyle w:val="27"/>
        <w:tblW w:w="5000" w:type="pct"/>
        <w:tblInd w:w="0" w:type="dxa"/>
        <w:tblLayout w:type="fixed"/>
        <w:tblCellMar>
          <w:top w:w="0" w:type="dxa"/>
          <w:left w:w="108" w:type="dxa"/>
          <w:bottom w:w="0" w:type="dxa"/>
          <w:right w:w="108" w:type="dxa"/>
        </w:tblCellMar>
      </w:tblPr>
      <w:tblGrid>
        <w:gridCol w:w="447"/>
        <w:gridCol w:w="1134"/>
        <w:gridCol w:w="1317"/>
        <w:gridCol w:w="1546"/>
        <w:gridCol w:w="1443"/>
        <w:gridCol w:w="1140"/>
        <w:gridCol w:w="1035"/>
        <w:gridCol w:w="684"/>
        <w:gridCol w:w="660"/>
      </w:tblGrid>
      <w:tr w14:paraId="4ADA7D64">
        <w:tblPrEx>
          <w:tblCellMar>
            <w:top w:w="0" w:type="dxa"/>
            <w:left w:w="108" w:type="dxa"/>
            <w:bottom w:w="0" w:type="dxa"/>
            <w:right w:w="108" w:type="dxa"/>
          </w:tblCellMar>
        </w:tblPrEx>
        <w:trPr>
          <w:trHeight w:val="397" w:hRule="atLeast"/>
          <w:tblHeader/>
        </w:trPr>
        <w:tc>
          <w:tcPr>
            <w:tcW w:w="2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79DCB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类型</w:t>
            </w:r>
          </w:p>
        </w:tc>
        <w:tc>
          <w:tcPr>
            <w:tcW w:w="6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A25A7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一级预测单元</w:t>
            </w:r>
          </w:p>
        </w:tc>
        <w:tc>
          <w:tcPr>
            <w:tcW w:w="70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516BE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二级预测单元</w:t>
            </w:r>
          </w:p>
        </w:tc>
        <w:tc>
          <w:tcPr>
            <w:tcW w:w="82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7827F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三级预测单元</w:t>
            </w:r>
          </w:p>
        </w:tc>
        <w:tc>
          <w:tcPr>
            <w:tcW w:w="76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783AE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四级预测单元</w:t>
            </w:r>
          </w:p>
        </w:tc>
        <w:tc>
          <w:tcPr>
            <w:tcW w:w="60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30570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施工期水土流失面积（hm²）</w:t>
            </w:r>
          </w:p>
        </w:tc>
        <w:tc>
          <w:tcPr>
            <w:tcW w:w="5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9D163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自然恢复期水土流失面积（hm²）</w:t>
            </w:r>
          </w:p>
        </w:tc>
        <w:tc>
          <w:tcPr>
            <w:tcW w:w="716" w:type="pct"/>
            <w:gridSpan w:val="2"/>
            <w:tcBorders>
              <w:top w:val="single" w:color="auto" w:sz="4" w:space="0"/>
              <w:left w:val="nil"/>
              <w:bottom w:val="single" w:color="auto" w:sz="4" w:space="0"/>
              <w:right w:val="single" w:color="auto" w:sz="4" w:space="0"/>
            </w:tcBorders>
            <w:shd w:val="clear" w:color="auto" w:fill="auto"/>
            <w:vAlign w:val="center"/>
          </w:tcPr>
          <w:p w14:paraId="12B9E2E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预测时段（a）</w:t>
            </w:r>
          </w:p>
        </w:tc>
      </w:tr>
      <w:tr w14:paraId="1EA564D0">
        <w:tblPrEx>
          <w:tblCellMar>
            <w:top w:w="0" w:type="dxa"/>
            <w:left w:w="108" w:type="dxa"/>
            <w:bottom w:w="0" w:type="dxa"/>
            <w:right w:w="108" w:type="dxa"/>
          </w:tblCellMar>
        </w:tblPrEx>
        <w:trPr>
          <w:trHeight w:val="397" w:hRule="atLeast"/>
          <w:tblHeader/>
        </w:trPr>
        <w:tc>
          <w:tcPr>
            <w:tcW w:w="237" w:type="pct"/>
            <w:vMerge w:val="continue"/>
            <w:tcBorders>
              <w:top w:val="single" w:color="auto" w:sz="4" w:space="0"/>
              <w:left w:val="single" w:color="auto" w:sz="4" w:space="0"/>
              <w:bottom w:val="double" w:color="auto" w:sz="4" w:space="0"/>
              <w:right w:val="single" w:color="auto" w:sz="4" w:space="0"/>
            </w:tcBorders>
            <w:vAlign w:val="center"/>
          </w:tcPr>
          <w:p w14:paraId="221E5FA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single" w:color="auto" w:sz="4" w:space="0"/>
              <w:left w:val="single" w:color="auto" w:sz="4" w:space="0"/>
              <w:bottom w:val="double" w:color="auto" w:sz="4" w:space="0"/>
              <w:right w:val="single" w:color="auto" w:sz="4" w:space="0"/>
            </w:tcBorders>
            <w:vAlign w:val="center"/>
          </w:tcPr>
          <w:p w14:paraId="4F4D79E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single" w:color="auto" w:sz="4" w:space="0"/>
              <w:left w:val="single" w:color="auto" w:sz="4" w:space="0"/>
              <w:bottom w:val="double" w:color="auto" w:sz="4" w:space="0"/>
              <w:right w:val="single" w:color="auto" w:sz="4" w:space="0"/>
            </w:tcBorders>
            <w:vAlign w:val="center"/>
          </w:tcPr>
          <w:p w14:paraId="60DD7E0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vMerge w:val="continue"/>
            <w:tcBorders>
              <w:top w:val="single" w:color="auto" w:sz="4" w:space="0"/>
              <w:left w:val="single" w:color="auto" w:sz="4" w:space="0"/>
              <w:bottom w:val="double" w:color="auto" w:sz="4" w:space="0"/>
              <w:right w:val="single" w:color="auto" w:sz="4" w:space="0"/>
            </w:tcBorders>
            <w:vAlign w:val="center"/>
          </w:tcPr>
          <w:p w14:paraId="3BAD4FE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65" w:type="pct"/>
            <w:vMerge w:val="continue"/>
            <w:tcBorders>
              <w:top w:val="single" w:color="auto" w:sz="4" w:space="0"/>
              <w:left w:val="single" w:color="auto" w:sz="4" w:space="0"/>
              <w:bottom w:val="double" w:color="auto" w:sz="4" w:space="0"/>
              <w:right w:val="single" w:color="auto" w:sz="4" w:space="0"/>
            </w:tcBorders>
            <w:vAlign w:val="center"/>
          </w:tcPr>
          <w:p w14:paraId="550C3F4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6" w:type="pct"/>
            <w:vMerge w:val="continue"/>
            <w:tcBorders>
              <w:top w:val="single" w:color="auto" w:sz="4" w:space="0"/>
              <w:left w:val="single" w:color="auto" w:sz="4" w:space="0"/>
              <w:bottom w:val="double" w:color="auto" w:sz="4" w:space="0"/>
              <w:right w:val="single" w:color="auto" w:sz="4" w:space="0"/>
            </w:tcBorders>
            <w:vAlign w:val="center"/>
          </w:tcPr>
          <w:p w14:paraId="188D8D3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50" w:type="pct"/>
            <w:vMerge w:val="continue"/>
            <w:tcBorders>
              <w:top w:val="single" w:color="auto" w:sz="4" w:space="0"/>
              <w:left w:val="single" w:color="auto" w:sz="4" w:space="0"/>
              <w:bottom w:val="double" w:color="auto" w:sz="4" w:space="0"/>
              <w:right w:val="single" w:color="auto" w:sz="4" w:space="0"/>
            </w:tcBorders>
            <w:vAlign w:val="center"/>
          </w:tcPr>
          <w:p w14:paraId="089B0F0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double" w:color="auto" w:sz="4" w:space="0"/>
              <w:right w:val="single" w:color="auto" w:sz="4" w:space="0"/>
            </w:tcBorders>
            <w:shd w:val="clear" w:color="auto" w:fill="auto"/>
            <w:vAlign w:val="center"/>
          </w:tcPr>
          <w:p w14:paraId="01828D1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施工期</w:t>
            </w:r>
          </w:p>
        </w:tc>
        <w:tc>
          <w:tcPr>
            <w:tcW w:w="352" w:type="pct"/>
            <w:tcBorders>
              <w:top w:val="nil"/>
              <w:left w:val="nil"/>
              <w:bottom w:val="double" w:color="auto" w:sz="4" w:space="0"/>
              <w:right w:val="single" w:color="auto" w:sz="4" w:space="0"/>
            </w:tcBorders>
            <w:shd w:val="clear" w:color="auto" w:fill="auto"/>
            <w:vAlign w:val="center"/>
          </w:tcPr>
          <w:p w14:paraId="34EC59E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自然恢复期</w:t>
            </w:r>
          </w:p>
        </w:tc>
      </w:tr>
      <w:tr w14:paraId="1624C11A">
        <w:tblPrEx>
          <w:tblCellMar>
            <w:top w:w="0" w:type="dxa"/>
            <w:left w:w="108" w:type="dxa"/>
            <w:bottom w:w="0" w:type="dxa"/>
            <w:right w:w="108" w:type="dxa"/>
          </w:tblCellMar>
        </w:tblPrEx>
        <w:trPr>
          <w:trHeight w:val="397" w:hRule="atLeast"/>
        </w:trPr>
        <w:tc>
          <w:tcPr>
            <w:tcW w:w="237" w:type="pct"/>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61C9C35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水力侵蚀</w:t>
            </w:r>
          </w:p>
        </w:tc>
        <w:tc>
          <w:tcPr>
            <w:tcW w:w="603" w:type="pct"/>
            <w:vMerge w:val="restart"/>
            <w:tcBorders>
              <w:top w:val="double" w:color="auto" w:sz="4" w:space="0"/>
              <w:left w:val="single" w:color="auto" w:sz="4" w:space="0"/>
              <w:bottom w:val="single" w:color="000000" w:sz="4" w:space="0"/>
              <w:right w:val="single" w:color="auto" w:sz="4" w:space="0"/>
            </w:tcBorders>
            <w:shd w:val="clear" w:color="auto" w:fill="auto"/>
            <w:vAlign w:val="center"/>
          </w:tcPr>
          <w:p w14:paraId="4336E69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700" w:type="pct"/>
            <w:vMerge w:val="restart"/>
            <w:tcBorders>
              <w:top w:val="double" w:color="auto" w:sz="4" w:space="0"/>
              <w:left w:val="single" w:color="auto" w:sz="4" w:space="0"/>
              <w:bottom w:val="single" w:color="auto" w:sz="4" w:space="0"/>
              <w:right w:val="single" w:color="auto" w:sz="4" w:space="0"/>
            </w:tcBorders>
            <w:shd w:val="clear" w:color="auto" w:fill="auto"/>
            <w:noWrap/>
            <w:vAlign w:val="center"/>
          </w:tcPr>
          <w:p w14:paraId="1A33290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公共管理与</w:t>
            </w:r>
          </w:p>
          <w:p w14:paraId="5D6D8BA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公共服务用地</w:t>
            </w:r>
          </w:p>
        </w:tc>
        <w:tc>
          <w:tcPr>
            <w:tcW w:w="822" w:type="pct"/>
            <w:tcBorders>
              <w:top w:val="double" w:color="auto" w:sz="4" w:space="0"/>
              <w:left w:val="nil"/>
              <w:bottom w:val="single" w:color="auto" w:sz="4" w:space="0"/>
              <w:right w:val="single" w:color="auto" w:sz="4" w:space="0"/>
            </w:tcBorders>
            <w:shd w:val="clear" w:color="auto" w:fill="auto"/>
            <w:vAlign w:val="center"/>
          </w:tcPr>
          <w:p w14:paraId="28C5582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765" w:type="pct"/>
            <w:tcBorders>
              <w:top w:val="double" w:color="auto" w:sz="4" w:space="0"/>
              <w:left w:val="nil"/>
              <w:bottom w:val="single" w:color="auto" w:sz="4" w:space="0"/>
              <w:right w:val="single" w:color="auto" w:sz="4" w:space="0"/>
            </w:tcBorders>
            <w:shd w:val="clear" w:color="auto" w:fill="auto"/>
            <w:vAlign w:val="center"/>
          </w:tcPr>
          <w:p w14:paraId="28FBB5D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地表翻扰型</w:t>
            </w:r>
          </w:p>
        </w:tc>
        <w:tc>
          <w:tcPr>
            <w:tcW w:w="606" w:type="pct"/>
            <w:tcBorders>
              <w:top w:val="double" w:color="auto" w:sz="4" w:space="0"/>
              <w:left w:val="nil"/>
              <w:bottom w:val="single" w:color="auto" w:sz="4" w:space="0"/>
              <w:right w:val="single" w:color="auto" w:sz="4" w:space="0"/>
            </w:tcBorders>
            <w:shd w:val="clear" w:color="auto" w:fill="auto"/>
            <w:vAlign w:val="center"/>
          </w:tcPr>
          <w:p w14:paraId="5314FF3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0.4</w:t>
            </w:r>
          </w:p>
        </w:tc>
        <w:tc>
          <w:tcPr>
            <w:tcW w:w="550" w:type="pct"/>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26FD9ED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0.37 </w:t>
            </w:r>
          </w:p>
        </w:tc>
        <w:tc>
          <w:tcPr>
            <w:tcW w:w="364" w:type="pct"/>
            <w:tcBorders>
              <w:top w:val="double" w:color="auto" w:sz="4" w:space="0"/>
              <w:left w:val="nil"/>
              <w:bottom w:val="single" w:color="auto" w:sz="4" w:space="0"/>
              <w:right w:val="single" w:color="auto" w:sz="4" w:space="0"/>
            </w:tcBorders>
            <w:shd w:val="clear" w:color="auto" w:fill="auto"/>
            <w:vAlign w:val="center"/>
          </w:tcPr>
          <w:p w14:paraId="3181942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w:t>
            </w:r>
          </w:p>
        </w:tc>
        <w:tc>
          <w:tcPr>
            <w:tcW w:w="352" w:type="pct"/>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3A4EF20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r>
      <w:tr w14:paraId="7DFFE75C">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7F044E8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000000" w:sz="4" w:space="0"/>
              <w:right w:val="single" w:color="auto" w:sz="4" w:space="0"/>
            </w:tcBorders>
            <w:vAlign w:val="center"/>
          </w:tcPr>
          <w:p w14:paraId="13D6FA4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4779304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46D548D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工程开挖面</w:t>
            </w:r>
          </w:p>
        </w:tc>
        <w:tc>
          <w:tcPr>
            <w:tcW w:w="765" w:type="pct"/>
            <w:tcBorders>
              <w:top w:val="nil"/>
              <w:left w:val="nil"/>
              <w:bottom w:val="single" w:color="auto" w:sz="4" w:space="0"/>
              <w:right w:val="single" w:color="auto" w:sz="4" w:space="0"/>
            </w:tcBorders>
            <w:shd w:val="clear" w:color="auto" w:fill="auto"/>
            <w:vAlign w:val="center"/>
          </w:tcPr>
          <w:p w14:paraId="5A02DA8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606" w:type="pct"/>
            <w:tcBorders>
              <w:top w:val="nil"/>
              <w:left w:val="nil"/>
              <w:bottom w:val="single" w:color="auto" w:sz="4" w:space="0"/>
              <w:right w:val="single" w:color="auto" w:sz="4" w:space="0"/>
            </w:tcBorders>
            <w:shd w:val="clear" w:color="auto" w:fill="auto"/>
            <w:vAlign w:val="center"/>
          </w:tcPr>
          <w:p w14:paraId="4AF9729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0.47</w:t>
            </w:r>
          </w:p>
        </w:tc>
        <w:tc>
          <w:tcPr>
            <w:tcW w:w="550" w:type="pct"/>
            <w:vMerge w:val="continue"/>
            <w:tcBorders>
              <w:top w:val="nil"/>
              <w:left w:val="single" w:color="auto" w:sz="4" w:space="0"/>
              <w:bottom w:val="single" w:color="auto" w:sz="4" w:space="0"/>
              <w:right w:val="single" w:color="auto" w:sz="4" w:space="0"/>
            </w:tcBorders>
            <w:vAlign w:val="center"/>
          </w:tcPr>
          <w:p w14:paraId="442177A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1EE9230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0.75</w:t>
            </w:r>
          </w:p>
        </w:tc>
        <w:tc>
          <w:tcPr>
            <w:tcW w:w="352" w:type="pct"/>
            <w:vMerge w:val="continue"/>
            <w:tcBorders>
              <w:top w:val="nil"/>
              <w:left w:val="single" w:color="auto" w:sz="4" w:space="0"/>
              <w:bottom w:val="single" w:color="auto" w:sz="4" w:space="0"/>
              <w:right w:val="single" w:color="auto" w:sz="4" w:space="0"/>
            </w:tcBorders>
            <w:vAlign w:val="center"/>
          </w:tcPr>
          <w:p w14:paraId="02B2C990">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6A0EF6F2">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3DAFBA7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000000" w:sz="4" w:space="0"/>
              <w:right w:val="single" w:color="auto" w:sz="4" w:space="0"/>
            </w:tcBorders>
            <w:vAlign w:val="center"/>
          </w:tcPr>
          <w:p w14:paraId="4C77796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6CB77DC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1579BE3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765" w:type="pct"/>
            <w:tcBorders>
              <w:top w:val="nil"/>
              <w:left w:val="nil"/>
              <w:bottom w:val="single" w:color="auto" w:sz="4" w:space="0"/>
              <w:right w:val="single" w:color="auto" w:sz="4" w:space="0"/>
            </w:tcBorders>
            <w:shd w:val="clear" w:color="auto" w:fill="auto"/>
            <w:vAlign w:val="center"/>
          </w:tcPr>
          <w:p w14:paraId="067F5AA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606" w:type="pct"/>
            <w:tcBorders>
              <w:top w:val="nil"/>
              <w:left w:val="nil"/>
              <w:bottom w:val="single" w:color="auto" w:sz="4" w:space="0"/>
              <w:right w:val="single" w:color="auto" w:sz="4" w:space="0"/>
            </w:tcBorders>
            <w:shd w:val="clear" w:color="auto" w:fill="auto"/>
            <w:vAlign w:val="center"/>
          </w:tcPr>
          <w:p w14:paraId="556CD5D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0.2</w:t>
            </w:r>
          </w:p>
        </w:tc>
        <w:tc>
          <w:tcPr>
            <w:tcW w:w="550" w:type="pct"/>
            <w:vMerge w:val="continue"/>
            <w:tcBorders>
              <w:top w:val="nil"/>
              <w:left w:val="single" w:color="auto" w:sz="4" w:space="0"/>
              <w:bottom w:val="single" w:color="auto" w:sz="4" w:space="0"/>
              <w:right w:val="single" w:color="auto" w:sz="4" w:space="0"/>
            </w:tcBorders>
            <w:vAlign w:val="center"/>
          </w:tcPr>
          <w:p w14:paraId="0576290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0035EAB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vMerge w:val="continue"/>
            <w:tcBorders>
              <w:top w:val="nil"/>
              <w:left w:val="single" w:color="auto" w:sz="4" w:space="0"/>
              <w:bottom w:val="single" w:color="auto" w:sz="4" w:space="0"/>
              <w:right w:val="single" w:color="auto" w:sz="4" w:space="0"/>
            </w:tcBorders>
            <w:vAlign w:val="center"/>
          </w:tcPr>
          <w:p w14:paraId="254704D7">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2BE9F721">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6508D60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000000" w:sz="4" w:space="0"/>
              <w:right w:val="single" w:color="auto" w:sz="4" w:space="0"/>
            </w:tcBorders>
            <w:vAlign w:val="center"/>
          </w:tcPr>
          <w:p w14:paraId="7309881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restart"/>
            <w:tcBorders>
              <w:top w:val="nil"/>
              <w:left w:val="single" w:color="auto" w:sz="4" w:space="0"/>
              <w:bottom w:val="single" w:color="auto" w:sz="4" w:space="0"/>
              <w:right w:val="single" w:color="auto" w:sz="4" w:space="0"/>
            </w:tcBorders>
            <w:shd w:val="clear" w:color="auto" w:fill="auto"/>
            <w:vAlign w:val="center"/>
          </w:tcPr>
          <w:p w14:paraId="2699604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商业服务业用地</w:t>
            </w:r>
          </w:p>
        </w:tc>
        <w:tc>
          <w:tcPr>
            <w:tcW w:w="822" w:type="pct"/>
            <w:tcBorders>
              <w:top w:val="nil"/>
              <w:left w:val="nil"/>
              <w:bottom w:val="single" w:color="auto" w:sz="4" w:space="0"/>
              <w:right w:val="single" w:color="auto" w:sz="4" w:space="0"/>
            </w:tcBorders>
            <w:shd w:val="clear" w:color="auto" w:fill="auto"/>
            <w:vAlign w:val="center"/>
          </w:tcPr>
          <w:p w14:paraId="2C14E83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765" w:type="pct"/>
            <w:tcBorders>
              <w:top w:val="nil"/>
              <w:left w:val="nil"/>
              <w:bottom w:val="single" w:color="auto" w:sz="4" w:space="0"/>
              <w:right w:val="single" w:color="auto" w:sz="4" w:space="0"/>
            </w:tcBorders>
            <w:shd w:val="clear" w:color="auto" w:fill="auto"/>
            <w:vAlign w:val="center"/>
          </w:tcPr>
          <w:p w14:paraId="75A129A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地表翻扰型</w:t>
            </w:r>
          </w:p>
        </w:tc>
        <w:tc>
          <w:tcPr>
            <w:tcW w:w="606" w:type="pct"/>
            <w:tcBorders>
              <w:top w:val="nil"/>
              <w:left w:val="nil"/>
              <w:bottom w:val="single" w:color="auto" w:sz="4" w:space="0"/>
              <w:right w:val="single" w:color="auto" w:sz="4" w:space="0"/>
            </w:tcBorders>
            <w:shd w:val="clear" w:color="auto" w:fill="auto"/>
            <w:vAlign w:val="center"/>
          </w:tcPr>
          <w:p w14:paraId="5DDACA6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1.311</w:t>
            </w:r>
          </w:p>
        </w:tc>
        <w:tc>
          <w:tcPr>
            <w:tcW w:w="550" w:type="pct"/>
            <w:vMerge w:val="restart"/>
            <w:tcBorders>
              <w:top w:val="nil"/>
              <w:left w:val="single" w:color="auto" w:sz="4" w:space="0"/>
              <w:bottom w:val="single" w:color="auto" w:sz="4" w:space="0"/>
              <w:right w:val="single" w:color="auto" w:sz="4" w:space="0"/>
            </w:tcBorders>
            <w:shd w:val="clear" w:color="auto" w:fill="auto"/>
            <w:vAlign w:val="center"/>
          </w:tcPr>
          <w:p w14:paraId="1503FC2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1.53 </w:t>
            </w:r>
          </w:p>
        </w:tc>
        <w:tc>
          <w:tcPr>
            <w:tcW w:w="364" w:type="pct"/>
            <w:tcBorders>
              <w:top w:val="nil"/>
              <w:left w:val="nil"/>
              <w:bottom w:val="single" w:color="auto" w:sz="4" w:space="0"/>
              <w:right w:val="single" w:color="auto" w:sz="4" w:space="0"/>
            </w:tcBorders>
            <w:shd w:val="clear" w:color="auto" w:fill="auto"/>
            <w:vAlign w:val="center"/>
          </w:tcPr>
          <w:p w14:paraId="13BA28A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vMerge w:val="restart"/>
            <w:tcBorders>
              <w:top w:val="nil"/>
              <w:left w:val="single" w:color="auto" w:sz="4" w:space="0"/>
              <w:bottom w:val="single" w:color="auto" w:sz="4" w:space="0"/>
              <w:right w:val="single" w:color="auto" w:sz="4" w:space="0"/>
            </w:tcBorders>
            <w:shd w:val="clear" w:color="auto" w:fill="auto"/>
            <w:vAlign w:val="center"/>
          </w:tcPr>
          <w:p w14:paraId="18AD74E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r>
      <w:tr w14:paraId="6D320717">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2C6B636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000000" w:sz="4" w:space="0"/>
              <w:right w:val="single" w:color="auto" w:sz="4" w:space="0"/>
            </w:tcBorders>
            <w:vAlign w:val="center"/>
          </w:tcPr>
          <w:p w14:paraId="579C36F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2F111B7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13BB0FF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工程开挖面</w:t>
            </w:r>
          </w:p>
        </w:tc>
        <w:tc>
          <w:tcPr>
            <w:tcW w:w="765" w:type="pct"/>
            <w:tcBorders>
              <w:top w:val="nil"/>
              <w:left w:val="nil"/>
              <w:bottom w:val="single" w:color="auto" w:sz="4" w:space="0"/>
              <w:right w:val="single" w:color="auto" w:sz="4" w:space="0"/>
            </w:tcBorders>
            <w:shd w:val="clear" w:color="auto" w:fill="auto"/>
            <w:vAlign w:val="center"/>
          </w:tcPr>
          <w:p w14:paraId="4BE7A4F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606" w:type="pct"/>
            <w:tcBorders>
              <w:top w:val="nil"/>
              <w:left w:val="nil"/>
              <w:bottom w:val="single" w:color="auto" w:sz="4" w:space="0"/>
              <w:right w:val="single" w:color="auto" w:sz="4" w:space="0"/>
            </w:tcBorders>
            <w:shd w:val="clear" w:color="auto" w:fill="auto"/>
            <w:vAlign w:val="center"/>
          </w:tcPr>
          <w:p w14:paraId="79FA907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2.559</w:t>
            </w:r>
          </w:p>
        </w:tc>
        <w:tc>
          <w:tcPr>
            <w:tcW w:w="550" w:type="pct"/>
            <w:vMerge w:val="continue"/>
            <w:tcBorders>
              <w:top w:val="nil"/>
              <w:left w:val="single" w:color="auto" w:sz="4" w:space="0"/>
              <w:bottom w:val="single" w:color="auto" w:sz="4" w:space="0"/>
              <w:right w:val="single" w:color="auto" w:sz="4" w:space="0"/>
            </w:tcBorders>
            <w:vAlign w:val="center"/>
          </w:tcPr>
          <w:p w14:paraId="5A198AD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159D91E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0.75</w:t>
            </w:r>
          </w:p>
        </w:tc>
        <w:tc>
          <w:tcPr>
            <w:tcW w:w="352" w:type="pct"/>
            <w:vMerge w:val="continue"/>
            <w:tcBorders>
              <w:top w:val="nil"/>
              <w:left w:val="single" w:color="auto" w:sz="4" w:space="0"/>
              <w:bottom w:val="single" w:color="auto" w:sz="4" w:space="0"/>
              <w:right w:val="single" w:color="auto" w:sz="4" w:space="0"/>
            </w:tcBorders>
            <w:vAlign w:val="center"/>
          </w:tcPr>
          <w:p w14:paraId="54B98F79">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1D43FBCC">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13493AD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000000" w:sz="4" w:space="0"/>
              <w:right w:val="single" w:color="auto" w:sz="4" w:space="0"/>
            </w:tcBorders>
            <w:vAlign w:val="center"/>
          </w:tcPr>
          <w:p w14:paraId="2A50A64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70C509E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5F0D475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765" w:type="pct"/>
            <w:tcBorders>
              <w:top w:val="nil"/>
              <w:left w:val="nil"/>
              <w:bottom w:val="single" w:color="auto" w:sz="4" w:space="0"/>
              <w:right w:val="single" w:color="auto" w:sz="4" w:space="0"/>
            </w:tcBorders>
            <w:shd w:val="clear" w:color="auto" w:fill="auto"/>
            <w:vAlign w:val="center"/>
          </w:tcPr>
          <w:p w14:paraId="7BE1D34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606" w:type="pct"/>
            <w:tcBorders>
              <w:top w:val="nil"/>
              <w:left w:val="nil"/>
              <w:bottom w:val="single" w:color="auto" w:sz="4" w:space="0"/>
              <w:right w:val="single" w:color="auto" w:sz="4" w:space="0"/>
            </w:tcBorders>
            <w:shd w:val="clear" w:color="auto" w:fill="auto"/>
            <w:vAlign w:val="center"/>
          </w:tcPr>
          <w:p w14:paraId="704F797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0.5</w:t>
            </w:r>
          </w:p>
        </w:tc>
        <w:tc>
          <w:tcPr>
            <w:tcW w:w="550" w:type="pct"/>
            <w:vMerge w:val="continue"/>
            <w:tcBorders>
              <w:top w:val="nil"/>
              <w:left w:val="single" w:color="auto" w:sz="4" w:space="0"/>
              <w:bottom w:val="single" w:color="auto" w:sz="4" w:space="0"/>
              <w:right w:val="single" w:color="auto" w:sz="4" w:space="0"/>
            </w:tcBorders>
            <w:vAlign w:val="center"/>
          </w:tcPr>
          <w:p w14:paraId="6B77F02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05A8208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vMerge w:val="continue"/>
            <w:tcBorders>
              <w:top w:val="nil"/>
              <w:left w:val="single" w:color="auto" w:sz="4" w:space="0"/>
              <w:bottom w:val="single" w:color="auto" w:sz="4" w:space="0"/>
              <w:right w:val="single" w:color="auto" w:sz="4" w:space="0"/>
            </w:tcBorders>
            <w:vAlign w:val="center"/>
          </w:tcPr>
          <w:p w14:paraId="21B80AFA">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6A8555E4">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6AFF144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000000" w:sz="4" w:space="0"/>
              <w:right w:val="single" w:color="auto" w:sz="4" w:space="0"/>
            </w:tcBorders>
            <w:vAlign w:val="center"/>
          </w:tcPr>
          <w:p w14:paraId="28D2B41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restart"/>
            <w:tcBorders>
              <w:top w:val="nil"/>
              <w:left w:val="single" w:color="auto" w:sz="4" w:space="0"/>
              <w:bottom w:val="single" w:color="auto" w:sz="4" w:space="0"/>
              <w:right w:val="single" w:color="auto" w:sz="4" w:space="0"/>
            </w:tcBorders>
            <w:shd w:val="clear" w:color="auto" w:fill="auto"/>
            <w:vAlign w:val="center"/>
          </w:tcPr>
          <w:p w14:paraId="5F0AB35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822" w:type="pct"/>
            <w:tcBorders>
              <w:top w:val="nil"/>
              <w:left w:val="nil"/>
              <w:bottom w:val="single" w:color="auto" w:sz="4" w:space="0"/>
              <w:right w:val="single" w:color="auto" w:sz="4" w:space="0"/>
            </w:tcBorders>
            <w:shd w:val="clear" w:color="auto" w:fill="auto"/>
            <w:vAlign w:val="center"/>
          </w:tcPr>
          <w:p w14:paraId="2B2A246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765" w:type="pct"/>
            <w:tcBorders>
              <w:top w:val="nil"/>
              <w:left w:val="nil"/>
              <w:bottom w:val="single" w:color="auto" w:sz="4" w:space="0"/>
              <w:right w:val="single" w:color="auto" w:sz="4" w:space="0"/>
            </w:tcBorders>
            <w:shd w:val="clear" w:color="auto" w:fill="auto"/>
            <w:vAlign w:val="center"/>
          </w:tcPr>
          <w:p w14:paraId="4D3D7B8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地表翻扰型</w:t>
            </w:r>
          </w:p>
        </w:tc>
        <w:tc>
          <w:tcPr>
            <w:tcW w:w="606" w:type="pct"/>
            <w:tcBorders>
              <w:top w:val="nil"/>
              <w:left w:val="nil"/>
              <w:bottom w:val="single" w:color="auto" w:sz="4" w:space="0"/>
              <w:right w:val="single" w:color="auto" w:sz="4" w:space="0"/>
            </w:tcBorders>
            <w:shd w:val="clear" w:color="auto" w:fill="auto"/>
            <w:vAlign w:val="center"/>
          </w:tcPr>
          <w:p w14:paraId="728B0AB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502.14</w:t>
            </w:r>
          </w:p>
        </w:tc>
        <w:tc>
          <w:tcPr>
            <w:tcW w:w="550" w:type="pct"/>
            <w:vMerge w:val="restart"/>
            <w:tcBorders>
              <w:top w:val="nil"/>
              <w:left w:val="single" w:color="auto" w:sz="4" w:space="0"/>
              <w:bottom w:val="single" w:color="auto" w:sz="4" w:space="0"/>
              <w:right w:val="single" w:color="auto" w:sz="4" w:space="0"/>
            </w:tcBorders>
            <w:shd w:val="clear" w:color="auto" w:fill="auto"/>
            <w:vAlign w:val="center"/>
          </w:tcPr>
          <w:p w14:paraId="1BB6021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200.86 </w:t>
            </w:r>
          </w:p>
        </w:tc>
        <w:tc>
          <w:tcPr>
            <w:tcW w:w="364" w:type="pct"/>
            <w:tcBorders>
              <w:top w:val="nil"/>
              <w:left w:val="nil"/>
              <w:bottom w:val="single" w:color="auto" w:sz="4" w:space="0"/>
              <w:right w:val="single" w:color="auto" w:sz="4" w:space="0"/>
            </w:tcBorders>
            <w:shd w:val="clear" w:color="auto" w:fill="auto"/>
            <w:vAlign w:val="center"/>
          </w:tcPr>
          <w:p w14:paraId="0760198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w:t>
            </w:r>
          </w:p>
        </w:tc>
        <w:tc>
          <w:tcPr>
            <w:tcW w:w="352" w:type="pct"/>
            <w:vMerge w:val="restart"/>
            <w:tcBorders>
              <w:top w:val="nil"/>
              <w:left w:val="single" w:color="auto" w:sz="4" w:space="0"/>
              <w:bottom w:val="single" w:color="auto" w:sz="4" w:space="0"/>
              <w:right w:val="single" w:color="auto" w:sz="4" w:space="0"/>
            </w:tcBorders>
            <w:shd w:val="clear" w:color="auto" w:fill="auto"/>
            <w:vAlign w:val="center"/>
          </w:tcPr>
          <w:p w14:paraId="79D2A5F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r>
      <w:tr w14:paraId="6F3AFD9A">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7CD7416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000000" w:sz="4" w:space="0"/>
              <w:right w:val="single" w:color="auto" w:sz="4" w:space="0"/>
            </w:tcBorders>
            <w:vAlign w:val="center"/>
          </w:tcPr>
          <w:p w14:paraId="481C234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4E86A2F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420270B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工程开挖面</w:t>
            </w:r>
          </w:p>
        </w:tc>
        <w:tc>
          <w:tcPr>
            <w:tcW w:w="765" w:type="pct"/>
            <w:tcBorders>
              <w:top w:val="nil"/>
              <w:left w:val="nil"/>
              <w:bottom w:val="single" w:color="auto" w:sz="4" w:space="0"/>
              <w:right w:val="single" w:color="auto" w:sz="4" w:space="0"/>
            </w:tcBorders>
            <w:shd w:val="clear" w:color="auto" w:fill="auto"/>
            <w:vAlign w:val="center"/>
          </w:tcPr>
          <w:p w14:paraId="419DB9B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606" w:type="pct"/>
            <w:tcBorders>
              <w:top w:val="nil"/>
              <w:left w:val="nil"/>
              <w:bottom w:val="single" w:color="auto" w:sz="4" w:space="0"/>
              <w:right w:val="single" w:color="auto" w:sz="4" w:space="0"/>
            </w:tcBorders>
            <w:shd w:val="clear" w:color="auto" w:fill="auto"/>
            <w:vAlign w:val="center"/>
          </w:tcPr>
          <w:p w14:paraId="01DCCB2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481.14</w:t>
            </w:r>
          </w:p>
        </w:tc>
        <w:tc>
          <w:tcPr>
            <w:tcW w:w="550" w:type="pct"/>
            <w:vMerge w:val="continue"/>
            <w:tcBorders>
              <w:top w:val="nil"/>
              <w:left w:val="single" w:color="auto" w:sz="4" w:space="0"/>
              <w:bottom w:val="single" w:color="auto" w:sz="4" w:space="0"/>
              <w:right w:val="single" w:color="auto" w:sz="4" w:space="0"/>
            </w:tcBorders>
            <w:vAlign w:val="center"/>
          </w:tcPr>
          <w:p w14:paraId="0DF16F5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3BD3115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0.75</w:t>
            </w:r>
          </w:p>
        </w:tc>
        <w:tc>
          <w:tcPr>
            <w:tcW w:w="352" w:type="pct"/>
            <w:vMerge w:val="continue"/>
            <w:tcBorders>
              <w:top w:val="nil"/>
              <w:left w:val="single" w:color="auto" w:sz="4" w:space="0"/>
              <w:bottom w:val="single" w:color="auto" w:sz="4" w:space="0"/>
              <w:right w:val="single" w:color="auto" w:sz="4" w:space="0"/>
            </w:tcBorders>
            <w:vAlign w:val="center"/>
          </w:tcPr>
          <w:p w14:paraId="736AB117">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19E49AB9">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66C9801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000000" w:sz="4" w:space="0"/>
              <w:right w:val="single" w:color="auto" w:sz="4" w:space="0"/>
            </w:tcBorders>
            <w:vAlign w:val="center"/>
          </w:tcPr>
          <w:p w14:paraId="6F18698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4DC1C46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6C03AA8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765" w:type="pct"/>
            <w:tcBorders>
              <w:top w:val="nil"/>
              <w:left w:val="nil"/>
              <w:bottom w:val="single" w:color="auto" w:sz="4" w:space="0"/>
              <w:right w:val="single" w:color="auto" w:sz="4" w:space="0"/>
            </w:tcBorders>
            <w:shd w:val="clear" w:color="auto" w:fill="auto"/>
            <w:vAlign w:val="center"/>
          </w:tcPr>
          <w:p w14:paraId="59E42BE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606" w:type="pct"/>
            <w:tcBorders>
              <w:top w:val="nil"/>
              <w:left w:val="nil"/>
              <w:bottom w:val="single" w:color="auto" w:sz="4" w:space="0"/>
              <w:right w:val="single" w:color="auto" w:sz="4" w:space="0"/>
            </w:tcBorders>
            <w:shd w:val="clear" w:color="auto" w:fill="auto"/>
            <w:vAlign w:val="center"/>
          </w:tcPr>
          <w:p w14:paraId="721CB6D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21</w:t>
            </w:r>
          </w:p>
        </w:tc>
        <w:tc>
          <w:tcPr>
            <w:tcW w:w="550" w:type="pct"/>
            <w:vMerge w:val="continue"/>
            <w:tcBorders>
              <w:top w:val="nil"/>
              <w:left w:val="single" w:color="auto" w:sz="4" w:space="0"/>
              <w:bottom w:val="single" w:color="auto" w:sz="4" w:space="0"/>
              <w:right w:val="single" w:color="auto" w:sz="4" w:space="0"/>
            </w:tcBorders>
            <w:vAlign w:val="center"/>
          </w:tcPr>
          <w:p w14:paraId="10ED739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21DC8F2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vMerge w:val="continue"/>
            <w:tcBorders>
              <w:top w:val="nil"/>
              <w:left w:val="single" w:color="auto" w:sz="4" w:space="0"/>
              <w:bottom w:val="single" w:color="auto" w:sz="4" w:space="0"/>
              <w:right w:val="single" w:color="auto" w:sz="4" w:space="0"/>
            </w:tcBorders>
            <w:vAlign w:val="center"/>
          </w:tcPr>
          <w:p w14:paraId="675528FD">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3BADA78F">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3D2EF0B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000000" w:sz="4" w:space="0"/>
              <w:right w:val="single" w:color="auto" w:sz="4" w:space="0"/>
            </w:tcBorders>
            <w:vAlign w:val="center"/>
          </w:tcPr>
          <w:p w14:paraId="13625FF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restart"/>
            <w:tcBorders>
              <w:top w:val="nil"/>
              <w:left w:val="single" w:color="auto" w:sz="4" w:space="0"/>
              <w:bottom w:val="single" w:color="auto" w:sz="4" w:space="0"/>
              <w:right w:val="single" w:color="auto" w:sz="4" w:space="0"/>
            </w:tcBorders>
            <w:shd w:val="clear" w:color="auto" w:fill="auto"/>
            <w:vAlign w:val="center"/>
          </w:tcPr>
          <w:p w14:paraId="2FCB6B8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822" w:type="pct"/>
            <w:tcBorders>
              <w:top w:val="nil"/>
              <w:left w:val="nil"/>
              <w:bottom w:val="single" w:color="auto" w:sz="4" w:space="0"/>
              <w:right w:val="single" w:color="auto" w:sz="4" w:space="0"/>
            </w:tcBorders>
            <w:shd w:val="clear" w:color="auto" w:fill="auto"/>
            <w:vAlign w:val="center"/>
          </w:tcPr>
          <w:p w14:paraId="3095AF0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765" w:type="pct"/>
            <w:tcBorders>
              <w:top w:val="nil"/>
              <w:left w:val="nil"/>
              <w:bottom w:val="single" w:color="auto" w:sz="4" w:space="0"/>
              <w:right w:val="single" w:color="auto" w:sz="4" w:space="0"/>
            </w:tcBorders>
            <w:shd w:val="clear" w:color="auto" w:fill="auto"/>
            <w:vAlign w:val="center"/>
          </w:tcPr>
          <w:p w14:paraId="71C9932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地表翻扰型</w:t>
            </w:r>
          </w:p>
        </w:tc>
        <w:tc>
          <w:tcPr>
            <w:tcW w:w="606" w:type="pct"/>
            <w:tcBorders>
              <w:top w:val="nil"/>
              <w:left w:val="nil"/>
              <w:bottom w:val="single" w:color="auto" w:sz="4" w:space="0"/>
              <w:right w:val="single" w:color="auto" w:sz="4" w:space="0"/>
            </w:tcBorders>
            <w:shd w:val="clear" w:color="auto" w:fill="auto"/>
            <w:vAlign w:val="center"/>
          </w:tcPr>
          <w:p w14:paraId="5732B79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49.16</w:t>
            </w:r>
          </w:p>
        </w:tc>
        <w:tc>
          <w:tcPr>
            <w:tcW w:w="550" w:type="pct"/>
            <w:vMerge w:val="restart"/>
            <w:tcBorders>
              <w:top w:val="nil"/>
              <w:left w:val="single" w:color="auto" w:sz="4" w:space="0"/>
              <w:bottom w:val="single" w:color="auto" w:sz="4" w:space="0"/>
              <w:right w:val="single" w:color="auto" w:sz="4" w:space="0"/>
            </w:tcBorders>
            <w:shd w:val="clear" w:color="auto" w:fill="auto"/>
            <w:vAlign w:val="center"/>
          </w:tcPr>
          <w:p w14:paraId="7473478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41.54 </w:t>
            </w:r>
          </w:p>
        </w:tc>
        <w:tc>
          <w:tcPr>
            <w:tcW w:w="364" w:type="pct"/>
            <w:tcBorders>
              <w:top w:val="nil"/>
              <w:left w:val="nil"/>
              <w:bottom w:val="single" w:color="auto" w:sz="4" w:space="0"/>
              <w:right w:val="single" w:color="auto" w:sz="4" w:space="0"/>
            </w:tcBorders>
            <w:shd w:val="clear" w:color="auto" w:fill="auto"/>
            <w:vAlign w:val="center"/>
          </w:tcPr>
          <w:p w14:paraId="6DDB445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w:t>
            </w:r>
          </w:p>
        </w:tc>
        <w:tc>
          <w:tcPr>
            <w:tcW w:w="352" w:type="pct"/>
            <w:vMerge w:val="restart"/>
            <w:tcBorders>
              <w:top w:val="nil"/>
              <w:left w:val="single" w:color="auto" w:sz="4" w:space="0"/>
              <w:bottom w:val="single" w:color="auto" w:sz="4" w:space="0"/>
              <w:right w:val="single" w:color="auto" w:sz="4" w:space="0"/>
            </w:tcBorders>
            <w:shd w:val="clear" w:color="auto" w:fill="auto"/>
            <w:vAlign w:val="center"/>
          </w:tcPr>
          <w:p w14:paraId="28A1A6E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r>
      <w:tr w14:paraId="0B634E43">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1CE302D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000000" w:sz="4" w:space="0"/>
              <w:right w:val="single" w:color="auto" w:sz="4" w:space="0"/>
            </w:tcBorders>
            <w:vAlign w:val="center"/>
          </w:tcPr>
          <w:p w14:paraId="13D9068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338763C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49DDAF3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工程开挖面</w:t>
            </w:r>
          </w:p>
        </w:tc>
        <w:tc>
          <w:tcPr>
            <w:tcW w:w="765" w:type="pct"/>
            <w:tcBorders>
              <w:top w:val="nil"/>
              <w:left w:val="nil"/>
              <w:bottom w:val="single" w:color="auto" w:sz="4" w:space="0"/>
              <w:right w:val="single" w:color="auto" w:sz="4" w:space="0"/>
            </w:tcBorders>
            <w:shd w:val="clear" w:color="auto" w:fill="auto"/>
            <w:vAlign w:val="center"/>
          </w:tcPr>
          <w:p w14:paraId="31E0E5C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606" w:type="pct"/>
            <w:tcBorders>
              <w:top w:val="nil"/>
              <w:left w:val="nil"/>
              <w:bottom w:val="single" w:color="auto" w:sz="4" w:space="0"/>
              <w:right w:val="single" w:color="auto" w:sz="4" w:space="0"/>
            </w:tcBorders>
            <w:shd w:val="clear" w:color="auto" w:fill="auto"/>
            <w:vAlign w:val="center"/>
          </w:tcPr>
          <w:p w14:paraId="06DD0DC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31.54</w:t>
            </w:r>
          </w:p>
        </w:tc>
        <w:tc>
          <w:tcPr>
            <w:tcW w:w="550" w:type="pct"/>
            <w:vMerge w:val="continue"/>
            <w:tcBorders>
              <w:top w:val="nil"/>
              <w:left w:val="single" w:color="auto" w:sz="4" w:space="0"/>
              <w:bottom w:val="single" w:color="auto" w:sz="4" w:space="0"/>
              <w:right w:val="single" w:color="auto" w:sz="4" w:space="0"/>
            </w:tcBorders>
            <w:vAlign w:val="center"/>
          </w:tcPr>
          <w:p w14:paraId="5A9349E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61CD08A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0.75</w:t>
            </w:r>
          </w:p>
        </w:tc>
        <w:tc>
          <w:tcPr>
            <w:tcW w:w="352" w:type="pct"/>
            <w:vMerge w:val="continue"/>
            <w:tcBorders>
              <w:top w:val="nil"/>
              <w:left w:val="single" w:color="auto" w:sz="4" w:space="0"/>
              <w:bottom w:val="single" w:color="auto" w:sz="4" w:space="0"/>
              <w:right w:val="single" w:color="auto" w:sz="4" w:space="0"/>
            </w:tcBorders>
            <w:vAlign w:val="center"/>
          </w:tcPr>
          <w:p w14:paraId="561D9C9A">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59B81AAB">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638E65D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000000" w:sz="4" w:space="0"/>
              <w:right w:val="single" w:color="auto" w:sz="4" w:space="0"/>
            </w:tcBorders>
            <w:vAlign w:val="center"/>
          </w:tcPr>
          <w:p w14:paraId="7E1519F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00C8DF5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518219D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765" w:type="pct"/>
            <w:tcBorders>
              <w:top w:val="nil"/>
              <w:left w:val="nil"/>
              <w:bottom w:val="single" w:color="auto" w:sz="4" w:space="0"/>
              <w:right w:val="single" w:color="auto" w:sz="4" w:space="0"/>
            </w:tcBorders>
            <w:shd w:val="clear" w:color="auto" w:fill="auto"/>
            <w:vAlign w:val="center"/>
          </w:tcPr>
          <w:p w14:paraId="0D8FD52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606" w:type="pct"/>
            <w:tcBorders>
              <w:top w:val="nil"/>
              <w:left w:val="nil"/>
              <w:bottom w:val="single" w:color="auto" w:sz="4" w:space="0"/>
              <w:right w:val="single" w:color="auto" w:sz="4" w:space="0"/>
            </w:tcBorders>
            <w:shd w:val="clear" w:color="auto" w:fill="auto"/>
            <w:vAlign w:val="center"/>
          </w:tcPr>
          <w:p w14:paraId="0CCEFF3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10</w:t>
            </w:r>
          </w:p>
        </w:tc>
        <w:tc>
          <w:tcPr>
            <w:tcW w:w="550" w:type="pct"/>
            <w:vMerge w:val="continue"/>
            <w:tcBorders>
              <w:top w:val="nil"/>
              <w:left w:val="single" w:color="auto" w:sz="4" w:space="0"/>
              <w:bottom w:val="single" w:color="auto" w:sz="4" w:space="0"/>
              <w:right w:val="single" w:color="auto" w:sz="4" w:space="0"/>
            </w:tcBorders>
            <w:vAlign w:val="center"/>
          </w:tcPr>
          <w:p w14:paraId="576E118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0871962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vMerge w:val="continue"/>
            <w:tcBorders>
              <w:top w:val="nil"/>
              <w:left w:val="single" w:color="auto" w:sz="4" w:space="0"/>
              <w:bottom w:val="single" w:color="auto" w:sz="4" w:space="0"/>
              <w:right w:val="single" w:color="auto" w:sz="4" w:space="0"/>
            </w:tcBorders>
            <w:vAlign w:val="center"/>
          </w:tcPr>
          <w:p w14:paraId="341CD954">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1EC06974">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6D02E20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000000" w:sz="4" w:space="0"/>
              <w:right w:val="single" w:color="auto" w:sz="4" w:space="0"/>
            </w:tcBorders>
            <w:vAlign w:val="center"/>
          </w:tcPr>
          <w:p w14:paraId="0A50ABE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restart"/>
            <w:tcBorders>
              <w:top w:val="nil"/>
              <w:left w:val="single" w:color="auto" w:sz="4" w:space="0"/>
              <w:bottom w:val="single" w:color="auto" w:sz="4" w:space="0"/>
              <w:right w:val="single" w:color="auto" w:sz="4" w:space="0"/>
            </w:tcBorders>
            <w:shd w:val="clear" w:color="auto" w:fill="auto"/>
            <w:vAlign w:val="center"/>
          </w:tcPr>
          <w:p w14:paraId="3566BF3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公用设施用地</w:t>
            </w:r>
          </w:p>
        </w:tc>
        <w:tc>
          <w:tcPr>
            <w:tcW w:w="822" w:type="pct"/>
            <w:tcBorders>
              <w:top w:val="nil"/>
              <w:left w:val="nil"/>
              <w:bottom w:val="single" w:color="auto" w:sz="4" w:space="0"/>
              <w:right w:val="single" w:color="auto" w:sz="4" w:space="0"/>
            </w:tcBorders>
            <w:shd w:val="clear" w:color="auto" w:fill="auto"/>
            <w:vAlign w:val="center"/>
          </w:tcPr>
          <w:p w14:paraId="2176621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765" w:type="pct"/>
            <w:tcBorders>
              <w:top w:val="nil"/>
              <w:left w:val="nil"/>
              <w:bottom w:val="single" w:color="auto" w:sz="4" w:space="0"/>
              <w:right w:val="single" w:color="auto" w:sz="4" w:space="0"/>
            </w:tcBorders>
            <w:shd w:val="clear" w:color="auto" w:fill="auto"/>
            <w:vAlign w:val="center"/>
          </w:tcPr>
          <w:p w14:paraId="174EF77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地表翻扰型</w:t>
            </w:r>
          </w:p>
        </w:tc>
        <w:tc>
          <w:tcPr>
            <w:tcW w:w="606" w:type="pct"/>
            <w:tcBorders>
              <w:top w:val="nil"/>
              <w:left w:val="nil"/>
              <w:bottom w:val="single" w:color="auto" w:sz="4" w:space="0"/>
              <w:right w:val="single" w:color="auto" w:sz="4" w:space="0"/>
            </w:tcBorders>
            <w:shd w:val="clear" w:color="auto" w:fill="auto"/>
            <w:vAlign w:val="center"/>
          </w:tcPr>
          <w:p w14:paraId="6AB12BC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3.731</w:t>
            </w:r>
          </w:p>
        </w:tc>
        <w:tc>
          <w:tcPr>
            <w:tcW w:w="550" w:type="pct"/>
            <w:vMerge w:val="restart"/>
            <w:tcBorders>
              <w:top w:val="nil"/>
              <w:left w:val="single" w:color="auto" w:sz="4" w:space="0"/>
              <w:bottom w:val="single" w:color="auto" w:sz="4" w:space="0"/>
              <w:right w:val="single" w:color="auto" w:sz="4" w:space="0"/>
            </w:tcBorders>
            <w:shd w:val="clear" w:color="auto" w:fill="auto"/>
            <w:vAlign w:val="center"/>
          </w:tcPr>
          <w:p w14:paraId="7117517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3.73 </w:t>
            </w:r>
          </w:p>
        </w:tc>
        <w:tc>
          <w:tcPr>
            <w:tcW w:w="364" w:type="pct"/>
            <w:tcBorders>
              <w:top w:val="nil"/>
              <w:left w:val="nil"/>
              <w:bottom w:val="single" w:color="auto" w:sz="4" w:space="0"/>
              <w:right w:val="single" w:color="auto" w:sz="4" w:space="0"/>
            </w:tcBorders>
            <w:shd w:val="clear" w:color="auto" w:fill="auto"/>
            <w:vAlign w:val="center"/>
          </w:tcPr>
          <w:p w14:paraId="48E1995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w:t>
            </w:r>
          </w:p>
        </w:tc>
        <w:tc>
          <w:tcPr>
            <w:tcW w:w="352" w:type="pct"/>
            <w:vMerge w:val="restart"/>
            <w:tcBorders>
              <w:top w:val="nil"/>
              <w:left w:val="single" w:color="auto" w:sz="4" w:space="0"/>
              <w:bottom w:val="single" w:color="auto" w:sz="4" w:space="0"/>
              <w:right w:val="single" w:color="auto" w:sz="4" w:space="0"/>
            </w:tcBorders>
            <w:shd w:val="clear" w:color="auto" w:fill="auto"/>
            <w:vAlign w:val="center"/>
          </w:tcPr>
          <w:p w14:paraId="1B23D0A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r>
      <w:tr w14:paraId="5B6B6694">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07C83F3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000000" w:sz="4" w:space="0"/>
              <w:right w:val="single" w:color="auto" w:sz="4" w:space="0"/>
            </w:tcBorders>
            <w:vAlign w:val="center"/>
          </w:tcPr>
          <w:p w14:paraId="0E8EE3F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2EFF7DA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0936838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工程开挖面</w:t>
            </w:r>
          </w:p>
        </w:tc>
        <w:tc>
          <w:tcPr>
            <w:tcW w:w="765" w:type="pct"/>
            <w:tcBorders>
              <w:top w:val="nil"/>
              <w:left w:val="nil"/>
              <w:bottom w:val="single" w:color="auto" w:sz="4" w:space="0"/>
              <w:right w:val="single" w:color="auto" w:sz="4" w:space="0"/>
            </w:tcBorders>
            <w:shd w:val="clear" w:color="auto" w:fill="auto"/>
            <w:vAlign w:val="center"/>
          </w:tcPr>
          <w:p w14:paraId="496A89E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606" w:type="pct"/>
            <w:tcBorders>
              <w:top w:val="nil"/>
              <w:left w:val="nil"/>
              <w:bottom w:val="single" w:color="auto" w:sz="4" w:space="0"/>
              <w:right w:val="single" w:color="auto" w:sz="4" w:space="0"/>
            </w:tcBorders>
            <w:shd w:val="clear" w:color="auto" w:fill="auto"/>
            <w:vAlign w:val="center"/>
          </w:tcPr>
          <w:p w14:paraId="1610C99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5.929</w:t>
            </w:r>
          </w:p>
        </w:tc>
        <w:tc>
          <w:tcPr>
            <w:tcW w:w="550" w:type="pct"/>
            <w:vMerge w:val="continue"/>
            <w:tcBorders>
              <w:top w:val="nil"/>
              <w:left w:val="single" w:color="auto" w:sz="4" w:space="0"/>
              <w:bottom w:val="single" w:color="auto" w:sz="4" w:space="0"/>
              <w:right w:val="single" w:color="auto" w:sz="4" w:space="0"/>
            </w:tcBorders>
            <w:vAlign w:val="center"/>
          </w:tcPr>
          <w:p w14:paraId="2FA8643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246DF6E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0.75</w:t>
            </w:r>
          </w:p>
        </w:tc>
        <w:tc>
          <w:tcPr>
            <w:tcW w:w="352" w:type="pct"/>
            <w:vMerge w:val="continue"/>
            <w:tcBorders>
              <w:top w:val="nil"/>
              <w:left w:val="single" w:color="auto" w:sz="4" w:space="0"/>
              <w:bottom w:val="single" w:color="auto" w:sz="4" w:space="0"/>
              <w:right w:val="single" w:color="auto" w:sz="4" w:space="0"/>
            </w:tcBorders>
            <w:vAlign w:val="center"/>
          </w:tcPr>
          <w:p w14:paraId="703B5BB4">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472CDDD0">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49CD40E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000000" w:sz="4" w:space="0"/>
              <w:right w:val="single" w:color="auto" w:sz="4" w:space="0"/>
            </w:tcBorders>
            <w:vAlign w:val="center"/>
          </w:tcPr>
          <w:p w14:paraId="14F4B96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6F4B5A1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78ED06A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765" w:type="pct"/>
            <w:tcBorders>
              <w:top w:val="nil"/>
              <w:left w:val="nil"/>
              <w:bottom w:val="single" w:color="auto" w:sz="4" w:space="0"/>
              <w:right w:val="single" w:color="auto" w:sz="4" w:space="0"/>
            </w:tcBorders>
            <w:shd w:val="clear" w:color="auto" w:fill="auto"/>
            <w:vAlign w:val="center"/>
          </w:tcPr>
          <w:p w14:paraId="1158E0D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606" w:type="pct"/>
            <w:tcBorders>
              <w:top w:val="nil"/>
              <w:left w:val="nil"/>
              <w:bottom w:val="single" w:color="auto" w:sz="4" w:space="0"/>
              <w:right w:val="single" w:color="auto" w:sz="4" w:space="0"/>
            </w:tcBorders>
            <w:shd w:val="clear" w:color="auto" w:fill="auto"/>
            <w:vAlign w:val="center"/>
          </w:tcPr>
          <w:p w14:paraId="7BA1517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550" w:type="pct"/>
            <w:vMerge w:val="continue"/>
            <w:tcBorders>
              <w:top w:val="nil"/>
              <w:left w:val="single" w:color="auto" w:sz="4" w:space="0"/>
              <w:bottom w:val="single" w:color="auto" w:sz="4" w:space="0"/>
              <w:right w:val="single" w:color="auto" w:sz="4" w:space="0"/>
            </w:tcBorders>
            <w:vAlign w:val="center"/>
          </w:tcPr>
          <w:p w14:paraId="16FA191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0028498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vMerge w:val="continue"/>
            <w:tcBorders>
              <w:top w:val="nil"/>
              <w:left w:val="single" w:color="auto" w:sz="4" w:space="0"/>
              <w:bottom w:val="single" w:color="auto" w:sz="4" w:space="0"/>
              <w:right w:val="single" w:color="auto" w:sz="4" w:space="0"/>
            </w:tcBorders>
            <w:vAlign w:val="center"/>
          </w:tcPr>
          <w:p w14:paraId="21F38994">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351F866D">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3C20D19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000000" w:sz="4" w:space="0"/>
              <w:right w:val="single" w:color="auto" w:sz="4" w:space="0"/>
            </w:tcBorders>
            <w:vAlign w:val="center"/>
          </w:tcPr>
          <w:p w14:paraId="1CE8130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tcBorders>
              <w:top w:val="nil"/>
              <w:left w:val="nil"/>
              <w:bottom w:val="single" w:color="auto" w:sz="4" w:space="0"/>
              <w:right w:val="single" w:color="auto" w:sz="4" w:space="0"/>
            </w:tcBorders>
            <w:shd w:val="clear" w:color="auto" w:fill="auto"/>
            <w:vAlign w:val="center"/>
          </w:tcPr>
          <w:p w14:paraId="6B86771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822" w:type="pct"/>
            <w:tcBorders>
              <w:top w:val="nil"/>
              <w:left w:val="nil"/>
              <w:bottom w:val="single" w:color="auto" w:sz="4" w:space="0"/>
              <w:right w:val="single" w:color="auto" w:sz="4" w:space="0"/>
            </w:tcBorders>
            <w:shd w:val="clear" w:color="auto" w:fill="auto"/>
            <w:vAlign w:val="center"/>
          </w:tcPr>
          <w:p w14:paraId="0CC069A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765" w:type="pct"/>
            <w:tcBorders>
              <w:top w:val="nil"/>
              <w:left w:val="nil"/>
              <w:bottom w:val="single" w:color="auto" w:sz="4" w:space="0"/>
              <w:right w:val="single" w:color="auto" w:sz="4" w:space="0"/>
            </w:tcBorders>
            <w:shd w:val="clear" w:color="auto" w:fill="auto"/>
            <w:vAlign w:val="center"/>
          </w:tcPr>
          <w:p w14:paraId="0E846B8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地表翻扰型</w:t>
            </w:r>
          </w:p>
        </w:tc>
        <w:tc>
          <w:tcPr>
            <w:tcW w:w="606" w:type="pct"/>
            <w:tcBorders>
              <w:top w:val="nil"/>
              <w:left w:val="nil"/>
              <w:bottom w:val="single" w:color="auto" w:sz="4" w:space="0"/>
              <w:right w:val="single" w:color="auto" w:sz="4" w:space="0"/>
            </w:tcBorders>
            <w:shd w:val="clear" w:color="auto" w:fill="auto"/>
            <w:vAlign w:val="center"/>
          </w:tcPr>
          <w:p w14:paraId="4C68C5E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3.54</w:t>
            </w:r>
          </w:p>
        </w:tc>
        <w:tc>
          <w:tcPr>
            <w:tcW w:w="550" w:type="pct"/>
            <w:tcBorders>
              <w:top w:val="nil"/>
              <w:left w:val="nil"/>
              <w:bottom w:val="single" w:color="auto" w:sz="4" w:space="0"/>
              <w:right w:val="single" w:color="auto" w:sz="4" w:space="0"/>
            </w:tcBorders>
            <w:shd w:val="clear" w:color="auto" w:fill="auto"/>
            <w:vAlign w:val="center"/>
          </w:tcPr>
          <w:p w14:paraId="26ADCBF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3.54 </w:t>
            </w:r>
          </w:p>
        </w:tc>
        <w:tc>
          <w:tcPr>
            <w:tcW w:w="364" w:type="pct"/>
            <w:tcBorders>
              <w:top w:val="nil"/>
              <w:left w:val="nil"/>
              <w:bottom w:val="single" w:color="auto" w:sz="4" w:space="0"/>
              <w:right w:val="single" w:color="auto" w:sz="4" w:space="0"/>
            </w:tcBorders>
            <w:shd w:val="clear" w:color="auto" w:fill="auto"/>
            <w:vAlign w:val="center"/>
          </w:tcPr>
          <w:p w14:paraId="29A71FE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tcBorders>
              <w:top w:val="nil"/>
              <w:left w:val="nil"/>
              <w:bottom w:val="single" w:color="auto" w:sz="4" w:space="0"/>
              <w:right w:val="single" w:color="auto" w:sz="4" w:space="0"/>
            </w:tcBorders>
            <w:shd w:val="clear" w:color="auto" w:fill="auto"/>
            <w:vAlign w:val="center"/>
          </w:tcPr>
          <w:p w14:paraId="42B5768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r>
      <w:tr w14:paraId="2B22A81A">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2CD4AA6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restart"/>
            <w:tcBorders>
              <w:top w:val="nil"/>
              <w:left w:val="single" w:color="auto" w:sz="4" w:space="0"/>
              <w:bottom w:val="single" w:color="auto" w:sz="4" w:space="0"/>
              <w:right w:val="single" w:color="auto" w:sz="4" w:space="0"/>
            </w:tcBorders>
            <w:shd w:val="clear" w:color="auto" w:fill="auto"/>
            <w:vAlign w:val="center"/>
          </w:tcPr>
          <w:p w14:paraId="24DCA4D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700" w:type="pct"/>
            <w:vMerge w:val="restart"/>
            <w:tcBorders>
              <w:top w:val="nil"/>
              <w:left w:val="single" w:color="auto" w:sz="4" w:space="0"/>
              <w:bottom w:val="single" w:color="auto" w:sz="4" w:space="0"/>
              <w:right w:val="single" w:color="auto" w:sz="4" w:space="0"/>
            </w:tcBorders>
            <w:shd w:val="clear" w:color="auto" w:fill="auto"/>
            <w:vAlign w:val="center"/>
          </w:tcPr>
          <w:p w14:paraId="389FC97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822" w:type="pct"/>
            <w:tcBorders>
              <w:top w:val="nil"/>
              <w:left w:val="nil"/>
              <w:bottom w:val="single" w:color="auto" w:sz="4" w:space="0"/>
              <w:right w:val="single" w:color="auto" w:sz="4" w:space="0"/>
            </w:tcBorders>
            <w:shd w:val="clear" w:color="auto" w:fill="auto"/>
            <w:vAlign w:val="center"/>
          </w:tcPr>
          <w:p w14:paraId="05ACE8B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765" w:type="pct"/>
            <w:tcBorders>
              <w:top w:val="nil"/>
              <w:left w:val="nil"/>
              <w:bottom w:val="single" w:color="auto" w:sz="4" w:space="0"/>
              <w:right w:val="single" w:color="auto" w:sz="4" w:space="0"/>
            </w:tcBorders>
            <w:shd w:val="clear" w:color="auto" w:fill="auto"/>
            <w:vAlign w:val="center"/>
          </w:tcPr>
          <w:p w14:paraId="0BEBD98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地表翻扰型</w:t>
            </w:r>
          </w:p>
        </w:tc>
        <w:tc>
          <w:tcPr>
            <w:tcW w:w="606" w:type="pct"/>
            <w:tcBorders>
              <w:top w:val="nil"/>
              <w:left w:val="nil"/>
              <w:bottom w:val="single" w:color="auto" w:sz="4" w:space="0"/>
              <w:right w:val="single" w:color="auto" w:sz="4" w:space="0"/>
            </w:tcBorders>
            <w:shd w:val="clear" w:color="auto" w:fill="auto"/>
            <w:vAlign w:val="center"/>
          </w:tcPr>
          <w:p w14:paraId="36F83A8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73.54</w:t>
            </w:r>
          </w:p>
        </w:tc>
        <w:tc>
          <w:tcPr>
            <w:tcW w:w="550" w:type="pct"/>
            <w:vMerge w:val="restart"/>
            <w:tcBorders>
              <w:top w:val="nil"/>
              <w:left w:val="single" w:color="auto" w:sz="4" w:space="0"/>
              <w:bottom w:val="single" w:color="auto" w:sz="4" w:space="0"/>
              <w:right w:val="single" w:color="auto" w:sz="4" w:space="0"/>
            </w:tcBorders>
            <w:shd w:val="clear" w:color="auto" w:fill="auto"/>
            <w:vAlign w:val="center"/>
          </w:tcPr>
          <w:p w14:paraId="4489F3E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29.42 </w:t>
            </w:r>
          </w:p>
        </w:tc>
        <w:tc>
          <w:tcPr>
            <w:tcW w:w="364" w:type="pct"/>
            <w:tcBorders>
              <w:top w:val="nil"/>
              <w:left w:val="nil"/>
              <w:bottom w:val="single" w:color="auto" w:sz="4" w:space="0"/>
              <w:right w:val="single" w:color="auto" w:sz="4" w:space="0"/>
            </w:tcBorders>
            <w:shd w:val="clear" w:color="auto" w:fill="auto"/>
            <w:vAlign w:val="center"/>
          </w:tcPr>
          <w:p w14:paraId="746F283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w:t>
            </w:r>
          </w:p>
        </w:tc>
        <w:tc>
          <w:tcPr>
            <w:tcW w:w="352" w:type="pct"/>
            <w:vMerge w:val="restart"/>
            <w:tcBorders>
              <w:top w:val="nil"/>
              <w:left w:val="single" w:color="auto" w:sz="4" w:space="0"/>
              <w:bottom w:val="single" w:color="auto" w:sz="4" w:space="0"/>
              <w:right w:val="single" w:color="auto" w:sz="4" w:space="0"/>
            </w:tcBorders>
            <w:shd w:val="clear" w:color="auto" w:fill="auto"/>
            <w:vAlign w:val="center"/>
          </w:tcPr>
          <w:p w14:paraId="7A2AA74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r>
      <w:tr w14:paraId="0AAE7B14">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799644F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432A776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2FFA7DB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0EE6BDA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工程开挖面</w:t>
            </w:r>
          </w:p>
        </w:tc>
        <w:tc>
          <w:tcPr>
            <w:tcW w:w="765" w:type="pct"/>
            <w:tcBorders>
              <w:top w:val="nil"/>
              <w:left w:val="nil"/>
              <w:bottom w:val="single" w:color="auto" w:sz="4" w:space="0"/>
              <w:right w:val="single" w:color="auto" w:sz="4" w:space="0"/>
            </w:tcBorders>
            <w:shd w:val="clear" w:color="auto" w:fill="auto"/>
            <w:vAlign w:val="center"/>
          </w:tcPr>
          <w:p w14:paraId="555D0FF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606" w:type="pct"/>
            <w:tcBorders>
              <w:top w:val="nil"/>
              <w:left w:val="nil"/>
              <w:bottom w:val="single" w:color="auto" w:sz="4" w:space="0"/>
              <w:right w:val="single" w:color="auto" w:sz="4" w:space="0"/>
            </w:tcBorders>
            <w:shd w:val="clear" w:color="auto" w:fill="auto"/>
            <w:vAlign w:val="center"/>
          </w:tcPr>
          <w:p w14:paraId="317BF20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66.34</w:t>
            </w:r>
          </w:p>
        </w:tc>
        <w:tc>
          <w:tcPr>
            <w:tcW w:w="550" w:type="pct"/>
            <w:vMerge w:val="continue"/>
            <w:tcBorders>
              <w:top w:val="nil"/>
              <w:left w:val="single" w:color="auto" w:sz="4" w:space="0"/>
              <w:bottom w:val="single" w:color="auto" w:sz="4" w:space="0"/>
              <w:right w:val="single" w:color="auto" w:sz="4" w:space="0"/>
            </w:tcBorders>
            <w:vAlign w:val="center"/>
          </w:tcPr>
          <w:p w14:paraId="774CDB0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03532F1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0.75</w:t>
            </w:r>
          </w:p>
        </w:tc>
        <w:tc>
          <w:tcPr>
            <w:tcW w:w="352" w:type="pct"/>
            <w:vMerge w:val="continue"/>
            <w:tcBorders>
              <w:top w:val="nil"/>
              <w:left w:val="single" w:color="auto" w:sz="4" w:space="0"/>
              <w:bottom w:val="single" w:color="auto" w:sz="4" w:space="0"/>
              <w:right w:val="single" w:color="auto" w:sz="4" w:space="0"/>
            </w:tcBorders>
            <w:vAlign w:val="center"/>
          </w:tcPr>
          <w:p w14:paraId="1EB7B517">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7ECA2CA0">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5BBAFE5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1896178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5B4F39D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2C2D751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765" w:type="pct"/>
            <w:tcBorders>
              <w:top w:val="nil"/>
              <w:left w:val="nil"/>
              <w:bottom w:val="single" w:color="auto" w:sz="4" w:space="0"/>
              <w:right w:val="single" w:color="auto" w:sz="4" w:space="0"/>
            </w:tcBorders>
            <w:shd w:val="clear" w:color="auto" w:fill="auto"/>
            <w:vAlign w:val="center"/>
          </w:tcPr>
          <w:p w14:paraId="7400D10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606" w:type="pct"/>
            <w:tcBorders>
              <w:top w:val="nil"/>
              <w:left w:val="nil"/>
              <w:bottom w:val="single" w:color="auto" w:sz="4" w:space="0"/>
              <w:right w:val="single" w:color="auto" w:sz="4" w:space="0"/>
            </w:tcBorders>
            <w:shd w:val="clear" w:color="auto" w:fill="auto"/>
            <w:vAlign w:val="center"/>
          </w:tcPr>
          <w:p w14:paraId="4224753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7.2</w:t>
            </w:r>
          </w:p>
        </w:tc>
        <w:tc>
          <w:tcPr>
            <w:tcW w:w="550" w:type="pct"/>
            <w:vMerge w:val="continue"/>
            <w:tcBorders>
              <w:top w:val="nil"/>
              <w:left w:val="single" w:color="auto" w:sz="4" w:space="0"/>
              <w:bottom w:val="single" w:color="auto" w:sz="4" w:space="0"/>
              <w:right w:val="single" w:color="auto" w:sz="4" w:space="0"/>
            </w:tcBorders>
            <w:vAlign w:val="center"/>
          </w:tcPr>
          <w:p w14:paraId="3BDBB43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29D3466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vMerge w:val="continue"/>
            <w:tcBorders>
              <w:top w:val="nil"/>
              <w:left w:val="single" w:color="auto" w:sz="4" w:space="0"/>
              <w:bottom w:val="single" w:color="auto" w:sz="4" w:space="0"/>
              <w:right w:val="single" w:color="auto" w:sz="4" w:space="0"/>
            </w:tcBorders>
            <w:vAlign w:val="center"/>
          </w:tcPr>
          <w:p w14:paraId="559AD3C8">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7B649860">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4B0F73F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4E65060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restart"/>
            <w:tcBorders>
              <w:top w:val="nil"/>
              <w:left w:val="single" w:color="auto" w:sz="4" w:space="0"/>
              <w:bottom w:val="single" w:color="auto" w:sz="4" w:space="0"/>
              <w:right w:val="single" w:color="auto" w:sz="4" w:space="0"/>
            </w:tcBorders>
            <w:shd w:val="clear" w:color="auto" w:fill="auto"/>
            <w:vAlign w:val="center"/>
          </w:tcPr>
          <w:p w14:paraId="75D1DE5D">
            <w:pPr>
              <w:spacing w:line="240" w:lineRule="auto"/>
              <w:ind w:firstLine="210" w:firstLineChars="10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822" w:type="pct"/>
            <w:tcBorders>
              <w:top w:val="nil"/>
              <w:left w:val="nil"/>
              <w:bottom w:val="single" w:color="auto" w:sz="4" w:space="0"/>
              <w:right w:val="single" w:color="auto" w:sz="4" w:space="0"/>
            </w:tcBorders>
            <w:shd w:val="clear" w:color="auto" w:fill="auto"/>
            <w:vAlign w:val="center"/>
          </w:tcPr>
          <w:p w14:paraId="0256090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765" w:type="pct"/>
            <w:tcBorders>
              <w:top w:val="nil"/>
              <w:left w:val="nil"/>
              <w:bottom w:val="single" w:color="auto" w:sz="4" w:space="0"/>
              <w:right w:val="single" w:color="auto" w:sz="4" w:space="0"/>
            </w:tcBorders>
            <w:shd w:val="clear" w:color="auto" w:fill="auto"/>
            <w:vAlign w:val="center"/>
          </w:tcPr>
          <w:p w14:paraId="68E9E47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地表翻扰型</w:t>
            </w:r>
          </w:p>
        </w:tc>
        <w:tc>
          <w:tcPr>
            <w:tcW w:w="606" w:type="pct"/>
            <w:tcBorders>
              <w:top w:val="nil"/>
              <w:left w:val="nil"/>
              <w:bottom w:val="single" w:color="auto" w:sz="4" w:space="0"/>
              <w:right w:val="single" w:color="auto" w:sz="4" w:space="0"/>
            </w:tcBorders>
            <w:shd w:val="clear" w:color="auto" w:fill="auto"/>
            <w:vAlign w:val="center"/>
          </w:tcPr>
          <w:p w14:paraId="6E87D5B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1.854</w:t>
            </w:r>
          </w:p>
        </w:tc>
        <w:tc>
          <w:tcPr>
            <w:tcW w:w="550" w:type="pct"/>
            <w:vMerge w:val="restart"/>
            <w:tcBorders>
              <w:top w:val="nil"/>
              <w:left w:val="single" w:color="auto" w:sz="4" w:space="0"/>
              <w:bottom w:val="single" w:color="auto" w:sz="4" w:space="0"/>
              <w:right w:val="single" w:color="auto" w:sz="4" w:space="0"/>
            </w:tcBorders>
            <w:shd w:val="clear" w:color="auto" w:fill="auto"/>
            <w:vAlign w:val="center"/>
          </w:tcPr>
          <w:p w14:paraId="2BA69A2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1.20 </w:t>
            </w:r>
          </w:p>
        </w:tc>
        <w:tc>
          <w:tcPr>
            <w:tcW w:w="364" w:type="pct"/>
            <w:tcBorders>
              <w:top w:val="nil"/>
              <w:left w:val="nil"/>
              <w:bottom w:val="single" w:color="auto" w:sz="4" w:space="0"/>
              <w:right w:val="single" w:color="auto" w:sz="4" w:space="0"/>
            </w:tcBorders>
            <w:shd w:val="clear" w:color="auto" w:fill="auto"/>
            <w:vAlign w:val="center"/>
          </w:tcPr>
          <w:p w14:paraId="42C27D0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w:t>
            </w:r>
          </w:p>
        </w:tc>
        <w:tc>
          <w:tcPr>
            <w:tcW w:w="352" w:type="pct"/>
            <w:vMerge w:val="restart"/>
            <w:tcBorders>
              <w:top w:val="nil"/>
              <w:left w:val="single" w:color="auto" w:sz="4" w:space="0"/>
              <w:bottom w:val="single" w:color="auto" w:sz="4" w:space="0"/>
              <w:right w:val="single" w:color="auto" w:sz="4" w:space="0"/>
            </w:tcBorders>
            <w:shd w:val="clear" w:color="auto" w:fill="auto"/>
            <w:vAlign w:val="center"/>
          </w:tcPr>
          <w:p w14:paraId="07FAF85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r>
      <w:tr w14:paraId="2CA19B5D">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3ED687D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3AE356F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03CF384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2503534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工程开挖面</w:t>
            </w:r>
          </w:p>
        </w:tc>
        <w:tc>
          <w:tcPr>
            <w:tcW w:w="765" w:type="pct"/>
            <w:tcBorders>
              <w:top w:val="nil"/>
              <w:left w:val="nil"/>
              <w:bottom w:val="single" w:color="auto" w:sz="4" w:space="0"/>
              <w:right w:val="single" w:color="auto" w:sz="4" w:space="0"/>
            </w:tcBorders>
            <w:shd w:val="clear" w:color="auto" w:fill="auto"/>
            <w:vAlign w:val="center"/>
          </w:tcPr>
          <w:p w14:paraId="2E93BBF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606" w:type="pct"/>
            <w:tcBorders>
              <w:top w:val="nil"/>
              <w:left w:val="nil"/>
              <w:bottom w:val="single" w:color="auto" w:sz="4" w:space="0"/>
              <w:right w:val="single" w:color="auto" w:sz="4" w:space="0"/>
            </w:tcBorders>
            <w:shd w:val="clear" w:color="auto" w:fill="auto"/>
            <w:vAlign w:val="center"/>
          </w:tcPr>
          <w:p w14:paraId="4DD00B5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0.886</w:t>
            </w:r>
          </w:p>
        </w:tc>
        <w:tc>
          <w:tcPr>
            <w:tcW w:w="550" w:type="pct"/>
            <w:vMerge w:val="continue"/>
            <w:tcBorders>
              <w:top w:val="nil"/>
              <w:left w:val="single" w:color="auto" w:sz="4" w:space="0"/>
              <w:bottom w:val="single" w:color="auto" w:sz="4" w:space="0"/>
              <w:right w:val="single" w:color="auto" w:sz="4" w:space="0"/>
            </w:tcBorders>
            <w:vAlign w:val="center"/>
          </w:tcPr>
          <w:p w14:paraId="3202673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5029D0C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0.75</w:t>
            </w:r>
          </w:p>
        </w:tc>
        <w:tc>
          <w:tcPr>
            <w:tcW w:w="352" w:type="pct"/>
            <w:vMerge w:val="continue"/>
            <w:tcBorders>
              <w:top w:val="nil"/>
              <w:left w:val="single" w:color="auto" w:sz="4" w:space="0"/>
              <w:bottom w:val="single" w:color="auto" w:sz="4" w:space="0"/>
              <w:right w:val="single" w:color="auto" w:sz="4" w:space="0"/>
            </w:tcBorders>
            <w:vAlign w:val="center"/>
          </w:tcPr>
          <w:p w14:paraId="0B41AF9B">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2568D350">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194893E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7453DFC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06391C6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6182FD0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765" w:type="pct"/>
            <w:tcBorders>
              <w:top w:val="nil"/>
              <w:left w:val="nil"/>
              <w:bottom w:val="single" w:color="auto" w:sz="4" w:space="0"/>
              <w:right w:val="single" w:color="auto" w:sz="4" w:space="0"/>
            </w:tcBorders>
            <w:shd w:val="clear" w:color="auto" w:fill="auto"/>
            <w:vAlign w:val="center"/>
          </w:tcPr>
          <w:p w14:paraId="5A17223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606" w:type="pct"/>
            <w:tcBorders>
              <w:top w:val="nil"/>
              <w:left w:val="nil"/>
              <w:bottom w:val="single" w:color="auto" w:sz="4" w:space="0"/>
              <w:right w:val="single" w:color="auto" w:sz="4" w:space="0"/>
            </w:tcBorders>
            <w:shd w:val="clear" w:color="auto" w:fill="auto"/>
            <w:vAlign w:val="center"/>
          </w:tcPr>
          <w:p w14:paraId="2AC8B50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0.35</w:t>
            </w:r>
          </w:p>
        </w:tc>
        <w:tc>
          <w:tcPr>
            <w:tcW w:w="550" w:type="pct"/>
            <w:vMerge w:val="continue"/>
            <w:tcBorders>
              <w:top w:val="nil"/>
              <w:left w:val="single" w:color="auto" w:sz="4" w:space="0"/>
              <w:bottom w:val="single" w:color="auto" w:sz="4" w:space="0"/>
              <w:right w:val="single" w:color="auto" w:sz="4" w:space="0"/>
            </w:tcBorders>
            <w:vAlign w:val="center"/>
          </w:tcPr>
          <w:p w14:paraId="45D0508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1000656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vMerge w:val="continue"/>
            <w:tcBorders>
              <w:top w:val="nil"/>
              <w:left w:val="single" w:color="auto" w:sz="4" w:space="0"/>
              <w:bottom w:val="single" w:color="auto" w:sz="4" w:space="0"/>
              <w:right w:val="single" w:color="auto" w:sz="4" w:space="0"/>
            </w:tcBorders>
            <w:vAlign w:val="center"/>
          </w:tcPr>
          <w:p w14:paraId="5A6E0AD3">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2D5B89D1">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38550FF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71C31F4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tcBorders>
              <w:top w:val="nil"/>
              <w:left w:val="nil"/>
              <w:bottom w:val="single" w:color="auto" w:sz="4" w:space="0"/>
              <w:right w:val="single" w:color="auto" w:sz="4" w:space="0"/>
            </w:tcBorders>
            <w:shd w:val="clear" w:color="auto" w:fill="auto"/>
            <w:vAlign w:val="center"/>
          </w:tcPr>
          <w:p w14:paraId="5643058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822" w:type="pct"/>
            <w:tcBorders>
              <w:top w:val="nil"/>
              <w:left w:val="nil"/>
              <w:bottom w:val="single" w:color="auto" w:sz="4" w:space="0"/>
              <w:right w:val="single" w:color="auto" w:sz="4" w:space="0"/>
            </w:tcBorders>
            <w:shd w:val="clear" w:color="auto" w:fill="auto"/>
            <w:vAlign w:val="center"/>
          </w:tcPr>
          <w:p w14:paraId="681D98C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765" w:type="pct"/>
            <w:tcBorders>
              <w:top w:val="nil"/>
              <w:left w:val="nil"/>
              <w:bottom w:val="single" w:color="auto" w:sz="4" w:space="0"/>
              <w:right w:val="single" w:color="auto" w:sz="4" w:space="0"/>
            </w:tcBorders>
            <w:shd w:val="clear" w:color="auto" w:fill="auto"/>
            <w:vAlign w:val="center"/>
          </w:tcPr>
          <w:p w14:paraId="5D44FCE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地表翻扰型</w:t>
            </w:r>
          </w:p>
        </w:tc>
        <w:tc>
          <w:tcPr>
            <w:tcW w:w="606" w:type="pct"/>
            <w:tcBorders>
              <w:top w:val="nil"/>
              <w:left w:val="nil"/>
              <w:bottom w:val="single" w:color="auto" w:sz="4" w:space="0"/>
              <w:right w:val="single" w:color="auto" w:sz="4" w:space="0"/>
            </w:tcBorders>
            <w:shd w:val="clear" w:color="auto" w:fill="auto"/>
            <w:vAlign w:val="center"/>
          </w:tcPr>
          <w:p w14:paraId="3B03C5E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1.83</w:t>
            </w:r>
          </w:p>
        </w:tc>
        <w:tc>
          <w:tcPr>
            <w:tcW w:w="550" w:type="pct"/>
            <w:tcBorders>
              <w:top w:val="nil"/>
              <w:left w:val="nil"/>
              <w:bottom w:val="single" w:color="auto" w:sz="4" w:space="0"/>
              <w:right w:val="single" w:color="auto" w:sz="4" w:space="0"/>
            </w:tcBorders>
            <w:shd w:val="clear" w:color="auto" w:fill="auto"/>
            <w:vAlign w:val="center"/>
          </w:tcPr>
          <w:p w14:paraId="7722BC6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1.83 </w:t>
            </w:r>
          </w:p>
        </w:tc>
        <w:tc>
          <w:tcPr>
            <w:tcW w:w="364" w:type="pct"/>
            <w:tcBorders>
              <w:top w:val="nil"/>
              <w:left w:val="nil"/>
              <w:bottom w:val="single" w:color="auto" w:sz="4" w:space="0"/>
              <w:right w:val="single" w:color="auto" w:sz="4" w:space="0"/>
            </w:tcBorders>
            <w:shd w:val="clear" w:color="auto" w:fill="auto"/>
            <w:vAlign w:val="center"/>
          </w:tcPr>
          <w:p w14:paraId="55FEDF8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0.75</w:t>
            </w:r>
          </w:p>
        </w:tc>
        <w:tc>
          <w:tcPr>
            <w:tcW w:w="352" w:type="pct"/>
            <w:tcBorders>
              <w:top w:val="nil"/>
              <w:left w:val="nil"/>
              <w:bottom w:val="single" w:color="auto" w:sz="4" w:space="0"/>
              <w:right w:val="single" w:color="auto" w:sz="4" w:space="0"/>
            </w:tcBorders>
            <w:shd w:val="clear" w:color="auto" w:fill="auto"/>
            <w:vAlign w:val="center"/>
          </w:tcPr>
          <w:p w14:paraId="626AF2A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r>
      <w:tr w14:paraId="4C05F0CE">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04E366A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3F4A228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tcBorders>
              <w:top w:val="nil"/>
              <w:left w:val="nil"/>
              <w:bottom w:val="single" w:color="auto" w:sz="4" w:space="0"/>
              <w:right w:val="single" w:color="auto" w:sz="4" w:space="0"/>
            </w:tcBorders>
            <w:shd w:val="clear" w:color="auto" w:fill="auto"/>
            <w:vAlign w:val="center"/>
          </w:tcPr>
          <w:p w14:paraId="56B1AFC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陆地水域</w:t>
            </w:r>
          </w:p>
        </w:tc>
        <w:tc>
          <w:tcPr>
            <w:tcW w:w="822" w:type="pct"/>
            <w:tcBorders>
              <w:top w:val="nil"/>
              <w:left w:val="nil"/>
              <w:bottom w:val="single" w:color="auto" w:sz="4" w:space="0"/>
              <w:right w:val="single" w:color="auto" w:sz="4" w:space="0"/>
            </w:tcBorders>
            <w:shd w:val="clear" w:color="auto" w:fill="auto"/>
            <w:vAlign w:val="center"/>
          </w:tcPr>
          <w:p w14:paraId="3FD3DAB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765" w:type="pct"/>
            <w:tcBorders>
              <w:top w:val="nil"/>
              <w:left w:val="nil"/>
              <w:bottom w:val="single" w:color="auto" w:sz="4" w:space="0"/>
              <w:right w:val="single" w:color="auto" w:sz="4" w:space="0"/>
            </w:tcBorders>
            <w:shd w:val="clear" w:color="auto" w:fill="auto"/>
            <w:vAlign w:val="center"/>
          </w:tcPr>
          <w:p w14:paraId="2B017DB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地表翻扰型</w:t>
            </w:r>
          </w:p>
        </w:tc>
        <w:tc>
          <w:tcPr>
            <w:tcW w:w="606" w:type="pct"/>
            <w:tcBorders>
              <w:top w:val="nil"/>
              <w:left w:val="nil"/>
              <w:bottom w:val="single" w:color="auto" w:sz="4" w:space="0"/>
              <w:right w:val="single" w:color="auto" w:sz="4" w:space="0"/>
            </w:tcBorders>
            <w:shd w:val="clear" w:color="auto" w:fill="auto"/>
            <w:vAlign w:val="center"/>
          </w:tcPr>
          <w:p w14:paraId="0EE48A5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1.1</w:t>
            </w:r>
          </w:p>
        </w:tc>
        <w:tc>
          <w:tcPr>
            <w:tcW w:w="550" w:type="pct"/>
            <w:tcBorders>
              <w:top w:val="nil"/>
              <w:left w:val="nil"/>
              <w:bottom w:val="single" w:color="auto" w:sz="4" w:space="0"/>
              <w:right w:val="single" w:color="auto" w:sz="4" w:space="0"/>
            </w:tcBorders>
            <w:shd w:val="clear" w:color="auto" w:fill="auto"/>
            <w:vAlign w:val="center"/>
          </w:tcPr>
          <w:p w14:paraId="27381B1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1.10 </w:t>
            </w:r>
          </w:p>
        </w:tc>
        <w:tc>
          <w:tcPr>
            <w:tcW w:w="364" w:type="pct"/>
            <w:tcBorders>
              <w:top w:val="nil"/>
              <w:left w:val="nil"/>
              <w:bottom w:val="single" w:color="auto" w:sz="4" w:space="0"/>
              <w:right w:val="single" w:color="auto" w:sz="4" w:space="0"/>
            </w:tcBorders>
            <w:shd w:val="clear" w:color="auto" w:fill="auto"/>
            <w:vAlign w:val="center"/>
          </w:tcPr>
          <w:p w14:paraId="546C8A2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0.75</w:t>
            </w:r>
          </w:p>
        </w:tc>
        <w:tc>
          <w:tcPr>
            <w:tcW w:w="352" w:type="pct"/>
            <w:tcBorders>
              <w:top w:val="nil"/>
              <w:left w:val="nil"/>
              <w:bottom w:val="single" w:color="auto" w:sz="4" w:space="0"/>
              <w:right w:val="single" w:color="auto" w:sz="4" w:space="0"/>
            </w:tcBorders>
            <w:shd w:val="clear" w:color="auto" w:fill="auto"/>
            <w:vAlign w:val="center"/>
          </w:tcPr>
          <w:p w14:paraId="0E20005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r>
      <w:tr w14:paraId="194561AD">
        <w:tblPrEx>
          <w:tblCellMar>
            <w:top w:w="0" w:type="dxa"/>
            <w:left w:w="108" w:type="dxa"/>
            <w:bottom w:w="0" w:type="dxa"/>
            <w:right w:w="108" w:type="dxa"/>
          </w:tblCellMar>
        </w:tblPrEx>
        <w:trPr>
          <w:trHeight w:val="397" w:hRule="atLeast"/>
        </w:trPr>
        <w:tc>
          <w:tcPr>
            <w:tcW w:w="312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3AC514C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小计</w:t>
            </w:r>
          </w:p>
        </w:tc>
        <w:tc>
          <w:tcPr>
            <w:tcW w:w="606" w:type="pct"/>
            <w:tcBorders>
              <w:top w:val="nil"/>
              <w:left w:val="nil"/>
              <w:bottom w:val="single" w:color="auto" w:sz="4" w:space="0"/>
              <w:right w:val="single" w:color="auto" w:sz="4" w:space="0"/>
            </w:tcBorders>
            <w:shd w:val="clear" w:color="auto" w:fill="auto"/>
            <w:vAlign w:val="center"/>
          </w:tcPr>
          <w:p w14:paraId="22E0401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1267.72</w:t>
            </w:r>
          </w:p>
        </w:tc>
        <w:tc>
          <w:tcPr>
            <w:tcW w:w="550" w:type="pct"/>
            <w:tcBorders>
              <w:top w:val="nil"/>
              <w:left w:val="nil"/>
              <w:bottom w:val="single" w:color="auto" w:sz="4" w:space="0"/>
              <w:right w:val="single" w:color="auto" w:sz="4" w:space="0"/>
            </w:tcBorders>
            <w:shd w:val="clear" w:color="auto" w:fill="auto"/>
            <w:vAlign w:val="center"/>
          </w:tcPr>
          <w:p w14:paraId="3757FCB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285.12 </w:t>
            </w:r>
          </w:p>
        </w:tc>
        <w:tc>
          <w:tcPr>
            <w:tcW w:w="364" w:type="pct"/>
            <w:tcBorders>
              <w:top w:val="nil"/>
              <w:left w:val="nil"/>
              <w:bottom w:val="single" w:color="auto" w:sz="4" w:space="0"/>
              <w:right w:val="single" w:color="auto" w:sz="4" w:space="0"/>
            </w:tcBorders>
            <w:shd w:val="clear" w:color="auto" w:fill="auto"/>
            <w:vAlign w:val="center"/>
          </w:tcPr>
          <w:p w14:paraId="7D79E8B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52" w:type="pct"/>
            <w:tcBorders>
              <w:top w:val="nil"/>
              <w:left w:val="nil"/>
              <w:bottom w:val="single" w:color="auto" w:sz="4" w:space="0"/>
              <w:right w:val="single" w:color="auto" w:sz="4" w:space="0"/>
            </w:tcBorders>
            <w:shd w:val="clear" w:color="auto" w:fill="auto"/>
            <w:vAlign w:val="center"/>
          </w:tcPr>
          <w:p w14:paraId="4D18A41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35CFB46B">
        <w:tblPrEx>
          <w:tblCellMar>
            <w:top w:w="0" w:type="dxa"/>
            <w:left w:w="108" w:type="dxa"/>
            <w:bottom w:w="0" w:type="dxa"/>
            <w:right w:w="108" w:type="dxa"/>
          </w:tblCellMar>
        </w:tblPrEx>
        <w:trPr>
          <w:trHeight w:val="397" w:hRule="atLeast"/>
        </w:trPr>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58279F0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风力侵蚀</w:t>
            </w:r>
          </w:p>
        </w:tc>
        <w:tc>
          <w:tcPr>
            <w:tcW w:w="603" w:type="pct"/>
            <w:vMerge w:val="restart"/>
            <w:tcBorders>
              <w:top w:val="nil"/>
              <w:left w:val="single" w:color="auto" w:sz="4" w:space="0"/>
              <w:bottom w:val="single" w:color="auto" w:sz="4" w:space="0"/>
              <w:right w:val="single" w:color="auto" w:sz="4" w:space="0"/>
            </w:tcBorders>
            <w:shd w:val="clear" w:color="auto" w:fill="auto"/>
            <w:vAlign w:val="center"/>
          </w:tcPr>
          <w:p w14:paraId="6A737A6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700" w:type="pct"/>
            <w:vMerge w:val="restart"/>
            <w:tcBorders>
              <w:top w:val="nil"/>
              <w:left w:val="single" w:color="auto" w:sz="4" w:space="0"/>
              <w:bottom w:val="single" w:color="auto" w:sz="4" w:space="0"/>
              <w:right w:val="single" w:color="auto" w:sz="4" w:space="0"/>
            </w:tcBorders>
            <w:shd w:val="clear" w:color="auto" w:fill="auto"/>
            <w:vAlign w:val="center"/>
          </w:tcPr>
          <w:p w14:paraId="479847C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公共管理与公共服务用地</w:t>
            </w:r>
          </w:p>
        </w:tc>
        <w:tc>
          <w:tcPr>
            <w:tcW w:w="822" w:type="pct"/>
            <w:tcBorders>
              <w:top w:val="nil"/>
              <w:left w:val="nil"/>
              <w:bottom w:val="single" w:color="auto" w:sz="4" w:space="0"/>
              <w:right w:val="single" w:color="auto" w:sz="4" w:space="0"/>
            </w:tcBorders>
            <w:shd w:val="clear" w:color="auto" w:fill="auto"/>
            <w:vAlign w:val="center"/>
          </w:tcPr>
          <w:p w14:paraId="1386EE8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765" w:type="pct"/>
            <w:tcBorders>
              <w:top w:val="nil"/>
              <w:left w:val="nil"/>
              <w:bottom w:val="single" w:color="auto" w:sz="4" w:space="0"/>
              <w:right w:val="single" w:color="auto" w:sz="4" w:space="0"/>
            </w:tcBorders>
            <w:shd w:val="clear" w:color="auto" w:fill="auto"/>
            <w:vAlign w:val="center"/>
          </w:tcPr>
          <w:p w14:paraId="65B2437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606" w:type="pct"/>
            <w:tcBorders>
              <w:top w:val="nil"/>
              <w:left w:val="nil"/>
              <w:bottom w:val="single" w:color="auto" w:sz="4" w:space="0"/>
              <w:right w:val="single" w:color="auto" w:sz="4" w:space="0"/>
            </w:tcBorders>
            <w:shd w:val="clear" w:color="auto" w:fill="auto"/>
            <w:vAlign w:val="center"/>
          </w:tcPr>
          <w:p w14:paraId="7A1E5E4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0.87</w:t>
            </w:r>
          </w:p>
        </w:tc>
        <w:tc>
          <w:tcPr>
            <w:tcW w:w="550" w:type="pct"/>
            <w:vMerge w:val="restart"/>
            <w:tcBorders>
              <w:top w:val="nil"/>
              <w:left w:val="single" w:color="auto" w:sz="4" w:space="0"/>
              <w:bottom w:val="single" w:color="auto" w:sz="4" w:space="0"/>
              <w:right w:val="single" w:color="auto" w:sz="4" w:space="0"/>
            </w:tcBorders>
            <w:shd w:val="clear" w:color="auto" w:fill="auto"/>
            <w:vAlign w:val="center"/>
          </w:tcPr>
          <w:p w14:paraId="5E16804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0.37 </w:t>
            </w:r>
          </w:p>
        </w:tc>
        <w:tc>
          <w:tcPr>
            <w:tcW w:w="364" w:type="pct"/>
            <w:tcBorders>
              <w:top w:val="nil"/>
              <w:left w:val="nil"/>
              <w:bottom w:val="single" w:color="auto" w:sz="4" w:space="0"/>
              <w:right w:val="single" w:color="auto" w:sz="4" w:space="0"/>
            </w:tcBorders>
            <w:shd w:val="clear" w:color="auto" w:fill="auto"/>
            <w:vAlign w:val="center"/>
          </w:tcPr>
          <w:p w14:paraId="6660F3F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w:t>
            </w:r>
          </w:p>
        </w:tc>
        <w:tc>
          <w:tcPr>
            <w:tcW w:w="352" w:type="pct"/>
            <w:vMerge w:val="restart"/>
            <w:tcBorders>
              <w:top w:val="nil"/>
              <w:left w:val="single" w:color="auto" w:sz="4" w:space="0"/>
              <w:bottom w:val="single" w:color="auto" w:sz="4" w:space="0"/>
              <w:right w:val="single" w:color="auto" w:sz="4" w:space="0"/>
            </w:tcBorders>
            <w:shd w:val="clear" w:color="auto" w:fill="auto"/>
            <w:vAlign w:val="center"/>
          </w:tcPr>
          <w:p w14:paraId="4319E7B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r>
      <w:tr w14:paraId="4773A3DD">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4E4C71D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4410A91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36958A0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3724C1E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765" w:type="pct"/>
            <w:tcBorders>
              <w:top w:val="nil"/>
              <w:left w:val="nil"/>
              <w:bottom w:val="single" w:color="auto" w:sz="4" w:space="0"/>
              <w:right w:val="single" w:color="auto" w:sz="4" w:space="0"/>
            </w:tcBorders>
            <w:shd w:val="clear" w:color="auto" w:fill="auto"/>
            <w:vAlign w:val="center"/>
          </w:tcPr>
          <w:p w14:paraId="33233D3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606" w:type="pct"/>
            <w:tcBorders>
              <w:top w:val="nil"/>
              <w:left w:val="nil"/>
              <w:bottom w:val="single" w:color="auto" w:sz="4" w:space="0"/>
              <w:right w:val="single" w:color="auto" w:sz="4" w:space="0"/>
            </w:tcBorders>
            <w:shd w:val="clear" w:color="auto" w:fill="auto"/>
            <w:vAlign w:val="center"/>
          </w:tcPr>
          <w:p w14:paraId="6C420E9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0.2</w:t>
            </w:r>
          </w:p>
        </w:tc>
        <w:tc>
          <w:tcPr>
            <w:tcW w:w="550" w:type="pct"/>
            <w:vMerge w:val="continue"/>
            <w:tcBorders>
              <w:top w:val="nil"/>
              <w:left w:val="single" w:color="auto" w:sz="4" w:space="0"/>
              <w:bottom w:val="single" w:color="auto" w:sz="4" w:space="0"/>
              <w:right w:val="single" w:color="auto" w:sz="4" w:space="0"/>
            </w:tcBorders>
            <w:vAlign w:val="center"/>
          </w:tcPr>
          <w:p w14:paraId="4911375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4A2E2E0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vMerge w:val="continue"/>
            <w:tcBorders>
              <w:top w:val="nil"/>
              <w:left w:val="single" w:color="auto" w:sz="4" w:space="0"/>
              <w:bottom w:val="single" w:color="auto" w:sz="4" w:space="0"/>
              <w:right w:val="single" w:color="auto" w:sz="4" w:space="0"/>
            </w:tcBorders>
            <w:vAlign w:val="center"/>
          </w:tcPr>
          <w:p w14:paraId="62E2EF91">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7A6BB9DD">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6694CF8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5818E31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restart"/>
            <w:tcBorders>
              <w:top w:val="nil"/>
              <w:left w:val="single" w:color="auto" w:sz="4" w:space="0"/>
              <w:bottom w:val="single" w:color="auto" w:sz="4" w:space="0"/>
              <w:right w:val="single" w:color="auto" w:sz="4" w:space="0"/>
            </w:tcBorders>
            <w:shd w:val="clear" w:color="auto" w:fill="auto"/>
            <w:vAlign w:val="center"/>
          </w:tcPr>
          <w:p w14:paraId="0F383F36">
            <w:pPr>
              <w:spacing w:line="240" w:lineRule="auto"/>
              <w:ind w:firstLine="210" w:firstLineChars="10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商业服务业用地</w:t>
            </w:r>
          </w:p>
        </w:tc>
        <w:tc>
          <w:tcPr>
            <w:tcW w:w="822" w:type="pct"/>
            <w:tcBorders>
              <w:top w:val="nil"/>
              <w:left w:val="nil"/>
              <w:bottom w:val="single" w:color="auto" w:sz="4" w:space="0"/>
              <w:right w:val="single" w:color="auto" w:sz="4" w:space="0"/>
            </w:tcBorders>
            <w:shd w:val="clear" w:color="auto" w:fill="auto"/>
            <w:vAlign w:val="center"/>
          </w:tcPr>
          <w:p w14:paraId="64B5DD7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765" w:type="pct"/>
            <w:tcBorders>
              <w:top w:val="nil"/>
              <w:left w:val="nil"/>
              <w:bottom w:val="single" w:color="auto" w:sz="4" w:space="0"/>
              <w:right w:val="single" w:color="auto" w:sz="4" w:space="0"/>
            </w:tcBorders>
            <w:shd w:val="clear" w:color="auto" w:fill="auto"/>
            <w:vAlign w:val="center"/>
          </w:tcPr>
          <w:p w14:paraId="2383EAE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606" w:type="pct"/>
            <w:tcBorders>
              <w:top w:val="nil"/>
              <w:left w:val="nil"/>
              <w:bottom w:val="single" w:color="auto" w:sz="4" w:space="0"/>
              <w:right w:val="single" w:color="auto" w:sz="4" w:space="0"/>
            </w:tcBorders>
            <w:shd w:val="clear" w:color="auto" w:fill="auto"/>
            <w:vAlign w:val="center"/>
          </w:tcPr>
          <w:p w14:paraId="359D703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3.87</w:t>
            </w:r>
          </w:p>
        </w:tc>
        <w:tc>
          <w:tcPr>
            <w:tcW w:w="550" w:type="pct"/>
            <w:vMerge w:val="restart"/>
            <w:tcBorders>
              <w:top w:val="nil"/>
              <w:left w:val="single" w:color="auto" w:sz="4" w:space="0"/>
              <w:bottom w:val="single" w:color="auto" w:sz="4" w:space="0"/>
              <w:right w:val="single" w:color="auto" w:sz="4" w:space="0"/>
            </w:tcBorders>
            <w:shd w:val="clear" w:color="auto" w:fill="auto"/>
            <w:vAlign w:val="center"/>
          </w:tcPr>
          <w:p w14:paraId="441E909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1.53 </w:t>
            </w:r>
          </w:p>
        </w:tc>
        <w:tc>
          <w:tcPr>
            <w:tcW w:w="364" w:type="pct"/>
            <w:tcBorders>
              <w:top w:val="nil"/>
              <w:left w:val="nil"/>
              <w:bottom w:val="single" w:color="auto" w:sz="4" w:space="0"/>
              <w:right w:val="single" w:color="auto" w:sz="4" w:space="0"/>
            </w:tcBorders>
            <w:shd w:val="clear" w:color="auto" w:fill="auto"/>
            <w:vAlign w:val="center"/>
          </w:tcPr>
          <w:p w14:paraId="3EF7AA7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vMerge w:val="restart"/>
            <w:tcBorders>
              <w:top w:val="nil"/>
              <w:left w:val="single" w:color="auto" w:sz="4" w:space="0"/>
              <w:bottom w:val="single" w:color="auto" w:sz="4" w:space="0"/>
              <w:right w:val="single" w:color="auto" w:sz="4" w:space="0"/>
            </w:tcBorders>
            <w:shd w:val="clear" w:color="auto" w:fill="auto"/>
            <w:vAlign w:val="center"/>
          </w:tcPr>
          <w:p w14:paraId="527CD34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r>
      <w:tr w14:paraId="6BE7F6B0">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49CF931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0844D59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2CBF0B3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5C6B0E8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765" w:type="pct"/>
            <w:tcBorders>
              <w:top w:val="nil"/>
              <w:left w:val="nil"/>
              <w:bottom w:val="single" w:color="auto" w:sz="4" w:space="0"/>
              <w:right w:val="single" w:color="auto" w:sz="4" w:space="0"/>
            </w:tcBorders>
            <w:shd w:val="clear" w:color="auto" w:fill="auto"/>
            <w:vAlign w:val="center"/>
          </w:tcPr>
          <w:p w14:paraId="5235C9F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606" w:type="pct"/>
            <w:tcBorders>
              <w:top w:val="nil"/>
              <w:left w:val="nil"/>
              <w:bottom w:val="single" w:color="auto" w:sz="4" w:space="0"/>
              <w:right w:val="single" w:color="auto" w:sz="4" w:space="0"/>
            </w:tcBorders>
            <w:shd w:val="clear" w:color="auto" w:fill="auto"/>
            <w:vAlign w:val="center"/>
          </w:tcPr>
          <w:p w14:paraId="09855C9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0.5</w:t>
            </w:r>
          </w:p>
        </w:tc>
        <w:tc>
          <w:tcPr>
            <w:tcW w:w="550" w:type="pct"/>
            <w:vMerge w:val="continue"/>
            <w:tcBorders>
              <w:top w:val="nil"/>
              <w:left w:val="single" w:color="auto" w:sz="4" w:space="0"/>
              <w:bottom w:val="single" w:color="auto" w:sz="4" w:space="0"/>
              <w:right w:val="single" w:color="auto" w:sz="4" w:space="0"/>
            </w:tcBorders>
            <w:vAlign w:val="center"/>
          </w:tcPr>
          <w:p w14:paraId="765211A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3854F03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vMerge w:val="continue"/>
            <w:tcBorders>
              <w:top w:val="nil"/>
              <w:left w:val="single" w:color="auto" w:sz="4" w:space="0"/>
              <w:bottom w:val="single" w:color="auto" w:sz="4" w:space="0"/>
              <w:right w:val="single" w:color="auto" w:sz="4" w:space="0"/>
            </w:tcBorders>
            <w:vAlign w:val="center"/>
          </w:tcPr>
          <w:p w14:paraId="4F2BFDF1">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25427F8D">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75216C6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0C8F92A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restart"/>
            <w:tcBorders>
              <w:top w:val="nil"/>
              <w:left w:val="single" w:color="auto" w:sz="4" w:space="0"/>
              <w:bottom w:val="single" w:color="auto" w:sz="4" w:space="0"/>
              <w:right w:val="single" w:color="auto" w:sz="4" w:space="0"/>
            </w:tcBorders>
            <w:shd w:val="clear" w:color="auto" w:fill="auto"/>
            <w:vAlign w:val="center"/>
          </w:tcPr>
          <w:p w14:paraId="0E3AF1B3">
            <w:pPr>
              <w:spacing w:line="240" w:lineRule="auto"/>
              <w:ind w:firstLine="210" w:firstLineChars="10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822" w:type="pct"/>
            <w:tcBorders>
              <w:top w:val="nil"/>
              <w:left w:val="nil"/>
              <w:bottom w:val="single" w:color="auto" w:sz="4" w:space="0"/>
              <w:right w:val="single" w:color="auto" w:sz="4" w:space="0"/>
            </w:tcBorders>
            <w:shd w:val="clear" w:color="auto" w:fill="auto"/>
            <w:vAlign w:val="center"/>
          </w:tcPr>
          <w:p w14:paraId="4750D2F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765" w:type="pct"/>
            <w:tcBorders>
              <w:top w:val="nil"/>
              <w:left w:val="nil"/>
              <w:bottom w:val="single" w:color="auto" w:sz="4" w:space="0"/>
              <w:right w:val="single" w:color="auto" w:sz="4" w:space="0"/>
            </w:tcBorders>
            <w:shd w:val="clear" w:color="auto" w:fill="auto"/>
            <w:vAlign w:val="center"/>
          </w:tcPr>
          <w:p w14:paraId="29BA7E3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606" w:type="pct"/>
            <w:tcBorders>
              <w:top w:val="nil"/>
              <w:left w:val="nil"/>
              <w:bottom w:val="single" w:color="auto" w:sz="4" w:space="0"/>
              <w:right w:val="single" w:color="auto" w:sz="4" w:space="0"/>
            </w:tcBorders>
            <w:shd w:val="clear" w:color="auto" w:fill="auto"/>
            <w:vAlign w:val="center"/>
          </w:tcPr>
          <w:p w14:paraId="42E408D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983.28</w:t>
            </w:r>
          </w:p>
        </w:tc>
        <w:tc>
          <w:tcPr>
            <w:tcW w:w="550" w:type="pct"/>
            <w:vMerge w:val="restart"/>
            <w:tcBorders>
              <w:top w:val="nil"/>
              <w:left w:val="single" w:color="auto" w:sz="4" w:space="0"/>
              <w:bottom w:val="single" w:color="auto" w:sz="4" w:space="0"/>
              <w:right w:val="single" w:color="auto" w:sz="4" w:space="0"/>
            </w:tcBorders>
            <w:shd w:val="clear" w:color="auto" w:fill="auto"/>
            <w:vAlign w:val="center"/>
          </w:tcPr>
          <w:p w14:paraId="2316E4B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200.86 </w:t>
            </w:r>
          </w:p>
        </w:tc>
        <w:tc>
          <w:tcPr>
            <w:tcW w:w="364" w:type="pct"/>
            <w:tcBorders>
              <w:top w:val="nil"/>
              <w:left w:val="nil"/>
              <w:bottom w:val="single" w:color="auto" w:sz="4" w:space="0"/>
              <w:right w:val="single" w:color="auto" w:sz="4" w:space="0"/>
            </w:tcBorders>
            <w:shd w:val="clear" w:color="auto" w:fill="auto"/>
            <w:vAlign w:val="center"/>
          </w:tcPr>
          <w:p w14:paraId="5E58F09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w:t>
            </w:r>
          </w:p>
        </w:tc>
        <w:tc>
          <w:tcPr>
            <w:tcW w:w="352" w:type="pct"/>
            <w:vMerge w:val="restart"/>
            <w:tcBorders>
              <w:top w:val="nil"/>
              <w:left w:val="single" w:color="auto" w:sz="4" w:space="0"/>
              <w:bottom w:val="single" w:color="auto" w:sz="4" w:space="0"/>
              <w:right w:val="single" w:color="auto" w:sz="4" w:space="0"/>
            </w:tcBorders>
            <w:shd w:val="clear" w:color="auto" w:fill="auto"/>
            <w:vAlign w:val="center"/>
          </w:tcPr>
          <w:p w14:paraId="74DBEDD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r>
      <w:tr w14:paraId="2A602E9E">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01053C7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1BEBD9A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4A44CD2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231B3B2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765" w:type="pct"/>
            <w:tcBorders>
              <w:top w:val="nil"/>
              <w:left w:val="nil"/>
              <w:bottom w:val="single" w:color="auto" w:sz="4" w:space="0"/>
              <w:right w:val="single" w:color="auto" w:sz="4" w:space="0"/>
            </w:tcBorders>
            <w:shd w:val="clear" w:color="auto" w:fill="auto"/>
            <w:vAlign w:val="center"/>
          </w:tcPr>
          <w:p w14:paraId="3055469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606" w:type="pct"/>
            <w:tcBorders>
              <w:top w:val="nil"/>
              <w:left w:val="nil"/>
              <w:bottom w:val="single" w:color="auto" w:sz="4" w:space="0"/>
              <w:right w:val="single" w:color="auto" w:sz="4" w:space="0"/>
            </w:tcBorders>
            <w:shd w:val="clear" w:color="auto" w:fill="auto"/>
            <w:vAlign w:val="center"/>
          </w:tcPr>
          <w:p w14:paraId="67525A2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21</w:t>
            </w:r>
          </w:p>
        </w:tc>
        <w:tc>
          <w:tcPr>
            <w:tcW w:w="550" w:type="pct"/>
            <w:vMerge w:val="continue"/>
            <w:tcBorders>
              <w:top w:val="nil"/>
              <w:left w:val="single" w:color="auto" w:sz="4" w:space="0"/>
              <w:bottom w:val="single" w:color="auto" w:sz="4" w:space="0"/>
              <w:right w:val="single" w:color="auto" w:sz="4" w:space="0"/>
            </w:tcBorders>
            <w:vAlign w:val="center"/>
          </w:tcPr>
          <w:p w14:paraId="3E641B4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1B05D50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vMerge w:val="continue"/>
            <w:tcBorders>
              <w:top w:val="nil"/>
              <w:left w:val="single" w:color="auto" w:sz="4" w:space="0"/>
              <w:bottom w:val="single" w:color="auto" w:sz="4" w:space="0"/>
              <w:right w:val="single" w:color="auto" w:sz="4" w:space="0"/>
            </w:tcBorders>
            <w:vAlign w:val="center"/>
          </w:tcPr>
          <w:p w14:paraId="02C19C77">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14C577D7">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2865BB5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1E2EFB8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restart"/>
            <w:tcBorders>
              <w:top w:val="nil"/>
              <w:left w:val="single" w:color="auto" w:sz="4" w:space="0"/>
              <w:bottom w:val="single" w:color="auto" w:sz="4" w:space="0"/>
              <w:right w:val="single" w:color="auto" w:sz="4" w:space="0"/>
            </w:tcBorders>
            <w:shd w:val="clear" w:color="auto" w:fill="auto"/>
            <w:vAlign w:val="center"/>
          </w:tcPr>
          <w:p w14:paraId="39F9DC1F">
            <w:pPr>
              <w:spacing w:line="240" w:lineRule="auto"/>
              <w:ind w:firstLine="210" w:firstLineChars="10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822" w:type="pct"/>
            <w:tcBorders>
              <w:top w:val="nil"/>
              <w:left w:val="nil"/>
              <w:bottom w:val="single" w:color="auto" w:sz="4" w:space="0"/>
              <w:right w:val="single" w:color="auto" w:sz="4" w:space="0"/>
            </w:tcBorders>
            <w:shd w:val="clear" w:color="auto" w:fill="auto"/>
            <w:vAlign w:val="center"/>
          </w:tcPr>
          <w:p w14:paraId="532E5EC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765" w:type="pct"/>
            <w:tcBorders>
              <w:top w:val="nil"/>
              <w:left w:val="nil"/>
              <w:bottom w:val="single" w:color="auto" w:sz="4" w:space="0"/>
              <w:right w:val="single" w:color="auto" w:sz="4" w:space="0"/>
            </w:tcBorders>
            <w:shd w:val="clear" w:color="auto" w:fill="auto"/>
            <w:vAlign w:val="center"/>
          </w:tcPr>
          <w:p w14:paraId="56A066A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606" w:type="pct"/>
            <w:tcBorders>
              <w:top w:val="nil"/>
              <w:left w:val="nil"/>
              <w:bottom w:val="single" w:color="auto" w:sz="4" w:space="0"/>
              <w:right w:val="single" w:color="auto" w:sz="4" w:space="0"/>
            </w:tcBorders>
            <w:shd w:val="clear" w:color="auto" w:fill="auto"/>
            <w:vAlign w:val="center"/>
          </w:tcPr>
          <w:p w14:paraId="49D7171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80.7</w:t>
            </w:r>
          </w:p>
        </w:tc>
        <w:tc>
          <w:tcPr>
            <w:tcW w:w="550" w:type="pct"/>
            <w:vMerge w:val="restart"/>
            <w:tcBorders>
              <w:top w:val="nil"/>
              <w:left w:val="single" w:color="auto" w:sz="4" w:space="0"/>
              <w:bottom w:val="single" w:color="auto" w:sz="4" w:space="0"/>
              <w:right w:val="single" w:color="auto" w:sz="4" w:space="0"/>
            </w:tcBorders>
            <w:shd w:val="clear" w:color="auto" w:fill="auto"/>
            <w:vAlign w:val="center"/>
          </w:tcPr>
          <w:p w14:paraId="02F025D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41.54 </w:t>
            </w:r>
          </w:p>
        </w:tc>
        <w:tc>
          <w:tcPr>
            <w:tcW w:w="364" w:type="pct"/>
            <w:tcBorders>
              <w:top w:val="nil"/>
              <w:left w:val="nil"/>
              <w:bottom w:val="single" w:color="auto" w:sz="4" w:space="0"/>
              <w:right w:val="single" w:color="auto" w:sz="4" w:space="0"/>
            </w:tcBorders>
            <w:shd w:val="clear" w:color="auto" w:fill="auto"/>
            <w:vAlign w:val="center"/>
          </w:tcPr>
          <w:p w14:paraId="48DD694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w:t>
            </w:r>
          </w:p>
        </w:tc>
        <w:tc>
          <w:tcPr>
            <w:tcW w:w="352" w:type="pct"/>
            <w:vMerge w:val="restart"/>
            <w:tcBorders>
              <w:top w:val="nil"/>
              <w:left w:val="single" w:color="auto" w:sz="4" w:space="0"/>
              <w:bottom w:val="single" w:color="auto" w:sz="4" w:space="0"/>
              <w:right w:val="single" w:color="auto" w:sz="4" w:space="0"/>
            </w:tcBorders>
            <w:shd w:val="clear" w:color="auto" w:fill="auto"/>
            <w:vAlign w:val="center"/>
          </w:tcPr>
          <w:p w14:paraId="28F9AF9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r>
      <w:tr w14:paraId="44EE29F2">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06A2639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3DEE08D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0210F91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060FE11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765" w:type="pct"/>
            <w:tcBorders>
              <w:top w:val="nil"/>
              <w:left w:val="nil"/>
              <w:bottom w:val="single" w:color="auto" w:sz="4" w:space="0"/>
              <w:right w:val="single" w:color="auto" w:sz="4" w:space="0"/>
            </w:tcBorders>
            <w:shd w:val="clear" w:color="auto" w:fill="auto"/>
            <w:vAlign w:val="center"/>
          </w:tcPr>
          <w:p w14:paraId="72A989D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606" w:type="pct"/>
            <w:tcBorders>
              <w:top w:val="nil"/>
              <w:left w:val="nil"/>
              <w:bottom w:val="single" w:color="auto" w:sz="4" w:space="0"/>
              <w:right w:val="single" w:color="auto" w:sz="4" w:space="0"/>
            </w:tcBorders>
            <w:shd w:val="clear" w:color="auto" w:fill="auto"/>
            <w:vAlign w:val="center"/>
          </w:tcPr>
          <w:p w14:paraId="0878AA9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10</w:t>
            </w:r>
          </w:p>
        </w:tc>
        <w:tc>
          <w:tcPr>
            <w:tcW w:w="550" w:type="pct"/>
            <w:vMerge w:val="continue"/>
            <w:tcBorders>
              <w:top w:val="nil"/>
              <w:left w:val="single" w:color="auto" w:sz="4" w:space="0"/>
              <w:bottom w:val="single" w:color="auto" w:sz="4" w:space="0"/>
              <w:right w:val="single" w:color="auto" w:sz="4" w:space="0"/>
            </w:tcBorders>
            <w:vAlign w:val="center"/>
          </w:tcPr>
          <w:p w14:paraId="08E9028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4F554C5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vMerge w:val="continue"/>
            <w:tcBorders>
              <w:top w:val="nil"/>
              <w:left w:val="single" w:color="auto" w:sz="4" w:space="0"/>
              <w:bottom w:val="single" w:color="auto" w:sz="4" w:space="0"/>
              <w:right w:val="single" w:color="auto" w:sz="4" w:space="0"/>
            </w:tcBorders>
            <w:vAlign w:val="center"/>
          </w:tcPr>
          <w:p w14:paraId="6EB79B93">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4DE0BDCA">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3131ABD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7402A84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restart"/>
            <w:tcBorders>
              <w:top w:val="nil"/>
              <w:left w:val="single" w:color="auto" w:sz="4" w:space="0"/>
              <w:bottom w:val="single" w:color="auto" w:sz="4" w:space="0"/>
              <w:right w:val="single" w:color="auto" w:sz="4" w:space="0"/>
            </w:tcBorders>
            <w:shd w:val="clear" w:color="auto" w:fill="auto"/>
            <w:vAlign w:val="center"/>
          </w:tcPr>
          <w:p w14:paraId="6745284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公用设施用地</w:t>
            </w:r>
          </w:p>
        </w:tc>
        <w:tc>
          <w:tcPr>
            <w:tcW w:w="822" w:type="pct"/>
            <w:tcBorders>
              <w:top w:val="nil"/>
              <w:left w:val="nil"/>
              <w:bottom w:val="single" w:color="auto" w:sz="4" w:space="0"/>
              <w:right w:val="single" w:color="auto" w:sz="4" w:space="0"/>
            </w:tcBorders>
            <w:shd w:val="clear" w:color="auto" w:fill="auto"/>
            <w:vAlign w:val="center"/>
          </w:tcPr>
          <w:p w14:paraId="7B08E3F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765" w:type="pct"/>
            <w:tcBorders>
              <w:top w:val="nil"/>
              <w:left w:val="nil"/>
              <w:bottom w:val="single" w:color="auto" w:sz="4" w:space="0"/>
              <w:right w:val="single" w:color="auto" w:sz="4" w:space="0"/>
            </w:tcBorders>
            <w:shd w:val="clear" w:color="auto" w:fill="auto"/>
            <w:vAlign w:val="center"/>
          </w:tcPr>
          <w:p w14:paraId="5AE9A9A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606" w:type="pct"/>
            <w:tcBorders>
              <w:top w:val="nil"/>
              <w:left w:val="nil"/>
              <w:bottom w:val="single" w:color="auto" w:sz="4" w:space="0"/>
              <w:right w:val="single" w:color="auto" w:sz="4" w:space="0"/>
            </w:tcBorders>
            <w:shd w:val="clear" w:color="auto" w:fill="auto"/>
            <w:vAlign w:val="center"/>
          </w:tcPr>
          <w:p w14:paraId="298C32A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9.66</w:t>
            </w:r>
          </w:p>
        </w:tc>
        <w:tc>
          <w:tcPr>
            <w:tcW w:w="550" w:type="pct"/>
            <w:vMerge w:val="restart"/>
            <w:tcBorders>
              <w:top w:val="nil"/>
              <w:left w:val="single" w:color="auto" w:sz="4" w:space="0"/>
              <w:bottom w:val="single" w:color="auto" w:sz="4" w:space="0"/>
              <w:right w:val="single" w:color="auto" w:sz="4" w:space="0"/>
            </w:tcBorders>
            <w:shd w:val="clear" w:color="auto" w:fill="auto"/>
            <w:vAlign w:val="center"/>
          </w:tcPr>
          <w:p w14:paraId="5C8D67C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3.73 </w:t>
            </w:r>
          </w:p>
        </w:tc>
        <w:tc>
          <w:tcPr>
            <w:tcW w:w="364" w:type="pct"/>
            <w:tcBorders>
              <w:top w:val="nil"/>
              <w:left w:val="nil"/>
              <w:bottom w:val="single" w:color="auto" w:sz="4" w:space="0"/>
              <w:right w:val="single" w:color="auto" w:sz="4" w:space="0"/>
            </w:tcBorders>
            <w:shd w:val="clear" w:color="auto" w:fill="auto"/>
            <w:vAlign w:val="center"/>
          </w:tcPr>
          <w:p w14:paraId="3B940B5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vMerge w:val="restart"/>
            <w:tcBorders>
              <w:top w:val="nil"/>
              <w:left w:val="single" w:color="auto" w:sz="4" w:space="0"/>
              <w:bottom w:val="single" w:color="auto" w:sz="4" w:space="0"/>
              <w:right w:val="single" w:color="auto" w:sz="4" w:space="0"/>
            </w:tcBorders>
            <w:shd w:val="clear" w:color="auto" w:fill="auto"/>
            <w:vAlign w:val="center"/>
          </w:tcPr>
          <w:p w14:paraId="685484B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r>
      <w:tr w14:paraId="7E6F3418">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37DFAA0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20FCA6E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202CEF6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04216C7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765" w:type="pct"/>
            <w:tcBorders>
              <w:top w:val="nil"/>
              <w:left w:val="nil"/>
              <w:bottom w:val="single" w:color="auto" w:sz="4" w:space="0"/>
              <w:right w:val="single" w:color="auto" w:sz="4" w:space="0"/>
            </w:tcBorders>
            <w:shd w:val="clear" w:color="auto" w:fill="auto"/>
            <w:vAlign w:val="center"/>
          </w:tcPr>
          <w:p w14:paraId="67DD3B9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606" w:type="pct"/>
            <w:tcBorders>
              <w:top w:val="nil"/>
              <w:left w:val="nil"/>
              <w:bottom w:val="single" w:color="auto" w:sz="4" w:space="0"/>
              <w:right w:val="single" w:color="auto" w:sz="4" w:space="0"/>
            </w:tcBorders>
            <w:shd w:val="clear" w:color="auto" w:fill="auto"/>
            <w:vAlign w:val="center"/>
          </w:tcPr>
          <w:p w14:paraId="3DF2665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550" w:type="pct"/>
            <w:vMerge w:val="continue"/>
            <w:tcBorders>
              <w:top w:val="nil"/>
              <w:left w:val="single" w:color="auto" w:sz="4" w:space="0"/>
              <w:bottom w:val="single" w:color="auto" w:sz="4" w:space="0"/>
              <w:right w:val="single" w:color="auto" w:sz="4" w:space="0"/>
            </w:tcBorders>
            <w:vAlign w:val="center"/>
          </w:tcPr>
          <w:p w14:paraId="767F9CA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3F39F91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vMerge w:val="continue"/>
            <w:tcBorders>
              <w:top w:val="nil"/>
              <w:left w:val="single" w:color="auto" w:sz="4" w:space="0"/>
              <w:bottom w:val="single" w:color="auto" w:sz="4" w:space="0"/>
              <w:right w:val="single" w:color="auto" w:sz="4" w:space="0"/>
            </w:tcBorders>
            <w:vAlign w:val="center"/>
          </w:tcPr>
          <w:p w14:paraId="03542138">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1CB67E78">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4C8699E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45D45D4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tcBorders>
              <w:top w:val="nil"/>
              <w:left w:val="nil"/>
              <w:bottom w:val="single" w:color="auto" w:sz="4" w:space="0"/>
              <w:right w:val="single" w:color="auto" w:sz="4" w:space="0"/>
            </w:tcBorders>
            <w:shd w:val="clear" w:color="auto" w:fill="auto"/>
            <w:vAlign w:val="center"/>
          </w:tcPr>
          <w:p w14:paraId="6DB9F15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822" w:type="pct"/>
            <w:tcBorders>
              <w:top w:val="nil"/>
              <w:left w:val="nil"/>
              <w:bottom w:val="single" w:color="auto" w:sz="4" w:space="0"/>
              <w:right w:val="single" w:color="auto" w:sz="4" w:space="0"/>
            </w:tcBorders>
            <w:shd w:val="clear" w:color="auto" w:fill="auto"/>
            <w:vAlign w:val="center"/>
          </w:tcPr>
          <w:p w14:paraId="4892DAF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765" w:type="pct"/>
            <w:tcBorders>
              <w:top w:val="nil"/>
              <w:left w:val="nil"/>
              <w:bottom w:val="single" w:color="auto" w:sz="4" w:space="0"/>
              <w:right w:val="single" w:color="auto" w:sz="4" w:space="0"/>
            </w:tcBorders>
            <w:shd w:val="clear" w:color="auto" w:fill="auto"/>
            <w:vAlign w:val="center"/>
          </w:tcPr>
          <w:p w14:paraId="555E956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606" w:type="pct"/>
            <w:tcBorders>
              <w:top w:val="nil"/>
              <w:left w:val="nil"/>
              <w:bottom w:val="single" w:color="auto" w:sz="4" w:space="0"/>
              <w:right w:val="single" w:color="auto" w:sz="4" w:space="0"/>
            </w:tcBorders>
            <w:shd w:val="clear" w:color="auto" w:fill="auto"/>
            <w:vAlign w:val="center"/>
          </w:tcPr>
          <w:p w14:paraId="24F9368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3.54</w:t>
            </w:r>
          </w:p>
        </w:tc>
        <w:tc>
          <w:tcPr>
            <w:tcW w:w="550" w:type="pct"/>
            <w:tcBorders>
              <w:top w:val="nil"/>
              <w:left w:val="nil"/>
              <w:bottom w:val="single" w:color="auto" w:sz="4" w:space="0"/>
              <w:right w:val="single" w:color="auto" w:sz="4" w:space="0"/>
            </w:tcBorders>
            <w:shd w:val="clear" w:color="auto" w:fill="auto"/>
            <w:vAlign w:val="center"/>
          </w:tcPr>
          <w:p w14:paraId="52CF28D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3.54 </w:t>
            </w:r>
          </w:p>
        </w:tc>
        <w:tc>
          <w:tcPr>
            <w:tcW w:w="364" w:type="pct"/>
            <w:tcBorders>
              <w:top w:val="nil"/>
              <w:left w:val="nil"/>
              <w:bottom w:val="single" w:color="auto" w:sz="4" w:space="0"/>
              <w:right w:val="single" w:color="auto" w:sz="4" w:space="0"/>
            </w:tcBorders>
            <w:shd w:val="clear" w:color="auto" w:fill="auto"/>
            <w:vAlign w:val="center"/>
          </w:tcPr>
          <w:p w14:paraId="5E161CC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tcBorders>
              <w:top w:val="nil"/>
              <w:left w:val="nil"/>
              <w:bottom w:val="single" w:color="auto" w:sz="4" w:space="0"/>
              <w:right w:val="single" w:color="auto" w:sz="4" w:space="0"/>
            </w:tcBorders>
            <w:shd w:val="clear" w:color="auto" w:fill="auto"/>
            <w:vAlign w:val="center"/>
          </w:tcPr>
          <w:p w14:paraId="30B6743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r>
      <w:tr w14:paraId="284F73D8">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7B8E49E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restart"/>
            <w:tcBorders>
              <w:top w:val="nil"/>
              <w:left w:val="single" w:color="auto" w:sz="4" w:space="0"/>
              <w:bottom w:val="single" w:color="auto" w:sz="4" w:space="0"/>
              <w:right w:val="single" w:color="auto" w:sz="4" w:space="0"/>
            </w:tcBorders>
            <w:shd w:val="clear" w:color="auto" w:fill="auto"/>
            <w:vAlign w:val="center"/>
          </w:tcPr>
          <w:p w14:paraId="04DDC72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700" w:type="pct"/>
            <w:vMerge w:val="restart"/>
            <w:tcBorders>
              <w:top w:val="nil"/>
              <w:left w:val="single" w:color="auto" w:sz="4" w:space="0"/>
              <w:bottom w:val="single" w:color="auto" w:sz="4" w:space="0"/>
              <w:right w:val="single" w:color="auto" w:sz="4" w:space="0"/>
            </w:tcBorders>
            <w:shd w:val="clear" w:color="auto" w:fill="auto"/>
            <w:vAlign w:val="center"/>
          </w:tcPr>
          <w:p w14:paraId="2352B16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822" w:type="pct"/>
            <w:tcBorders>
              <w:top w:val="nil"/>
              <w:left w:val="nil"/>
              <w:bottom w:val="single" w:color="auto" w:sz="4" w:space="0"/>
              <w:right w:val="single" w:color="auto" w:sz="4" w:space="0"/>
            </w:tcBorders>
            <w:shd w:val="clear" w:color="auto" w:fill="auto"/>
            <w:vAlign w:val="center"/>
          </w:tcPr>
          <w:p w14:paraId="5FFFBD5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765" w:type="pct"/>
            <w:tcBorders>
              <w:top w:val="nil"/>
              <w:left w:val="nil"/>
              <w:bottom w:val="single" w:color="auto" w:sz="4" w:space="0"/>
              <w:right w:val="single" w:color="auto" w:sz="4" w:space="0"/>
            </w:tcBorders>
            <w:shd w:val="clear" w:color="auto" w:fill="auto"/>
            <w:vAlign w:val="center"/>
          </w:tcPr>
          <w:p w14:paraId="2E13CBA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606" w:type="pct"/>
            <w:tcBorders>
              <w:top w:val="nil"/>
              <w:left w:val="nil"/>
              <w:bottom w:val="single" w:color="auto" w:sz="4" w:space="0"/>
              <w:right w:val="single" w:color="auto" w:sz="4" w:space="0"/>
            </w:tcBorders>
            <w:shd w:val="clear" w:color="auto" w:fill="auto"/>
            <w:vAlign w:val="center"/>
          </w:tcPr>
          <w:p w14:paraId="71A64B3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139.88</w:t>
            </w:r>
          </w:p>
        </w:tc>
        <w:tc>
          <w:tcPr>
            <w:tcW w:w="550" w:type="pct"/>
            <w:vMerge w:val="restart"/>
            <w:tcBorders>
              <w:top w:val="nil"/>
              <w:left w:val="single" w:color="auto" w:sz="4" w:space="0"/>
              <w:bottom w:val="single" w:color="auto" w:sz="4" w:space="0"/>
              <w:right w:val="single" w:color="auto" w:sz="4" w:space="0"/>
            </w:tcBorders>
            <w:shd w:val="clear" w:color="auto" w:fill="auto"/>
            <w:vAlign w:val="center"/>
          </w:tcPr>
          <w:p w14:paraId="7BB3103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29.42 </w:t>
            </w:r>
          </w:p>
        </w:tc>
        <w:tc>
          <w:tcPr>
            <w:tcW w:w="364" w:type="pct"/>
            <w:tcBorders>
              <w:top w:val="nil"/>
              <w:left w:val="nil"/>
              <w:bottom w:val="single" w:color="auto" w:sz="4" w:space="0"/>
              <w:right w:val="single" w:color="auto" w:sz="4" w:space="0"/>
            </w:tcBorders>
            <w:shd w:val="clear" w:color="auto" w:fill="auto"/>
            <w:vAlign w:val="center"/>
          </w:tcPr>
          <w:p w14:paraId="580967A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w:t>
            </w:r>
          </w:p>
        </w:tc>
        <w:tc>
          <w:tcPr>
            <w:tcW w:w="352" w:type="pct"/>
            <w:vMerge w:val="restart"/>
            <w:tcBorders>
              <w:top w:val="nil"/>
              <w:left w:val="single" w:color="auto" w:sz="4" w:space="0"/>
              <w:bottom w:val="single" w:color="auto" w:sz="4" w:space="0"/>
              <w:right w:val="single" w:color="auto" w:sz="4" w:space="0"/>
            </w:tcBorders>
            <w:shd w:val="clear" w:color="auto" w:fill="auto"/>
            <w:vAlign w:val="center"/>
          </w:tcPr>
          <w:p w14:paraId="24AD1E6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r>
      <w:tr w14:paraId="0A67DF7A">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499621C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07002B4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4D4DC8B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607A2E0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765" w:type="pct"/>
            <w:tcBorders>
              <w:top w:val="nil"/>
              <w:left w:val="nil"/>
              <w:bottom w:val="single" w:color="auto" w:sz="4" w:space="0"/>
              <w:right w:val="single" w:color="auto" w:sz="4" w:space="0"/>
            </w:tcBorders>
            <w:shd w:val="clear" w:color="auto" w:fill="auto"/>
            <w:vAlign w:val="center"/>
          </w:tcPr>
          <w:p w14:paraId="76AA6BF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606" w:type="pct"/>
            <w:tcBorders>
              <w:top w:val="nil"/>
              <w:left w:val="nil"/>
              <w:bottom w:val="single" w:color="auto" w:sz="4" w:space="0"/>
              <w:right w:val="single" w:color="auto" w:sz="4" w:space="0"/>
            </w:tcBorders>
            <w:shd w:val="clear" w:color="auto" w:fill="auto"/>
            <w:vAlign w:val="center"/>
          </w:tcPr>
          <w:p w14:paraId="37728E7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7.2</w:t>
            </w:r>
          </w:p>
        </w:tc>
        <w:tc>
          <w:tcPr>
            <w:tcW w:w="550" w:type="pct"/>
            <w:vMerge w:val="continue"/>
            <w:tcBorders>
              <w:top w:val="nil"/>
              <w:left w:val="single" w:color="auto" w:sz="4" w:space="0"/>
              <w:bottom w:val="single" w:color="auto" w:sz="4" w:space="0"/>
              <w:right w:val="single" w:color="auto" w:sz="4" w:space="0"/>
            </w:tcBorders>
            <w:vAlign w:val="center"/>
          </w:tcPr>
          <w:p w14:paraId="775175D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69BD20D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vMerge w:val="continue"/>
            <w:tcBorders>
              <w:top w:val="nil"/>
              <w:left w:val="single" w:color="auto" w:sz="4" w:space="0"/>
              <w:bottom w:val="single" w:color="auto" w:sz="4" w:space="0"/>
              <w:right w:val="single" w:color="auto" w:sz="4" w:space="0"/>
            </w:tcBorders>
            <w:vAlign w:val="center"/>
          </w:tcPr>
          <w:p w14:paraId="696C3146">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66333893">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7EF4DC3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757E232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restart"/>
            <w:tcBorders>
              <w:top w:val="nil"/>
              <w:left w:val="single" w:color="auto" w:sz="4" w:space="0"/>
              <w:bottom w:val="single" w:color="auto" w:sz="4" w:space="0"/>
              <w:right w:val="single" w:color="auto" w:sz="4" w:space="0"/>
            </w:tcBorders>
            <w:shd w:val="clear" w:color="auto" w:fill="auto"/>
            <w:vAlign w:val="center"/>
          </w:tcPr>
          <w:p w14:paraId="7933D93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822" w:type="pct"/>
            <w:tcBorders>
              <w:top w:val="nil"/>
              <w:left w:val="nil"/>
              <w:bottom w:val="single" w:color="auto" w:sz="4" w:space="0"/>
              <w:right w:val="single" w:color="auto" w:sz="4" w:space="0"/>
            </w:tcBorders>
            <w:shd w:val="clear" w:color="auto" w:fill="auto"/>
            <w:vAlign w:val="center"/>
          </w:tcPr>
          <w:p w14:paraId="6034BBC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765" w:type="pct"/>
            <w:tcBorders>
              <w:top w:val="nil"/>
              <w:left w:val="nil"/>
              <w:bottom w:val="single" w:color="auto" w:sz="4" w:space="0"/>
              <w:right w:val="single" w:color="auto" w:sz="4" w:space="0"/>
            </w:tcBorders>
            <w:shd w:val="clear" w:color="auto" w:fill="auto"/>
            <w:vAlign w:val="center"/>
          </w:tcPr>
          <w:p w14:paraId="0533F36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606" w:type="pct"/>
            <w:tcBorders>
              <w:top w:val="nil"/>
              <w:left w:val="nil"/>
              <w:bottom w:val="single" w:color="auto" w:sz="4" w:space="0"/>
              <w:right w:val="single" w:color="auto" w:sz="4" w:space="0"/>
            </w:tcBorders>
            <w:shd w:val="clear" w:color="auto" w:fill="auto"/>
            <w:vAlign w:val="center"/>
          </w:tcPr>
          <w:p w14:paraId="432E461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2.74</w:t>
            </w:r>
          </w:p>
        </w:tc>
        <w:tc>
          <w:tcPr>
            <w:tcW w:w="550" w:type="pct"/>
            <w:vMerge w:val="restart"/>
            <w:tcBorders>
              <w:top w:val="nil"/>
              <w:left w:val="single" w:color="auto" w:sz="4" w:space="0"/>
              <w:bottom w:val="single" w:color="auto" w:sz="4" w:space="0"/>
              <w:right w:val="single" w:color="auto" w:sz="4" w:space="0"/>
            </w:tcBorders>
            <w:shd w:val="clear" w:color="auto" w:fill="auto"/>
            <w:vAlign w:val="center"/>
          </w:tcPr>
          <w:p w14:paraId="2F094D2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1.20 </w:t>
            </w:r>
          </w:p>
        </w:tc>
        <w:tc>
          <w:tcPr>
            <w:tcW w:w="364" w:type="pct"/>
            <w:tcBorders>
              <w:top w:val="nil"/>
              <w:left w:val="nil"/>
              <w:bottom w:val="single" w:color="auto" w:sz="4" w:space="0"/>
              <w:right w:val="single" w:color="auto" w:sz="4" w:space="0"/>
            </w:tcBorders>
            <w:shd w:val="clear" w:color="auto" w:fill="auto"/>
            <w:vAlign w:val="center"/>
          </w:tcPr>
          <w:p w14:paraId="1FF823C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w:t>
            </w:r>
          </w:p>
        </w:tc>
        <w:tc>
          <w:tcPr>
            <w:tcW w:w="352" w:type="pct"/>
            <w:vMerge w:val="restart"/>
            <w:tcBorders>
              <w:top w:val="nil"/>
              <w:left w:val="single" w:color="auto" w:sz="4" w:space="0"/>
              <w:bottom w:val="single" w:color="auto" w:sz="4" w:space="0"/>
              <w:right w:val="single" w:color="auto" w:sz="4" w:space="0"/>
            </w:tcBorders>
            <w:shd w:val="clear" w:color="auto" w:fill="auto"/>
            <w:vAlign w:val="center"/>
          </w:tcPr>
          <w:p w14:paraId="30034AB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r>
      <w:tr w14:paraId="1487CF9D">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3B27F42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77D930A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vMerge w:val="continue"/>
            <w:tcBorders>
              <w:top w:val="nil"/>
              <w:left w:val="single" w:color="auto" w:sz="4" w:space="0"/>
              <w:bottom w:val="single" w:color="auto" w:sz="4" w:space="0"/>
              <w:right w:val="single" w:color="auto" w:sz="4" w:space="0"/>
            </w:tcBorders>
            <w:vAlign w:val="center"/>
          </w:tcPr>
          <w:p w14:paraId="5A61603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22" w:type="pct"/>
            <w:tcBorders>
              <w:top w:val="nil"/>
              <w:left w:val="nil"/>
              <w:bottom w:val="single" w:color="auto" w:sz="4" w:space="0"/>
              <w:right w:val="single" w:color="auto" w:sz="4" w:space="0"/>
            </w:tcBorders>
            <w:shd w:val="clear" w:color="auto" w:fill="auto"/>
            <w:vAlign w:val="center"/>
          </w:tcPr>
          <w:p w14:paraId="3C6038C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765" w:type="pct"/>
            <w:tcBorders>
              <w:top w:val="nil"/>
              <w:left w:val="nil"/>
              <w:bottom w:val="single" w:color="auto" w:sz="4" w:space="0"/>
              <w:right w:val="single" w:color="auto" w:sz="4" w:space="0"/>
            </w:tcBorders>
            <w:shd w:val="clear" w:color="auto" w:fill="auto"/>
            <w:vAlign w:val="center"/>
          </w:tcPr>
          <w:p w14:paraId="14A4655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606" w:type="pct"/>
            <w:tcBorders>
              <w:top w:val="nil"/>
              <w:left w:val="nil"/>
              <w:bottom w:val="single" w:color="auto" w:sz="4" w:space="0"/>
              <w:right w:val="single" w:color="auto" w:sz="4" w:space="0"/>
            </w:tcBorders>
            <w:shd w:val="clear" w:color="auto" w:fill="auto"/>
            <w:vAlign w:val="center"/>
          </w:tcPr>
          <w:p w14:paraId="5221D4D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0.35</w:t>
            </w:r>
          </w:p>
        </w:tc>
        <w:tc>
          <w:tcPr>
            <w:tcW w:w="550" w:type="pct"/>
            <w:vMerge w:val="continue"/>
            <w:tcBorders>
              <w:top w:val="nil"/>
              <w:left w:val="single" w:color="auto" w:sz="4" w:space="0"/>
              <w:bottom w:val="single" w:color="auto" w:sz="4" w:space="0"/>
              <w:right w:val="single" w:color="auto" w:sz="4" w:space="0"/>
            </w:tcBorders>
            <w:vAlign w:val="center"/>
          </w:tcPr>
          <w:p w14:paraId="2B51D8F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4" w:type="pct"/>
            <w:tcBorders>
              <w:top w:val="nil"/>
              <w:left w:val="nil"/>
              <w:bottom w:val="single" w:color="auto" w:sz="4" w:space="0"/>
              <w:right w:val="single" w:color="auto" w:sz="4" w:space="0"/>
            </w:tcBorders>
            <w:shd w:val="clear" w:color="auto" w:fill="auto"/>
            <w:vAlign w:val="center"/>
          </w:tcPr>
          <w:p w14:paraId="01F36F9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vMerge w:val="continue"/>
            <w:tcBorders>
              <w:top w:val="nil"/>
              <w:left w:val="single" w:color="auto" w:sz="4" w:space="0"/>
              <w:bottom w:val="single" w:color="auto" w:sz="4" w:space="0"/>
              <w:right w:val="single" w:color="auto" w:sz="4" w:space="0"/>
            </w:tcBorders>
            <w:vAlign w:val="center"/>
          </w:tcPr>
          <w:p w14:paraId="22EEE784">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4D747F9C">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16FAA5F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719FD96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tcBorders>
              <w:top w:val="nil"/>
              <w:left w:val="nil"/>
              <w:bottom w:val="single" w:color="auto" w:sz="4" w:space="0"/>
              <w:right w:val="single" w:color="auto" w:sz="4" w:space="0"/>
            </w:tcBorders>
            <w:shd w:val="clear" w:color="auto" w:fill="auto"/>
            <w:vAlign w:val="center"/>
          </w:tcPr>
          <w:p w14:paraId="537CCF70">
            <w:pPr>
              <w:spacing w:line="240" w:lineRule="auto"/>
              <w:ind w:firstLine="210" w:firstLineChars="10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822" w:type="pct"/>
            <w:tcBorders>
              <w:top w:val="nil"/>
              <w:left w:val="nil"/>
              <w:bottom w:val="single" w:color="auto" w:sz="4" w:space="0"/>
              <w:right w:val="single" w:color="auto" w:sz="4" w:space="0"/>
            </w:tcBorders>
            <w:shd w:val="clear" w:color="auto" w:fill="auto"/>
            <w:vAlign w:val="center"/>
          </w:tcPr>
          <w:p w14:paraId="779AC20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765" w:type="pct"/>
            <w:tcBorders>
              <w:top w:val="nil"/>
              <w:left w:val="nil"/>
              <w:bottom w:val="single" w:color="auto" w:sz="4" w:space="0"/>
              <w:right w:val="single" w:color="auto" w:sz="4" w:space="0"/>
            </w:tcBorders>
            <w:shd w:val="clear" w:color="auto" w:fill="auto"/>
            <w:vAlign w:val="center"/>
          </w:tcPr>
          <w:p w14:paraId="6188B15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606" w:type="pct"/>
            <w:tcBorders>
              <w:top w:val="nil"/>
              <w:left w:val="nil"/>
              <w:bottom w:val="single" w:color="auto" w:sz="4" w:space="0"/>
              <w:right w:val="single" w:color="auto" w:sz="4" w:space="0"/>
            </w:tcBorders>
            <w:shd w:val="clear" w:color="auto" w:fill="auto"/>
            <w:vAlign w:val="center"/>
          </w:tcPr>
          <w:p w14:paraId="5B5B5CC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1.83</w:t>
            </w:r>
          </w:p>
        </w:tc>
        <w:tc>
          <w:tcPr>
            <w:tcW w:w="550" w:type="pct"/>
            <w:tcBorders>
              <w:top w:val="nil"/>
              <w:left w:val="nil"/>
              <w:bottom w:val="single" w:color="auto" w:sz="4" w:space="0"/>
              <w:right w:val="single" w:color="auto" w:sz="4" w:space="0"/>
            </w:tcBorders>
            <w:shd w:val="clear" w:color="auto" w:fill="auto"/>
            <w:vAlign w:val="center"/>
          </w:tcPr>
          <w:p w14:paraId="22B7DD5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1.83 </w:t>
            </w:r>
          </w:p>
        </w:tc>
        <w:tc>
          <w:tcPr>
            <w:tcW w:w="364" w:type="pct"/>
            <w:tcBorders>
              <w:top w:val="nil"/>
              <w:left w:val="nil"/>
              <w:bottom w:val="single" w:color="auto" w:sz="4" w:space="0"/>
              <w:right w:val="single" w:color="auto" w:sz="4" w:space="0"/>
            </w:tcBorders>
            <w:shd w:val="clear" w:color="auto" w:fill="auto"/>
            <w:vAlign w:val="center"/>
          </w:tcPr>
          <w:p w14:paraId="068C7EE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tcBorders>
              <w:top w:val="nil"/>
              <w:left w:val="nil"/>
              <w:bottom w:val="single" w:color="auto" w:sz="4" w:space="0"/>
              <w:right w:val="single" w:color="auto" w:sz="4" w:space="0"/>
            </w:tcBorders>
            <w:shd w:val="clear" w:color="auto" w:fill="auto"/>
            <w:vAlign w:val="center"/>
          </w:tcPr>
          <w:p w14:paraId="2BEC5CA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r>
      <w:tr w14:paraId="4D77B5FE">
        <w:tblPrEx>
          <w:tblCellMar>
            <w:top w:w="0" w:type="dxa"/>
            <w:left w:w="108" w:type="dxa"/>
            <w:bottom w:w="0" w:type="dxa"/>
            <w:right w:w="108" w:type="dxa"/>
          </w:tblCellMar>
        </w:tblPrEx>
        <w:trPr>
          <w:trHeight w:val="397" w:hRule="atLeast"/>
        </w:trPr>
        <w:tc>
          <w:tcPr>
            <w:tcW w:w="237" w:type="pct"/>
            <w:vMerge w:val="continue"/>
            <w:tcBorders>
              <w:top w:val="nil"/>
              <w:left w:val="single" w:color="auto" w:sz="4" w:space="0"/>
              <w:bottom w:val="single" w:color="auto" w:sz="4" w:space="0"/>
              <w:right w:val="single" w:color="auto" w:sz="4" w:space="0"/>
            </w:tcBorders>
            <w:vAlign w:val="center"/>
          </w:tcPr>
          <w:p w14:paraId="19ABB00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3" w:type="pct"/>
            <w:vMerge w:val="continue"/>
            <w:tcBorders>
              <w:top w:val="nil"/>
              <w:left w:val="single" w:color="auto" w:sz="4" w:space="0"/>
              <w:bottom w:val="single" w:color="auto" w:sz="4" w:space="0"/>
              <w:right w:val="single" w:color="auto" w:sz="4" w:space="0"/>
            </w:tcBorders>
            <w:vAlign w:val="center"/>
          </w:tcPr>
          <w:p w14:paraId="1C8BE45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0" w:type="pct"/>
            <w:tcBorders>
              <w:top w:val="nil"/>
              <w:left w:val="nil"/>
              <w:bottom w:val="single" w:color="auto" w:sz="4" w:space="0"/>
              <w:right w:val="single" w:color="auto" w:sz="4" w:space="0"/>
            </w:tcBorders>
            <w:shd w:val="clear" w:color="auto" w:fill="auto"/>
            <w:vAlign w:val="center"/>
          </w:tcPr>
          <w:p w14:paraId="15E1D1F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陆地水域</w:t>
            </w:r>
          </w:p>
        </w:tc>
        <w:tc>
          <w:tcPr>
            <w:tcW w:w="822" w:type="pct"/>
            <w:tcBorders>
              <w:top w:val="nil"/>
              <w:left w:val="nil"/>
              <w:bottom w:val="single" w:color="auto" w:sz="4" w:space="0"/>
              <w:right w:val="single" w:color="auto" w:sz="4" w:space="0"/>
            </w:tcBorders>
            <w:shd w:val="clear" w:color="auto" w:fill="auto"/>
            <w:vAlign w:val="center"/>
          </w:tcPr>
          <w:p w14:paraId="2533B39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765" w:type="pct"/>
            <w:tcBorders>
              <w:top w:val="nil"/>
              <w:left w:val="nil"/>
              <w:bottom w:val="single" w:color="auto" w:sz="4" w:space="0"/>
              <w:right w:val="single" w:color="auto" w:sz="4" w:space="0"/>
            </w:tcBorders>
            <w:shd w:val="clear" w:color="auto" w:fill="auto"/>
            <w:vAlign w:val="center"/>
          </w:tcPr>
          <w:p w14:paraId="3EF5736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606" w:type="pct"/>
            <w:tcBorders>
              <w:top w:val="nil"/>
              <w:left w:val="nil"/>
              <w:bottom w:val="single" w:color="auto" w:sz="4" w:space="0"/>
              <w:right w:val="single" w:color="auto" w:sz="4" w:space="0"/>
            </w:tcBorders>
            <w:shd w:val="clear" w:color="auto" w:fill="auto"/>
            <w:vAlign w:val="center"/>
          </w:tcPr>
          <w:p w14:paraId="67A96C9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1.1</w:t>
            </w:r>
          </w:p>
        </w:tc>
        <w:tc>
          <w:tcPr>
            <w:tcW w:w="550" w:type="pct"/>
            <w:tcBorders>
              <w:top w:val="nil"/>
              <w:left w:val="nil"/>
              <w:bottom w:val="single" w:color="auto" w:sz="4" w:space="0"/>
              <w:right w:val="single" w:color="auto" w:sz="4" w:space="0"/>
            </w:tcBorders>
            <w:shd w:val="clear" w:color="auto" w:fill="auto"/>
            <w:vAlign w:val="center"/>
          </w:tcPr>
          <w:p w14:paraId="74B2860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1.10 </w:t>
            </w:r>
          </w:p>
        </w:tc>
        <w:tc>
          <w:tcPr>
            <w:tcW w:w="364" w:type="pct"/>
            <w:tcBorders>
              <w:top w:val="nil"/>
              <w:left w:val="nil"/>
              <w:bottom w:val="single" w:color="auto" w:sz="4" w:space="0"/>
              <w:right w:val="single" w:color="auto" w:sz="4" w:space="0"/>
            </w:tcBorders>
            <w:shd w:val="clear" w:color="auto" w:fill="auto"/>
            <w:vAlign w:val="center"/>
          </w:tcPr>
          <w:p w14:paraId="4239703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352" w:type="pct"/>
            <w:tcBorders>
              <w:top w:val="nil"/>
              <w:left w:val="nil"/>
              <w:bottom w:val="single" w:color="auto" w:sz="4" w:space="0"/>
              <w:right w:val="single" w:color="auto" w:sz="4" w:space="0"/>
            </w:tcBorders>
            <w:shd w:val="clear" w:color="auto" w:fill="auto"/>
            <w:vAlign w:val="center"/>
          </w:tcPr>
          <w:p w14:paraId="41D5374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r>
      <w:tr w14:paraId="33AE40CF">
        <w:tblPrEx>
          <w:tblCellMar>
            <w:top w:w="0" w:type="dxa"/>
            <w:left w:w="108" w:type="dxa"/>
            <w:bottom w:w="0" w:type="dxa"/>
            <w:right w:w="108" w:type="dxa"/>
          </w:tblCellMar>
        </w:tblPrEx>
        <w:trPr>
          <w:trHeight w:val="397" w:hRule="atLeast"/>
        </w:trPr>
        <w:tc>
          <w:tcPr>
            <w:tcW w:w="312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7E40750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合计</w:t>
            </w:r>
          </w:p>
        </w:tc>
        <w:tc>
          <w:tcPr>
            <w:tcW w:w="606" w:type="pct"/>
            <w:tcBorders>
              <w:top w:val="nil"/>
              <w:left w:val="nil"/>
              <w:bottom w:val="single" w:color="auto" w:sz="4" w:space="0"/>
              <w:right w:val="single" w:color="auto" w:sz="4" w:space="0"/>
            </w:tcBorders>
            <w:shd w:val="clear" w:color="auto" w:fill="auto"/>
            <w:vAlign w:val="center"/>
          </w:tcPr>
          <w:p w14:paraId="19D3FAA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1267.72</w:t>
            </w:r>
          </w:p>
        </w:tc>
        <w:tc>
          <w:tcPr>
            <w:tcW w:w="550" w:type="pct"/>
            <w:tcBorders>
              <w:top w:val="nil"/>
              <w:left w:val="nil"/>
              <w:bottom w:val="single" w:color="auto" w:sz="4" w:space="0"/>
              <w:right w:val="single" w:color="auto" w:sz="4" w:space="0"/>
            </w:tcBorders>
            <w:shd w:val="clear" w:color="auto" w:fill="auto"/>
            <w:vAlign w:val="center"/>
          </w:tcPr>
          <w:p w14:paraId="66F72D4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xml:space="preserve">285.12 </w:t>
            </w:r>
          </w:p>
        </w:tc>
        <w:tc>
          <w:tcPr>
            <w:tcW w:w="364" w:type="pct"/>
            <w:tcBorders>
              <w:top w:val="nil"/>
              <w:left w:val="nil"/>
              <w:bottom w:val="single" w:color="auto" w:sz="4" w:space="0"/>
              <w:right w:val="single" w:color="auto" w:sz="4" w:space="0"/>
            </w:tcBorders>
            <w:shd w:val="clear" w:color="auto" w:fill="auto"/>
            <w:vAlign w:val="center"/>
          </w:tcPr>
          <w:p w14:paraId="36A48C1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52" w:type="pct"/>
            <w:tcBorders>
              <w:top w:val="nil"/>
              <w:left w:val="nil"/>
              <w:bottom w:val="single" w:color="auto" w:sz="4" w:space="0"/>
              <w:right w:val="single" w:color="auto" w:sz="4" w:space="0"/>
            </w:tcBorders>
            <w:shd w:val="clear" w:color="auto" w:fill="auto"/>
            <w:vAlign w:val="center"/>
          </w:tcPr>
          <w:p w14:paraId="49E9A23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bl>
    <w:p w14:paraId="2479B854">
      <w:pPr>
        <w:tabs>
          <w:tab w:val="left" w:pos="1099"/>
          <w:tab w:val="left" w:pos="3748"/>
        </w:tabs>
        <w:spacing w:line="362" w:lineRule="exact"/>
        <w:ind w:firstLine="482"/>
        <w:jc w:val="center"/>
        <w:rPr>
          <w:rFonts w:cs="Times New Roman"/>
          <w:b/>
          <w:color w:val="000000" w:themeColor="text1"/>
          <w14:textFill>
            <w14:solidFill>
              <w14:schemeClr w14:val="tx1"/>
            </w14:solidFill>
          </w14:textFill>
        </w:rPr>
      </w:pPr>
    </w:p>
    <w:p w14:paraId="3BEFEFB7">
      <w:pPr>
        <w:spacing w:line="362" w:lineRule="exact"/>
        <w:ind w:firstLine="480"/>
        <w:jc w:val="center"/>
        <w:rPr>
          <w:rFonts w:cs="Times New Roman"/>
          <w:color w:val="000000" w:themeColor="text1"/>
          <w14:textFill>
            <w14:solidFill>
              <w14:schemeClr w14:val="tx1"/>
            </w14:solidFill>
          </w14:textFill>
        </w:rPr>
      </w:pPr>
    </w:p>
    <w:p w14:paraId="5E2C770B">
      <w:pPr>
        <w:spacing w:line="362" w:lineRule="exact"/>
        <w:ind w:firstLine="480"/>
        <w:jc w:val="center"/>
        <w:rPr>
          <w:rFonts w:cs="Times New Roman"/>
          <w:color w:val="000000" w:themeColor="text1"/>
          <w14:textFill>
            <w14:solidFill>
              <w14:schemeClr w14:val="tx1"/>
            </w14:solidFill>
          </w14:textFill>
        </w:rPr>
        <w:sectPr>
          <w:footerReference r:id="rId52" w:type="default"/>
          <w:pgSz w:w="11910" w:h="16840"/>
          <w:pgMar w:top="1380" w:right="1360" w:bottom="1640" w:left="1360" w:header="876" w:footer="1444" w:gutter="0"/>
          <w:cols w:space="720" w:num="1"/>
        </w:sectPr>
      </w:pPr>
    </w:p>
    <w:p w14:paraId="45279225">
      <w:pPr>
        <w:pStyle w:val="4"/>
        <w:spacing w:before="120" w:after="120"/>
      </w:pPr>
      <w:bookmarkStart w:id="278" w:name="_Toc85444595"/>
      <w:r>
        <w:t>土壤侵蚀模数</w:t>
      </w:r>
      <w:bookmarkEnd w:id="278"/>
    </w:p>
    <w:p w14:paraId="41B4C1C9">
      <w:pPr>
        <w:pStyle w:val="66"/>
      </w:pPr>
      <w:r>
        <w:rPr>
          <w:rFonts w:hint="eastAsia"/>
        </w:rPr>
        <w:t>经过实地调查资料分析，园区水土流失以风力侵蚀为主。在现场调查的基础上结合《全国第二次土壤侵蚀遥感调查资料》和园区调查数据，确定园区水土流失类型为风力侵蚀，侵蚀强度为轻度，原地貌风力侵蚀模数</w:t>
      </w:r>
      <w:r>
        <w:t>2112</w:t>
      </w:r>
      <w:r>
        <w:rPr>
          <w:rFonts w:hint="eastAsia"/>
        </w:rPr>
        <w:t>t/km</w:t>
      </w:r>
      <w:r>
        <w:rPr>
          <w:rFonts w:ascii="Calibri" w:hAnsi="Calibri" w:cs="Calibri"/>
        </w:rPr>
        <w:t>²</w:t>
      </w:r>
      <w:r>
        <w:rPr>
          <w:rFonts w:hint="eastAsia"/>
        </w:rPr>
        <w:t>·a，水力侵蚀模数</w:t>
      </w:r>
      <w:r>
        <w:t>737</w:t>
      </w:r>
      <w:r>
        <w:rPr>
          <w:rFonts w:hint="eastAsia"/>
        </w:rPr>
        <w:t>t/km</w:t>
      </w:r>
      <w:r>
        <w:rPr>
          <w:rFonts w:ascii="Calibri" w:hAnsi="Calibri" w:cs="Calibri"/>
        </w:rPr>
        <w:t>²</w:t>
      </w:r>
      <w:r>
        <w:rPr>
          <w:rFonts w:hint="eastAsia"/>
        </w:rPr>
        <w:t>·a，侵蚀强度为微度，容许土壤流失量1000t/km</w:t>
      </w:r>
      <w:r>
        <w:rPr>
          <w:rFonts w:ascii="Calibri" w:hAnsi="Calibri" w:cs="Calibri"/>
        </w:rPr>
        <w:t>²</w:t>
      </w:r>
      <w:r>
        <w:rPr>
          <w:rFonts w:hint="eastAsia"/>
        </w:rPr>
        <w:t>·a。</w:t>
      </w:r>
    </w:p>
    <w:p w14:paraId="58E0E0A8">
      <w:pPr>
        <w:pStyle w:val="5"/>
      </w:pPr>
      <w:r>
        <w:rPr>
          <w:rFonts w:hint="eastAsia"/>
        </w:rPr>
        <w:t>施工期扰动后土壤侵蚀模数确定</w:t>
      </w:r>
    </w:p>
    <w:p w14:paraId="4FCD0FCC">
      <w:pPr>
        <w:pStyle w:val="66"/>
      </w:pPr>
      <w:r>
        <w:rPr>
          <w:rFonts w:hint="eastAsia"/>
        </w:rPr>
        <w:t>本园区扰动后的土壤侵蚀模数采用数学模型法确定。根据《生产建设项目土壤流失量测算导则》（SL773-2018）的计算方法进行测算。根据施工工艺，确定园区施工期水力作用下土壤流失类型划分为地表翻扰型一般扰动地表、上方无来水工程堆积体及上方无来水工程开挖面三类计算；施工期风力作用下的土壤流失类型为一般扰动地表和工程堆积体型两类计算。</w:t>
      </w:r>
    </w:p>
    <w:p w14:paraId="2648DBF7">
      <w:pPr>
        <w:pStyle w:val="66"/>
      </w:pPr>
      <w:r>
        <w:rPr>
          <w:rFonts w:hint="eastAsia"/>
        </w:rPr>
        <w:t>（</w:t>
      </w:r>
      <w:r>
        <w:t>1</w:t>
      </w:r>
      <w:r>
        <w:rPr>
          <w:rFonts w:hint="eastAsia"/>
        </w:rPr>
        <w:t>）水蚀</w:t>
      </w:r>
      <w:r>
        <w:t>土壤侵蚀模数</w:t>
      </w:r>
    </w:p>
    <w:p w14:paraId="02020AA0">
      <w:pPr>
        <w:pStyle w:val="66"/>
      </w:pPr>
      <w:r>
        <w:t>1）水力作用下地表翻扰型一般扰动地表土壤侵蚀模数</w:t>
      </w:r>
    </w:p>
    <w:p w14:paraId="73BB9A5C">
      <w:pPr>
        <w:pStyle w:val="66"/>
        <w:ind w:firstLine="450"/>
      </w:pPr>
      <w:r>
        <w:rPr>
          <w:spacing w:val="-15"/>
        </w:rPr>
        <w:t>不超过</w:t>
      </w:r>
      <w:r>
        <w:t>30cm的挖填，原有植被覆盖明显减少或裸露，维持原有整体地形的扰动，属于地表翻扰型。</w:t>
      </w:r>
    </w:p>
    <w:p w14:paraId="47300A4B">
      <w:pPr>
        <w:pStyle w:val="66"/>
        <w:ind w:firstLine="478"/>
      </w:pPr>
      <w:r>
        <w:rPr>
          <w:spacing w:val="-1"/>
        </w:rPr>
        <w:t>水力作用下地表翻扰型一般扰动地表土壤侵蚀模数按下式计算：</w:t>
      </w:r>
    </w:p>
    <w:p w14:paraId="577DFCAE">
      <w:pPr>
        <w:pStyle w:val="66"/>
        <w:jc w:val="center"/>
      </w:pPr>
      <w:r>
        <w:rPr>
          <w:position w:val="2"/>
        </w:rPr>
        <w:t>M</w:t>
      </w:r>
      <w:r>
        <w:rPr>
          <w:sz w:val="15"/>
        </w:rPr>
        <w:t>yd</w:t>
      </w:r>
      <w:r>
        <w:rPr>
          <w:position w:val="2"/>
        </w:rPr>
        <w:t>=100RKL</w:t>
      </w:r>
      <w:r>
        <w:rPr>
          <w:sz w:val="15"/>
        </w:rPr>
        <w:t>y</w:t>
      </w:r>
      <w:r>
        <w:rPr>
          <w:position w:val="2"/>
        </w:rPr>
        <w:t>dS</w:t>
      </w:r>
      <w:r>
        <w:rPr>
          <w:sz w:val="15"/>
        </w:rPr>
        <w:t>y</w:t>
      </w:r>
      <w:r>
        <w:rPr>
          <w:position w:val="2"/>
        </w:rPr>
        <w:t>BET</w:t>
      </w:r>
    </w:p>
    <w:p w14:paraId="7D4F5D08">
      <w:pPr>
        <w:pStyle w:val="66"/>
        <w:jc w:val="center"/>
      </w:pPr>
      <w:r>
        <w:rPr>
          <w:position w:val="2"/>
        </w:rPr>
        <w:t>K</w:t>
      </w:r>
      <w:r>
        <w:rPr>
          <w:sz w:val="15"/>
        </w:rPr>
        <w:t>yd</w:t>
      </w:r>
      <w:r>
        <w:rPr>
          <w:position w:val="2"/>
        </w:rPr>
        <w:t>=NK</w:t>
      </w:r>
    </w:p>
    <w:p w14:paraId="41B9CD26">
      <w:pPr>
        <w:pStyle w:val="66"/>
        <w:ind w:firstLine="472"/>
      </w:pPr>
      <w:r>
        <w:rPr>
          <w:spacing w:val="-4"/>
        </w:rPr>
        <w:t>式中：</w:t>
      </w:r>
    </w:p>
    <w:p w14:paraId="02E82EC9">
      <w:pPr>
        <w:pStyle w:val="66"/>
        <w:rPr>
          <w:position w:val="2"/>
        </w:rPr>
      </w:pPr>
      <w:r>
        <w:rPr>
          <w:position w:val="2"/>
        </w:rPr>
        <w:t>M</w:t>
      </w:r>
      <w:r>
        <w:rPr>
          <w:sz w:val="15"/>
        </w:rPr>
        <w:t>yd</w:t>
      </w:r>
      <w:r>
        <w:rPr>
          <w:position w:val="2"/>
        </w:rPr>
        <w:t>——地表翻扰型一般扰动地表测算单元土壤侵蚀模数，t/（km²·a）；</w:t>
      </w:r>
    </w:p>
    <w:p w14:paraId="7FE3F6B5">
      <w:pPr>
        <w:pStyle w:val="66"/>
        <w:rPr>
          <w:spacing w:val="-3"/>
        </w:rPr>
      </w:pPr>
      <w:r>
        <w:t>R——降雨侵蚀力因子，MJ</w:t>
      </w:r>
      <w:r>
        <w:rPr>
          <w:rFonts w:eastAsia="微软雅黑"/>
        </w:rPr>
        <w:t>・</w:t>
      </w:r>
      <w:r>
        <w:t>mm/（hm²·h），</w:t>
      </w:r>
      <w:r>
        <w:rPr>
          <w:rFonts w:hint="eastAsia"/>
          <w:spacing w:val="-3"/>
        </w:rPr>
        <w:t>按照《生产建设项目土壤流失量测算导则》（</w:t>
      </w:r>
      <w:r>
        <w:rPr>
          <w:spacing w:val="-3"/>
        </w:rPr>
        <w:t>SL773-2018</w:t>
      </w:r>
      <w:r>
        <w:rPr>
          <w:rFonts w:hint="eastAsia"/>
          <w:spacing w:val="-3"/>
        </w:rPr>
        <w:t>）中降雨侵蚀力因子计算公式，利用固阳县行政单元多年平均逐月和年降雨侵蚀力因子及土壤可蚀性因子计算，固阳县多年平均降雨量为</w:t>
      </w:r>
      <w:r>
        <w:rPr>
          <w:spacing w:val="-3"/>
        </w:rPr>
        <w:t>309.8mm</w:t>
      </w:r>
      <w:r>
        <w:rPr>
          <w:rFonts w:hint="eastAsia"/>
          <w:spacing w:val="-3"/>
        </w:rPr>
        <w:t>，降雨侵蚀力因子为</w:t>
      </w:r>
      <w:r>
        <w:rPr>
          <w:spacing w:val="-3"/>
        </w:rPr>
        <w:t>757 MJ·mm/</w:t>
      </w:r>
      <w:r>
        <w:rPr>
          <w:rFonts w:hint="eastAsia"/>
          <w:spacing w:val="-3"/>
        </w:rPr>
        <w:t>（</w:t>
      </w:r>
      <w:r>
        <w:rPr>
          <w:spacing w:val="-3"/>
        </w:rPr>
        <w:t>hm²·h</w:t>
      </w:r>
      <w:r>
        <w:rPr>
          <w:rFonts w:hint="eastAsia"/>
          <w:spacing w:val="-3"/>
        </w:rPr>
        <w:t>）。</w:t>
      </w:r>
    </w:p>
    <w:p w14:paraId="6163094C">
      <w:pPr>
        <w:pStyle w:val="66"/>
        <w:rPr>
          <w:position w:val="2"/>
        </w:rPr>
      </w:pPr>
      <w:r>
        <w:rPr>
          <w:position w:val="2"/>
        </w:rPr>
        <w:t>L</w:t>
      </w:r>
      <w:r>
        <w:rPr>
          <w:sz w:val="15"/>
        </w:rPr>
        <w:t>yd</w:t>
      </w:r>
      <w:r>
        <w:rPr>
          <w:position w:val="2"/>
        </w:rPr>
        <w:t>——地表翻扰后土壤可蚀性因子，t·hm²·h/（hm²·MJ·mm）；</w:t>
      </w:r>
    </w:p>
    <w:p w14:paraId="7B058C61">
      <w:pPr>
        <w:pStyle w:val="66"/>
      </w:pPr>
      <w:r>
        <w:t>N——地表翻扰后可蚀性因子增大系数</w:t>
      </w:r>
      <w:r>
        <w:rPr>
          <w:rFonts w:hint="eastAsia"/>
        </w:rPr>
        <w:t>，取2</w:t>
      </w:r>
      <w:r>
        <w:t>.13</w:t>
      </w:r>
      <w:r>
        <w:rPr>
          <w:rFonts w:hint="eastAsia"/>
        </w:rPr>
        <w:t>。</w:t>
      </w:r>
    </w:p>
    <w:p w14:paraId="53DC3A9A">
      <w:pPr>
        <w:pStyle w:val="66"/>
        <w:ind w:firstLine="460"/>
        <w:rPr>
          <w:spacing w:val="-12"/>
        </w:rPr>
      </w:pPr>
      <w:r>
        <w:rPr>
          <w:spacing w:val="-10"/>
        </w:rPr>
        <w:t>根据上式计算，水力作用下地表翻扰型一般扰动地表土壤侵蚀模数计算见表</w:t>
      </w:r>
      <w:r>
        <w:t>4-5</w:t>
      </w:r>
      <w:r>
        <w:rPr>
          <w:spacing w:val="-12"/>
        </w:rPr>
        <w:t>。</w:t>
      </w:r>
    </w:p>
    <w:p w14:paraId="65625060">
      <w:pPr>
        <w:pStyle w:val="66"/>
        <w:sectPr>
          <w:pgSz w:w="11910" w:h="16840"/>
          <w:pgMar w:top="1360" w:right="1340" w:bottom="1420" w:left="1560" w:header="876" w:footer="1227" w:gutter="0"/>
          <w:cols w:space="720" w:num="1"/>
        </w:sectPr>
      </w:pPr>
    </w:p>
    <w:p w14:paraId="1D945543">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表4-</w:t>
      </w:r>
      <w:r>
        <w:rPr>
          <w:color w:val="000000" w:themeColor="text1"/>
          <w:spacing w:val="-10"/>
          <w:lang w:eastAsia="zh-CN"/>
          <w14:textFill>
            <w14:solidFill>
              <w14:schemeClr w14:val="tx1"/>
            </w14:solidFill>
          </w14:textFill>
        </w:rPr>
        <w:t>5</w:t>
      </w:r>
      <w:r>
        <w:rPr>
          <w:color w:val="000000" w:themeColor="text1"/>
          <w:lang w:eastAsia="zh-CN"/>
          <w14:textFill>
            <w14:solidFill>
              <w14:schemeClr w14:val="tx1"/>
            </w14:solidFill>
          </w14:textFill>
        </w:rPr>
        <w:t xml:space="preserve">                                              水力作用下地表翻扰型一般扰动地表土壤侵蚀模数计算</w:t>
      </w:r>
      <w:r>
        <w:rPr>
          <w:color w:val="000000" w:themeColor="text1"/>
          <w:spacing w:val="-10"/>
          <w:lang w:eastAsia="zh-CN"/>
          <w14:textFill>
            <w14:solidFill>
              <w14:schemeClr w14:val="tx1"/>
            </w14:solidFill>
          </w14:textFill>
        </w:rPr>
        <w:t>表</w:t>
      </w:r>
      <w:r>
        <w:rPr>
          <w:color w:val="000000" w:themeColor="text1"/>
          <w:lang w:eastAsia="zh-CN"/>
          <w14:textFill>
            <w14:solidFill>
              <w14:schemeClr w14:val="tx1"/>
            </w14:solidFill>
          </w14:textFill>
        </w:rPr>
        <w:t xml:space="preserve">                                     单位：t/km²·a</w:t>
      </w:r>
    </w:p>
    <w:tbl>
      <w:tblPr>
        <w:tblStyle w:val="27"/>
        <w:tblW w:w="5000" w:type="pct"/>
        <w:tblInd w:w="0" w:type="dxa"/>
        <w:tblLayout w:type="autofit"/>
        <w:tblCellMar>
          <w:top w:w="0" w:type="dxa"/>
          <w:left w:w="108" w:type="dxa"/>
          <w:bottom w:w="0" w:type="dxa"/>
          <w:right w:w="108" w:type="dxa"/>
        </w:tblCellMar>
      </w:tblPr>
      <w:tblGrid>
        <w:gridCol w:w="433"/>
        <w:gridCol w:w="1878"/>
        <w:gridCol w:w="687"/>
        <w:gridCol w:w="3773"/>
        <w:gridCol w:w="1385"/>
        <w:gridCol w:w="1020"/>
        <w:gridCol w:w="1020"/>
        <w:gridCol w:w="1020"/>
        <w:gridCol w:w="1020"/>
        <w:gridCol w:w="1020"/>
        <w:gridCol w:w="1020"/>
      </w:tblGrid>
      <w:tr w14:paraId="0004E826">
        <w:tblPrEx>
          <w:tblCellMar>
            <w:top w:w="0" w:type="dxa"/>
            <w:left w:w="108" w:type="dxa"/>
            <w:bottom w:w="0" w:type="dxa"/>
            <w:right w:w="108" w:type="dxa"/>
          </w:tblCellMar>
        </w:tblPrEx>
        <w:trPr>
          <w:trHeight w:val="397" w:hRule="atLeast"/>
        </w:trPr>
        <w:tc>
          <w:tcPr>
            <w:tcW w:w="152" w:type="pct"/>
            <w:tcBorders>
              <w:top w:val="single" w:color="auto" w:sz="4" w:space="0"/>
              <w:left w:val="single" w:color="auto" w:sz="4" w:space="0"/>
              <w:bottom w:val="double" w:color="auto" w:sz="4" w:space="0"/>
              <w:right w:val="single" w:color="auto" w:sz="4" w:space="0"/>
            </w:tcBorders>
            <w:shd w:val="clear" w:color="auto" w:fill="auto"/>
            <w:vAlign w:val="center"/>
          </w:tcPr>
          <w:p w14:paraId="7229816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序号</w:t>
            </w:r>
          </w:p>
        </w:tc>
        <w:tc>
          <w:tcPr>
            <w:tcW w:w="658" w:type="pct"/>
            <w:tcBorders>
              <w:top w:val="single" w:color="auto" w:sz="4" w:space="0"/>
              <w:left w:val="nil"/>
              <w:bottom w:val="double" w:color="auto" w:sz="4" w:space="0"/>
              <w:right w:val="single" w:color="auto" w:sz="4" w:space="0"/>
            </w:tcBorders>
            <w:shd w:val="clear" w:color="auto" w:fill="auto"/>
            <w:vAlign w:val="center"/>
          </w:tcPr>
          <w:p w14:paraId="109E840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w:t>
            </w:r>
          </w:p>
        </w:tc>
        <w:tc>
          <w:tcPr>
            <w:tcW w:w="241" w:type="pct"/>
            <w:tcBorders>
              <w:top w:val="single" w:color="auto" w:sz="4" w:space="0"/>
              <w:left w:val="nil"/>
              <w:bottom w:val="double" w:color="auto" w:sz="4" w:space="0"/>
              <w:right w:val="single" w:color="auto" w:sz="4" w:space="0"/>
            </w:tcBorders>
            <w:shd w:val="clear" w:color="auto" w:fill="auto"/>
            <w:vAlign w:val="center"/>
          </w:tcPr>
          <w:p w14:paraId="6C12252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因子</w:t>
            </w:r>
          </w:p>
        </w:tc>
        <w:tc>
          <w:tcPr>
            <w:tcW w:w="1321" w:type="pct"/>
            <w:tcBorders>
              <w:top w:val="single" w:color="auto" w:sz="4" w:space="0"/>
              <w:left w:val="nil"/>
              <w:bottom w:val="double" w:color="auto" w:sz="4" w:space="0"/>
              <w:right w:val="single" w:color="auto" w:sz="4" w:space="0"/>
            </w:tcBorders>
            <w:shd w:val="clear" w:color="auto" w:fill="auto"/>
            <w:vAlign w:val="center"/>
          </w:tcPr>
          <w:p w14:paraId="1F4B9E8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公式</w:t>
            </w:r>
          </w:p>
        </w:tc>
        <w:tc>
          <w:tcPr>
            <w:tcW w:w="485" w:type="pct"/>
            <w:tcBorders>
              <w:top w:val="single" w:color="000000" w:sz="8" w:space="0"/>
              <w:left w:val="single" w:color="000000" w:sz="8" w:space="0"/>
              <w:bottom w:val="double" w:color="auto" w:sz="4" w:space="0"/>
              <w:right w:val="single" w:color="000000" w:sz="8" w:space="0"/>
            </w:tcBorders>
            <w:shd w:val="clear" w:color="auto" w:fill="auto"/>
            <w:vAlign w:val="center"/>
          </w:tcPr>
          <w:p w14:paraId="2ED9D30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公共管理与公共服务用地</w:t>
            </w:r>
          </w:p>
        </w:tc>
        <w:tc>
          <w:tcPr>
            <w:tcW w:w="357" w:type="pct"/>
            <w:tcBorders>
              <w:top w:val="single" w:color="000000" w:sz="8" w:space="0"/>
              <w:left w:val="nil"/>
              <w:bottom w:val="double" w:color="auto" w:sz="4" w:space="0"/>
              <w:right w:val="single" w:color="000000" w:sz="8" w:space="0"/>
            </w:tcBorders>
            <w:shd w:val="clear" w:color="auto" w:fill="auto"/>
            <w:vAlign w:val="center"/>
          </w:tcPr>
          <w:p w14:paraId="0BD12095">
            <w:pPr>
              <w:spacing w:line="240" w:lineRule="auto"/>
              <w:ind w:firstLine="210" w:firstLineChars="10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商业服务业用地</w:t>
            </w:r>
          </w:p>
        </w:tc>
        <w:tc>
          <w:tcPr>
            <w:tcW w:w="357" w:type="pct"/>
            <w:tcBorders>
              <w:top w:val="single" w:color="000000" w:sz="8" w:space="0"/>
              <w:left w:val="nil"/>
              <w:bottom w:val="double" w:color="auto" w:sz="4" w:space="0"/>
              <w:right w:val="single" w:color="000000" w:sz="8" w:space="0"/>
            </w:tcBorders>
            <w:shd w:val="clear" w:color="auto" w:fill="auto"/>
            <w:vAlign w:val="center"/>
          </w:tcPr>
          <w:p w14:paraId="43433BC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357" w:type="pct"/>
            <w:tcBorders>
              <w:top w:val="single" w:color="000000" w:sz="8" w:space="0"/>
              <w:left w:val="nil"/>
              <w:bottom w:val="double" w:color="auto" w:sz="4" w:space="0"/>
              <w:right w:val="single" w:color="000000" w:sz="8" w:space="0"/>
            </w:tcBorders>
            <w:shd w:val="clear" w:color="auto" w:fill="auto"/>
            <w:vAlign w:val="center"/>
          </w:tcPr>
          <w:p w14:paraId="2D05EB4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357" w:type="pct"/>
            <w:tcBorders>
              <w:top w:val="single" w:color="000000" w:sz="8" w:space="0"/>
              <w:left w:val="nil"/>
              <w:bottom w:val="double" w:color="auto" w:sz="4" w:space="0"/>
              <w:right w:val="single" w:color="000000" w:sz="8" w:space="0"/>
            </w:tcBorders>
            <w:shd w:val="clear" w:color="auto" w:fill="auto"/>
            <w:vAlign w:val="center"/>
          </w:tcPr>
          <w:p w14:paraId="7961530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公用设施用地</w:t>
            </w:r>
          </w:p>
        </w:tc>
        <w:tc>
          <w:tcPr>
            <w:tcW w:w="357" w:type="pct"/>
            <w:tcBorders>
              <w:top w:val="single" w:color="000000" w:sz="8" w:space="0"/>
              <w:left w:val="nil"/>
              <w:bottom w:val="double" w:color="auto" w:sz="4" w:space="0"/>
              <w:right w:val="single" w:color="000000" w:sz="8" w:space="0"/>
            </w:tcBorders>
            <w:shd w:val="clear" w:color="auto" w:fill="auto"/>
            <w:vAlign w:val="center"/>
          </w:tcPr>
          <w:p w14:paraId="10EB008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357" w:type="pct"/>
            <w:tcBorders>
              <w:top w:val="single" w:color="000000" w:sz="8" w:space="0"/>
              <w:left w:val="nil"/>
              <w:bottom w:val="double" w:color="auto" w:sz="4" w:space="0"/>
              <w:right w:val="single" w:color="000000" w:sz="8" w:space="0"/>
            </w:tcBorders>
            <w:shd w:val="clear" w:color="auto" w:fill="auto"/>
            <w:vAlign w:val="center"/>
          </w:tcPr>
          <w:p w14:paraId="6A12CF6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陆地水域</w:t>
            </w:r>
          </w:p>
        </w:tc>
      </w:tr>
      <w:tr w14:paraId="442A4612">
        <w:tblPrEx>
          <w:tblCellMar>
            <w:top w:w="0" w:type="dxa"/>
            <w:left w:w="108" w:type="dxa"/>
            <w:bottom w:w="0" w:type="dxa"/>
            <w:right w:w="108" w:type="dxa"/>
          </w:tblCellMar>
        </w:tblPrEx>
        <w:trPr>
          <w:trHeight w:val="397" w:hRule="atLeast"/>
        </w:trPr>
        <w:tc>
          <w:tcPr>
            <w:tcW w:w="152" w:type="pct"/>
            <w:tcBorders>
              <w:top w:val="double" w:color="auto" w:sz="4" w:space="0"/>
              <w:left w:val="single" w:color="auto" w:sz="4" w:space="0"/>
              <w:bottom w:val="single" w:color="auto" w:sz="4" w:space="0"/>
              <w:right w:val="single" w:color="auto" w:sz="4" w:space="0"/>
            </w:tcBorders>
            <w:shd w:val="clear" w:color="auto" w:fill="auto"/>
            <w:vAlign w:val="center"/>
          </w:tcPr>
          <w:p w14:paraId="009DC08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658" w:type="pct"/>
            <w:tcBorders>
              <w:top w:val="double" w:color="auto" w:sz="4" w:space="0"/>
              <w:left w:val="nil"/>
              <w:bottom w:val="single" w:color="auto" w:sz="4" w:space="0"/>
              <w:right w:val="single" w:color="auto" w:sz="4" w:space="0"/>
            </w:tcBorders>
            <w:shd w:val="clear" w:color="auto" w:fill="auto"/>
            <w:vAlign w:val="center"/>
          </w:tcPr>
          <w:p w14:paraId="22F48CD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地表翻扰型</w:t>
            </w:r>
          </w:p>
        </w:tc>
        <w:tc>
          <w:tcPr>
            <w:tcW w:w="241" w:type="pct"/>
            <w:tcBorders>
              <w:top w:val="double" w:color="auto" w:sz="4" w:space="0"/>
              <w:left w:val="nil"/>
              <w:bottom w:val="single" w:color="auto" w:sz="4" w:space="0"/>
              <w:right w:val="single" w:color="auto" w:sz="4" w:space="0"/>
            </w:tcBorders>
            <w:shd w:val="clear" w:color="auto" w:fill="auto"/>
            <w:vAlign w:val="center"/>
          </w:tcPr>
          <w:p w14:paraId="0A8D56E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Myd</w:t>
            </w:r>
          </w:p>
        </w:tc>
        <w:tc>
          <w:tcPr>
            <w:tcW w:w="1321" w:type="pct"/>
            <w:tcBorders>
              <w:top w:val="double" w:color="auto" w:sz="4" w:space="0"/>
              <w:left w:val="nil"/>
              <w:bottom w:val="single" w:color="auto" w:sz="4" w:space="0"/>
              <w:right w:val="single" w:color="auto" w:sz="4" w:space="0"/>
            </w:tcBorders>
            <w:shd w:val="clear" w:color="auto" w:fill="auto"/>
            <w:vAlign w:val="center"/>
          </w:tcPr>
          <w:p w14:paraId="06267C4C">
            <w:pPr>
              <w:spacing w:line="240" w:lineRule="auto"/>
              <w:ind w:right="840"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Myd=RKLydSyBET*100</w:t>
            </w:r>
          </w:p>
        </w:tc>
        <w:tc>
          <w:tcPr>
            <w:tcW w:w="485" w:type="pct"/>
            <w:tcBorders>
              <w:top w:val="double" w:color="auto" w:sz="4" w:space="0"/>
              <w:left w:val="nil"/>
              <w:bottom w:val="single" w:color="auto" w:sz="4" w:space="0"/>
              <w:right w:val="single" w:color="auto" w:sz="4" w:space="0"/>
            </w:tcBorders>
            <w:shd w:val="clear" w:color="auto" w:fill="auto"/>
            <w:vAlign w:val="center"/>
          </w:tcPr>
          <w:p w14:paraId="15E71EF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3349 </w:t>
            </w:r>
          </w:p>
        </w:tc>
        <w:tc>
          <w:tcPr>
            <w:tcW w:w="357" w:type="pct"/>
            <w:tcBorders>
              <w:top w:val="double" w:color="auto" w:sz="4" w:space="0"/>
              <w:left w:val="nil"/>
              <w:bottom w:val="single" w:color="auto" w:sz="4" w:space="0"/>
              <w:right w:val="single" w:color="auto" w:sz="4" w:space="0"/>
            </w:tcBorders>
            <w:shd w:val="clear" w:color="auto" w:fill="auto"/>
            <w:vAlign w:val="center"/>
          </w:tcPr>
          <w:p w14:paraId="3C4B1F8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3349 </w:t>
            </w:r>
          </w:p>
        </w:tc>
        <w:tc>
          <w:tcPr>
            <w:tcW w:w="357" w:type="pct"/>
            <w:tcBorders>
              <w:top w:val="double" w:color="auto" w:sz="4" w:space="0"/>
              <w:left w:val="nil"/>
              <w:bottom w:val="single" w:color="auto" w:sz="4" w:space="0"/>
              <w:right w:val="single" w:color="auto" w:sz="4" w:space="0"/>
            </w:tcBorders>
            <w:shd w:val="clear" w:color="auto" w:fill="auto"/>
            <w:vAlign w:val="center"/>
          </w:tcPr>
          <w:p w14:paraId="3509B3F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3349 </w:t>
            </w:r>
          </w:p>
        </w:tc>
        <w:tc>
          <w:tcPr>
            <w:tcW w:w="357" w:type="pct"/>
            <w:tcBorders>
              <w:top w:val="double" w:color="auto" w:sz="4" w:space="0"/>
              <w:left w:val="nil"/>
              <w:bottom w:val="single" w:color="auto" w:sz="4" w:space="0"/>
              <w:right w:val="single" w:color="auto" w:sz="4" w:space="0"/>
            </w:tcBorders>
            <w:shd w:val="clear" w:color="auto" w:fill="auto"/>
            <w:vAlign w:val="center"/>
          </w:tcPr>
          <w:p w14:paraId="7B60507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2703 </w:t>
            </w:r>
          </w:p>
        </w:tc>
        <w:tc>
          <w:tcPr>
            <w:tcW w:w="357" w:type="pct"/>
            <w:tcBorders>
              <w:top w:val="double" w:color="auto" w:sz="4" w:space="0"/>
              <w:left w:val="nil"/>
              <w:bottom w:val="single" w:color="auto" w:sz="4" w:space="0"/>
              <w:right w:val="single" w:color="auto" w:sz="4" w:space="0"/>
            </w:tcBorders>
            <w:shd w:val="clear" w:color="auto" w:fill="auto"/>
            <w:vAlign w:val="center"/>
          </w:tcPr>
          <w:p w14:paraId="78B64D0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3349 </w:t>
            </w:r>
          </w:p>
        </w:tc>
        <w:tc>
          <w:tcPr>
            <w:tcW w:w="357" w:type="pct"/>
            <w:tcBorders>
              <w:top w:val="double" w:color="auto" w:sz="4" w:space="0"/>
              <w:left w:val="nil"/>
              <w:bottom w:val="single" w:color="auto" w:sz="4" w:space="0"/>
              <w:right w:val="single" w:color="auto" w:sz="4" w:space="0"/>
            </w:tcBorders>
            <w:shd w:val="clear" w:color="auto" w:fill="auto"/>
            <w:vAlign w:val="center"/>
          </w:tcPr>
          <w:p w14:paraId="066ABBA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2703 </w:t>
            </w:r>
          </w:p>
        </w:tc>
        <w:tc>
          <w:tcPr>
            <w:tcW w:w="357" w:type="pct"/>
            <w:tcBorders>
              <w:top w:val="double" w:color="auto" w:sz="4" w:space="0"/>
              <w:left w:val="nil"/>
              <w:bottom w:val="single" w:color="auto" w:sz="4" w:space="0"/>
              <w:right w:val="single" w:color="auto" w:sz="4" w:space="0"/>
            </w:tcBorders>
            <w:shd w:val="clear" w:color="auto" w:fill="auto"/>
            <w:vAlign w:val="center"/>
          </w:tcPr>
          <w:p w14:paraId="32B6EB3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2703 </w:t>
            </w:r>
          </w:p>
        </w:tc>
      </w:tr>
      <w:tr w14:paraId="086CA637">
        <w:tblPrEx>
          <w:tblCellMar>
            <w:top w:w="0" w:type="dxa"/>
            <w:left w:w="108" w:type="dxa"/>
            <w:bottom w:w="0" w:type="dxa"/>
            <w:right w:w="108" w:type="dxa"/>
          </w:tblCellMar>
        </w:tblPrEx>
        <w:trPr>
          <w:trHeight w:val="397" w:hRule="atLeast"/>
        </w:trPr>
        <w:tc>
          <w:tcPr>
            <w:tcW w:w="152" w:type="pct"/>
            <w:tcBorders>
              <w:top w:val="nil"/>
              <w:left w:val="single" w:color="auto" w:sz="4" w:space="0"/>
              <w:bottom w:val="single" w:color="auto" w:sz="4" w:space="0"/>
              <w:right w:val="single" w:color="auto" w:sz="4" w:space="0"/>
            </w:tcBorders>
            <w:shd w:val="clear" w:color="auto" w:fill="auto"/>
            <w:vAlign w:val="center"/>
          </w:tcPr>
          <w:p w14:paraId="28EF961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w:t>
            </w:r>
          </w:p>
        </w:tc>
        <w:tc>
          <w:tcPr>
            <w:tcW w:w="658" w:type="pct"/>
            <w:tcBorders>
              <w:top w:val="nil"/>
              <w:left w:val="nil"/>
              <w:bottom w:val="single" w:color="auto" w:sz="4" w:space="0"/>
              <w:right w:val="single" w:color="auto" w:sz="4" w:space="0"/>
            </w:tcBorders>
            <w:shd w:val="clear" w:color="auto" w:fill="auto"/>
            <w:vAlign w:val="center"/>
          </w:tcPr>
          <w:p w14:paraId="08260BA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降雨侵蚀力因子</w:t>
            </w:r>
          </w:p>
        </w:tc>
        <w:tc>
          <w:tcPr>
            <w:tcW w:w="241" w:type="pct"/>
            <w:tcBorders>
              <w:top w:val="nil"/>
              <w:left w:val="nil"/>
              <w:bottom w:val="single" w:color="auto" w:sz="4" w:space="0"/>
              <w:right w:val="single" w:color="auto" w:sz="4" w:space="0"/>
            </w:tcBorders>
            <w:shd w:val="clear" w:color="auto" w:fill="auto"/>
            <w:vAlign w:val="center"/>
          </w:tcPr>
          <w:p w14:paraId="1EFA588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R</w:t>
            </w:r>
          </w:p>
        </w:tc>
        <w:tc>
          <w:tcPr>
            <w:tcW w:w="1321" w:type="pct"/>
            <w:tcBorders>
              <w:top w:val="nil"/>
              <w:left w:val="nil"/>
              <w:bottom w:val="single" w:color="auto" w:sz="4" w:space="0"/>
              <w:right w:val="single" w:color="auto" w:sz="4" w:space="0"/>
            </w:tcBorders>
            <w:shd w:val="clear" w:color="auto" w:fill="auto"/>
            <w:vAlign w:val="center"/>
          </w:tcPr>
          <w:p w14:paraId="7FA0F483">
            <w:pPr>
              <w:spacing w:line="240" w:lineRule="auto"/>
              <w:ind w:firstLine="210" w:firstLineChars="10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R=0.067pd1.627</w:t>
            </w:r>
          </w:p>
        </w:tc>
        <w:tc>
          <w:tcPr>
            <w:tcW w:w="485" w:type="pct"/>
            <w:tcBorders>
              <w:top w:val="nil"/>
              <w:left w:val="nil"/>
              <w:bottom w:val="single" w:color="auto" w:sz="4" w:space="0"/>
              <w:right w:val="single" w:color="auto" w:sz="4" w:space="0"/>
            </w:tcBorders>
            <w:shd w:val="clear" w:color="auto" w:fill="auto"/>
            <w:vAlign w:val="center"/>
          </w:tcPr>
          <w:p w14:paraId="6FBF0A0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357" w:type="pct"/>
            <w:tcBorders>
              <w:top w:val="nil"/>
              <w:left w:val="nil"/>
              <w:bottom w:val="single" w:color="auto" w:sz="4" w:space="0"/>
              <w:right w:val="single" w:color="auto" w:sz="4" w:space="0"/>
            </w:tcBorders>
            <w:shd w:val="clear" w:color="auto" w:fill="auto"/>
            <w:vAlign w:val="center"/>
          </w:tcPr>
          <w:p w14:paraId="152C6EC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357" w:type="pct"/>
            <w:tcBorders>
              <w:top w:val="nil"/>
              <w:left w:val="nil"/>
              <w:bottom w:val="single" w:color="auto" w:sz="4" w:space="0"/>
              <w:right w:val="single" w:color="auto" w:sz="4" w:space="0"/>
            </w:tcBorders>
            <w:shd w:val="clear" w:color="auto" w:fill="auto"/>
            <w:vAlign w:val="center"/>
          </w:tcPr>
          <w:p w14:paraId="6F24AB3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357" w:type="pct"/>
            <w:tcBorders>
              <w:top w:val="nil"/>
              <w:left w:val="nil"/>
              <w:bottom w:val="single" w:color="auto" w:sz="4" w:space="0"/>
              <w:right w:val="single" w:color="auto" w:sz="4" w:space="0"/>
            </w:tcBorders>
            <w:shd w:val="clear" w:color="auto" w:fill="auto"/>
            <w:vAlign w:val="center"/>
          </w:tcPr>
          <w:p w14:paraId="1A53E52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357" w:type="pct"/>
            <w:tcBorders>
              <w:top w:val="nil"/>
              <w:left w:val="nil"/>
              <w:bottom w:val="single" w:color="auto" w:sz="4" w:space="0"/>
              <w:right w:val="single" w:color="auto" w:sz="4" w:space="0"/>
            </w:tcBorders>
            <w:shd w:val="clear" w:color="auto" w:fill="auto"/>
            <w:vAlign w:val="center"/>
          </w:tcPr>
          <w:p w14:paraId="66D967E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357" w:type="pct"/>
            <w:tcBorders>
              <w:top w:val="nil"/>
              <w:left w:val="nil"/>
              <w:bottom w:val="single" w:color="auto" w:sz="4" w:space="0"/>
              <w:right w:val="single" w:color="auto" w:sz="4" w:space="0"/>
            </w:tcBorders>
            <w:shd w:val="clear" w:color="auto" w:fill="auto"/>
            <w:vAlign w:val="center"/>
          </w:tcPr>
          <w:p w14:paraId="3E17209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357" w:type="pct"/>
            <w:tcBorders>
              <w:top w:val="nil"/>
              <w:left w:val="nil"/>
              <w:bottom w:val="single" w:color="auto" w:sz="4" w:space="0"/>
              <w:right w:val="single" w:color="auto" w:sz="4" w:space="0"/>
            </w:tcBorders>
            <w:shd w:val="clear" w:color="auto" w:fill="auto"/>
            <w:vAlign w:val="center"/>
          </w:tcPr>
          <w:p w14:paraId="121BAF2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r>
      <w:tr w14:paraId="1633B7E5">
        <w:tblPrEx>
          <w:tblCellMar>
            <w:top w:w="0" w:type="dxa"/>
            <w:left w:w="108" w:type="dxa"/>
            <w:bottom w:w="0" w:type="dxa"/>
            <w:right w:w="108" w:type="dxa"/>
          </w:tblCellMar>
        </w:tblPrEx>
        <w:trPr>
          <w:trHeight w:val="397" w:hRule="atLeast"/>
        </w:trPr>
        <w:tc>
          <w:tcPr>
            <w:tcW w:w="152" w:type="pct"/>
            <w:tcBorders>
              <w:top w:val="nil"/>
              <w:left w:val="single" w:color="auto" w:sz="4" w:space="0"/>
              <w:bottom w:val="single" w:color="auto" w:sz="4" w:space="0"/>
              <w:right w:val="single" w:color="auto" w:sz="4" w:space="0"/>
            </w:tcBorders>
            <w:shd w:val="clear" w:color="auto" w:fill="auto"/>
            <w:vAlign w:val="center"/>
          </w:tcPr>
          <w:p w14:paraId="0539BA2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w:t>
            </w:r>
          </w:p>
        </w:tc>
        <w:tc>
          <w:tcPr>
            <w:tcW w:w="658" w:type="pct"/>
            <w:tcBorders>
              <w:top w:val="nil"/>
              <w:left w:val="nil"/>
              <w:bottom w:val="single" w:color="auto" w:sz="4" w:space="0"/>
              <w:right w:val="single" w:color="auto" w:sz="4" w:space="0"/>
            </w:tcBorders>
            <w:shd w:val="clear" w:color="auto" w:fill="auto"/>
            <w:vAlign w:val="center"/>
          </w:tcPr>
          <w:p w14:paraId="0153A52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地表翻扰后土壤可蚀性因子</w:t>
            </w:r>
          </w:p>
        </w:tc>
        <w:tc>
          <w:tcPr>
            <w:tcW w:w="241" w:type="pct"/>
            <w:tcBorders>
              <w:top w:val="nil"/>
              <w:left w:val="nil"/>
              <w:bottom w:val="single" w:color="auto" w:sz="4" w:space="0"/>
              <w:right w:val="single" w:color="auto" w:sz="4" w:space="0"/>
            </w:tcBorders>
            <w:shd w:val="clear" w:color="auto" w:fill="auto"/>
            <w:vAlign w:val="center"/>
          </w:tcPr>
          <w:p w14:paraId="0245957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Kyd</w:t>
            </w:r>
          </w:p>
        </w:tc>
        <w:tc>
          <w:tcPr>
            <w:tcW w:w="1321" w:type="pct"/>
            <w:tcBorders>
              <w:top w:val="nil"/>
              <w:left w:val="nil"/>
              <w:bottom w:val="single" w:color="auto" w:sz="4" w:space="0"/>
              <w:right w:val="single" w:color="auto" w:sz="4" w:space="0"/>
            </w:tcBorders>
            <w:shd w:val="clear" w:color="auto" w:fill="auto"/>
            <w:vAlign w:val="center"/>
          </w:tcPr>
          <w:p w14:paraId="4636CCF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Kyd=NK</w:t>
            </w:r>
          </w:p>
        </w:tc>
        <w:tc>
          <w:tcPr>
            <w:tcW w:w="485" w:type="pct"/>
            <w:tcBorders>
              <w:top w:val="nil"/>
              <w:left w:val="nil"/>
              <w:bottom w:val="single" w:color="auto" w:sz="4" w:space="0"/>
              <w:right w:val="single" w:color="auto" w:sz="4" w:space="0"/>
            </w:tcBorders>
            <w:shd w:val="clear" w:color="auto" w:fill="auto"/>
            <w:vAlign w:val="center"/>
          </w:tcPr>
          <w:p w14:paraId="324C394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0.037275</w:t>
            </w:r>
          </w:p>
        </w:tc>
        <w:tc>
          <w:tcPr>
            <w:tcW w:w="357" w:type="pct"/>
            <w:tcBorders>
              <w:top w:val="nil"/>
              <w:left w:val="nil"/>
              <w:bottom w:val="single" w:color="auto" w:sz="4" w:space="0"/>
              <w:right w:val="single" w:color="auto" w:sz="4" w:space="0"/>
            </w:tcBorders>
            <w:shd w:val="clear" w:color="auto" w:fill="auto"/>
            <w:vAlign w:val="center"/>
          </w:tcPr>
          <w:p w14:paraId="733D42F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0.037275</w:t>
            </w:r>
          </w:p>
        </w:tc>
        <w:tc>
          <w:tcPr>
            <w:tcW w:w="357" w:type="pct"/>
            <w:tcBorders>
              <w:top w:val="nil"/>
              <w:left w:val="nil"/>
              <w:bottom w:val="single" w:color="auto" w:sz="4" w:space="0"/>
              <w:right w:val="single" w:color="auto" w:sz="4" w:space="0"/>
            </w:tcBorders>
            <w:shd w:val="clear" w:color="auto" w:fill="auto"/>
            <w:vAlign w:val="center"/>
          </w:tcPr>
          <w:p w14:paraId="1D4B42A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0.037275</w:t>
            </w:r>
          </w:p>
        </w:tc>
        <w:tc>
          <w:tcPr>
            <w:tcW w:w="357" w:type="pct"/>
            <w:tcBorders>
              <w:top w:val="nil"/>
              <w:left w:val="nil"/>
              <w:bottom w:val="single" w:color="auto" w:sz="4" w:space="0"/>
              <w:right w:val="single" w:color="auto" w:sz="4" w:space="0"/>
            </w:tcBorders>
            <w:shd w:val="clear" w:color="auto" w:fill="auto"/>
            <w:vAlign w:val="center"/>
          </w:tcPr>
          <w:p w14:paraId="4352B3B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0.037275</w:t>
            </w:r>
          </w:p>
        </w:tc>
        <w:tc>
          <w:tcPr>
            <w:tcW w:w="357" w:type="pct"/>
            <w:tcBorders>
              <w:top w:val="nil"/>
              <w:left w:val="nil"/>
              <w:bottom w:val="single" w:color="auto" w:sz="4" w:space="0"/>
              <w:right w:val="single" w:color="auto" w:sz="4" w:space="0"/>
            </w:tcBorders>
            <w:shd w:val="clear" w:color="auto" w:fill="auto"/>
            <w:vAlign w:val="center"/>
          </w:tcPr>
          <w:p w14:paraId="22EDD5A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0.037275</w:t>
            </w:r>
          </w:p>
        </w:tc>
        <w:tc>
          <w:tcPr>
            <w:tcW w:w="357" w:type="pct"/>
            <w:tcBorders>
              <w:top w:val="nil"/>
              <w:left w:val="nil"/>
              <w:bottom w:val="single" w:color="auto" w:sz="4" w:space="0"/>
              <w:right w:val="single" w:color="auto" w:sz="4" w:space="0"/>
            </w:tcBorders>
            <w:shd w:val="clear" w:color="auto" w:fill="auto"/>
            <w:vAlign w:val="center"/>
          </w:tcPr>
          <w:p w14:paraId="529E661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0.037275</w:t>
            </w:r>
          </w:p>
        </w:tc>
        <w:tc>
          <w:tcPr>
            <w:tcW w:w="357" w:type="pct"/>
            <w:tcBorders>
              <w:top w:val="nil"/>
              <w:left w:val="nil"/>
              <w:bottom w:val="single" w:color="auto" w:sz="4" w:space="0"/>
              <w:right w:val="single" w:color="auto" w:sz="4" w:space="0"/>
            </w:tcBorders>
            <w:shd w:val="clear" w:color="auto" w:fill="auto"/>
            <w:vAlign w:val="center"/>
          </w:tcPr>
          <w:p w14:paraId="4C6D45C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0.037275</w:t>
            </w:r>
          </w:p>
        </w:tc>
      </w:tr>
      <w:tr w14:paraId="6446FE82">
        <w:tblPrEx>
          <w:tblCellMar>
            <w:top w:w="0" w:type="dxa"/>
            <w:left w:w="108" w:type="dxa"/>
            <w:bottom w:w="0" w:type="dxa"/>
            <w:right w:w="108" w:type="dxa"/>
          </w:tblCellMar>
        </w:tblPrEx>
        <w:trPr>
          <w:trHeight w:val="397" w:hRule="atLeast"/>
        </w:trPr>
        <w:tc>
          <w:tcPr>
            <w:tcW w:w="152" w:type="pct"/>
            <w:tcBorders>
              <w:top w:val="nil"/>
              <w:left w:val="single" w:color="auto" w:sz="4" w:space="0"/>
              <w:bottom w:val="single" w:color="auto" w:sz="4" w:space="0"/>
              <w:right w:val="single" w:color="auto" w:sz="4" w:space="0"/>
            </w:tcBorders>
            <w:shd w:val="clear" w:color="auto" w:fill="auto"/>
            <w:vAlign w:val="center"/>
          </w:tcPr>
          <w:p w14:paraId="66C30CE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658" w:type="pct"/>
            <w:tcBorders>
              <w:top w:val="nil"/>
              <w:left w:val="nil"/>
              <w:bottom w:val="single" w:color="auto" w:sz="4" w:space="0"/>
              <w:right w:val="single" w:color="auto" w:sz="4" w:space="0"/>
            </w:tcBorders>
            <w:shd w:val="clear" w:color="auto" w:fill="auto"/>
            <w:vAlign w:val="center"/>
          </w:tcPr>
          <w:p w14:paraId="33C7F46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可蚀性因子增大系数</w:t>
            </w:r>
          </w:p>
        </w:tc>
        <w:tc>
          <w:tcPr>
            <w:tcW w:w="241" w:type="pct"/>
            <w:tcBorders>
              <w:top w:val="nil"/>
              <w:left w:val="nil"/>
              <w:bottom w:val="single" w:color="auto" w:sz="4" w:space="0"/>
              <w:right w:val="single" w:color="auto" w:sz="4" w:space="0"/>
            </w:tcBorders>
            <w:shd w:val="clear" w:color="auto" w:fill="auto"/>
            <w:vAlign w:val="center"/>
          </w:tcPr>
          <w:p w14:paraId="631B63A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N</w:t>
            </w:r>
          </w:p>
        </w:tc>
        <w:tc>
          <w:tcPr>
            <w:tcW w:w="1321" w:type="pct"/>
            <w:tcBorders>
              <w:top w:val="nil"/>
              <w:left w:val="nil"/>
              <w:bottom w:val="single" w:color="auto" w:sz="4" w:space="0"/>
              <w:right w:val="single" w:color="auto" w:sz="4" w:space="0"/>
            </w:tcBorders>
            <w:shd w:val="clear" w:color="auto" w:fill="auto"/>
            <w:vAlign w:val="center"/>
          </w:tcPr>
          <w:p w14:paraId="6121FA2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85" w:type="pct"/>
            <w:tcBorders>
              <w:top w:val="nil"/>
              <w:left w:val="nil"/>
              <w:bottom w:val="single" w:color="auto" w:sz="4" w:space="0"/>
              <w:right w:val="single" w:color="auto" w:sz="4" w:space="0"/>
            </w:tcBorders>
            <w:shd w:val="clear" w:color="auto" w:fill="auto"/>
            <w:vAlign w:val="center"/>
          </w:tcPr>
          <w:p w14:paraId="50F6AEA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2.13</w:t>
            </w:r>
          </w:p>
        </w:tc>
        <w:tc>
          <w:tcPr>
            <w:tcW w:w="357" w:type="pct"/>
            <w:tcBorders>
              <w:top w:val="nil"/>
              <w:left w:val="nil"/>
              <w:bottom w:val="single" w:color="auto" w:sz="4" w:space="0"/>
              <w:right w:val="single" w:color="auto" w:sz="4" w:space="0"/>
            </w:tcBorders>
            <w:shd w:val="clear" w:color="auto" w:fill="auto"/>
            <w:vAlign w:val="center"/>
          </w:tcPr>
          <w:p w14:paraId="74FFE27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2.13</w:t>
            </w:r>
          </w:p>
        </w:tc>
        <w:tc>
          <w:tcPr>
            <w:tcW w:w="357" w:type="pct"/>
            <w:tcBorders>
              <w:top w:val="nil"/>
              <w:left w:val="nil"/>
              <w:bottom w:val="single" w:color="auto" w:sz="4" w:space="0"/>
              <w:right w:val="single" w:color="auto" w:sz="4" w:space="0"/>
            </w:tcBorders>
            <w:shd w:val="clear" w:color="auto" w:fill="auto"/>
            <w:vAlign w:val="center"/>
          </w:tcPr>
          <w:p w14:paraId="39F018A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2.13</w:t>
            </w:r>
          </w:p>
        </w:tc>
        <w:tc>
          <w:tcPr>
            <w:tcW w:w="357" w:type="pct"/>
            <w:tcBorders>
              <w:top w:val="nil"/>
              <w:left w:val="nil"/>
              <w:bottom w:val="single" w:color="auto" w:sz="4" w:space="0"/>
              <w:right w:val="single" w:color="auto" w:sz="4" w:space="0"/>
            </w:tcBorders>
            <w:shd w:val="clear" w:color="auto" w:fill="auto"/>
            <w:vAlign w:val="center"/>
          </w:tcPr>
          <w:p w14:paraId="50DEA9D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2.13</w:t>
            </w:r>
          </w:p>
        </w:tc>
        <w:tc>
          <w:tcPr>
            <w:tcW w:w="357" w:type="pct"/>
            <w:tcBorders>
              <w:top w:val="nil"/>
              <w:left w:val="nil"/>
              <w:bottom w:val="single" w:color="auto" w:sz="4" w:space="0"/>
              <w:right w:val="single" w:color="auto" w:sz="4" w:space="0"/>
            </w:tcBorders>
            <w:shd w:val="clear" w:color="auto" w:fill="auto"/>
            <w:vAlign w:val="center"/>
          </w:tcPr>
          <w:p w14:paraId="28A229D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2.13</w:t>
            </w:r>
          </w:p>
        </w:tc>
        <w:tc>
          <w:tcPr>
            <w:tcW w:w="357" w:type="pct"/>
            <w:tcBorders>
              <w:top w:val="nil"/>
              <w:left w:val="nil"/>
              <w:bottom w:val="single" w:color="auto" w:sz="4" w:space="0"/>
              <w:right w:val="single" w:color="auto" w:sz="4" w:space="0"/>
            </w:tcBorders>
            <w:shd w:val="clear" w:color="auto" w:fill="auto"/>
            <w:vAlign w:val="center"/>
          </w:tcPr>
          <w:p w14:paraId="61E9018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2.13</w:t>
            </w:r>
          </w:p>
        </w:tc>
        <w:tc>
          <w:tcPr>
            <w:tcW w:w="357" w:type="pct"/>
            <w:tcBorders>
              <w:top w:val="nil"/>
              <w:left w:val="nil"/>
              <w:bottom w:val="single" w:color="auto" w:sz="4" w:space="0"/>
              <w:right w:val="single" w:color="auto" w:sz="4" w:space="0"/>
            </w:tcBorders>
            <w:shd w:val="clear" w:color="auto" w:fill="auto"/>
            <w:vAlign w:val="center"/>
          </w:tcPr>
          <w:p w14:paraId="3831B5E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2.13</w:t>
            </w:r>
          </w:p>
        </w:tc>
      </w:tr>
      <w:tr w14:paraId="59A2AFC9">
        <w:tblPrEx>
          <w:tblCellMar>
            <w:top w:w="0" w:type="dxa"/>
            <w:left w:w="108" w:type="dxa"/>
            <w:bottom w:w="0" w:type="dxa"/>
            <w:right w:w="108" w:type="dxa"/>
          </w:tblCellMar>
        </w:tblPrEx>
        <w:trPr>
          <w:trHeight w:val="397" w:hRule="atLeast"/>
        </w:trPr>
        <w:tc>
          <w:tcPr>
            <w:tcW w:w="152" w:type="pct"/>
            <w:tcBorders>
              <w:top w:val="nil"/>
              <w:left w:val="single" w:color="auto" w:sz="4" w:space="0"/>
              <w:bottom w:val="single" w:color="auto" w:sz="4" w:space="0"/>
              <w:right w:val="single" w:color="auto" w:sz="4" w:space="0"/>
            </w:tcBorders>
            <w:shd w:val="clear" w:color="auto" w:fill="auto"/>
            <w:vAlign w:val="center"/>
          </w:tcPr>
          <w:p w14:paraId="761AA86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658" w:type="pct"/>
            <w:tcBorders>
              <w:top w:val="nil"/>
              <w:left w:val="nil"/>
              <w:bottom w:val="single" w:color="auto" w:sz="4" w:space="0"/>
              <w:right w:val="single" w:color="auto" w:sz="4" w:space="0"/>
            </w:tcBorders>
            <w:shd w:val="clear" w:color="auto" w:fill="auto"/>
            <w:vAlign w:val="center"/>
          </w:tcPr>
          <w:p w14:paraId="2C4FE98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土壤可蚀性因子</w:t>
            </w:r>
          </w:p>
        </w:tc>
        <w:tc>
          <w:tcPr>
            <w:tcW w:w="241" w:type="pct"/>
            <w:tcBorders>
              <w:top w:val="nil"/>
              <w:left w:val="nil"/>
              <w:bottom w:val="single" w:color="auto" w:sz="4" w:space="0"/>
              <w:right w:val="single" w:color="auto" w:sz="4" w:space="0"/>
            </w:tcBorders>
            <w:shd w:val="clear" w:color="auto" w:fill="auto"/>
            <w:vAlign w:val="center"/>
          </w:tcPr>
          <w:p w14:paraId="3597E91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K</w:t>
            </w:r>
          </w:p>
        </w:tc>
        <w:tc>
          <w:tcPr>
            <w:tcW w:w="1321" w:type="pct"/>
            <w:tcBorders>
              <w:top w:val="nil"/>
              <w:left w:val="nil"/>
              <w:bottom w:val="single" w:color="auto" w:sz="4" w:space="0"/>
              <w:right w:val="single" w:color="auto" w:sz="4" w:space="0"/>
            </w:tcBorders>
            <w:shd w:val="clear" w:color="auto" w:fill="auto"/>
            <w:vAlign w:val="center"/>
          </w:tcPr>
          <w:p w14:paraId="752BB72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85" w:type="pct"/>
            <w:tcBorders>
              <w:top w:val="nil"/>
              <w:left w:val="nil"/>
              <w:bottom w:val="single" w:color="auto" w:sz="4" w:space="0"/>
              <w:right w:val="single" w:color="auto" w:sz="4" w:space="0"/>
            </w:tcBorders>
            <w:shd w:val="clear" w:color="auto" w:fill="auto"/>
            <w:vAlign w:val="center"/>
          </w:tcPr>
          <w:p w14:paraId="1E8316A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0.0175</w:t>
            </w:r>
          </w:p>
        </w:tc>
        <w:tc>
          <w:tcPr>
            <w:tcW w:w="357" w:type="pct"/>
            <w:tcBorders>
              <w:top w:val="nil"/>
              <w:left w:val="nil"/>
              <w:bottom w:val="single" w:color="auto" w:sz="4" w:space="0"/>
              <w:right w:val="single" w:color="auto" w:sz="4" w:space="0"/>
            </w:tcBorders>
            <w:shd w:val="clear" w:color="auto" w:fill="auto"/>
            <w:vAlign w:val="center"/>
          </w:tcPr>
          <w:p w14:paraId="35418BE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0.0175</w:t>
            </w:r>
          </w:p>
        </w:tc>
        <w:tc>
          <w:tcPr>
            <w:tcW w:w="357" w:type="pct"/>
            <w:tcBorders>
              <w:top w:val="nil"/>
              <w:left w:val="nil"/>
              <w:bottom w:val="single" w:color="auto" w:sz="4" w:space="0"/>
              <w:right w:val="single" w:color="auto" w:sz="4" w:space="0"/>
            </w:tcBorders>
            <w:shd w:val="clear" w:color="auto" w:fill="auto"/>
            <w:vAlign w:val="center"/>
          </w:tcPr>
          <w:p w14:paraId="5522592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0.0175</w:t>
            </w:r>
          </w:p>
        </w:tc>
        <w:tc>
          <w:tcPr>
            <w:tcW w:w="357" w:type="pct"/>
            <w:tcBorders>
              <w:top w:val="nil"/>
              <w:left w:val="nil"/>
              <w:bottom w:val="single" w:color="auto" w:sz="4" w:space="0"/>
              <w:right w:val="single" w:color="auto" w:sz="4" w:space="0"/>
            </w:tcBorders>
            <w:shd w:val="clear" w:color="auto" w:fill="auto"/>
            <w:vAlign w:val="center"/>
          </w:tcPr>
          <w:p w14:paraId="48AC604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0.0175</w:t>
            </w:r>
          </w:p>
        </w:tc>
        <w:tc>
          <w:tcPr>
            <w:tcW w:w="357" w:type="pct"/>
            <w:tcBorders>
              <w:top w:val="nil"/>
              <w:left w:val="nil"/>
              <w:bottom w:val="single" w:color="auto" w:sz="4" w:space="0"/>
              <w:right w:val="single" w:color="auto" w:sz="4" w:space="0"/>
            </w:tcBorders>
            <w:shd w:val="clear" w:color="auto" w:fill="auto"/>
            <w:vAlign w:val="center"/>
          </w:tcPr>
          <w:p w14:paraId="7F45D98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0.0175</w:t>
            </w:r>
          </w:p>
        </w:tc>
        <w:tc>
          <w:tcPr>
            <w:tcW w:w="357" w:type="pct"/>
            <w:tcBorders>
              <w:top w:val="nil"/>
              <w:left w:val="nil"/>
              <w:bottom w:val="single" w:color="auto" w:sz="4" w:space="0"/>
              <w:right w:val="single" w:color="auto" w:sz="4" w:space="0"/>
            </w:tcBorders>
            <w:shd w:val="clear" w:color="auto" w:fill="auto"/>
            <w:vAlign w:val="center"/>
          </w:tcPr>
          <w:p w14:paraId="52059F2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0.0175</w:t>
            </w:r>
          </w:p>
        </w:tc>
        <w:tc>
          <w:tcPr>
            <w:tcW w:w="357" w:type="pct"/>
            <w:tcBorders>
              <w:top w:val="nil"/>
              <w:left w:val="nil"/>
              <w:bottom w:val="single" w:color="auto" w:sz="4" w:space="0"/>
              <w:right w:val="single" w:color="auto" w:sz="4" w:space="0"/>
            </w:tcBorders>
            <w:shd w:val="clear" w:color="auto" w:fill="auto"/>
            <w:vAlign w:val="center"/>
          </w:tcPr>
          <w:p w14:paraId="5D6E94B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0.0175</w:t>
            </w:r>
          </w:p>
        </w:tc>
      </w:tr>
      <w:tr w14:paraId="616223AD">
        <w:tblPrEx>
          <w:tblCellMar>
            <w:top w:w="0" w:type="dxa"/>
            <w:left w:w="108" w:type="dxa"/>
            <w:bottom w:w="0" w:type="dxa"/>
            <w:right w:w="108" w:type="dxa"/>
          </w:tblCellMar>
        </w:tblPrEx>
        <w:trPr>
          <w:trHeight w:val="397" w:hRule="atLeast"/>
        </w:trPr>
        <w:tc>
          <w:tcPr>
            <w:tcW w:w="152" w:type="pct"/>
            <w:tcBorders>
              <w:top w:val="nil"/>
              <w:left w:val="single" w:color="auto" w:sz="4" w:space="0"/>
              <w:bottom w:val="single" w:color="auto" w:sz="4" w:space="0"/>
              <w:right w:val="single" w:color="auto" w:sz="4" w:space="0"/>
            </w:tcBorders>
            <w:shd w:val="clear" w:color="auto" w:fill="auto"/>
            <w:vAlign w:val="center"/>
          </w:tcPr>
          <w:p w14:paraId="6D18B03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w:t>
            </w:r>
          </w:p>
        </w:tc>
        <w:tc>
          <w:tcPr>
            <w:tcW w:w="658" w:type="pct"/>
            <w:tcBorders>
              <w:top w:val="nil"/>
              <w:left w:val="nil"/>
              <w:bottom w:val="single" w:color="auto" w:sz="4" w:space="0"/>
              <w:right w:val="single" w:color="auto" w:sz="4" w:space="0"/>
            </w:tcBorders>
            <w:shd w:val="clear" w:color="auto" w:fill="auto"/>
            <w:vAlign w:val="center"/>
          </w:tcPr>
          <w:p w14:paraId="1E24B2A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坡长因子</w:t>
            </w:r>
          </w:p>
        </w:tc>
        <w:tc>
          <w:tcPr>
            <w:tcW w:w="241" w:type="pct"/>
            <w:tcBorders>
              <w:top w:val="nil"/>
              <w:left w:val="nil"/>
              <w:bottom w:val="single" w:color="auto" w:sz="4" w:space="0"/>
              <w:right w:val="single" w:color="auto" w:sz="4" w:space="0"/>
            </w:tcBorders>
            <w:shd w:val="clear" w:color="auto" w:fill="auto"/>
            <w:vAlign w:val="center"/>
          </w:tcPr>
          <w:p w14:paraId="08830B3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Ly</w:t>
            </w:r>
          </w:p>
        </w:tc>
        <w:tc>
          <w:tcPr>
            <w:tcW w:w="1321" w:type="pct"/>
            <w:tcBorders>
              <w:top w:val="nil"/>
              <w:left w:val="nil"/>
              <w:bottom w:val="single" w:color="auto" w:sz="4" w:space="0"/>
              <w:right w:val="single" w:color="auto" w:sz="4" w:space="0"/>
            </w:tcBorders>
            <w:shd w:val="clear" w:color="auto" w:fill="auto"/>
            <w:vAlign w:val="center"/>
          </w:tcPr>
          <w:p w14:paraId="57C44C25">
            <w:pPr>
              <w:spacing w:line="240" w:lineRule="auto"/>
              <w:ind w:firstLine="210" w:firstLineChars="10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Ly=(λ/20）</w:t>
            </w:r>
            <w:r>
              <w:rPr>
                <w:rFonts w:cs="Times New Roman"/>
                <w:color w:val="000000" w:themeColor="text1"/>
                <w:sz w:val="21"/>
                <w:szCs w:val="21"/>
                <w:vertAlign w:val="superscript"/>
                <w14:textFill>
                  <w14:solidFill>
                    <w14:schemeClr w14:val="tx1"/>
                  </w14:solidFill>
                </w14:textFill>
              </w:rPr>
              <w:t>m</w:t>
            </w:r>
          </w:p>
        </w:tc>
        <w:tc>
          <w:tcPr>
            <w:tcW w:w="485" w:type="pct"/>
            <w:tcBorders>
              <w:top w:val="nil"/>
              <w:left w:val="nil"/>
              <w:bottom w:val="single" w:color="auto" w:sz="4" w:space="0"/>
              <w:right w:val="single" w:color="auto" w:sz="4" w:space="0"/>
            </w:tcBorders>
            <w:shd w:val="clear" w:color="auto" w:fill="auto"/>
            <w:vAlign w:val="center"/>
          </w:tcPr>
          <w:p w14:paraId="09F9D27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1.90 </w:t>
            </w:r>
          </w:p>
        </w:tc>
        <w:tc>
          <w:tcPr>
            <w:tcW w:w="357" w:type="pct"/>
            <w:tcBorders>
              <w:top w:val="nil"/>
              <w:left w:val="nil"/>
              <w:bottom w:val="single" w:color="auto" w:sz="4" w:space="0"/>
              <w:right w:val="single" w:color="auto" w:sz="4" w:space="0"/>
            </w:tcBorders>
            <w:shd w:val="clear" w:color="auto" w:fill="auto"/>
            <w:vAlign w:val="center"/>
          </w:tcPr>
          <w:p w14:paraId="0D9F64B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1.90 </w:t>
            </w:r>
          </w:p>
        </w:tc>
        <w:tc>
          <w:tcPr>
            <w:tcW w:w="357" w:type="pct"/>
            <w:tcBorders>
              <w:top w:val="nil"/>
              <w:left w:val="nil"/>
              <w:bottom w:val="single" w:color="auto" w:sz="4" w:space="0"/>
              <w:right w:val="single" w:color="auto" w:sz="4" w:space="0"/>
            </w:tcBorders>
            <w:shd w:val="clear" w:color="auto" w:fill="auto"/>
            <w:vAlign w:val="center"/>
          </w:tcPr>
          <w:p w14:paraId="48C780B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1.90 </w:t>
            </w:r>
          </w:p>
        </w:tc>
        <w:tc>
          <w:tcPr>
            <w:tcW w:w="357" w:type="pct"/>
            <w:tcBorders>
              <w:top w:val="nil"/>
              <w:left w:val="nil"/>
              <w:bottom w:val="single" w:color="auto" w:sz="4" w:space="0"/>
              <w:right w:val="single" w:color="auto" w:sz="4" w:space="0"/>
            </w:tcBorders>
            <w:shd w:val="clear" w:color="auto" w:fill="auto"/>
            <w:vAlign w:val="center"/>
          </w:tcPr>
          <w:p w14:paraId="6705BC5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1.90 </w:t>
            </w:r>
          </w:p>
        </w:tc>
        <w:tc>
          <w:tcPr>
            <w:tcW w:w="357" w:type="pct"/>
            <w:tcBorders>
              <w:top w:val="nil"/>
              <w:left w:val="nil"/>
              <w:bottom w:val="single" w:color="auto" w:sz="4" w:space="0"/>
              <w:right w:val="single" w:color="auto" w:sz="4" w:space="0"/>
            </w:tcBorders>
            <w:shd w:val="clear" w:color="auto" w:fill="auto"/>
            <w:vAlign w:val="center"/>
          </w:tcPr>
          <w:p w14:paraId="2B251FE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1.90 </w:t>
            </w:r>
          </w:p>
        </w:tc>
        <w:tc>
          <w:tcPr>
            <w:tcW w:w="357" w:type="pct"/>
            <w:tcBorders>
              <w:top w:val="nil"/>
              <w:left w:val="nil"/>
              <w:bottom w:val="single" w:color="auto" w:sz="4" w:space="0"/>
              <w:right w:val="single" w:color="auto" w:sz="4" w:space="0"/>
            </w:tcBorders>
            <w:shd w:val="clear" w:color="auto" w:fill="auto"/>
            <w:vAlign w:val="center"/>
          </w:tcPr>
          <w:p w14:paraId="20D6223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1.90 </w:t>
            </w:r>
          </w:p>
        </w:tc>
        <w:tc>
          <w:tcPr>
            <w:tcW w:w="357" w:type="pct"/>
            <w:tcBorders>
              <w:top w:val="nil"/>
              <w:left w:val="nil"/>
              <w:bottom w:val="single" w:color="auto" w:sz="4" w:space="0"/>
              <w:right w:val="single" w:color="auto" w:sz="4" w:space="0"/>
            </w:tcBorders>
            <w:shd w:val="clear" w:color="auto" w:fill="auto"/>
            <w:vAlign w:val="center"/>
          </w:tcPr>
          <w:p w14:paraId="2133ABB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1.90 </w:t>
            </w:r>
          </w:p>
        </w:tc>
      </w:tr>
      <w:tr w14:paraId="77530E9F">
        <w:tblPrEx>
          <w:tblCellMar>
            <w:top w:w="0" w:type="dxa"/>
            <w:left w:w="108" w:type="dxa"/>
            <w:bottom w:w="0" w:type="dxa"/>
            <w:right w:w="108" w:type="dxa"/>
          </w:tblCellMar>
        </w:tblPrEx>
        <w:trPr>
          <w:trHeight w:val="397" w:hRule="atLeast"/>
        </w:trPr>
        <w:tc>
          <w:tcPr>
            <w:tcW w:w="152" w:type="pct"/>
            <w:tcBorders>
              <w:top w:val="nil"/>
              <w:left w:val="single" w:color="auto" w:sz="4" w:space="0"/>
              <w:bottom w:val="single" w:color="auto" w:sz="4" w:space="0"/>
              <w:right w:val="single" w:color="auto" w:sz="4" w:space="0"/>
            </w:tcBorders>
            <w:shd w:val="clear" w:color="auto" w:fill="auto"/>
            <w:vAlign w:val="center"/>
          </w:tcPr>
          <w:p w14:paraId="690476A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658" w:type="pct"/>
            <w:tcBorders>
              <w:top w:val="nil"/>
              <w:left w:val="nil"/>
              <w:bottom w:val="single" w:color="auto" w:sz="4" w:space="0"/>
              <w:right w:val="single" w:color="auto" w:sz="4" w:space="0"/>
            </w:tcBorders>
            <w:shd w:val="clear" w:color="auto" w:fill="auto"/>
            <w:vAlign w:val="center"/>
          </w:tcPr>
          <w:p w14:paraId="2A59736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水平投影坡坡长（m）</w:t>
            </w:r>
          </w:p>
        </w:tc>
        <w:tc>
          <w:tcPr>
            <w:tcW w:w="241" w:type="pct"/>
            <w:tcBorders>
              <w:top w:val="nil"/>
              <w:left w:val="nil"/>
              <w:bottom w:val="single" w:color="auto" w:sz="4" w:space="0"/>
              <w:right w:val="single" w:color="auto" w:sz="4" w:space="0"/>
            </w:tcBorders>
            <w:shd w:val="clear" w:color="auto" w:fill="auto"/>
            <w:vAlign w:val="center"/>
          </w:tcPr>
          <w:p w14:paraId="45497C0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λ</w:t>
            </w:r>
          </w:p>
        </w:tc>
        <w:tc>
          <w:tcPr>
            <w:tcW w:w="1321" w:type="pct"/>
            <w:tcBorders>
              <w:top w:val="nil"/>
              <w:left w:val="nil"/>
              <w:bottom w:val="single" w:color="auto" w:sz="4" w:space="0"/>
              <w:right w:val="single" w:color="auto" w:sz="4" w:space="0"/>
            </w:tcBorders>
            <w:shd w:val="clear" w:color="auto" w:fill="auto"/>
            <w:vAlign w:val="center"/>
          </w:tcPr>
          <w:p w14:paraId="055DE34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λ=λxcosθ</w:t>
            </w:r>
          </w:p>
        </w:tc>
        <w:tc>
          <w:tcPr>
            <w:tcW w:w="485" w:type="pct"/>
            <w:tcBorders>
              <w:top w:val="nil"/>
              <w:left w:val="nil"/>
              <w:bottom w:val="single" w:color="auto" w:sz="4" w:space="0"/>
              <w:right w:val="single" w:color="auto" w:sz="4" w:space="0"/>
            </w:tcBorders>
            <w:shd w:val="clear" w:color="auto" w:fill="auto"/>
            <w:vAlign w:val="center"/>
          </w:tcPr>
          <w:p w14:paraId="17033B0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99.62 </w:t>
            </w:r>
          </w:p>
        </w:tc>
        <w:tc>
          <w:tcPr>
            <w:tcW w:w="357" w:type="pct"/>
            <w:tcBorders>
              <w:top w:val="nil"/>
              <w:left w:val="nil"/>
              <w:bottom w:val="single" w:color="auto" w:sz="4" w:space="0"/>
              <w:right w:val="single" w:color="auto" w:sz="4" w:space="0"/>
            </w:tcBorders>
            <w:shd w:val="clear" w:color="auto" w:fill="auto"/>
            <w:vAlign w:val="center"/>
          </w:tcPr>
          <w:p w14:paraId="104750E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99.62 </w:t>
            </w:r>
          </w:p>
        </w:tc>
        <w:tc>
          <w:tcPr>
            <w:tcW w:w="357" w:type="pct"/>
            <w:tcBorders>
              <w:top w:val="nil"/>
              <w:left w:val="nil"/>
              <w:bottom w:val="single" w:color="auto" w:sz="4" w:space="0"/>
              <w:right w:val="single" w:color="auto" w:sz="4" w:space="0"/>
            </w:tcBorders>
            <w:shd w:val="clear" w:color="auto" w:fill="auto"/>
            <w:vAlign w:val="center"/>
          </w:tcPr>
          <w:p w14:paraId="4587411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99.62 </w:t>
            </w:r>
          </w:p>
        </w:tc>
        <w:tc>
          <w:tcPr>
            <w:tcW w:w="357" w:type="pct"/>
            <w:tcBorders>
              <w:top w:val="nil"/>
              <w:left w:val="nil"/>
              <w:bottom w:val="single" w:color="auto" w:sz="4" w:space="0"/>
              <w:right w:val="single" w:color="auto" w:sz="4" w:space="0"/>
            </w:tcBorders>
            <w:shd w:val="clear" w:color="auto" w:fill="auto"/>
            <w:vAlign w:val="center"/>
          </w:tcPr>
          <w:p w14:paraId="58BB4A8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99.62 </w:t>
            </w:r>
          </w:p>
        </w:tc>
        <w:tc>
          <w:tcPr>
            <w:tcW w:w="357" w:type="pct"/>
            <w:tcBorders>
              <w:top w:val="nil"/>
              <w:left w:val="nil"/>
              <w:bottom w:val="single" w:color="auto" w:sz="4" w:space="0"/>
              <w:right w:val="single" w:color="auto" w:sz="4" w:space="0"/>
            </w:tcBorders>
            <w:shd w:val="clear" w:color="auto" w:fill="auto"/>
            <w:vAlign w:val="center"/>
          </w:tcPr>
          <w:p w14:paraId="6AFC1A1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99.62 </w:t>
            </w:r>
          </w:p>
        </w:tc>
        <w:tc>
          <w:tcPr>
            <w:tcW w:w="357" w:type="pct"/>
            <w:tcBorders>
              <w:top w:val="nil"/>
              <w:left w:val="nil"/>
              <w:bottom w:val="single" w:color="auto" w:sz="4" w:space="0"/>
              <w:right w:val="single" w:color="auto" w:sz="4" w:space="0"/>
            </w:tcBorders>
            <w:shd w:val="clear" w:color="auto" w:fill="auto"/>
            <w:vAlign w:val="center"/>
          </w:tcPr>
          <w:p w14:paraId="7595453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99.62 </w:t>
            </w:r>
          </w:p>
        </w:tc>
        <w:tc>
          <w:tcPr>
            <w:tcW w:w="357" w:type="pct"/>
            <w:tcBorders>
              <w:top w:val="nil"/>
              <w:left w:val="nil"/>
              <w:bottom w:val="single" w:color="auto" w:sz="4" w:space="0"/>
              <w:right w:val="single" w:color="auto" w:sz="4" w:space="0"/>
            </w:tcBorders>
            <w:shd w:val="clear" w:color="auto" w:fill="auto"/>
            <w:vAlign w:val="center"/>
          </w:tcPr>
          <w:p w14:paraId="47047BC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99.62 </w:t>
            </w:r>
          </w:p>
        </w:tc>
      </w:tr>
      <w:tr w14:paraId="40D10E21">
        <w:tblPrEx>
          <w:tblCellMar>
            <w:top w:w="0" w:type="dxa"/>
            <w:left w:w="108" w:type="dxa"/>
            <w:bottom w:w="0" w:type="dxa"/>
            <w:right w:w="108" w:type="dxa"/>
          </w:tblCellMar>
        </w:tblPrEx>
        <w:trPr>
          <w:trHeight w:val="397" w:hRule="atLeast"/>
        </w:trPr>
        <w:tc>
          <w:tcPr>
            <w:tcW w:w="152" w:type="pct"/>
            <w:tcBorders>
              <w:top w:val="nil"/>
              <w:left w:val="single" w:color="auto" w:sz="4" w:space="0"/>
              <w:bottom w:val="single" w:color="auto" w:sz="4" w:space="0"/>
              <w:right w:val="single" w:color="auto" w:sz="4" w:space="0"/>
            </w:tcBorders>
            <w:shd w:val="clear" w:color="auto" w:fill="auto"/>
            <w:vAlign w:val="center"/>
          </w:tcPr>
          <w:p w14:paraId="3A2301E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658" w:type="pct"/>
            <w:tcBorders>
              <w:top w:val="nil"/>
              <w:left w:val="nil"/>
              <w:bottom w:val="single" w:color="auto" w:sz="4" w:space="0"/>
              <w:right w:val="single" w:color="auto" w:sz="4" w:space="0"/>
            </w:tcBorders>
            <w:shd w:val="clear" w:color="auto" w:fill="auto"/>
            <w:vAlign w:val="center"/>
          </w:tcPr>
          <w:p w14:paraId="22FF17E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斜坡长度（m）</w:t>
            </w:r>
          </w:p>
        </w:tc>
        <w:tc>
          <w:tcPr>
            <w:tcW w:w="241" w:type="pct"/>
            <w:tcBorders>
              <w:top w:val="nil"/>
              <w:left w:val="nil"/>
              <w:bottom w:val="single" w:color="auto" w:sz="4" w:space="0"/>
              <w:right w:val="single" w:color="auto" w:sz="4" w:space="0"/>
            </w:tcBorders>
            <w:shd w:val="clear" w:color="auto" w:fill="auto"/>
            <w:vAlign w:val="center"/>
          </w:tcPr>
          <w:p w14:paraId="208A333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λx</w:t>
            </w:r>
          </w:p>
        </w:tc>
        <w:tc>
          <w:tcPr>
            <w:tcW w:w="1321" w:type="pct"/>
            <w:tcBorders>
              <w:top w:val="nil"/>
              <w:left w:val="nil"/>
              <w:bottom w:val="single" w:color="auto" w:sz="4" w:space="0"/>
              <w:right w:val="single" w:color="auto" w:sz="4" w:space="0"/>
            </w:tcBorders>
            <w:shd w:val="clear" w:color="auto" w:fill="auto"/>
            <w:vAlign w:val="center"/>
          </w:tcPr>
          <w:p w14:paraId="3F8CEC3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85" w:type="pct"/>
            <w:tcBorders>
              <w:top w:val="nil"/>
              <w:left w:val="nil"/>
              <w:bottom w:val="single" w:color="auto" w:sz="4" w:space="0"/>
              <w:right w:val="single" w:color="auto" w:sz="4" w:space="0"/>
            </w:tcBorders>
            <w:shd w:val="clear" w:color="auto" w:fill="auto"/>
            <w:vAlign w:val="center"/>
          </w:tcPr>
          <w:p w14:paraId="27DF848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100</w:t>
            </w:r>
          </w:p>
        </w:tc>
        <w:tc>
          <w:tcPr>
            <w:tcW w:w="357" w:type="pct"/>
            <w:tcBorders>
              <w:top w:val="nil"/>
              <w:left w:val="nil"/>
              <w:bottom w:val="single" w:color="auto" w:sz="4" w:space="0"/>
              <w:right w:val="single" w:color="auto" w:sz="4" w:space="0"/>
            </w:tcBorders>
            <w:shd w:val="clear" w:color="auto" w:fill="auto"/>
            <w:vAlign w:val="center"/>
          </w:tcPr>
          <w:p w14:paraId="32BF217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100</w:t>
            </w:r>
          </w:p>
        </w:tc>
        <w:tc>
          <w:tcPr>
            <w:tcW w:w="357" w:type="pct"/>
            <w:tcBorders>
              <w:top w:val="nil"/>
              <w:left w:val="nil"/>
              <w:bottom w:val="single" w:color="auto" w:sz="4" w:space="0"/>
              <w:right w:val="single" w:color="auto" w:sz="4" w:space="0"/>
            </w:tcBorders>
            <w:shd w:val="clear" w:color="auto" w:fill="auto"/>
            <w:vAlign w:val="center"/>
          </w:tcPr>
          <w:p w14:paraId="52C7709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100</w:t>
            </w:r>
          </w:p>
        </w:tc>
        <w:tc>
          <w:tcPr>
            <w:tcW w:w="357" w:type="pct"/>
            <w:tcBorders>
              <w:top w:val="nil"/>
              <w:left w:val="nil"/>
              <w:bottom w:val="single" w:color="auto" w:sz="4" w:space="0"/>
              <w:right w:val="single" w:color="auto" w:sz="4" w:space="0"/>
            </w:tcBorders>
            <w:shd w:val="clear" w:color="auto" w:fill="auto"/>
            <w:vAlign w:val="center"/>
          </w:tcPr>
          <w:p w14:paraId="106925E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100</w:t>
            </w:r>
          </w:p>
        </w:tc>
        <w:tc>
          <w:tcPr>
            <w:tcW w:w="357" w:type="pct"/>
            <w:tcBorders>
              <w:top w:val="nil"/>
              <w:left w:val="nil"/>
              <w:bottom w:val="single" w:color="auto" w:sz="4" w:space="0"/>
              <w:right w:val="single" w:color="auto" w:sz="4" w:space="0"/>
            </w:tcBorders>
            <w:shd w:val="clear" w:color="auto" w:fill="auto"/>
            <w:vAlign w:val="center"/>
          </w:tcPr>
          <w:p w14:paraId="0191BD8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100</w:t>
            </w:r>
          </w:p>
        </w:tc>
        <w:tc>
          <w:tcPr>
            <w:tcW w:w="357" w:type="pct"/>
            <w:tcBorders>
              <w:top w:val="nil"/>
              <w:left w:val="nil"/>
              <w:bottom w:val="single" w:color="auto" w:sz="4" w:space="0"/>
              <w:right w:val="single" w:color="auto" w:sz="4" w:space="0"/>
            </w:tcBorders>
            <w:shd w:val="clear" w:color="auto" w:fill="auto"/>
            <w:vAlign w:val="center"/>
          </w:tcPr>
          <w:p w14:paraId="25969D3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100</w:t>
            </w:r>
          </w:p>
        </w:tc>
        <w:tc>
          <w:tcPr>
            <w:tcW w:w="357" w:type="pct"/>
            <w:tcBorders>
              <w:top w:val="nil"/>
              <w:left w:val="nil"/>
              <w:bottom w:val="single" w:color="auto" w:sz="4" w:space="0"/>
              <w:right w:val="single" w:color="auto" w:sz="4" w:space="0"/>
            </w:tcBorders>
            <w:shd w:val="clear" w:color="auto" w:fill="auto"/>
            <w:vAlign w:val="center"/>
          </w:tcPr>
          <w:p w14:paraId="0B2ECC1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100</w:t>
            </w:r>
          </w:p>
        </w:tc>
      </w:tr>
      <w:tr w14:paraId="2D4B593F">
        <w:tblPrEx>
          <w:tblCellMar>
            <w:top w:w="0" w:type="dxa"/>
            <w:left w:w="108" w:type="dxa"/>
            <w:bottom w:w="0" w:type="dxa"/>
            <w:right w:w="108" w:type="dxa"/>
          </w:tblCellMar>
        </w:tblPrEx>
        <w:trPr>
          <w:trHeight w:val="397" w:hRule="atLeast"/>
        </w:trPr>
        <w:tc>
          <w:tcPr>
            <w:tcW w:w="152" w:type="pct"/>
            <w:tcBorders>
              <w:top w:val="nil"/>
              <w:left w:val="single" w:color="auto" w:sz="4" w:space="0"/>
              <w:bottom w:val="single" w:color="auto" w:sz="4" w:space="0"/>
              <w:right w:val="single" w:color="auto" w:sz="4" w:space="0"/>
            </w:tcBorders>
            <w:shd w:val="clear" w:color="auto" w:fill="auto"/>
            <w:vAlign w:val="center"/>
          </w:tcPr>
          <w:p w14:paraId="3B8A775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658" w:type="pct"/>
            <w:tcBorders>
              <w:top w:val="nil"/>
              <w:left w:val="nil"/>
              <w:bottom w:val="single" w:color="auto" w:sz="4" w:space="0"/>
              <w:right w:val="single" w:color="auto" w:sz="4" w:space="0"/>
            </w:tcBorders>
            <w:shd w:val="clear" w:color="auto" w:fill="auto"/>
            <w:vAlign w:val="center"/>
          </w:tcPr>
          <w:p w14:paraId="4274A7E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坡长指数</w:t>
            </w:r>
          </w:p>
        </w:tc>
        <w:tc>
          <w:tcPr>
            <w:tcW w:w="241" w:type="pct"/>
            <w:tcBorders>
              <w:top w:val="nil"/>
              <w:left w:val="nil"/>
              <w:bottom w:val="single" w:color="auto" w:sz="4" w:space="0"/>
              <w:right w:val="single" w:color="auto" w:sz="4" w:space="0"/>
            </w:tcBorders>
            <w:shd w:val="clear" w:color="auto" w:fill="auto"/>
            <w:vAlign w:val="center"/>
          </w:tcPr>
          <w:p w14:paraId="60F156E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m</w:t>
            </w:r>
          </w:p>
        </w:tc>
        <w:tc>
          <w:tcPr>
            <w:tcW w:w="1321" w:type="pct"/>
            <w:tcBorders>
              <w:top w:val="nil"/>
              <w:left w:val="nil"/>
              <w:bottom w:val="single" w:color="auto" w:sz="4" w:space="0"/>
              <w:right w:val="single" w:color="auto" w:sz="4" w:space="0"/>
            </w:tcBorders>
            <w:shd w:val="clear" w:color="auto" w:fill="auto"/>
            <w:vAlign w:val="center"/>
          </w:tcPr>
          <w:p w14:paraId="504C867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85" w:type="pct"/>
            <w:tcBorders>
              <w:top w:val="nil"/>
              <w:left w:val="nil"/>
              <w:bottom w:val="single" w:color="auto" w:sz="4" w:space="0"/>
              <w:right w:val="single" w:color="auto" w:sz="4" w:space="0"/>
            </w:tcBorders>
            <w:shd w:val="clear" w:color="auto" w:fill="auto"/>
            <w:vAlign w:val="center"/>
          </w:tcPr>
          <w:p w14:paraId="216D5F4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0.4</w:t>
            </w:r>
          </w:p>
        </w:tc>
        <w:tc>
          <w:tcPr>
            <w:tcW w:w="357" w:type="pct"/>
            <w:tcBorders>
              <w:top w:val="nil"/>
              <w:left w:val="nil"/>
              <w:bottom w:val="single" w:color="auto" w:sz="4" w:space="0"/>
              <w:right w:val="single" w:color="auto" w:sz="4" w:space="0"/>
            </w:tcBorders>
            <w:shd w:val="clear" w:color="auto" w:fill="auto"/>
            <w:vAlign w:val="center"/>
          </w:tcPr>
          <w:p w14:paraId="0ECA342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0.4</w:t>
            </w:r>
          </w:p>
        </w:tc>
        <w:tc>
          <w:tcPr>
            <w:tcW w:w="357" w:type="pct"/>
            <w:tcBorders>
              <w:top w:val="nil"/>
              <w:left w:val="nil"/>
              <w:bottom w:val="single" w:color="auto" w:sz="4" w:space="0"/>
              <w:right w:val="single" w:color="auto" w:sz="4" w:space="0"/>
            </w:tcBorders>
            <w:shd w:val="clear" w:color="auto" w:fill="auto"/>
            <w:vAlign w:val="center"/>
          </w:tcPr>
          <w:p w14:paraId="26A2461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0.4</w:t>
            </w:r>
          </w:p>
        </w:tc>
        <w:tc>
          <w:tcPr>
            <w:tcW w:w="357" w:type="pct"/>
            <w:tcBorders>
              <w:top w:val="nil"/>
              <w:left w:val="nil"/>
              <w:bottom w:val="single" w:color="auto" w:sz="4" w:space="0"/>
              <w:right w:val="single" w:color="auto" w:sz="4" w:space="0"/>
            </w:tcBorders>
            <w:shd w:val="clear" w:color="auto" w:fill="auto"/>
            <w:vAlign w:val="center"/>
          </w:tcPr>
          <w:p w14:paraId="6648409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0.4</w:t>
            </w:r>
          </w:p>
        </w:tc>
        <w:tc>
          <w:tcPr>
            <w:tcW w:w="357" w:type="pct"/>
            <w:tcBorders>
              <w:top w:val="nil"/>
              <w:left w:val="nil"/>
              <w:bottom w:val="single" w:color="auto" w:sz="4" w:space="0"/>
              <w:right w:val="single" w:color="auto" w:sz="4" w:space="0"/>
            </w:tcBorders>
            <w:shd w:val="clear" w:color="auto" w:fill="auto"/>
            <w:vAlign w:val="center"/>
          </w:tcPr>
          <w:p w14:paraId="05D252F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0.4</w:t>
            </w:r>
          </w:p>
        </w:tc>
        <w:tc>
          <w:tcPr>
            <w:tcW w:w="357" w:type="pct"/>
            <w:tcBorders>
              <w:top w:val="nil"/>
              <w:left w:val="nil"/>
              <w:bottom w:val="single" w:color="auto" w:sz="4" w:space="0"/>
              <w:right w:val="single" w:color="auto" w:sz="4" w:space="0"/>
            </w:tcBorders>
            <w:shd w:val="clear" w:color="auto" w:fill="auto"/>
            <w:vAlign w:val="center"/>
          </w:tcPr>
          <w:p w14:paraId="31DF89B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0.4</w:t>
            </w:r>
          </w:p>
        </w:tc>
        <w:tc>
          <w:tcPr>
            <w:tcW w:w="357" w:type="pct"/>
            <w:tcBorders>
              <w:top w:val="nil"/>
              <w:left w:val="nil"/>
              <w:bottom w:val="single" w:color="auto" w:sz="4" w:space="0"/>
              <w:right w:val="single" w:color="auto" w:sz="4" w:space="0"/>
            </w:tcBorders>
            <w:shd w:val="clear" w:color="auto" w:fill="auto"/>
            <w:vAlign w:val="center"/>
          </w:tcPr>
          <w:p w14:paraId="7A51334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0.4</w:t>
            </w:r>
          </w:p>
        </w:tc>
      </w:tr>
      <w:tr w14:paraId="637B2FF6">
        <w:tblPrEx>
          <w:tblCellMar>
            <w:top w:w="0" w:type="dxa"/>
            <w:left w:w="108" w:type="dxa"/>
            <w:bottom w:w="0" w:type="dxa"/>
            <w:right w:w="108" w:type="dxa"/>
          </w:tblCellMar>
        </w:tblPrEx>
        <w:trPr>
          <w:trHeight w:val="397" w:hRule="atLeast"/>
        </w:trPr>
        <w:tc>
          <w:tcPr>
            <w:tcW w:w="152" w:type="pct"/>
            <w:tcBorders>
              <w:top w:val="nil"/>
              <w:left w:val="single" w:color="auto" w:sz="4" w:space="0"/>
              <w:bottom w:val="single" w:color="auto" w:sz="4" w:space="0"/>
              <w:right w:val="single" w:color="auto" w:sz="4" w:space="0"/>
            </w:tcBorders>
            <w:shd w:val="clear" w:color="auto" w:fill="auto"/>
            <w:vAlign w:val="center"/>
          </w:tcPr>
          <w:p w14:paraId="3161A75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c>
          <w:tcPr>
            <w:tcW w:w="658" w:type="pct"/>
            <w:tcBorders>
              <w:top w:val="nil"/>
              <w:left w:val="nil"/>
              <w:bottom w:val="single" w:color="auto" w:sz="4" w:space="0"/>
              <w:right w:val="single" w:color="auto" w:sz="4" w:space="0"/>
            </w:tcBorders>
            <w:shd w:val="clear" w:color="auto" w:fill="auto"/>
            <w:vAlign w:val="center"/>
          </w:tcPr>
          <w:p w14:paraId="2DEEF00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坡度因子</w:t>
            </w:r>
          </w:p>
        </w:tc>
        <w:tc>
          <w:tcPr>
            <w:tcW w:w="241" w:type="pct"/>
            <w:tcBorders>
              <w:top w:val="nil"/>
              <w:left w:val="nil"/>
              <w:bottom w:val="single" w:color="auto" w:sz="4" w:space="0"/>
              <w:right w:val="single" w:color="auto" w:sz="4" w:space="0"/>
            </w:tcBorders>
            <w:shd w:val="clear" w:color="auto" w:fill="auto"/>
            <w:vAlign w:val="center"/>
          </w:tcPr>
          <w:p w14:paraId="3E6F453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Sy</w:t>
            </w:r>
          </w:p>
        </w:tc>
        <w:tc>
          <w:tcPr>
            <w:tcW w:w="1321" w:type="pct"/>
            <w:tcBorders>
              <w:top w:val="nil"/>
              <w:left w:val="nil"/>
              <w:bottom w:val="single" w:color="auto" w:sz="4" w:space="0"/>
              <w:right w:val="single" w:color="auto" w:sz="4" w:space="0"/>
            </w:tcBorders>
            <w:shd w:val="clear" w:color="auto" w:fill="auto"/>
            <w:vAlign w:val="center"/>
          </w:tcPr>
          <w:p w14:paraId="43ECCBA5">
            <w:pPr>
              <w:spacing w:line="240" w:lineRule="auto"/>
              <w:ind w:right="1260"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Sy=-1.5+17/[1+e</w:t>
            </w:r>
            <w:r>
              <w:rPr>
                <w:rFonts w:cs="Times New Roman"/>
                <w:color w:val="000000" w:themeColor="text1"/>
                <w:sz w:val="21"/>
                <w:szCs w:val="21"/>
                <w:vertAlign w:val="superscript"/>
                <w14:textFill>
                  <w14:solidFill>
                    <w14:schemeClr w14:val="tx1"/>
                  </w14:solidFill>
                </w14:textFill>
              </w:rPr>
              <w:t>(2.3-.1sinθ)</w:t>
            </w:r>
            <w:r>
              <w:rPr>
                <w:rFonts w:cs="Times New Roman"/>
                <w:color w:val="000000" w:themeColor="text1"/>
                <w:sz w:val="21"/>
                <w:szCs w:val="21"/>
                <w14:textFill>
                  <w14:solidFill>
                    <w14:schemeClr w14:val="tx1"/>
                  </w14:solidFill>
                </w14:textFill>
              </w:rPr>
              <w:t>]</w:t>
            </w:r>
          </w:p>
        </w:tc>
        <w:tc>
          <w:tcPr>
            <w:tcW w:w="485" w:type="pct"/>
            <w:tcBorders>
              <w:top w:val="nil"/>
              <w:left w:val="nil"/>
              <w:bottom w:val="single" w:color="auto" w:sz="4" w:space="0"/>
              <w:right w:val="single" w:color="auto" w:sz="4" w:space="0"/>
            </w:tcBorders>
            <w:shd w:val="clear" w:color="auto" w:fill="auto"/>
            <w:vAlign w:val="center"/>
          </w:tcPr>
          <w:p w14:paraId="10B32E5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1.21 </w:t>
            </w:r>
          </w:p>
        </w:tc>
        <w:tc>
          <w:tcPr>
            <w:tcW w:w="357" w:type="pct"/>
            <w:tcBorders>
              <w:top w:val="nil"/>
              <w:left w:val="nil"/>
              <w:bottom w:val="single" w:color="auto" w:sz="4" w:space="0"/>
              <w:right w:val="single" w:color="auto" w:sz="4" w:space="0"/>
            </w:tcBorders>
            <w:shd w:val="clear" w:color="auto" w:fill="auto"/>
            <w:vAlign w:val="center"/>
          </w:tcPr>
          <w:p w14:paraId="6C92259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1.21 </w:t>
            </w:r>
          </w:p>
        </w:tc>
        <w:tc>
          <w:tcPr>
            <w:tcW w:w="357" w:type="pct"/>
            <w:tcBorders>
              <w:top w:val="nil"/>
              <w:left w:val="nil"/>
              <w:bottom w:val="single" w:color="auto" w:sz="4" w:space="0"/>
              <w:right w:val="single" w:color="auto" w:sz="4" w:space="0"/>
            </w:tcBorders>
            <w:shd w:val="clear" w:color="auto" w:fill="auto"/>
            <w:vAlign w:val="center"/>
          </w:tcPr>
          <w:p w14:paraId="3317DBB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1.21 </w:t>
            </w:r>
          </w:p>
        </w:tc>
        <w:tc>
          <w:tcPr>
            <w:tcW w:w="357" w:type="pct"/>
            <w:tcBorders>
              <w:top w:val="nil"/>
              <w:left w:val="nil"/>
              <w:bottom w:val="single" w:color="auto" w:sz="4" w:space="0"/>
              <w:right w:val="single" w:color="auto" w:sz="4" w:space="0"/>
            </w:tcBorders>
            <w:shd w:val="clear" w:color="auto" w:fill="auto"/>
            <w:vAlign w:val="center"/>
          </w:tcPr>
          <w:p w14:paraId="13C0E43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0.98 </w:t>
            </w:r>
          </w:p>
        </w:tc>
        <w:tc>
          <w:tcPr>
            <w:tcW w:w="357" w:type="pct"/>
            <w:tcBorders>
              <w:top w:val="nil"/>
              <w:left w:val="nil"/>
              <w:bottom w:val="single" w:color="auto" w:sz="4" w:space="0"/>
              <w:right w:val="single" w:color="auto" w:sz="4" w:space="0"/>
            </w:tcBorders>
            <w:shd w:val="clear" w:color="auto" w:fill="auto"/>
            <w:vAlign w:val="center"/>
          </w:tcPr>
          <w:p w14:paraId="08F541F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1.21 </w:t>
            </w:r>
          </w:p>
        </w:tc>
        <w:tc>
          <w:tcPr>
            <w:tcW w:w="357" w:type="pct"/>
            <w:tcBorders>
              <w:top w:val="nil"/>
              <w:left w:val="nil"/>
              <w:bottom w:val="single" w:color="auto" w:sz="4" w:space="0"/>
              <w:right w:val="single" w:color="auto" w:sz="4" w:space="0"/>
            </w:tcBorders>
            <w:shd w:val="clear" w:color="auto" w:fill="auto"/>
            <w:vAlign w:val="center"/>
          </w:tcPr>
          <w:p w14:paraId="1A6B79D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0.98 </w:t>
            </w:r>
          </w:p>
        </w:tc>
        <w:tc>
          <w:tcPr>
            <w:tcW w:w="357" w:type="pct"/>
            <w:tcBorders>
              <w:top w:val="nil"/>
              <w:left w:val="nil"/>
              <w:bottom w:val="single" w:color="auto" w:sz="4" w:space="0"/>
              <w:right w:val="single" w:color="auto" w:sz="4" w:space="0"/>
            </w:tcBorders>
            <w:shd w:val="clear" w:color="auto" w:fill="auto"/>
            <w:vAlign w:val="center"/>
          </w:tcPr>
          <w:p w14:paraId="33BE0F8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0.98 </w:t>
            </w:r>
          </w:p>
        </w:tc>
      </w:tr>
      <w:tr w14:paraId="0C766A1A">
        <w:tblPrEx>
          <w:tblCellMar>
            <w:top w:w="0" w:type="dxa"/>
            <w:left w:w="108" w:type="dxa"/>
            <w:bottom w:w="0" w:type="dxa"/>
            <w:right w:w="108" w:type="dxa"/>
          </w:tblCellMar>
        </w:tblPrEx>
        <w:trPr>
          <w:trHeight w:val="397" w:hRule="atLeast"/>
        </w:trPr>
        <w:tc>
          <w:tcPr>
            <w:tcW w:w="152" w:type="pct"/>
            <w:tcBorders>
              <w:top w:val="nil"/>
              <w:left w:val="single" w:color="auto" w:sz="4" w:space="0"/>
              <w:bottom w:val="single" w:color="auto" w:sz="4" w:space="0"/>
              <w:right w:val="single" w:color="auto" w:sz="4" w:space="0"/>
            </w:tcBorders>
            <w:shd w:val="clear" w:color="auto" w:fill="auto"/>
            <w:vAlign w:val="center"/>
          </w:tcPr>
          <w:p w14:paraId="44AD405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658" w:type="pct"/>
            <w:tcBorders>
              <w:top w:val="nil"/>
              <w:left w:val="nil"/>
              <w:bottom w:val="single" w:color="auto" w:sz="4" w:space="0"/>
              <w:right w:val="single" w:color="auto" w:sz="4" w:space="0"/>
            </w:tcBorders>
            <w:shd w:val="clear" w:color="auto" w:fill="auto"/>
            <w:vAlign w:val="center"/>
          </w:tcPr>
          <w:p w14:paraId="4987411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坡度（°）</w:t>
            </w:r>
          </w:p>
        </w:tc>
        <w:tc>
          <w:tcPr>
            <w:tcW w:w="241" w:type="pct"/>
            <w:tcBorders>
              <w:top w:val="nil"/>
              <w:left w:val="nil"/>
              <w:bottom w:val="single" w:color="auto" w:sz="4" w:space="0"/>
              <w:right w:val="single" w:color="auto" w:sz="4" w:space="0"/>
            </w:tcBorders>
            <w:shd w:val="clear" w:color="auto" w:fill="auto"/>
            <w:vAlign w:val="center"/>
          </w:tcPr>
          <w:p w14:paraId="67D9EB1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θ</w:t>
            </w:r>
          </w:p>
        </w:tc>
        <w:tc>
          <w:tcPr>
            <w:tcW w:w="1321" w:type="pct"/>
            <w:tcBorders>
              <w:top w:val="nil"/>
              <w:left w:val="nil"/>
              <w:bottom w:val="single" w:color="auto" w:sz="4" w:space="0"/>
              <w:right w:val="single" w:color="auto" w:sz="4" w:space="0"/>
            </w:tcBorders>
            <w:shd w:val="clear" w:color="auto" w:fill="auto"/>
            <w:vAlign w:val="center"/>
          </w:tcPr>
          <w:p w14:paraId="491A603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85" w:type="pct"/>
            <w:tcBorders>
              <w:top w:val="nil"/>
              <w:left w:val="nil"/>
              <w:bottom w:val="single" w:color="auto" w:sz="4" w:space="0"/>
              <w:right w:val="single" w:color="auto" w:sz="4" w:space="0"/>
            </w:tcBorders>
            <w:shd w:val="clear" w:color="auto" w:fill="auto"/>
            <w:vAlign w:val="center"/>
          </w:tcPr>
          <w:p w14:paraId="19BE79F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6</w:t>
            </w:r>
          </w:p>
        </w:tc>
        <w:tc>
          <w:tcPr>
            <w:tcW w:w="357" w:type="pct"/>
            <w:tcBorders>
              <w:top w:val="nil"/>
              <w:left w:val="nil"/>
              <w:bottom w:val="single" w:color="auto" w:sz="4" w:space="0"/>
              <w:right w:val="single" w:color="auto" w:sz="4" w:space="0"/>
            </w:tcBorders>
            <w:shd w:val="clear" w:color="auto" w:fill="auto"/>
            <w:vAlign w:val="center"/>
          </w:tcPr>
          <w:p w14:paraId="4719480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6</w:t>
            </w:r>
          </w:p>
        </w:tc>
        <w:tc>
          <w:tcPr>
            <w:tcW w:w="357" w:type="pct"/>
            <w:tcBorders>
              <w:top w:val="nil"/>
              <w:left w:val="nil"/>
              <w:bottom w:val="single" w:color="auto" w:sz="4" w:space="0"/>
              <w:right w:val="single" w:color="auto" w:sz="4" w:space="0"/>
            </w:tcBorders>
            <w:shd w:val="clear" w:color="auto" w:fill="auto"/>
            <w:vAlign w:val="center"/>
          </w:tcPr>
          <w:p w14:paraId="0115903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6</w:t>
            </w:r>
          </w:p>
        </w:tc>
        <w:tc>
          <w:tcPr>
            <w:tcW w:w="357" w:type="pct"/>
            <w:tcBorders>
              <w:top w:val="nil"/>
              <w:left w:val="nil"/>
              <w:bottom w:val="single" w:color="auto" w:sz="4" w:space="0"/>
              <w:right w:val="single" w:color="auto" w:sz="4" w:space="0"/>
            </w:tcBorders>
            <w:shd w:val="clear" w:color="auto" w:fill="auto"/>
            <w:vAlign w:val="center"/>
          </w:tcPr>
          <w:p w14:paraId="56052B3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5</w:t>
            </w:r>
          </w:p>
        </w:tc>
        <w:tc>
          <w:tcPr>
            <w:tcW w:w="357" w:type="pct"/>
            <w:tcBorders>
              <w:top w:val="nil"/>
              <w:left w:val="nil"/>
              <w:bottom w:val="single" w:color="auto" w:sz="4" w:space="0"/>
              <w:right w:val="single" w:color="auto" w:sz="4" w:space="0"/>
            </w:tcBorders>
            <w:shd w:val="clear" w:color="auto" w:fill="auto"/>
            <w:vAlign w:val="center"/>
          </w:tcPr>
          <w:p w14:paraId="0165D2C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6</w:t>
            </w:r>
          </w:p>
        </w:tc>
        <w:tc>
          <w:tcPr>
            <w:tcW w:w="357" w:type="pct"/>
            <w:tcBorders>
              <w:top w:val="nil"/>
              <w:left w:val="nil"/>
              <w:bottom w:val="single" w:color="auto" w:sz="4" w:space="0"/>
              <w:right w:val="single" w:color="auto" w:sz="4" w:space="0"/>
            </w:tcBorders>
            <w:shd w:val="clear" w:color="auto" w:fill="auto"/>
            <w:vAlign w:val="center"/>
          </w:tcPr>
          <w:p w14:paraId="2283D44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5</w:t>
            </w:r>
          </w:p>
        </w:tc>
        <w:tc>
          <w:tcPr>
            <w:tcW w:w="357" w:type="pct"/>
            <w:tcBorders>
              <w:top w:val="nil"/>
              <w:left w:val="nil"/>
              <w:bottom w:val="single" w:color="auto" w:sz="4" w:space="0"/>
              <w:right w:val="single" w:color="auto" w:sz="4" w:space="0"/>
            </w:tcBorders>
            <w:shd w:val="clear" w:color="auto" w:fill="auto"/>
            <w:vAlign w:val="center"/>
          </w:tcPr>
          <w:p w14:paraId="7D0F257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5</w:t>
            </w:r>
          </w:p>
        </w:tc>
      </w:tr>
      <w:tr w14:paraId="57EC76A2">
        <w:tblPrEx>
          <w:tblCellMar>
            <w:top w:w="0" w:type="dxa"/>
            <w:left w:w="108" w:type="dxa"/>
            <w:bottom w:w="0" w:type="dxa"/>
            <w:right w:w="108" w:type="dxa"/>
          </w:tblCellMar>
        </w:tblPrEx>
        <w:trPr>
          <w:trHeight w:val="397" w:hRule="atLeast"/>
        </w:trPr>
        <w:tc>
          <w:tcPr>
            <w:tcW w:w="152" w:type="pct"/>
            <w:tcBorders>
              <w:top w:val="nil"/>
              <w:left w:val="single" w:color="auto" w:sz="4" w:space="0"/>
              <w:bottom w:val="single" w:color="auto" w:sz="4" w:space="0"/>
              <w:right w:val="single" w:color="auto" w:sz="4" w:space="0"/>
            </w:tcBorders>
            <w:shd w:val="clear" w:color="auto" w:fill="auto"/>
            <w:vAlign w:val="center"/>
          </w:tcPr>
          <w:p w14:paraId="07FC1F9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6</w:t>
            </w:r>
          </w:p>
        </w:tc>
        <w:tc>
          <w:tcPr>
            <w:tcW w:w="658" w:type="pct"/>
            <w:tcBorders>
              <w:top w:val="nil"/>
              <w:left w:val="nil"/>
              <w:bottom w:val="single" w:color="auto" w:sz="4" w:space="0"/>
              <w:right w:val="single" w:color="auto" w:sz="4" w:space="0"/>
            </w:tcBorders>
            <w:shd w:val="clear" w:color="auto" w:fill="auto"/>
            <w:vAlign w:val="center"/>
          </w:tcPr>
          <w:p w14:paraId="7677D57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植被覆盖因子</w:t>
            </w:r>
          </w:p>
        </w:tc>
        <w:tc>
          <w:tcPr>
            <w:tcW w:w="241" w:type="pct"/>
            <w:tcBorders>
              <w:top w:val="nil"/>
              <w:left w:val="nil"/>
              <w:bottom w:val="single" w:color="auto" w:sz="4" w:space="0"/>
              <w:right w:val="single" w:color="auto" w:sz="4" w:space="0"/>
            </w:tcBorders>
            <w:shd w:val="clear" w:color="auto" w:fill="auto"/>
            <w:vAlign w:val="center"/>
          </w:tcPr>
          <w:p w14:paraId="6A0DACA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B</w:t>
            </w:r>
          </w:p>
        </w:tc>
        <w:tc>
          <w:tcPr>
            <w:tcW w:w="1321" w:type="pct"/>
            <w:tcBorders>
              <w:top w:val="nil"/>
              <w:left w:val="nil"/>
              <w:bottom w:val="single" w:color="auto" w:sz="4" w:space="0"/>
              <w:right w:val="single" w:color="auto" w:sz="4" w:space="0"/>
            </w:tcBorders>
            <w:shd w:val="clear" w:color="auto" w:fill="auto"/>
            <w:vAlign w:val="center"/>
          </w:tcPr>
          <w:p w14:paraId="2C2BAA8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85" w:type="pct"/>
            <w:tcBorders>
              <w:top w:val="nil"/>
              <w:left w:val="nil"/>
              <w:bottom w:val="single" w:color="auto" w:sz="4" w:space="0"/>
              <w:right w:val="single" w:color="auto" w:sz="4" w:space="0"/>
            </w:tcBorders>
            <w:shd w:val="clear" w:color="auto" w:fill="auto"/>
            <w:vAlign w:val="center"/>
          </w:tcPr>
          <w:p w14:paraId="299C456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0.516</w:t>
            </w:r>
          </w:p>
        </w:tc>
        <w:tc>
          <w:tcPr>
            <w:tcW w:w="357" w:type="pct"/>
            <w:tcBorders>
              <w:top w:val="nil"/>
              <w:left w:val="nil"/>
              <w:bottom w:val="single" w:color="auto" w:sz="4" w:space="0"/>
              <w:right w:val="single" w:color="auto" w:sz="4" w:space="0"/>
            </w:tcBorders>
            <w:shd w:val="clear" w:color="auto" w:fill="auto"/>
            <w:vAlign w:val="center"/>
          </w:tcPr>
          <w:p w14:paraId="411CD82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0.516</w:t>
            </w:r>
          </w:p>
        </w:tc>
        <w:tc>
          <w:tcPr>
            <w:tcW w:w="357" w:type="pct"/>
            <w:tcBorders>
              <w:top w:val="nil"/>
              <w:left w:val="nil"/>
              <w:bottom w:val="single" w:color="auto" w:sz="4" w:space="0"/>
              <w:right w:val="single" w:color="auto" w:sz="4" w:space="0"/>
            </w:tcBorders>
            <w:shd w:val="clear" w:color="auto" w:fill="auto"/>
            <w:vAlign w:val="center"/>
          </w:tcPr>
          <w:p w14:paraId="478DC62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0.516</w:t>
            </w:r>
          </w:p>
        </w:tc>
        <w:tc>
          <w:tcPr>
            <w:tcW w:w="357" w:type="pct"/>
            <w:tcBorders>
              <w:top w:val="nil"/>
              <w:left w:val="nil"/>
              <w:bottom w:val="single" w:color="auto" w:sz="4" w:space="0"/>
              <w:right w:val="single" w:color="auto" w:sz="4" w:space="0"/>
            </w:tcBorders>
            <w:shd w:val="clear" w:color="auto" w:fill="auto"/>
            <w:vAlign w:val="center"/>
          </w:tcPr>
          <w:p w14:paraId="3C3C0B5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0.516</w:t>
            </w:r>
          </w:p>
        </w:tc>
        <w:tc>
          <w:tcPr>
            <w:tcW w:w="357" w:type="pct"/>
            <w:tcBorders>
              <w:top w:val="nil"/>
              <w:left w:val="nil"/>
              <w:bottom w:val="single" w:color="auto" w:sz="4" w:space="0"/>
              <w:right w:val="single" w:color="auto" w:sz="4" w:space="0"/>
            </w:tcBorders>
            <w:shd w:val="clear" w:color="auto" w:fill="auto"/>
            <w:vAlign w:val="center"/>
          </w:tcPr>
          <w:p w14:paraId="0BA3E06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0.516</w:t>
            </w:r>
          </w:p>
        </w:tc>
        <w:tc>
          <w:tcPr>
            <w:tcW w:w="357" w:type="pct"/>
            <w:tcBorders>
              <w:top w:val="nil"/>
              <w:left w:val="nil"/>
              <w:bottom w:val="single" w:color="auto" w:sz="4" w:space="0"/>
              <w:right w:val="single" w:color="auto" w:sz="4" w:space="0"/>
            </w:tcBorders>
            <w:shd w:val="clear" w:color="auto" w:fill="auto"/>
            <w:vAlign w:val="center"/>
          </w:tcPr>
          <w:p w14:paraId="618B72B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0.516</w:t>
            </w:r>
          </w:p>
        </w:tc>
        <w:tc>
          <w:tcPr>
            <w:tcW w:w="357" w:type="pct"/>
            <w:tcBorders>
              <w:top w:val="nil"/>
              <w:left w:val="nil"/>
              <w:bottom w:val="single" w:color="auto" w:sz="4" w:space="0"/>
              <w:right w:val="single" w:color="auto" w:sz="4" w:space="0"/>
            </w:tcBorders>
            <w:shd w:val="clear" w:color="auto" w:fill="auto"/>
            <w:vAlign w:val="center"/>
          </w:tcPr>
          <w:p w14:paraId="2DCD2C3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0.516</w:t>
            </w:r>
          </w:p>
        </w:tc>
      </w:tr>
      <w:tr w14:paraId="5AF30D0E">
        <w:tblPrEx>
          <w:tblCellMar>
            <w:top w:w="0" w:type="dxa"/>
            <w:left w:w="108" w:type="dxa"/>
            <w:bottom w:w="0" w:type="dxa"/>
            <w:right w:w="108" w:type="dxa"/>
          </w:tblCellMar>
        </w:tblPrEx>
        <w:trPr>
          <w:trHeight w:val="397" w:hRule="atLeast"/>
        </w:trPr>
        <w:tc>
          <w:tcPr>
            <w:tcW w:w="152" w:type="pct"/>
            <w:tcBorders>
              <w:top w:val="nil"/>
              <w:left w:val="single" w:color="auto" w:sz="4" w:space="0"/>
              <w:bottom w:val="single" w:color="auto" w:sz="4" w:space="0"/>
              <w:right w:val="single" w:color="auto" w:sz="4" w:space="0"/>
            </w:tcBorders>
            <w:shd w:val="clear" w:color="auto" w:fill="auto"/>
            <w:vAlign w:val="center"/>
          </w:tcPr>
          <w:p w14:paraId="28B4DB2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7</w:t>
            </w:r>
          </w:p>
        </w:tc>
        <w:tc>
          <w:tcPr>
            <w:tcW w:w="658" w:type="pct"/>
            <w:tcBorders>
              <w:top w:val="nil"/>
              <w:left w:val="nil"/>
              <w:bottom w:val="single" w:color="auto" w:sz="4" w:space="0"/>
              <w:right w:val="single" w:color="auto" w:sz="4" w:space="0"/>
            </w:tcBorders>
            <w:shd w:val="clear" w:color="auto" w:fill="auto"/>
            <w:vAlign w:val="center"/>
          </w:tcPr>
          <w:p w14:paraId="38506D6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工程措施因子</w:t>
            </w:r>
          </w:p>
        </w:tc>
        <w:tc>
          <w:tcPr>
            <w:tcW w:w="241" w:type="pct"/>
            <w:tcBorders>
              <w:top w:val="nil"/>
              <w:left w:val="nil"/>
              <w:bottom w:val="single" w:color="auto" w:sz="4" w:space="0"/>
              <w:right w:val="single" w:color="auto" w:sz="4" w:space="0"/>
            </w:tcBorders>
            <w:shd w:val="clear" w:color="auto" w:fill="auto"/>
            <w:vAlign w:val="center"/>
          </w:tcPr>
          <w:p w14:paraId="4EC058B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E</w:t>
            </w:r>
          </w:p>
        </w:tc>
        <w:tc>
          <w:tcPr>
            <w:tcW w:w="1321" w:type="pct"/>
            <w:tcBorders>
              <w:top w:val="nil"/>
              <w:left w:val="nil"/>
              <w:bottom w:val="single" w:color="auto" w:sz="4" w:space="0"/>
              <w:right w:val="single" w:color="auto" w:sz="4" w:space="0"/>
            </w:tcBorders>
            <w:shd w:val="clear" w:color="auto" w:fill="auto"/>
            <w:vAlign w:val="center"/>
          </w:tcPr>
          <w:p w14:paraId="5368F8D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85" w:type="pct"/>
            <w:tcBorders>
              <w:top w:val="nil"/>
              <w:left w:val="nil"/>
              <w:bottom w:val="single" w:color="auto" w:sz="4" w:space="0"/>
              <w:right w:val="single" w:color="auto" w:sz="4" w:space="0"/>
            </w:tcBorders>
            <w:shd w:val="clear" w:color="auto" w:fill="auto"/>
            <w:vAlign w:val="center"/>
          </w:tcPr>
          <w:p w14:paraId="1D08091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357" w:type="pct"/>
            <w:tcBorders>
              <w:top w:val="nil"/>
              <w:left w:val="nil"/>
              <w:bottom w:val="single" w:color="auto" w:sz="4" w:space="0"/>
              <w:right w:val="single" w:color="auto" w:sz="4" w:space="0"/>
            </w:tcBorders>
            <w:shd w:val="clear" w:color="auto" w:fill="auto"/>
            <w:vAlign w:val="center"/>
          </w:tcPr>
          <w:p w14:paraId="40A7E28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357" w:type="pct"/>
            <w:tcBorders>
              <w:top w:val="nil"/>
              <w:left w:val="nil"/>
              <w:bottom w:val="single" w:color="auto" w:sz="4" w:space="0"/>
              <w:right w:val="single" w:color="auto" w:sz="4" w:space="0"/>
            </w:tcBorders>
            <w:shd w:val="clear" w:color="auto" w:fill="auto"/>
            <w:vAlign w:val="center"/>
          </w:tcPr>
          <w:p w14:paraId="652E590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357" w:type="pct"/>
            <w:tcBorders>
              <w:top w:val="nil"/>
              <w:left w:val="nil"/>
              <w:bottom w:val="single" w:color="auto" w:sz="4" w:space="0"/>
              <w:right w:val="single" w:color="auto" w:sz="4" w:space="0"/>
            </w:tcBorders>
            <w:shd w:val="clear" w:color="auto" w:fill="auto"/>
            <w:vAlign w:val="center"/>
          </w:tcPr>
          <w:p w14:paraId="4421143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357" w:type="pct"/>
            <w:tcBorders>
              <w:top w:val="nil"/>
              <w:left w:val="nil"/>
              <w:bottom w:val="single" w:color="auto" w:sz="4" w:space="0"/>
              <w:right w:val="single" w:color="auto" w:sz="4" w:space="0"/>
            </w:tcBorders>
            <w:shd w:val="clear" w:color="auto" w:fill="auto"/>
            <w:vAlign w:val="center"/>
          </w:tcPr>
          <w:p w14:paraId="62FD013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357" w:type="pct"/>
            <w:tcBorders>
              <w:top w:val="nil"/>
              <w:left w:val="nil"/>
              <w:bottom w:val="single" w:color="auto" w:sz="4" w:space="0"/>
              <w:right w:val="single" w:color="auto" w:sz="4" w:space="0"/>
            </w:tcBorders>
            <w:shd w:val="clear" w:color="auto" w:fill="auto"/>
            <w:vAlign w:val="center"/>
          </w:tcPr>
          <w:p w14:paraId="6A46AA5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357" w:type="pct"/>
            <w:tcBorders>
              <w:top w:val="nil"/>
              <w:left w:val="nil"/>
              <w:bottom w:val="single" w:color="auto" w:sz="4" w:space="0"/>
              <w:right w:val="single" w:color="auto" w:sz="4" w:space="0"/>
            </w:tcBorders>
            <w:shd w:val="clear" w:color="auto" w:fill="auto"/>
            <w:vAlign w:val="center"/>
          </w:tcPr>
          <w:p w14:paraId="7363906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r>
      <w:tr w14:paraId="7ADFFFFD">
        <w:tblPrEx>
          <w:tblCellMar>
            <w:top w:w="0" w:type="dxa"/>
            <w:left w:w="108" w:type="dxa"/>
            <w:bottom w:w="0" w:type="dxa"/>
            <w:right w:w="108" w:type="dxa"/>
          </w:tblCellMar>
        </w:tblPrEx>
        <w:trPr>
          <w:trHeight w:val="397" w:hRule="atLeast"/>
        </w:trPr>
        <w:tc>
          <w:tcPr>
            <w:tcW w:w="152" w:type="pct"/>
            <w:tcBorders>
              <w:top w:val="nil"/>
              <w:left w:val="single" w:color="auto" w:sz="4" w:space="0"/>
              <w:bottom w:val="single" w:color="auto" w:sz="4" w:space="0"/>
              <w:right w:val="single" w:color="auto" w:sz="4" w:space="0"/>
            </w:tcBorders>
            <w:shd w:val="clear" w:color="auto" w:fill="auto"/>
            <w:vAlign w:val="center"/>
          </w:tcPr>
          <w:p w14:paraId="6910259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8</w:t>
            </w:r>
          </w:p>
        </w:tc>
        <w:tc>
          <w:tcPr>
            <w:tcW w:w="658" w:type="pct"/>
            <w:tcBorders>
              <w:top w:val="nil"/>
              <w:left w:val="nil"/>
              <w:bottom w:val="single" w:color="auto" w:sz="4" w:space="0"/>
              <w:right w:val="single" w:color="auto" w:sz="4" w:space="0"/>
            </w:tcBorders>
            <w:shd w:val="clear" w:color="auto" w:fill="auto"/>
            <w:vAlign w:val="center"/>
          </w:tcPr>
          <w:p w14:paraId="0D052FC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耕作措施因子</w:t>
            </w:r>
          </w:p>
        </w:tc>
        <w:tc>
          <w:tcPr>
            <w:tcW w:w="241" w:type="pct"/>
            <w:tcBorders>
              <w:top w:val="nil"/>
              <w:left w:val="nil"/>
              <w:bottom w:val="single" w:color="auto" w:sz="4" w:space="0"/>
              <w:right w:val="single" w:color="auto" w:sz="4" w:space="0"/>
            </w:tcBorders>
            <w:shd w:val="clear" w:color="auto" w:fill="auto"/>
            <w:vAlign w:val="center"/>
          </w:tcPr>
          <w:p w14:paraId="6AAE1BC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T</w:t>
            </w:r>
          </w:p>
        </w:tc>
        <w:tc>
          <w:tcPr>
            <w:tcW w:w="1321" w:type="pct"/>
            <w:tcBorders>
              <w:top w:val="nil"/>
              <w:left w:val="nil"/>
              <w:bottom w:val="single" w:color="auto" w:sz="4" w:space="0"/>
              <w:right w:val="single" w:color="auto" w:sz="4" w:space="0"/>
            </w:tcBorders>
            <w:shd w:val="clear" w:color="auto" w:fill="auto"/>
            <w:vAlign w:val="center"/>
          </w:tcPr>
          <w:p w14:paraId="2DD4128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485" w:type="pct"/>
            <w:tcBorders>
              <w:top w:val="nil"/>
              <w:left w:val="nil"/>
              <w:bottom w:val="single" w:color="auto" w:sz="4" w:space="0"/>
              <w:right w:val="single" w:color="auto" w:sz="4" w:space="0"/>
            </w:tcBorders>
            <w:shd w:val="clear" w:color="auto" w:fill="auto"/>
            <w:vAlign w:val="center"/>
          </w:tcPr>
          <w:p w14:paraId="07C7F39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357" w:type="pct"/>
            <w:tcBorders>
              <w:top w:val="nil"/>
              <w:left w:val="nil"/>
              <w:bottom w:val="single" w:color="auto" w:sz="4" w:space="0"/>
              <w:right w:val="single" w:color="auto" w:sz="4" w:space="0"/>
            </w:tcBorders>
            <w:shd w:val="clear" w:color="auto" w:fill="auto"/>
            <w:vAlign w:val="center"/>
          </w:tcPr>
          <w:p w14:paraId="4607C64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357" w:type="pct"/>
            <w:tcBorders>
              <w:top w:val="nil"/>
              <w:left w:val="nil"/>
              <w:bottom w:val="single" w:color="auto" w:sz="4" w:space="0"/>
              <w:right w:val="single" w:color="auto" w:sz="4" w:space="0"/>
            </w:tcBorders>
            <w:shd w:val="clear" w:color="auto" w:fill="auto"/>
            <w:vAlign w:val="center"/>
          </w:tcPr>
          <w:p w14:paraId="6557A2C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357" w:type="pct"/>
            <w:tcBorders>
              <w:top w:val="nil"/>
              <w:left w:val="nil"/>
              <w:bottom w:val="single" w:color="auto" w:sz="4" w:space="0"/>
              <w:right w:val="single" w:color="auto" w:sz="4" w:space="0"/>
            </w:tcBorders>
            <w:shd w:val="clear" w:color="auto" w:fill="auto"/>
            <w:vAlign w:val="center"/>
          </w:tcPr>
          <w:p w14:paraId="0015596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357" w:type="pct"/>
            <w:tcBorders>
              <w:top w:val="nil"/>
              <w:left w:val="nil"/>
              <w:bottom w:val="single" w:color="auto" w:sz="4" w:space="0"/>
              <w:right w:val="single" w:color="auto" w:sz="4" w:space="0"/>
            </w:tcBorders>
            <w:shd w:val="clear" w:color="auto" w:fill="auto"/>
            <w:vAlign w:val="center"/>
          </w:tcPr>
          <w:p w14:paraId="37DFA49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357" w:type="pct"/>
            <w:tcBorders>
              <w:top w:val="nil"/>
              <w:left w:val="nil"/>
              <w:bottom w:val="single" w:color="auto" w:sz="4" w:space="0"/>
              <w:right w:val="single" w:color="auto" w:sz="4" w:space="0"/>
            </w:tcBorders>
            <w:shd w:val="clear" w:color="auto" w:fill="auto"/>
            <w:vAlign w:val="center"/>
          </w:tcPr>
          <w:p w14:paraId="572900C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357" w:type="pct"/>
            <w:tcBorders>
              <w:top w:val="nil"/>
              <w:left w:val="nil"/>
              <w:bottom w:val="single" w:color="auto" w:sz="4" w:space="0"/>
              <w:right w:val="single" w:color="auto" w:sz="4" w:space="0"/>
            </w:tcBorders>
            <w:shd w:val="clear" w:color="auto" w:fill="auto"/>
            <w:vAlign w:val="center"/>
          </w:tcPr>
          <w:p w14:paraId="61BD160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r>
    </w:tbl>
    <w:p w14:paraId="170D021D">
      <w:pPr>
        <w:pStyle w:val="44"/>
        <w:rPr>
          <w:color w:val="000000" w:themeColor="text1"/>
          <w14:textFill>
            <w14:solidFill>
              <w14:schemeClr w14:val="tx1"/>
            </w14:solidFill>
          </w14:textFill>
        </w:rPr>
        <w:sectPr>
          <w:footerReference r:id="rId53" w:type="default"/>
          <w:pgSz w:w="16840" w:h="11910" w:orient="landscape"/>
          <w:pgMar w:top="1560" w:right="1360" w:bottom="1340" w:left="1420" w:header="876" w:footer="1227" w:gutter="0"/>
          <w:cols w:space="720" w:num="1"/>
          <w:docGrid w:linePitch="326" w:charSpace="0"/>
        </w:sectPr>
      </w:pPr>
    </w:p>
    <w:p w14:paraId="16079D96">
      <w:pPr>
        <w:pStyle w:val="66"/>
      </w:pPr>
      <w:r>
        <w:t>2）水力作用下上方无来水工程开挖面土壤侵蚀模数</w:t>
      </w:r>
    </w:p>
    <w:p w14:paraId="362AFFDC">
      <w:pPr>
        <w:pStyle w:val="66"/>
      </w:pPr>
      <w:r>
        <w:t>边坡开挖区域不受上方来水冲刷侵蚀的开挖面，施工期土壤侵蚀模数按照上方无来水工程开挖面土壤流失量公式计算；自然恢复期该部分可参照一般扰动区域地表翻扰型土壤侵蚀模数测算。</w:t>
      </w:r>
    </w:p>
    <w:p w14:paraId="33A19C36">
      <w:pPr>
        <w:pStyle w:val="66"/>
      </w:pPr>
      <w:r>
        <w:t>水力作用下上方无来水工程开挖面土壤侵蚀模数按下式计算：</w:t>
      </w:r>
    </w:p>
    <w:p w14:paraId="4AC06E7F">
      <w:pPr>
        <w:pStyle w:val="66"/>
        <w:jc w:val="center"/>
      </w:pPr>
      <w:r>
        <w:t>Mkw=100RGkwLkwSkw</w:t>
      </w:r>
    </w:p>
    <w:p w14:paraId="79DFF16B">
      <w:pPr>
        <w:pStyle w:val="66"/>
      </w:pPr>
      <w:r>
        <w:t>式中：</w:t>
      </w:r>
    </w:p>
    <w:p w14:paraId="37F440C5">
      <w:pPr>
        <w:pStyle w:val="66"/>
      </w:pPr>
      <w:r>
        <w:t>Mkw——上方无来水工程开挖面测算单元土壤侵蚀模数，t/（km²·a）；</w:t>
      </w:r>
    </w:p>
    <w:p w14:paraId="013A4532">
      <w:pPr>
        <w:pStyle w:val="66"/>
      </w:pPr>
      <w:r>
        <w:t>R——降雨侵蚀力因子，MJ·mm/（hm²·h），</w:t>
      </w:r>
      <w:r>
        <w:rPr>
          <w:rFonts w:hint="eastAsia"/>
        </w:rPr>
        <w:t>按照《生产建设项目土壤流失量测算导则》（</w:t>
      </w:r>
      <w:r>
        <w:t>SL773-2018</w:t>
      </w:r>
      <w:r>
        <w:rPr>
          <w:rFonts w:hint="eastAsia"/>
        </w:rPr>
        <w:t>）中降雨侵蚀力因子计算公式，利用固阳县行政单元多年平均逐月和年降雨侵蚀力因子及土壤可蚀性因子计算，固阳县多年平均降雨量为</w:t>
      </w:r>
      <w:r>
        <w:t>309.8mm</w:t>
      </w:r>
      <w:r>
        <w:rPr>
          <w:rFonts w:hint="eastAsia"/>
        </w:rPr>
        <w:t>，降雨侵蚀力因子为</w:t>
      </w:r>
      <w:r>
        <w:t>757 MJ·mm/</w:t>
      </w:r>
      <w:r>
        <w:rPr>
          <w:rFonts w:hint="eastAsia"/>
        </w:rPr>
        <w:t>（</w:t>
      </w:r>
      <w:r>
        <w:t>hm²·h</w:t>
      </w:r>
      <w:r>
        <w:rPr>
          <w:rFonts w:hint="eastAsia"/>
        </w:rPr>
        <w:t>）。</w:t>
      </w:r>
    </w:p>
    <w:p w14:paraId="0ED6A4BA">
      <w:pPr>
        <w:pStyle w:val="66"/>
      </w:pPr>
      <w:r>
        <w:t>Gkw——上方无来水工程开挖面土质因子，无量纲；</w:t>
      </w:r>
    </w:p>
    <w:p w14:paraId="2E642E44">
      <w:pPr>
        <w:pStyle w:val="66"/>
      </w:pPr>
      <w:r>
        <w:t>Lkw——上方无来水工程开挖面坡长因子，无量纲；</w:t>
      </w:r>
    </w:p>
    <w:p w14:paraId="5CB0AAD1">
      <w:pPr>
        <w:pStyle w:val="66"/>
      </w:pPr>
      <w:r>
        <w:t>Skw——上方无来水工程开挖面坡度因子，无量纲。</w:t>
      </w:r>
    </w:p>
    <w:p w14:paraId="77CF21AE">
      <w:pPr>
        <w:pStyle w:val="66"/>
      </w:pPr>
      <w:r>
        <w:t>根据上式计算，水力作用下上方无来水工程开挖面土壤侵蚀模数计算见表4-6。</w:t>
      </w:r>
    </w:p>
    <w:p w14:paraId="01EE74AC">
      <w:pPr>
        <w:pStyle w:val="66"/>
        <w:sectPr>
          <w:headerReference r:id="rId54" w:type="default"/>
          <w:footerReference r:id="rId55" w:type="default"/>
          <w:pgSz w:w="11910" w:h="16840"/>
          <w:pgMar w:top="1360" w:right="1340" w:bottom="1420" w:left="1560" w:header="876" w:footer="1227" w:gutter="0"/>
          <w:cols w:space="720" w:num="1"/>
        </w:sectPr>
      </w:pPr>
    </w:p>
    <w:p w14:paraId="1CAFA966">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表4-6                                                 水力作用下上方无来水工程开挖面土壤侵蚀模数计算表</w:t>
      </w:r>
      <w:r>
        <w:rPr>
          <w:rFonts w:hint="eastAsia"/>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                                   单位：t/km²·a</w:t>
      </w:r>
    </w:p>
    <w:tbl>
      <w:tblPr>
        <w:tblStyle w:val="27"/>
        <w:tblW w:w="0" w:type="auto"/>
        <w:tblInd w:w="0" w:type="dxa"/>
        <w:tblLayout w:type="autofit"/>
        <w:tblCellMar>
          <w:top w:w="0" w:type="dxa"/>
          <w:left w:w="108" w:type="dxa"/>
          <w:bottom w:w="0" w:type="dxa"/>
          <w:right w:w="108" w:type="dxa"/>
        </w:tblCellMar>
      </w:tblPr>
      <w:tblGrid>
        <w:gridCol w:w="509"/>
        <w:gridCol w:w="2207"/>
        <w:gridCol w:w="639"/>
        <w:gridCol w:w="2660"/>
        <w:gridCol w:w="1546"/>
        <w:gridCol w:w="1286"/>
        <w:gridCol w:w="1008"/>
        <w:gridCol w:w="1082"/>
        <w:gridCol w:w="1082"/>
        <w:gridCol w:w="1360"/>
        <w:gridCol w:w="897"/>
      </w:tblGrid>
      <w:tr w14:paraId="136E934F">
        <w:tblPrEx>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double" w:color="auto" w:sz="4" w:space="0"/>
              <w:right w:val="single" w:color="auto" w:sz="4" w:space="0"/>
            </w:tcBorders>
            <w:shd w:val="clear" w:color="auto" w:fill="auto"/>
            <w:vAlign w:val="center"/>
          </w:tcPr>
          <w:p w14:paraId="3017259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序号</w:t>
            </w:r>
          </w:p>
        </w:tc>
        <w:tc>
          <w:tcPr>
            <w:tcW w:w="0" w:type="auto"/>
            <w:tcBorders>
              <w:top w:val="single" w:color="auto" w:sz="4" w:space="0"/>
              <w:left w:val="nil"/>
              <w:bottom w:val="double" w:color="auto" w:sz="4" w:space="0"/>
              <w:right w:val="single" w:color="auto" w:sz="4" w:space="0"/>
            </w:tcBorders>
            <w:shd w:val="clear" w:color="auto" w:fill="auto"/>
            <w:vAlign w:val="center"/>
          </w:tcPr>
          <w:p w14:paraId="0FB7B71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项目</w:t>
            </w:r>
          </w:p>
        </w:tc>
        <w:tc>
          <w:tcPr>
            <w:tcW w:w="0" w:type="auto"/>
            <w:tcBorders>
              <w:top w:val="single" w:color="auto" w:sz="4" w:space="0"/>
              <w:left w:val="nil"/>
              <w:bottom w:val="double" w:color="auto" w:sz="4" w:space="0"/>
              <w:right w:val="single" w:color="auto" w:sz="4" w:space="0"/>
            </w:tcBorders>
            <w:shd w:val="clear" w:color="auto" w:fill="auto"/>
            <w:vAlign w:val="center"/>
          </w:tcPr>
          <w:p w14:paraId="07D41A4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因子</w:t>
            </w:r>
          </w:p>
        </w:tc>
        <w:tc>
          <w:tcPr>
            <w:tcW w:w="0" w:type="auto"/>
            <w:tcBorders>
              <w:top w:val="single" w:color="auto" w:sz="4" w:space="0"/>
              <w:left w:val="nil"/>
              <w:bottom w:val="double" w:color="auto" w:sz="4" w:space="0"/>
              <w:right w:val="single" w:color="auto" w:sz="4" w:space="0"/>
            </w:tcBorders>
            <w:shd w:val="clear" w:color="auto" w:fill="auto"/>
            <w:vAlign w:val="center"/>
          </w:tcPr>
          <w:p w14:paraId="614C825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公式</w:t>
            </w:r>
          </w:p>
        </w:tc>
        <w:tc>
          <w:tcPr>
            <w:tcW w:w="0" w:type="auto"/>
            <w:tcBorders>
              <w:top w:val="single" w:color="auto" w:sz="4" w:space="0"/>
              <w:left w:val="nil"/>
              <w:bottom w:val="double" w:color="auto" w:sz="4" w:space="0"/>
              <w:right w:val="single" w:color="auto" w:sz="4" w:space="0"/>
            </w:tcBorders>
            <w:shd w:val="clear" w:color="auto" w:fill="auto"/>
            <w:vAlign w:val="center"/>
          </w:tcPr>
          <w:p w14:paraId="2DA7D11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公共管理与公共服务用地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330CC504">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商业服务业用地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65A2A578">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工矿用地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0B5A8FA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交通运输用地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1C81E97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公用设施用地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35C4FEC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绿地与开敞空间用地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3AA19E5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陆地水域</w:t>
            </w:r>
          </w:p>
        </w:tc>
      </w:tr>
      <w:tr w14:paraId="672F84D9">
        <w:tblPrEx>
          <w:tblCellMar>
            <w:top w:w="0" w:type="dxa"/>
            <w:left w:w="108" w:type="dxa"/>
            <w:bottom w:w="0" w:type="dxa"/>
            <w:right w:w="108" w:type="dxa"/>
          </w:tblCellMar>
        </w:tblPrEx>
        <w:trPr>
          <w:trHeight w:val="397" w:hRule="atLeast"/>
        </w:trPr>
        <w:tc>
          <w:tcPr>
            <w:tcW w:w="0" w:type="auto"/>
            <w:tcBorders>
              <w:top w:val="double" w:color="auto" w:sz="4" w:space="0"/>
              <w:left w:val="single" w:color="auto" w:sz="4" w:space="0"/>
              <w:bottom w:val="single" w:color="auto" w:sz="4" w:space="0"/>
              <w:right w:val="single" w:color="auto" w:sz="4" w:space="0"/>
            </w:tcBorders>
            <w:shd w:val="clear" w:color="auto" w:fill="auto"/>
            <w:vAlign w:val="center"/>
          </w:tcPr>
          <w:p w14:paraId="3C3BCB3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0" w:type="auto"/>
            <w:tcBorders>
              <w:top w:val="double" w:color="auto" w:sz="4" w:space="0"/>
              <w:left w:val="nil"/>
              <w:bottom w:val="single" w:color="auto" w:sz="4" w:space="0"/>
              <w:right w:val="single" w:color="auto" w:sz="4" w:space="0"/>
            </w:tcBorders>
            <w:shd w:val="clear" w:color="auto" w:fill="auto"/>
            <w:vAlign w:val="center"/>
          </w:tcPr>
          <w:p w14:paraId="77945D1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上方无来水工程开挖面</w:t>
            </w:r>
          </w:p>
        </w:tc>
        <w:tc>
          <w:tcPr>
            <w:tcW w:w="0" w:type="auto"/>
            <w:tcBorders>
              <w:top w:val="double" w:color="auto" w:sz="4" w:space="0"/>
              <w:left w:val="nil"/>
              <w:bottom w:val="single" w:color="auto" w:sz="4" w:space="0"/>
              <w:right w:val="single" w:color="auto" w:sz="4" w:space="0"/>
            </w:tcBorders>
            <w:shd w:val="clear" w:color="auto" w:fill="auto"/>
            <w:vAlign w:val="center"/>
          </w:tcPr>
          <w:p w14:paraId="48C4706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Mkw</w:t>
            </w:r>
          </w:p>
        </w:tc>
        <w:tc>
          <w:tcPr>
            <w:tcW w:w="0" w:type="auto"/>
            <w:tcBorders>
              <w:top w:val="double" w:color="auto" w:sz="4" w:space="0"/>
              <w:left w:val="nil"/>
              <w:bottom w:val="single" w:color="auto" w:sz="4" w:space="0"/>
              <w:right w:val="single" w:color="auto" w:sz="4" w:space="0"/>
            </w:tcBorders>
            <w:shd w:val="clear" w:color="auto" w:fill="auto"/>
            <w:vAlign w:val="center"/>
          </w:tcPr>
          <w:p w14:paraId="6FD939B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Mkw=RGkwLkwSkw</w:t>
            </w:r>
          </w:p>
        </w:tc>
        <w:tc>
          <w:tcPr>
            <w:tcW w:w="0" w:type="auto"/>
            <w:tcBorders>
              <w:top w:val="double" w:color="auto" w:sz="4" w:space="0"/>
              <w:left w:val="nil"/>
              <w:bottom w:val="single" w:color="auto" w:sz="4" w:space="0"/>
              <w:right w:val="single" w:color="auto" w:sz="4" w:space="0"/>
            </w:tcBorders>
            <w:shd w:val="clear" w:color="auto" w:fill="auto"/>
            <w:vAlign w:val="center"/>
          </w:tcPr>
          <w:p w14:paraId="7B06411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3071 </w:t>
            </w:r>
          </w:p>
        </w:tc>
        <w:tc>
          <w:tcPr>
            <w:tcW w:w="0" w:type="auto"/>
            <w:tcBorders>
              <w:top w:val="double" w:color="auto" w:sz="4" w:space="0"/>
              <w:left w:val="nil"/>
              <w:bottom w:val="single" w:color="auto" w:sz="4" w:space="0"/>
              <w:right w:val="single" w:color="auto" w:sz="4" w:space="0"/>
            </w:tcBorders>
            <w:shd w:val="clear" w:color="auto" w:fill="auto"/>
            <w:vAlign w:val="center"/>
          </w:tcPr>
          <w:p w14:paraId="1B2F06B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3071 </w:t>
            </w:r>
          </w:p>
        </w:tc>
        <w:tc>
          <w:tcPr>
            <w:tcW w:w="0" w:type="auto"/>
            <w:tcBorders>
              <w:top w:val="double" w:color="auto" w:sz="4" w:space="0"/>
              <w:left w:val="nil"/>
              <w:bottom w:val="single" w:color="auto" w:sz="4" w:space="0"/>
              <w:right w:val="single" w:color="auto" w:sz="4" w:space="0"/>
            </w:tcBorders>
            <w:shd w:val="clear" w:color="auto" w:fill="auto"/>
            <w:vAlign w:val="center"/>
          </w:tcPr>
          <w:p w14:paraId="7B17B6E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3071 </w:t>
            </w:r>
          </w:p>
        </w:tc>
        <w:tc>
          <w:tcPr>
            <w:tcW w:w="0" w:type="auto"/>
            <w:tcBorders>
              <w:top w:val="double" w:color="auto" w:sz="4" w:space="0"/>
              <w:left w:val="nil"/>
              <w:bottom w:val="single" w:color="auto" w:sz="4" w:space="0"/>
              <w:right w:val="single" w:color="auto" w:sz="4" w:space="0"/>
            </w:tcBorders>
            <w:shd w:val="clear" w:color="auto" w:fill="auto"/>
            <w:vAlign w:val="center"/>
          </w:tcPr>
          <w:p w14:paraId="2DD703C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2925 </w:t>
            </w:r>
          </w:p>
        </w:tc>
        <w:tc>
          <w:tcPr>
            <w:tcW w:w="0" w:type="auto"/>
            <w:tcBorders>
              <w:top w:val="double" w:color="auto" w:sz="4" w:space="0"/>
              <w:left w:val="nil"/>
              <w:bottom w:val="single" w:color="auto" w:sz="4" w:space="0"/>
              <w:right w:val="single" w:color="auto" w:sz="4" w:space="0"/>
            </w:tcBorders>
            <w:shd w:val="clear" w:color="auto" w:fill="auto"/>
            <w:vAlign w:val="center"/>
          </w:tcPr>
          <w:p w14:paraId="15DDAB4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3071 </w:t>
            </w:r>
          </w:p>
        </w:tc>
        <w:tc>
          <w:tcPr>
            <w:tcW w:w="0" w:type="auto"/>
            <w:tcBorders>
              <w:top w:val="double" w:color="auto" w:sz="4" w:space="0"/>
              <w:left w:val="nil"/>
              <w:bottom w:val="single" w:color="auto" w:sz="4" w:space="0"/>
              <w:right w:val="single" w:color="auto" w:sz="4" w:space="0"/>
            </w:tcBorders>
            <w:shd w:val="clear" w:color="auto" w:fill="auto"/>
            <w:vAlign w:val="center"/>
          </w:tcPr>
          <w:p w14:paraId="6FFE02A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2925 </w:t>
            </w:r>
          </w:p>
        </w:tc>
        <w:tc>
          <w:tcPr>
            <w:tcW w:w="0" w:type="auto"/>
            <w:tcBorders>
              <w:top w:val="double" w:color="auto" w:sz="4" w:space="0"/>
              <w:left w:val="nil"/>
              <w:bottom w:val="single" w:color="auto" w:sz="4" w:space="0"/>
              <w:right w:val="single" w:color="auto" w:sz="4" w:space="0"/>
            </w:tcBorders>
            <w:shd w:val="clear" w:color="auto" w:fill="auto"/>
            <w:vAlign w:val="center"/>
          </w:tcPr>
          <w:p w14:paraId="4362B9B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2925 </w:t>
            </w:r>
          </w:p>
        </w:tc>
      </w:tr>
      <w:tr w14:paraId="3BCD42A8">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B79592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w:t>
            </w:r>
          </w:p>
        </w:tc>
        <w:tc>
          <w:tcPr>
            <w:tcW w:w="0" w:type="auto"/>
            <w:tcBorders>
              <w:top w:val="nil"/>
              <w:left w:val="nil"/>
              <w:bottom w:val="single" w:color="auto" w:sz="4" w:space="0"/>
              <w:right w:val="single" w:color="auto" w:sz="4" w:space="0"/>
            </w:tcBorders>
            <w:shd w:val="clear" w:color="auto" w:fill="auto"/>
            <w:vAlign w:val="center"/>
          </w:tcPr>
          <w:p w14:paraId="122A50D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降雨侵蚀力因子</w:t>
            </w:r>
          </w:p>
        </w:tc>
        <w:tc>
          <w:tcPr>
            <w:tcW w:w="0" w:type="auto"/>
            <w:tcBorders>
              <w:top w:val="nil"/>
              <w:left w:val="nil"/>
              <w:bottom w:val="single" w:color="auto" w:sz="4" w:space="0"/>
              <w:right w:val="single" w:color="auto" w:sz="4" w:space="0"/>
            </w:tcBorders>
            <w:shd w:val="clear" w:color="auto" w:fill="auto"/>
            <w:vAlign w:val="center"/>
          </w:tcPr>
          <w:p w14:paraId="4CA608E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R</w:t>
            </w:r>
          </w:p>
        </w:tc>
        <w:tc>
          <w:tcPr>
            <w:tcW w:w="0" w:type="auto"/>
            <w:tcBorders>
              <w:top w:val="nil"/>
              <w:left w:val="nil"/>
              <w:bottom w:val="single" w:color="auto" w:sz="4" w:space="0"/>
              <w:right w:val="single" w:color="auto" w:sz="4" w:space="0"/>
            </w:tcBorders>
            <w:shd w:val="clear" w:color="auto" w:fill="auto"/>
            <w:vAlign w:val="center"/>
          </w:tcPr>
          <w:p w14:paraId="0623737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R=0.067pd1.627</w:t>
            </w:r>
          </w:p>
        </w:tc>
        <w:tc>
          <w:tcPr>
            <w:tcW w:w="0" w:type="auto"/>
            <w:tcBorders>
              <w:top w:val="nil"/>
              <w:left w:val="nil"/>
              <w:bottom w:val="single" w:color="auto" w:sz="4" w:space="0"/>
              <w:right w:val="single" w:color="auto" w:sz="4" w:space="0"/>
            </w:tcBorders>
            <w:shd w:val="clear" w:color="auto" w:fill="auto"/>
            <w:vAlign w:val="center"/>
          </w:tcPr>
          <w:p w14:paraId="6DAE7C5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0" w:type="auto"/>
            <w:tcBorders>
              <w:top w:val="nil"/>
              <w:left w:val="nil"/>
              <w:bottom w:val="single" w:color="auto" w:sz="4" w:space="0"/>
              <w:right w:val="single" w:color="auto" w:sz="4" w:space="0"/>
            </w:tcBorders>
            <w:shd w:val="clear" w:color="auto" w:fill="auto"/>
            <w:vAlign w:val="center"/>
          </w:tcPr>
          <w:p w14:paraId="6425EA1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0" w:type="auto"/>
            <w:tcBorders>
              <w:top w:val="nil"/>
              <w:left w:val="nil"/>
              <w:bottom w:val="single" w:color="auto" w:sz="4" w:space="0"/>
              <w:right w:val="single" w:color="auto" w:sz="4" w:space="0"/>
            </w:tcBorders>
            <w:shd w:val="clear" w:color="auto" w:fill="auto"/>
            <w:vAlign w:val="center"/>
          </w:tcPr>
          <w:p w14:paraId="503830C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0" w:type="auto"/>
            <w:tcBorders>
              <w:top w:val="nil"/>
              <w:left w:val="nil"/>
              <w:bottom w:val="single" w:color="auto" w:sz="4" w:space="0"/>
              <w:right w:val="single" w:color="auto" w:sz="4" w:space="0"/>
            </w:tcBorders>
            <w:shd w:val="clear" w:color="auto" w:fill="auto"/>
            <w:vAlign w:val="center"/>
          </w:tcPr>
          <w:p w14:paraId="3F74F24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0" w:type="auto"/>
            <w:tcBorders>
              <w:top w:val="nil"/>
              <w:left w:val="nil"/>
              <w:bottom w:val="single" w:color="auto" w:sz="4" w:space="0"/>
              <w:right w:val="single" w:color="auto" w:sz="4" w:space="0"/>
            </w:tcBorders>
            <w:shd w:val="clear" w:color="auto" w:fill="auto"/>
            <w:vAlign w:val="center"/>
          </w:tcPr>
          <w:p w14:paraId="19462D1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0" w:type="auto"/>
            <w:tcBorders>
              <w:top w:val="nil"/>
              <w:left w:val="nil"/>
              <w:bottom w:val="single" w:color="auto" w:sz="4" w:space="0"/>
              <w:right w:val="single" w:color="auto" w:sz="4" w:space="0"/>
            </w:tcBorders>
            <w:shd w:val="clear" w:color="auto" w:fill="auto"/>
            <w:vAlign w:val="center"/>
          </w:tcPr>
          <w:p w14:paraId="3D92C47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0" w:type="auto"/>
            <w:tcBorders>
              <w:top w:val="nil"/>
              <w:left w:val="nil"/>
              <w:bottom w:val="single" w:color="auto" w:sz="4" w:space="0"/>
              <w:right w:val="single" w:color="auto" w:sz="4" w:space="0"/>
            </w:tcBorders>
            <w:shd w:val="clear" w:color="auto" w:fill="auto"/>
            <w:vAlign w:val="center"/>
          </w:tcPr>
          <w:p w14:paraId="3C22C8E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r>
      <w:tr w14:paraId="141D104B">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BF9066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w:t>
            </w:r>
          </w:p>
        </w:tc>
        <w:tc>
          <w:tcPr>
            <w:tcW w:w="0" w:type="auto"/>
            <w:tcBorders>
              <w:top w:val="nil"/>
              <w:left w:val="nil"/>
              <w:bottom w:val="single" w:color="auto" w:sz="4" w:space="0"/>
              <w:right w:val="single" w:color="auto" w:sz="4" w:space="0"/>
            </w:tcBorders>
            <w:shd w:val="clear" w:color="auto" w:fill="auto"/>
            <w:vAlign w:val="center"/>
          </w:tcPr>
          <w:p w14:paraId="0FE248C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工程开挖面土质因子</w:t>
            </w:r>
          </w:p>
        </w:tc>
        <w:tc>
          <w:tcPr>
            <w:tcW w:w="0" w:type="auto"/>
            <w:tcBorders>
              <w:top w:val="nil"/>
              <w:left w:val="nil"/>
              <w:bottom w:val="single" w:color="auto" w:sz="4" w:space="0"/>
              <w:right w:val="single" w:color="auto" w:sz="4" w:space="0"/>
            </w:tcBorders>
            <w:shd w:val="clear" w:color="auto" w:fill="auto"/>
            <w:vAlign w:val="center"/>
          </w:tcPr>
          <w:p w14:paraId="1D6D1F3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Gkw</w:t>
            </w:r>
          </w:p>
        </w:tc>
        <w:tc>
          <w:tcPr>
            <w:tcW w:w="0" w:type="auto"/>
            <w:tcBorders>
              <w:top w:val="nil"/>
              <w:left w:val="nil"/>
              <w:bottom w:val="single" w:color="auto" w:sz="4" w:space="0"/>
              <w:right w:val="single" w:color="auto" w:sz="4" w:space="0"/>
            </w:tcBorders>
            <w:shd w:val="clear" w:color="auto" w:fill="auto"/>
            <w:vAlign w:val="center"/>
          </w:tcPr>
          <w:p w14:paraId="48DE21E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Gkw=0.004e（4.28SIL（1-CLA）/ρ）</w:t>
            </w:r>
          </w:p>
        </w:tc>
        <w:tc>
          <w:tcPr>
            <w:tcW w:w="0" w:type="auto"/>
            <w:tcBorders>
              <w:top w:val="nil"/>
              <w:left w:val="nil"/>
              <w:bottom w:val="single" w:color="auto" w:sz="4" w:space="0"/>
              <w:right w:val="single" w:color="auto" w:sz="4" w:space="0"/>
            </w:tcBorders>
            <w:shd w:val="clear" w:color="auto" w:fill="auto"/>
            <w:vAlign w:val="center"/>
          </w:tcPr>
          <w:p w14:paraId="5336CF3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0.03 </w:t>
            </w:r>
          </w:p>
        </w:tc>
        <w:tc>
          <w:tcPr>
            <w:tcW w:w="0" w:type="auto"/>
            <w:tcBorders>
              <w:top w:val="nil"/>
              <w:left w:val="nil"/>
              <w:bottom w:val="single" w:color="auto" w:sz="4" w:space="0"/>
              <w:right w:val="single" w:color="auto" w:sz="4" w:space="0"/>
            </w:tcBorders>
            <w:shd w:val="clear" w:color="auto" w:fill="auto"/>
            <w:vAlign w:val="center"/>
          </w:tcPr>
          <w:p w14:paraId="169CD7C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0.03 </w:t>
            </w:r>
          </w:p>
        </w:tc>
        <w:tc>
          <w:tcPr>
            <w:tcW w:w="0" w:type="auto"/>
            <w:tcBorders>
              <w:top w:val="nil"/>
              <w:left w:val="nil"/>
              <w:bottom w:val="single" w:color="auto" w:sz="4" w:space="0"/>
              <w:right w:val="single" w:color="auto" w:sz="4" w:space="0"/>
            </w:tcBorders>
            <w:shd w:val="clear" w:color="auto" w:fill="auto"/>
            <w:vAlign w:val="center"/>
          </w:tcPr>
          <w:p w14:paraId="33E245E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0.03 </w:t>
            </w:r>
          </w:p>
        </w:tc>
        <w:tc>
          <w:tcPr>
            <w:tcW w:w="0" w:type="auto"/>
            <w:tcBorders>
              <w:top w:val="nil"/>
              <w:left w:val="nil"/>
              <w:bottom w:val="single" w:color="auto" w:sz="4" w:space="0"/>
              <w:right w:val="single" w:color="auto" w:sz="4" w:space="0"/>
            </w:tcBorders>
            <w:shd w:val="clear" w:color="auto" w:fill="auto"/>
            <w:vAlign w:val="center"/>
          </w:tcPr>
          <w:p w14:paraId="57DA9E3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0.03 </w:t>
            </w:r>
          </w:p>
        </w:tc>
        <w:tc>
          <w:tcPr>
            <w:tcW w:w="0" w:type="auto"/>
            <w:tcBorders>
              <w:top w:val="nil"/>
              <w:left w:val="nil"/>
              <w:bottom w:val="single" w:color="auto" w:sz="4" w:space="0"/>
              <w:right w:val="single" w:color="auto" w:sz="4" w:space="0"/>
            </w:tcBorders>
            <w:shd w:val="clear" w:color="auto" w:fill="auto"/>
            <w:vAlign w:val="center"/>
          </w:tcPr>
          <w:p w14:paraId="52B62CA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0.03 </w:t>
            </w:r>
          </w:p>
        </w:tc>
        <w:tc>
          <w:tcPr>
            <w:tcW w:w="0" w:type="auto"/>
            <w:tcBorders>
              <w:top w:val="nil"/>
              <w:left w:val="nil"/>
              <w:bottom w:val="single" w:color="auto" w:sz="4" w:space="0"/>
              <w:right w:val="single" w:color="auto" w:sz="4" w:space="0"/>
            </w:tcBorders>
            <w:shd w:val="clear" w:color="auto" w:fill="auto"/>
            <w:vAlign w:val="center"/>
          </w:tcPr>
          <w:p w14:paraId="1002064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0.03 </w:t>
            </w:r>
          </w:p>
        </w:tc>
        <w:tc>
          <w:tcPr>
            <w:tcW w:w="0" w:type="auto"/>
            <w:tcBorders>
              <w:top w:val="nil"/>
              <w:left w:val="nil"/>
              <w:bottom w:val="single" w:color="auto" w:sz="4" w:space="0"/>
              <w:right w:val="single" w:color="auto" w:sz="4" w:space="0"/>
            </w:tcBorders>
            <w:shd w:val="clear" w:color="auto" w:fill="auto"/>
            <w:vAlign w:val="center"/>
          </w:tcPr>
          <w:p w14:paraId="1B0597D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0.03 </w:t>
            </w:r>
          </w:p>
        </w:tc>
      </w:tr>
      <w:tr w14:paraId="6ED75308">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307901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F9F00B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土体密度</w:t>
            </w:r>
          </w:p>
        </w:tc>
        <w:tc>
          <w:tcPr>
            <w:tcW w:w="0" w:type="auto"/>
            <w:tcBorders>
              <w:top w:val="nil"/>
              <w:left w:val="nil"/>
              <w:bottom w:val="single" w:color="auto" w:sz="4" w:space="0"/>
              <w:right w:val="single" w:color="auto" w:sz="4" w:space="0"/>
            </w:tcBorders>
            <w:shd w:val="clear" w:color="auto" w:fill="auto"/>
            <w:vAlign w:val="center"/>
          </w:tcPr>
          <w:p w14:paraId="5972815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ρ</w:t>
            </w:r>
          </w:p>
        </w:tc>
        <w:tc>
          <w:tcPr>
            <w:tcW w:w="0" w:type="auto"/>
            <w:tcBorders>
              <w:top w:val="nil"/>
              <w:left w:val="nil"/>
              <w:bottom w:val="single" w:color="auto" w:sz="4" w:space="0"/>
              <w:right w:val="single" w:color="auto" w:sz="4" w:space="0"/>
            </w:tcBorders>
            <w:shd w:val="clear" w:color="auto" w:fill="auto"/>
            <w:vAlign w:val="center"/>
          </w:tcPr>
          <w:p w14:paraId="0FA0B43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21869C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1.45</w:t>
            </w:r>
          </w:p>
        </w:tc>
        <w:tc>
          <w:tcPr>
            <w:tcW w:w="0" w:type="auto"/>
            <w:tcBorders>
              <w:top w:val="nil"/>
              <w:left w:val="nil"/>
              <w:bottom w:val="single" w:color="auto" w:sz="4" w:space="0"/>
              <w:right w:val="single" w:color="auto" w:sz="4" w:space="0"/>
            </w:tcBorders>
            <w:shd w:val="clear" w:color="auto" w:fill="auto"/>
            <w:vAlign w:val="center"/>
          </w:tcPr>
          <w:p w14:paraId="2327D5F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1.45</w:t>
            </w:r>
          </w:p>
        </w:tc>
        <w:tc>
          <w:tcPr>
            <w:tcW w:w="0" w:type="auto"/>
            <w:tcBorders>
              <w:top w:val="nil"/>
              <w:left w:val="nil"/>
              <w:bottom w:val="single" w:color="auto" w:sz="4" w:space="0"/>
              <w:right w:val="single" w:color="auto" w:sz="4" w:space="0"/>
            </w:tcBorders>
            <w:shd w:val="clear" w:color="auto" w:fill="auto"/>
            <w:vAlign w:val="center"/>
          </w:tcPr>
          <w:p w14:paraId="507F7A0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1.45</w:t>
            </w:r>
          </w:p>
        </w:tc>
        <w:tc>
          <w:tcPr>
            <w:tcW w:w="0" w:type="auto"/>
            <w:tcBorders>
              <w:top w:val="nil"/>
              <w:left w:val="nil"/>
              <w:bottom w:val="single" w:color="auto" w:sz="4" w:space="0"/>
              <w:right w:val="single" w:color="auto" w:sz="4" w:space="0"/>
            </w:tcBorders>
            <w:shd w:val="clear" w:color="auto" w:fill="auto"/>
            <w:vAlign w:val="center"/>
          </w:tcPr>
          <w:p w14:paraId="7C640D2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1.45</w:t>
            </w:r>
          </w:p>
        </w:tc>
        <w:tc>
          <w:tcPr>
            <w:tcW w:w="0" w:type="auto"/>
            <w:tcBorders>
              <w:top w:val="nil"/>
              <w:left w:val="nil"/>
              <w:bottom w:val="single" w:color="auto" w:sz="4" w:space="0"/>
              <w:right w:val="single" w:color="auto" w:sz="4" w:space="0"/>
            </w:tcBorders>
            <w:shd w:val="clear" w:color="auto" w:fill="auto"/>
            <w:vAlign w:val="center"/>
          </w:tcPr>
          <w:p w14:paraId="2FEB6D2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1.45</w:t>
            </w:r>
          </w:p>
        </w:tc>
        <w:tc>
          <w:tcPr>
            <w:tcW w:w="0" w:type="auto"/>
            <w:tcBorders>
              <w:top w:val="nil"/>
              <w:left w:val="nil"/>
              <w:bottom w:val="single" w:color="auto" w:sz="4" w:space="0"/>
              <w:right w:val="single" w:color="auto" w:sz="4" w:space="0"/>
            </w:tcBorders>
            <w:shd w:val="clear" w:color="auto" w:fill="auto"/>
            <w:vAlign w:val="center"/>
          </w:tcPr>
          <w:p w14:paraId="7F244B9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1.45</w:t>
            </w:r>
          </w:p>
        </w:tc>
        <w:tc>
          <w:tcPr>
            <w:tcW w:w="0" w:type="auto"/>
            <w:tcBorders>
              <w:top w:val="nil"/>
              <w:left w:val="nil"/>
              <w:bottom w:val="single" w:color="auto" w:sz="4" w:space="0"/>
              <w:right w:val="single" w:color="auto" w:sz="4" w:space="0"/>
            </w:tcBorders>
            <w:shd w:val="clear" w:color="auto" w:fill="auto"/>
            <w:vAlign w:val="center"/>
          </w:tcPr>
          <w:p w14:paraId="0296C38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1.45</w:t>
            </w:r>
          </w:p>
        </w:tc>
      </w:tr>
      <w:tr w14:paraId="1DCA04E7">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D2403C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DE2299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粉粒（0.002~0.05mm）含量</w:t>
            </w:r>
          </w:p>
        </w:tc>
        <w:tc>
          <w:tcPr>
            <w:tcW w:w="0" w:type="auto"/>
            <w:tcBorders>
              <w:top w:val="nil"/>
              <w:left w:val="nil"/>
              <w:bottom w:val="single" w:color="auto" w:sz="4" w:space="0"/>
              <w:right w:val="single" w:color="auto" w:sz="4" w:space="0"/>
            </w:tcBorders>
            <w:shd w:val="clear" w:color="auto" w:fill="auto"/>
            <w:vAlign w:val="center"/>
          </w:tcPr>
          <w:p w14:paraId="02DE772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SIL</w:t>
            </w:r>
          </w:p>
        </w:tc>
        <w:tc>
          <w:tcPr>
            <w:tcW w:w="0" w:type="auto"/>
            <w:tcBorders>
              <w:top w:val="nil"/>
              <w:left w:val="nil"/>
              <w:bottom w:val="single" w:color="auto" w:sz="4" w:space="0"/>
              <w:right w:val="single" w:color="auto" w:sz="4" w:space="0"/>
            </w:tcBorders>
            <w:shd w:val="clear" w:color="auto" w:fill="auto"/>
            <w:vAlign w:val="center"/>
          </w:tcPr>
          <w:p w14:paraId="3EBDBEF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C571E3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0.8</w:t>
            </w:r>
          </w:p>
        </w:tc>
        <w:tc>
          <w:tcPr>
            <w:tcW w:w="0" w:type="auto"/>
            <w:tcBorders>
              <w:top w:val="nil"/>
              <w:left w:val="nil"/>
              <w:bottom w:val="single" w:color="auto" w:sz="4" w:space="0"/>
              <w:right w:val="single" w:color="auto" w:sz="4" w:space="0"/>
            </w:tcBorders>
            <w:shd w:val="clear" w:color="auto" w:fill="auto"/>
            <w:vAlign w:val="center"/>
          </w:tcPr>
          <w:p w14:paraId="0EB9B9D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0.8</w:t>
            </w:r>
          </w:p>
        </w:tc>
        <w:tc>
          <w:tcPr>
            <w:tcW w:w="0" w:type="auto"/>
            <w:tcBorders>
              <w:top w:val="nil"/>
              <w:left w:val="nil"/>
              <w:bottom w:val="single" w:color="auto" w:sz="4" w:space="0"/>
              <w:right w:val="single" w:color="auto" w:sz="4" w:space="0"/>
            </w:tcBorders>
            <w:shd w:val="clear" w:color="auto" w:fill="auto"/>
            <w:vAlign w:val="center"/>
          </w:tcPr>
          <w:p w14:paraId="4262EB9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0.8</w:t>
            </w:r>
          </w:p>
        </w:tc>
        <w:tc>
          <w:tcPr>
            <w:tcW w:w="0" w:type="auto"/>
            <w:tcBorders>
              <w:top w:val="nil"/>
              <w:left w:val="nil"/>
              <w:bottom w:val="single" w:color="auto" w:sz="4" w:space="0"/>
              <w:right w:val="single" w:color="auto" w:sz="4" w:space="0"/>
            </w:tcBorders>
            <w:shd w:val="clear" w:color="auto" w:fill="auto"/>
            <w:vAlign w:val="center"/>
          </w:tcPr>
          <w:p w14:paraId="036BCAF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0.8</w:t>
            </w:r>
          </w:p>
        </w:tc>
        <w:tc>
          <w:tcPr>
            <w:tcW w:w="0" w:type="auto"/>
            <w:tcBorders>
              <w:top w:val="nil"/>
              <w:left w:val="nil"/>
              <w:bottom w:val="single" w:color="auto" w:sz="4" w:space="0"/>
              <w:right w:val="single" w:color="auto" w:sz="4" w:space="0"/>
            </w:tcBorders>
            <w:shd w:val="clear" w:color="auto" w:fill="auto"/>
            <w:vAlign w:val="center"/>
          </w:tcPr>
          <w:p w14:paraId="6CC69A8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0.8</w:t>
            </w:r>
          </w:p>
        </w:tc>
        <w:tc>
          <w:tcPr>
            <w:tcW w:w="0" w:type="auto"/>
            <w:tcBorders>
              <w:top w:val="nil"/>
              <w:left w:val="nil"/>
              <w:bottom w:val="single" w:color="auto" w:sz="4" w:space="0"/>
              <w:right w:val="single" w:color="auto" w:sz="4" w:space="0"/>
            </w:tcBorders>
            <w:shd w:val="clear" w:color="auto" w:fill="auto"/>
            <w:vAlign w:val="center"/>
          </w:tcPr>
          <w:p w14:paraId="432F171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0.8</w:t>
            </w:r>
          </w:p>
        </w:tc>
        <w:tc>
          <w:tcPr>
            <w:tcW w:w="0" w:type="auto"/>
            <w:tcBorders>
              <w:top w:val="nil"/>
              <w:left w:val="nil"/>
              <w:bottom w:val="single" w:color="auto" w:sz="4" w:space="0"/>
              <w:right w:val="single" w:color="auto" w:sz="4" w:space="0"/>
            </w:tcBorders>
            <w:shd w:val="clear" w:color="auto" w:fill="auto"/>
            <w:vAlign w:val="center"/>
          </w:tcPr>
          <w:p w14:paraId="53FE80E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0.8</w:t>
            </w:r>
          </w:p>
        </w:tc>
      </w:tr>
      <w:tr w14:paraId="3CEF21C6">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7267C8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55D16A6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粘粒（&lt;0.002m）含量</w:t>
            </w:r>
          </w:p>
        </w:tc>
        <w:tc>
          <w:tcPr>
            <w:tcW w:w="0" w:type="auto"/>
            <w:tcBorders>
              <w:top w:val="nil"/>
              <w:left w:val="nil"/>
              <w:bottom w:val="single" w:color="auto" w:sz="4" w:space="0"/>
              <w:right w:val="single" w:color="auto" w:sz="4" w:space="0"/>
            </w:tcBorders>
            <w:shd w:val="clear" w:color="auto" w:fill="auto"/>
            <w:vAlign w:val="center"/>
          </w:tcPr>
          <w:p w14:paraId="0842A84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CLA</w:t>
            </w:r>
          </w:p>
        </w:tc>
        <w:tc>
          <w:tcPr>
            <w:tcW w:w="0" w:type="auto"/>
            <w:tcBorders>
              <w:top w:val="nil"/>
              <w:left w:val="nil"/>
              <w:bottom w:val="single" w:color="auto" w:sz="4" w:space="0"/>
              <w:right w:val="single" w:color="auto" w:sz="4" w:space="0"/>
            </w:tcBorders>
            <w:shd w:val="clear" w:color="auto" w:fill="auto"/>
            <w:vAlign w:val="center"/>
          </w:tcPr>
          <w:p w14:paraId="5C2363B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020115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0.1</w:t>
            </w:r>
          </w:p>
        </w:tc>
        <w:tc>
          <w:tcPr>
            <w:tcW w:w="0" w:type="auto"/>
            <w:tcBorders>
              <w:top w:val="nil"/>
              <w:left w:val="nil"/>
              <w:bottom w:val="single" w:color="auto" w:sz="4" w:space="0"/>
              <w:right w:val="single" w:color="auto" w:sz="4" w:space="0"/>
            </w:tcBorders>
            <w:shd w:val="clear" w:color="auto" w:fill="auto"/>
            <w:vAlign w:val="center"/>
          </w:tcPr>
          <w:p w14:paraId="7D9013A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0.1</w:t>
            </w:r>
          </w:p>
        </w:tc>
        <w:tc>
          <w:tcPr>
            <w:tcW w:w="0" w:type="auto"/>
            <w:tcBorders>
              <w:top w:val="nil"/>
              <w:left w:val="nil"/>
              <w:bottom w:val="single" w:color="auto" w:sz="4" w:space="0"/>
              <w:right w:val="single" w:color="auto" w:sz="4" w:space="0"/>
            </w:tcBorders>
            <w:shd w:val="clear" w:color="auto" w:fill="auto"/>
            <w:vAlign w:val="center"/>
          </w:tcPr>
          <w:p w14:paraId="69E8E30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0.1</w:t>
            </w:r>
          </w:p>
        </w:tc>
        <w:tc>
          <w:tcPr>
            <w:tcW w:w="0" w:type="auto"/>
            <w:tcBorders>
              <w:top w:val="nil"/>
              <w:left w:val="nil"/>
              <w:bottom w:val="single" w:color="auto" w:sz="4" w:space="0"/>
              <w:right w:val="single" w:color="auto" w:sz="4" w:space="0"/>
            </w:tcBorders>
            <w:shd w:val="clear" w:color="auto" w:fill="auto"/>
            <w:vAlign w:val="center"/>
          </w:tcPr>
          <w:p w14:paraId="53C4756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0.1</w:t>
            </w:r>
          </w:p>
        </w:tc>
        <w:tc>
          <w:tcPr>
            <w:tcW w:w="0" w:type="auto"/>
            <w:tcBorders>
              <w:top w:val="nil"/>
              <w:left w:val="nil"/>
              <w:bottom w:val="single" w:color="auto" w:sz="4" w:space="0"/>
              <w:right w:val="single" w:color="auto" w:sz="4" w:space="0"/>
            </w:tcBorders>
            <w:shd w:val="clear" w:color="auto" w:fill="auto"/>
            <w:vAlign w:val="center"/>
          </w:tcPr>
          <w:p w14:paraId="7A09D02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0.1</w:t>
            </w:r>
          </w:p>
        </w:tc>
        <w:tc>
          <w:tcPr>
            <w:tcW w:w="0" w:type="auto"/>
            <w:tcBorders>
              <w:top w:val="nil"/>
              <w:left w:val="nil"/>
              <w:bottom w:val="single" w:color="auto" w:sz="4" w:space="0"/>
              <w:right w:val="single" w:color="auto" w:sz="4" w:space="0"/>
            </w:tcBorders>
            <w:shd w:val="clear" w:color="auto" w:fill="auto"/>
            <w:vAlign w:val="center"/>
          </w:tcPr>
          <w:p w14:paraId="750847C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0.1</w:t>
            </w:r>
          </w:p>
        </w:tc>
        <w:tc>
          <w:tcPr>
            <w:tcW w:w="0" w:type="auto"/>
            <w:tcBorders>
              <w:top w:val="nil"/>
              <w:left w:val="nil"/>
              <w:bottom w:val="single" w:color="auto" w:sz="4" w:space="0"/>
              <w:right w:val="single" w:color="auto" w:sz="4" w:space="0"/>
            </w:tcBorders>
            <w:shd w:val="clear" w:color="auto" w:fill="auto"/>
            <w:vAlign w:val="center"/>
          </w:tcPr>
          <w:p w14:paraId="6ADA8E6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0.1</w:t>
            </w:r>
          </w:p>
        </w:tc>
      </w:tr>
      <w:tr w14:paraId="2B5238A7">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8EFE02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4</w:t>
            </w:r>
          </w:p>
        </w:tc>
        <w:tc>
          <w:tcPr>
            <w:tcW w:w="0" w:type="auto"/>
            <w:tcBorders>
              <w:top w:val="nil"/>
              <w:left w:val="nil"/>
              <w:bottom w:val="single" w:color="auto" w:sz="4" w:space="0"/>
              <w:right w:val="single" w:color="auto" w:sz="4" w:space="0"/>
            </w:tcBorders>
            <w:shd w:val="clear" w:color="auto" w:fill="auto"/>
            <w:vAlign w:val="center"/>
          </w:tcPr>
          <w:p w14:paraId="13959F8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开挖面坡长因子</w:t>
            </w:r>
          </w:p>
        </w:tc>
        <w:tc>
          <w:tcPr>
            <w:tcW w:w="0" w:type="auto"/>
            <w:tcBorders>
              <w:top w:val="nil"/>
              <w:left w:val="nil"/>
              <w:bottom w:val="single" w:color="auto" w:sz="4" w:space="0"/>
              <w:right w:val="single" w:color="auto" w:sz="4" w:space="0"/>
            </w:tcBorders>
            <w:shd w:val="clear" w:color="auto" w:fill="auto"/>
            <w:vAlign w:val="center"/>
          </w:tcPr>
          <w:p w14:paraId="2488CA2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Lkw</w:t>
            </w:r>
          </w:p>
        </w:tc>
        <w:tc>
          <w:tcPr>
            <w:tcW w:w="0" w:type="auto"/>
            <w:tcBorders>
              <w:top w:val="nil"/>
              <w:left w:val="nil"/>
              <w:bottom w:val="single" w:color="auto" w:sz="4" w:space="0"/>
              <w:right w:val="single" w:color="auto" w:sz="4" w:space="0"/>
            </w:tcBorders>
            <w:shd w:val="clear" w:color="auto" w:fill="auto"/>
            <w:vAlign w:val="center"/>
          </w:tcPr>
          <w:p w14:paraId="5602E7D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Lkw=(λ/5）-0.57</w:t>
            </w:r>
          </w:p>
        </w:tc>
        <w:tc>
          <w:tcPr>
            <w:tcW w:w="0" w:type="auto"/>
            <w:tcBorders>
              <w:top w:val="nil"/>
              <w:left w:val="nil"/>
              <w:bottom w:val="single" w:color="auto" w:sz="4" w:space="0"/>
              <w:right w:val="single" w:color="auto" w:sz="4" w:space="0"/>
            </w:tcBorders>
            <w:shd w:val="clear" w:color="auto" w:fill="auto"/>
            <w:vAlign w:val="center"/>
          </w:tcPr>
          <w:p w14:paraId="4837C40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1.22 </w:t>
            </w:r>
          </w:p>
        </w:tc>
        <w:tc>
          <w:tcPr>
            <w:tcW w:w="0" w:type="auto"/>
            <w:tcBorders>
              <w:top w:val="nil"/>
              <w:left w:val="nil"/>
              <w:bottom w:val="single" w:color="auto" w:sz="4" w:space="0"/>
              <w:right w:val="single" w:color="auto" w:sz="4" w:space="0"/>
            </w:tcBorders>
            <w:shd w:val="clear" w:color="auto" w:fill="auto"/>
            <w:vAlign w:val="center"/>
          </w:tcPr>
          <w:p w14:paraId="1B88F44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1.22 </w:t>
            </w:r>
          </w:p>
        </w:tc>
        <w:tc>
          <w:tcPr>
            <w:tcW w:w="0" w:type="auto"/>
            <w:tcBorders>
              <w:top w:val="nil"/>
              <w:left w:val="nil"/>
              <w:bottom w:val="single" w:color="auto" w:sz="4" w:space="0"/>
              <w:right w:val="single" w:color="auto" w:sz="4" w:space="0"/>
            </w:tcBorders>
            <w:shd w:val="clear" w:color="auto" w:fill="auto"/>
            <w:vAlign w:val="center"/>
          </w:tcPr>
          <w:p w14:paraId="1AC351F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1.22 </w:t>
            </w:r>
          </w:p>
        </w:tc>
        <w:tc>
          <w:tcPr>
            <w:tcW w:w="0" w:type="auto"/>
            <w:tcBorders>
              <w:top w:val="nil"/>
              <w:left w:val="nil"/>
              <w:bottom w:val="single" w:color="auto" w:sz="4" w:space="0"/>
              <w:right w:val="single" w:color="auto" w:sz="4" w:space="0"/>
            </w:tcBorders>
            <w:shd w:val="clear" w:color="auto" w:fill="auto"/>
            <w:vAlign w:val="center"/>
          </w:tcPr>
          <w:p w14:paraId="44120EC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1.22 </w:t>
            </w:r>
          </w:p>
        </w:tc>
        <w:tc>
          <w:tcPr>
            <w:tcW w:w="0" w:type="auto"/>
            <w:tcBorders>
              <w:top w:val="nil"/>
              <w:left w:val="nil"/>
              <w:bottom w:val="single" w:color="auto" w:sz="4" w:space="0"/>
              <w:right w:val="single" w:color="auto" w:sz="4" w:space="0"/>
            </w:tcBorders>
            <w:shd w:val="clear" w:color="auto" w:fill="auto"/>
            <w:vAlign w:val="center"/>
          </w:tcPr>
          <w:p w14:paraId="6B54AE0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1.22 </w:t>
            </w:r>
          </w:p>
        </w:tc>
        <w:tc>
          <w:tcPr>
            <w:tcW w:w="0" w:type="auto"/>
            <w:tcBorders>
              <w:top w:val="nil"/>
              <w:left w:val="nil"/>
              <w:bottom w:val="single" w:color="auto" w:sz="4" w:space="0"/>
              <w:right w:val="single" w:color="auto" w:sz="4" w:space="0"/>
            </w:tcBorders>
            <w:shd w:val="clear" w:color="auto" w:fill="auto"/>
            <w:vAlign w:val="center"/>
          </w:tcPr>
          <w:p w14:paraId="5D50EBE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1.22 </w:t>
            </w:r>
          </w:p>
        </w:tc>
        <w:tc>
          <w:tcPr>
            <w:tcW w:w="0" w:type="auto"/>
            <w:tcBorders>
              <w:top w:val="nil"/>
              <w:left w:val="nil"/>
              <w:bottom w:val="single" w:color="auto" w:sz="4" w:space="0"/>
              <w:right w:val="single" w:color="auto" w:sz="4" w:space="0"/>
            </w:tcBorders>
            <w:shd w:val="clear" w:color="auto" w:fill="auto"/>
            <w:vAlign w:val="center"/>
          </w:tcPr>
          <w:p w14:paraId="7439F18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1.22 </w:t>
            </w:r>
          </w:p>
        </w:tc>
      </w:tr>
      <w:tr w14:paraId="747EC6E4">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734984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41EE946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水平投影坡坡长（m）</w:t>
            </w:r>
          </w:p>
        </w:tc>
        <w:tc>
          <w:tcPr>
            <w:tcW w:w="0" w:type="auto"/>
            <w:tcBorders>
              <w:top w:val="nil"/>
              <w:left w:val="nil"/>
              <w:bottom w:val="single" w:color="auto" w:sz="4" w:space="0"/>
              <w:right w:val="single" w:color="auto" w:sz="4" w:space="0"/>
            </w:tcBorders>
            <w:shd w:val="clear" w:color="auto" w:fill="auto"/>
            <w:vAlign w:val="center"/>
          </w:tcPr>
          <w:p w14:paraId="0AAB72F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λ</w:t>
            </w:r>
          </w:p>
        </w:tc>
        <w:tc>
          <w:tcPr>
            <w:tcW w:w="0" w:type="auto"/>
            <w:tcBorders>
              <w:top w:val="nil"/>
              <w:left w:val="nil"/>
              <w:bottom w:val="single" w:color="auto" w:sz="4" w:space="0"/>
              <w:right w:val="single" w:color="auto" w:sz="4" w:space="0"/>
            </w:tcBorders>
            <w:shd w:val="clear" w:color="auto" w:fill="auto"/>
            <w:vAlign w:val="center"/>
          </w:tcPr>
          <w:p w14:paraId="64C3141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λ=λxcosθ</w:t>
            </w:r>
          </w:p>
        </w:tc>
        <w:tc>
          <w:tcPr>
            <w:tcW w:w="0" w:type="auto"/>
            <w:tcBorders>
              <w:top w:val="nil"/>
              <w:left w:val="nil"/>
              <w:bottom w:val="single" w:color="auto" w:sz="4" w:space="0"/>
              <w:right w:val="single" w:color="auto" w:sz="4" w:space="0"/>
            </w:tcBorders>
            <w:shd w:val="clear" w:color="auto" w:fill="auto"/>
            <w:vAlign w:val="center"/>
          </w:tcPr>
          <w:p w14:paraId="6DB1517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3.54 </w:t>
            </w:r>
          </w:p>
        </w:tc>
        <w:tc>
          <w:tcPr>
            <w:tcW w:w="0" w:type="auto"/>
            <w:tcBorders>
              <w:top w:val="nil"/>
              <w:left w:val="nil"/>
              <w:bottom w:val="single" w:color="auto" w:sz="4" w:space="0"/>
              <w:right w:val="single" w:color="auto" w:sz="4" w:space="0"/>
            </w:tcBorders>
            <w:shd w:val="clear" w:color="auto" w:fill="auto"/>
            <w:vAlign w:val="center"/>
          </w:tcPr>
          <w:p w14:paraId="536E875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3.54 </w:t>
            </w:r>
          </w:p>
        </w:tc>
        <w:tc>
          <w:tcPr>
            <w:tcW w:w="0" w:type="auto"/>
            <w:tcBorders>
              <w:top w:val="nil"/>
              <w:left w:val="nil"/>
              <w:bottom w:val="single" w:color="auto" w:sz="4" w:space="0"/>
              <w:right w:val="single" w:color="auto" w:sz="4" w:space="0"/>
            </w:tcBorders>
            <w:shd w:val="clear" w:color="auto" w:fill="auto"/>
            <w:vAlign w:val="center"/>
          </w:tcPr>
          <w:p w14:paraId="51690A8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3.54 </w:t>
            </w:r>
          </w:p>
        </w:tc>
        <w:tc>
          <w:tcPr>
            <w:tcW w:w="0" w:type="auto"/>
            <w:tcBorders>
              <w:top w:val="nil"/>
              <w:left w:val="nil"/>
              <w:bottom w:val="single" w:color="auto" w:sz="4" w:space="0"/>
              <w:right w:val="single" w:color="auto" w:sz="4" w:space="0"/>
            </w:tcBorders>
            <w:shd w:val="clear" w:color="auto" w:fill="auto"/>
            <w:vAlign w:val="center"/>
          </w:tcPr>
          <w:p w14:paraId="37C5E07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3.54 </w:t>
            </w:r>
          </w:p>
        </w:tc>
        <w:tc>
          <w:tcPr>
            <w:tcW w:w="0" w:type="auto"/>
            <w:tcBorders>
              <w:top w:val="nil"/>
              <w:left w:val="nil"/>
              <w:bottom w:val="single" w:color="auto" w:sz="4" w:space="0"/>
              <w:right w:val="single" w:color="auto" w:sz="4" w:space="0"/>
            </w:tcBorders>
            <w:shd w:val="clear" w:color="auto" w:fill="auto"/>
            <w:vAlign w:val="center"/>
          </w:tcPr>
          <w:p w14:paraId="368795D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3.54 </w:t>
            </w:r>
          </w:p>
        </w:tc>
        <w:tc>
          <w:tcPr>
            <w:tcW w:w="0" w:type="auto"/>
            <w:tcBorders>
              <w:top w:val="nil"/>
              <w:left w:val="nil"/>
              <w:bottom w:val="single" w:color="auto" w:sz="4" w:space="0"/>
              <w:right w:val="single" w:color="auto" w:sz="4" w:space="0"/>
            </w:tcBorders>
            <w:shd w:val="clear" w:color="auto" w:fill="auto"/>
            <w:vAlign w:val="center"/>
          </w:tcPr>
          <w:p w14:paraId="23C9D4C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3.54 </w:t>
            </w:r>
          </w:p>
        </w:tc>
        <w:tc>
          <w:tcPr>
            <w:tcW w:w="0" w:type="auto"/>
            <w:tcBorders>
              <w:top w:val="nil"/>
              <w:left w:val="nil"/>
              <w:bottom w:val="single" w:color="auto" w:sz="4" w:space="0"/>
              <w:right w:val="single" w:color="auto" w:sz="4" w:space="0"/>
            </w:tcBorders>
            <w:shd w:val="clear" w:color="auto" w:fill="auto"/>
            <w:vAlign w:val="center"/>
          </w:tcPr>
          <w:p w14:paraId="73FD1FA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3.54 </w:t>
            </w:r>
          </w:p>
        </w:tc>
      </w:tr>
      <w:tr w14:paraId="53154256">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D6BEB3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C924A2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斜坡长度（m）</w:t>
            </w:r>
          </w:p>
        </w:tc>
        <w:tc>
          <w:tcPr>
            <w:tcW w:w="0" w:type="auto"/>
            <w:tcBorders>
              <w:top w:val="nil"/>
              <w:left w:val="nil"/>
              <w:bottom w:val="single" w:color="auto" w:sz="4" w:space="0"/>
              <w:right w:val="single" w:color="auto" w:sz="4" w:space="0"/>
            </w:tcBorders>
            <w:shd w:val="clear" w:color="auto" w:fill="auto"/>
            <w:vAlign w:val="center"/>
          </w:tcPr>
          <w:p w14:paraId="3A95FAE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λx</w:t>
            </w:r>
          </w:p>
        </w:tc>
        <w:tc>
          <w:tcPr>
            <w:tcW w:w="0" w:type="auto"/>
            <w:tcBorders>
              <w:top w:val="nil"/>
              <w:left w:val="nil"/>
              <w:bottom w:val="single" w:color="auto" w:sz="4" w:space="0"/>
              <w:right w:val="single" w:color="auto" w:sz="4" w:space="0"/>
            </w:tcBorders>
            <w:shd w:val="clear" w:color="auto" w:fill="auto"/>
            <w:vAlign w:val="center"/>
          </w:tcPr>
          <w:p w14:paraId="5977647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53DB8A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5</w:t>
            </w:r>
          </w:p>
        </w:tc>
        <w:tc>
          <w:tcPr>
            <w:tcW w:w="0" w:type="auto"/>
            <w:tcBorders>
              <w:top w:val="nil"/>
              <w:left w:val="nil"/>
              <w:bottom w:val="single" w:color="auto" w:sz="4" w:space="0"/>
              <w:right w:val="single" w:color="auto" w:sz="4" w:space="0"/>
            </w:tcBorders>
            <w:shd w:val="clear" w:color="auto" w:fill="auto"/>
            <w:vAlign w:val="center"/>
          </w:tcPr>
          <w:p w14:paraId="15FF617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5</w:t>
            </w:r>
          </w:p>
        </w:tc>
        <w:tc>
          <w:tcPr>
            <w:tcW w:w="0" w:type="auto"/>
            <w:tcBorders>
              <w:top w:val="nil"/>
              <w:left w:val="nil"/>
              <w:bottom w:val="single" w:color="auto" w:sz="4" w:space="0"/>
              <w:right w:val="single" w:color="auto" w:sz="4" w:space="0"/>
            </w:tcBorders>
            <w:shd w:val="clear" w:color="auto" w:fill="auto"/>
            <w:vAlign w:val="center"/>
          </w:tcPr>
          <w:p w14:paraId="4145E13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5</w:t>
            </w:r>
          </w:p>
        </w:tc>
        <w:tc>
          <w:tcPr>
            <w:tcW w:w="0" w:type="auto"/>
            <w:tcBorders>
              <w:top w:val="nil"/>
              <w:left w:val="nil"/>
              <w:bottom w:val="single" w:color="auto" w:sz="4" w:space="0"/>
              <w:right w:val="single" w:color="auto" w:sz="4" w:space="0"/>
            </w:tcBorders>
            <w:shd w:val="clear" w:color="auto" w:fill="auto"/>
            <w:vAlign w:val="center"/>
          </w:tcPr>
          <w:p w14:paraId="26C2564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5</w:t>
            </w:r>
          </w:p>
        </w:tc>
        <w:tc>
          <w:tcPr>
            <w:tcW w:w="0" w:type="auto"/>
            <w:tcBorders>
              <w:top w:val="nil"/>
              <w:left w:val="nil"/>
              <w:bottom w:val="single" w:color="auto" w:sz="4" w:space="0"/>
              <w:right w:val="single" w:color="auto" w:sz="4" w:space="0"/>
            </w:tcBorders>
            <w:shd w:val="clear" w:color="auto" w:fill="auto"/>
            <w:vAlign w:val="center"/>
          </w:tcPr>
          <w:p w14:paraId="2473026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5</w:t>
            </w:r>
          </w:p>
        </w:tc>
        <w:tc>
          <w:tcPr>
            <w:tcW w:w="0" w:type="auto"/>
            <w:tcBorders>
              <w:top w:val="nil"/>
              <w:left w:val="nil"/>
              <w:bottom w:val="single" w:color="auto" w:sz="4" w:space="0"/>
              <w:right w:val="single" w:color="auto" w:sz="4" w:space="0"/>
            </w:tcBorders>
            <w:shd w:val="clear" w:color="auto" w:fill="auto"/>
            <w:vAlign w:val="center"/>
          </w:tcPr>
          <w:p w14:paraId="0917A54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5</w:t>
            </w:r>
          </w:p>
        </w:tc>
        <w:tc>
          <w:tcPr>
            <w:tcW w:w="0" w:type="auto"/>
            <w:tcBorders>
              <w:top w:val="nil"/>
              <w:left w:val="nil"/>
              <w:bottom w:val="single" w:color="auto" w:sz="4" w:space="0"/>
              <w:right w:val="single" w:color="auto" w:sz="4" w:space="0"/>
            </w:tcBorders>
            <w:shd w:val="clear" w:color="auto" w:fill="auto"/>
            <w:vAlign w:val="center"/>
          </w:tcPr>
          <w:p w14:paraId="2E30DB6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5</w:t>
            </w:r>
          </w:p>
        </w:tc>
      </w:tr>
      <w:tr w14:paraId="627BCC28">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07EA73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w:t>
            </w:r>
          </w:p>
        </w:tc>
        <w:tc>
          <w:tcPr>
            <w:tcW w:w="0" w:type="auto"/>
            <w:tcBorders>
              <w:top w:val="nil"/>
              <w:left w:val="nil"/>
              <w:bottom w:val="single" w:color="auto" w:sz="4" w:space="0"/>
              <w:right w:val="single" w:color="auto" w:sz="4" w:space="0"/>
            </w:tcBorders>
            <w:shd w:val="clear" w:color="auto" w:fill="auto"/>
            <w:vAlign w:val="center"/>
          </w:tcPr>
          <w:p w14:paraId="4B85F9D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开挖面坡度因子</w:t>
            </w:r>
          </w:p>
        </w:tc>
        <w:tc>
          <w:tcPr>
            <w:tcW w:w="0" w:type="auto"/>
            <w:tcBorders>
              <w:top w:val="nil"/>
              <w:left w:val="nil"/>
              <w:bottom w:val="single" w:color="auto" w:sz="4" w:space="0"/>
              <w:right w:val="single" w:color="auto" w:sz="4" w:space="0"/>
            </w:tcBorders>
            <w:shd w:val="clear" w:color="auto" w:fill="auto"/>
            <w:vAlign w:val="center"/>
          </w:tcPr>
          <w:p w14:paraId="7A4A27E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Skw</w:t>
            </w:r>
          </w:p>
        </w:tc>
        <w:tc>
          <w:tcPr>
            <w:tcW w:w="0" w:type="auto"/>
            <w:tcBorders>
              <w:top w:val="nil"/>
              <w:left w:val="nil"/>
              <w:bottom w:val="single" w:color="auto" w:sz="4" w:space="0"/>
              <w:right w:val="single" w:color="auto" w:sz="4" w:space="0"/>
            </w:tcBorders>
            <w:shd w:val="clear" w:color="auto" w:fill="auto"/>
            <w:vAlign w:val="center"/>
          </w:tcPr>
          <w:p w14:paraId="67B0650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Skw=0.8sinθ+0.38</w:t>
            </w:r>
          </w:p>
        </w:tc>
        <w:tc>
          <w:tcPr>
            <w:tcW w:w="0" w:type="auto"/>
            <w:tcBorders>
              <w:top w:val="nil"/>
              <w:left w:val="nil"/>
              <w:bottom w:val="single" w:color="auto" w:sz="4" w:space="0"/>
              <w:right w:val="single" w:color="auto" w:sz="4" w:space="0"/>
            </w:tcBorders>
            <w:shd w:val="clear" w:color="auto" w:fill="auto"/>
            <w:vAlign w:val="center"/>
          </w:tcPr>
          <w:p w14:paraId="2DE9C89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0.9928 </w:t>
            </w:r>
          </w:p>
        </w:tc>
        <w:tc>
          <w:tcPr>
            <w:tcW w:w="0" w:type="auto"/>
            <w:tcBorders>
              <w:top w:val="nil"/>
              <w:left w:val="nil"/>
              <w:bottom w:val="single" w:color="auto" w:sz="4" w:space="0"/>
              <w:right w:val="single" w:color="auto" w:sz="4" w:space="0"/>
            </w:tcBorders>
            <w:shd w:val="clear" w:color="auto" w:fill="auto"/>
            <w:vAlign w:val="center"/>
          </w:tcPr>
          <w:p w14:paraId="7AE5DAC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0.9928 </w:t>
            </w:r>
          </w:p>
        </w:tc>
        <w:tc>
          <w:tcPr>
            <w:tcW w:w="0" w:type="auto"/>
            <w:tcBorders>
              <w:top w:val="nil"/>
              <w:left w:val="nil"/>
              <w:bottom w:val="single" w:color="auto" w:sz="4" w:space="0"/>
              <w:right w:val="single" w:color="auto" w:sz="4" w:space="0"/>
            </w:tcBorders>
            <w:shd w:val="clear" w:color="auto" w:fill="auto"/>
            <w:vAlign w:val="center"/>
          </w:tcPr>
          <w:p w14:paraId="569D815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0.9928 </w:t>
            </w:r>
          </w:p>
        </w:tc>
        <w:tc>
          <w:tcPr>
            <w:tcW w:w="0" w:type="auto"/>
            <w:tcBorders>
              <w:top w:val="nil"/>
              <w:left w:val="nil"/>
              <w:bottom w:val="single" w:color="auto" w:sz="4" w:space="0"/>
              <w:right w:val="single" w:color="auto" w:sz="4" w:space="0"/>
            </w:tcBorders>
            <w:shd w:val="clear" w:color="auto" w:fill="auto"/>
            <w:vAlign w:val="center"/>
          </w:tcPr>
          <w:p w14:paraId="1D4EAB6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0.9457 </w:t>
            </w:r>
          </w:p>
        </w:tc>
        <w:tc>
          <w:tcPr>
            <w:tcW w:w="0" w:type="auto"/>
            <w:tcBorders>
              <w:top w:val="nil"/>
              <w:left w:val="nil"/>
              <w:bottom w:val="single" w:color="auto" w:sz="4" w:space="0"/>
              <w:right w:val="single" w:color="auto" w:sz="4" w:space="0"/>
            </w:tcBorders>
            <w:shd w:val="clear" w:color="auto" w:fill="auto"/>
            <w:vAlign w:val="center"/>
          </w:tcPr>
          <w:p w14:paraId="120DB47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0.9928 </w:t>
            </w:r>
          </w:p>
        </w:tc>
        <w:tc>
          <w:tcPr>
            <w:tcW w:w="0" w:type="auto"/>
            <w:tcBorders>
              <w:top w:val="nil"/>
              <w:left w:val="nil"/>
              <w:bottom w:val="single" w:color="auto" w:sz="4" w:space="0"/>
              <w:right w:val="single" w:color="auto" w:sz="4" w:space="0"/>
            </w:tcBorders>
            <w:shd w:val="clear" w:color="auto" w:fill="auto"/>
            <w:vAlign w:val="center"/>
          </w:tcPr>
          <w:p w14:paraId="5DA2D51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0.9457 </w:t>
            </w:r>
          </w:p>
        </w:tc>
        <w:tc>
          <w:tcPr>
            <w:tcW w:w="0" w:type="auto"/>
            <w:tcBorders>
              <w:top w:val="nil"/>
              <w:left w:val="nil"/>
              <w:bottom w:val="single" w:color="auto" w:sz="4" w:space="0"/>
              <w:right w:val="single" w:color="auto" w:sz="4" w:space="0"/>
            </w:tcBorders>
            <w:shd w:val="clear" w:color="auto" w:fill="auto"/>
            <w:vAlign w:val="center"/>
          </w:tcPr>
          <w:p w14:paraId="1AB670F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0.9457 </w:t>
            </w:r>
          </w:p>
        </w:tc>
      </w:tr>
      <w:tr w14:paraId="48C54331">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851A45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464018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坡度（°）</w:t>
            </w:r>
          </w:p>
        </w:tc>
        <w:tc>
          <w:tcPr>
            <w:tcW w:w="0" w:type="auto"/>
            <w:tcBorders>
              <w:top w:val="nil"/>
              <w:left w:val="nil"/>
              <w:bottom w:val="single" w:color="auto" w:sz="4" w:space="0"/>
              <w:right w:val="single" w:color="auto" w:sz="4" w:space="0"/>
            </w:tcBorders>
            <w:shd w:val="clear" w:color="auto" w:fill="auto"/>
            <w:vAlign w:val="center"/>
          </w:tcPr>
          <w:p w14:paraId="11D400C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θ</w:t>
            </w:r>
          </w:p>
        </w:tc>
        <w:tc>
          <w:tcPr>
            <w:tcW w:w="0" w:type="auto"/>
            <w:tcBorders>
              <w:top w:val="nil"/>
              <w:left w:val="nil"/>
              <w:bottom w:val="single" w:color="auto" w:sz="4" w:space="0"/>
              <w:right w:val="single" w:color="auto" w:sz="4" w:space="0"/>
            </w:tcBorders>
            <w:shd w:val="clear" w:color="auto" w:fill="auto"/>
            <w:vAlign w:val="center"/>
          </w:tcPr>
          <w:p w14:paraId="2E6AE3A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631EAFD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50</w:t>
            </w:r>
          </w:p>
        </w:tc>
        <w:tc>
          <w:tcPr>
            <w:tcW w:w="0" w:type="auto"/>
            <w:tcBorders>
              <w:top w:val="nil"/>
              <w:left w:val="nil"/>
              <w:bottom w:val="single" w:color="auto" w:sz="4" w:space="0"/>
              <w:right w:val="single" w:color="auto" w:sz="4" w:space="0"/>
            </w:tcBorders>
            <w:shd w:val="clear" w:color="auto" w:fill="auto"/>
            <w:vAlign w:val="center"/>
          </w:tcPr>
          <w:p w14:paraId="41EE8DD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50</w:t>
            </w:r>
          </w:p>
        </w:tc>
        <w:tc>
          <w:tcPr>
            <w:tcW w:w="0" w:type="auto"/>
            <w:tcBorders>
              <w:top w:val="nil"/>
              <w:left w:val="nil"/>
              <w:bottom w:val="single" w:color="auto" w:sz="4" w:space="0"/>
              <w:right w:val="single" w:color="auto" w:sz="4" w:space="0"/>
            </w:tcBorders>
            <w:shd w:val="clear" w:color="auto" w:fill="auto"/>
            <w:vAlign w:val="center"/>
          </w:tcPr>
          <w:p w14:paraId="7C1DD92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50</w:t>
            </w:r>
          </w:p>
        </w:tc>
        <w:tc>
          <w:tcPr>
            <w:tcW w:w="0" w:type="auto"/>
            <w:tcBorders>
              <w:top w:val="nil"/>
              <w:left w:val="nil"/>
              <w:bottom w:val="single" w:color="auto" w:sz="4" w:space="0"/>
              <w:right w:val="single" w:color="auto" w:sz="4" w:space="0"/>
            </w:tcBorders>
            <w:shd w:val="clear" w:color="auto" w:fill="auto"/>
            <w:vAlign w:val="center"/>
          </w:tcPr>
          <w:p w14:paraId="1CD4B55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45</w:t>
            </w:r>
          </w:p>
        </w:tc>
        <w:tc>
          <w:tcPr>
            <w:tcW w:w="0" w:type="auto"/>
            <w:tcBorders>
              <w:top w:val="nil"/>
              <w:left w:val="nil"/>
              <w:bottom w:val="single" w:color="auto" w:sz="4" w:space="0"/>
              <w:right w:val="single" w:color="auto" w:sz="4" w:space="0"/>
            </w:tcBorders>
            <w:shd w:val="clear" w:color="auto" w:fill="auto"/>
            <w:vAlign w:val="center"/>
          </w:tcPr>
          <w:p w14:paraId="47FF614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50</w:t>
            </w:r>
          </w:p>
        </w:tc>
        <w:tc>
          <w:tcPr>
            <w:tcW w:w="0" w:type="auto"/>
            <w:tcBorders>
              <w:top w:val="nil"/>
              <w:left w:val="nil"/>
              <w:bottom w:val="single" w:color="auto" w:sz="4" w:space="0"/>
              <w:right w:val="single" w:color="auto" w:sz="4" w:space="0"/>
            </w:tcBorders>
            <w:shd w:val="clear" w:color="auto" w:fill="auto"/>
            <w:vAlign w:val="center"/>
          </w:tcPr>
          <w:p w14:paraId="1C912A1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45</w:t>
            </w:r>
          </w:p>
        </w:tc>
        <w:tc>
          <w:tcPr>
            <w:tcW w:w="0" w:type="auto"/>
            <w:tcBorders>
              <w:top w:val="nil"/>
              <w:left w:val="nil"/>
              <w:bottom w:val="single" w:color="auto" w:sz="4" w:space="0"/>
              <w:right w:val="single" w:color="auto" w:sz="4" w:space="0"/>
            </w:tcBorders>
            <w:shd w:val="clear" w:color="auto" w:fill="auto"/>
            <w:vAlign w:val="center"/>
          </w:tcPr>
          <w:p w14:paraId="5A18928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45</w:t>
            </w:r>
          </w:p>
        </w:tc>
      </w:tr>
    </w:tbl>
    <w:p w14:paraId="608CE5C6">
      <w:pPr>
        <w:pStyle w:val="66"/>
        <w:sectPr>
          <w:footerReference r:id="rId56" w:type="default"/>
          <w:pgSz w:w="16840" w:h="11910" w:orient="landscape"/>
          <w:pgMar w:top="1560" w:right="1360" w:bottom="1340" w:left="1420" w:header="876" w:footer="1227" w:gutter="0"/>
          <w:cols w:space="720" w:num="1"/>
          <w:docGrid w:linePitch="326" w:charSpace="0"/>
        </w:sectPr>
      </w:pPr>
    </w:p>
    <w:p w14:paraId="49253AC7">
      <w:pPr>
        <w:pStyle w:val="66"/>
      </w:pPr>
      <w:r>
        <w:t>3</w:t>
      </w:r>
      <w:r>
        <w:rPr>
          <w:rFonts w:hint="eastAsia"/>
        </w:rPr>
        <w:t>）</w:t>
      </w:r>
      <w:r>
        <w:t>水力作用下上方无来水工程堆积体土壤侵蚀模数</w:t>
      </w:r>
    </w:p>
    <w:p w14:paraId="58508B17">
      <w:pPr>
        <w:pStyle w:val="66"/>
      </w:pPr>
      <w:r>
        <w:t>不受上方来水冲刷侵蚀的堆积体，施工期土壤侵蚀模数按照上方无来水工程堆积体土壤流失量公式计算；自然恢复期该部分可参照一般扰动区域地表翻扰型土壤侵蚀模数测算。</w:t>
      </w:r>
    </w:p>
    <w:p w14:paraId="11E410BA">
      <w:pPr>
        <w:pStyle w:val="66"/>
      </w:pPr>
      <w:r>
        <w:t>水力作用下上方无来水工程堆积体土壤侵蚀模数按下式计算：</w:t>
      </w:r>
    </w:p>
    <w:p w14:paraId="458A858A">
      <w:pPr>
        <w:pStyle w:val="66"/>
        <w:jc w:val="center"/>
      </w:pPr>
      <w:r>
        <w:t>Mdw=100XRGdwLdwSdw</w:t>
      </w:r>
    </w:p>
    <w:p w14:paraId="02D2CF82">
      <w:pPr>
        <w:pStyle w:val="66"/>
      </w:pPr>
      <w:r>
        <w:t>式中：</w:t>
      </w:r>
    </w:p>
    <w:p w14:paraId="3944198C">
      <w:pPr>
        <w:pStyle w:val="66"/>
      </w:pPr>
      <w:r>
        <w:t xml:space="preserve">Mdw——上方无来水工程堆积体测算单元土壤侵蚀模数，t/（km²·a）； </w:t>
      </w:r>
    </w:p>
    <w:p w14:paraId="5C91661F">
      <w:pPr>
        <w:pStyle w:val="66"/>
      </w:pPr>
      <w:r>
        <w:t>X——工程堆积体形态因子，无量纲；</w:t>
      </w:r>
    </w:p>
    <w:p w14:paraId="5FA761A1">
      <w:pPr>
        <w:pStyle w:val="66"/>
      </w:pPr>
      <w:r>
        <w:t>R——降雨侵蚀力因子，MJ·mm/（hm²·h），</w:t>
      </w:r>
      <w:r>
        <w:rPr>
          <w:rFonts w:hint="eastAsia"/>
        </w:rPr>
        <w:t>按照《生产建设项目土壤流失量测算导则》（</w:t>
      </w:r>
      <w:r>
        <w:t>SL773-2018</w:t>
      </w:r>
      <w:r>
        <w:rPr>
          <w:rFonts w:hint="eastAsia"/>
        </w:rPr>
        <w:t>）中降雨侵蚀力因子计算公式，利用固阳县行政单元多年平均逐月和年降雨侵蚀力因子及土壤可蚀性因子计算，固阳县多年平均降雨量为</w:t>
      </w:r>
      <w:r>
        <w:t>309.8mm</w:t>
      </w:r>
      <w:r>
        <w:rPr>
          <w:rFonts w:hint="eastAsia"/>
        </w:rPr>
        <w:t>，降雨侵蚀力因子为</w:t>
      </w:r>
      <w:r>
        <w:t>757 MJ·mm/</w:t>
      </w:r>
      <w:r>
        <w:rPr>
          <w:rFonts w:hint="eastAsia"/>
        </w:rPr>
        <w:t>（</w:t>
      </w:r>
      <w:r>
        <w:t>hm²·h</w:t>
      </w:r>
      <w:r>
        <w:rPr>
          <w:rFonts w:hint="eastAsia"/>
        </w:rPr>
        <w:t>）。</w:t>
      </w:r>
    </w:p>
    <w:p w14:paraId="20F02758">
      <w:pPr>
        <w:pStyle w:val="66"/>
      </w:pPr>
      <w:r>
        <w:t>Gdw——上方无来水工程堆积体土石质因子，t·hm²·h/(hm²·MJ·mm)；</w:t>
      </w:r>
    </w:p>
    <w:p w14:paraId="23B35DF0">
      <w:pPr>
        <w:pStyle w:val="66"/>
      </w:pPr>
      <w:r>
        <w:t>Ldw——上方无来水工程堆积体坡长因子，无量纲；</w:t>
      </w:r>
    </w:p>
    <w:p w14:paraId="21C4D991">
      <w:pPr>
        <w:pStyle w:val="66"/>
      </w:pPr>
      <w:r>
        <w:t>Sdw——上方无来水工程堆积体坡度因子，无量纲。</w:t>
      </w:r>
    </w:p>
    <w:p w14:paraId="53E4C651">
      <w:pPr>
        <w:pStyle w:val="66"/>
      </w:pPr>
      <w:r>
        <w:t>根据上式计算，水力作用下上方无来水工程堆积体土壤侵蚀模数计算见表4-7。</w:t>
      </w:r>
    </w:p>
    <w:p w14:paraId="47513D0A">
      <w:pPr>
        <w:pStyle w:val="66"/>
      </w:pPr>
    </w:p>
    <w:p w14:paraId="03DE9EF8">
      <w:pPr>
        <w:pStyle w:val="66"/>
        <w:sectPr>
          <w:headerReference r:id="rId57" w:type="default"/>
          <w:footerReference r:id="rId58" w:type="default"/>
          <w:pgSz w:w="11910" w:h="16840"/>
          <w:pgMar w:top="1360" w:right="1340" w:bottom="1420" w:left="1560" w:header="876" w:footer="1227" w:gutter="0"/>
          <w:cols w:space="720" w:num="1"/>
        </w:sectPr>
      </w:pPr>
    </w:p>
    <w:p w14:paraId="2E2AC80A">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表4-7                                                 水力作用下上方无来水工程堆积体土壤侵蚀模数计算表                                    单位：t/km²·a</w:t>
      </w:r>
    </w:p>
    <w:tbl>
      <w:tblPr>
        <w:tblStyle w:val="27"/>
        <w:tblW w:w="0" w:type="auto"/>
        <w:tblInd w:w="0" w:type="dxa"/>
        <w:tblLayout w:type="autofit"/>
        <w:tblCellMar>
          <w:top w:w="0" w:type="dxa"/>
          <w:left w:w="108" w:type="dxa"/>
          <w:bottom w:w="0" w:type="dxa"/>
          <w:right w:w="108" w:type="dxa"/>
        </w:tblCellMar>
      </w:tblPr>
      <w:tblGrid>
        <w:gridCol w:w="543"/>
        <w:gridCol w:w="1689"/>
        <w:gridCol w:w="639"/>
        <w:gridCol w:w="2141"/>
        <w:gridCol w:w="1824"/>
        <w:gridCol w:w="1469"/>
        <w:gridCol w:w="1087"/>
        <w:gridCol w:w="1189"/>
        <w:gridCol w:w="1189"/>
        <w:gridCol w:w="1570"/>
        <w:gridCol w:w="936"/>
      </w:tblGrid>
      <w:tr w14:paraId="67D7B304">
        <w:tblPrEx>
          <w:tblCellMar>
            <w:top w:w="0" w:type="dxa"/>
            <w:left w:w="108" w:type="dxa"/>
            <w:bottom w:w="0" w:type="dxa"/>
            <w:right w:w="108" w:type="dxa"/>
          </w:tblCellMar>
        </w:tblPrEx>
        <w:trPr>
          <w:trHeight w:val="454" w:hRule="atLeast"/>
        </w:trPr>
        <w:tc>
          <w:tcPr>
            <w:tcW w:w="0" w:type="auto"/>
            <w:tcBorders>
              <w:top w:val="single" w:color="auto" w:sz="4" w:space="0"/>
              <w:left w:val="single" w:color="auto" w:sz="4" w:space="0"/>
              <w:bottom w:val="double" w:color="auto" w:sz="4" w:space="0"/>
              <w:right w:val="single" w:color="auto" w:sz="4" w:space="0"/>
            </w:tcBorders>
            <w:shd w:val="clear" w:color="auto" w:fill="auto"/>
            <w:vAlign w:val="center"/>
          </w:tcPr>
          <w:p w14:paraId="4D158F2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序号</w:t>
            </w:r>
          </w:p>
        </w:tc>
        <w:tc>
          <w:tcPr>
            <w:tcW w:w="0" w:type="auto"/>
            <w:tcBorders>
              <w:top w:val="single" w:color="auto" w:sz="4" w:space="0"/>
              <w:left w:val="nil"/>
              <w:bottom w:val="double" w:color="auto" w:sz="4" w:space="0"/>
              <w:right w:val="single" w:color="auto" w:sz="4" w:space="0"/>
            </w:tcBorders>
            <w:shd w:val="clear" w:color="auto" w:fill="auto"/>
            <w:vAlign w:val="center"/>
          </w:tcPr>
          <w:p w14:paraId="28592D6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项目</w:t>
            </w:r>
          </w:p>
        </w:tc>
        <w:tc>
          <w:tcPr>
            <w:tcW w:w="0" w:type="auto"/>
            <w:tcBorders>
              <w:top w:val="single" w:color="auto" w:sz="4" w:space="0"/>
              <w:left w:val="nil"/>
              <w:bottom w:val="double" w:color="auto" w:sz="4" w:space="0"/>
              <w:right w:val="single" w:color="auto" w:sz="4" w:space="0"/>
            </w:tcBorders>
            <w:shd w:val="clear" w:color="auto" w:fill="auto"/>
            <w:vAlign w:val="center"/>
          </w:tcPr>
          <w:p w14:paraId="4D3D6D4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因子</w:t>
            </w:r>
          </w:p>
        </w:tc>
        <w:tc>
          <w:tcPr>
            <w:tcW w:w="0" w:type="auto"/>
            <w:tcBorders>
              <w:top w:val="single" w:color="auto" w:sz="4" w:space="0"/>
              <w:left w:val="nil"/>
              <w:bottom w:val="double" w:color="auto" w:sz="4" w:space="0"/>
              <w:right w:val="single" w:color="auto" w:sz="4" w:space="0"/>
            </w:tcBorders>
            <w:shd w:val="clear" w:color="auto" w:fill="auto"/>
            <w:vAlign w:val="center"/>
          </w:tcPr>
          <w:p w14:paraId="0C7DF6D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公式</w:t>
            </w:r>
          </w:p>
        </w:tc>
        <w:tc>
          <w:tcPr>
            <w:tcW w:w="0" w:type="auto"/>
            <w:tcBorders>
              <w:top w:val="single" w:color="auto" w:sz="4" w:space="0"/>
              <w:left w:val="nil"/>
              <w:bottom w:val="double" w:color="auto" w:sz="4" w:space="0"/>
              <w:right w:val="single" w:color="auto" w:sz="4" w:space="0"/>
            </w:tcBorders>
            <w:shd w:val="clear" w:color="auto" w:fill="auto"/>
            <w:vAlign w:val="center"/>
          </w:tcPr>
          <w:p w14:paraId="79BE60B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公共管理与公共服务用地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42B661AF">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商业服务业用地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7AC2DEF3">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工矿用地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4EE982D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交通运输用地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037B4BE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公用设施用地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3F15764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绿地与开敞空间用地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2A595D6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陆地水域</w:t>
            </w:r>
          </w:p>
        </w:tc>
      </w:tr>
      <w:tr w14:paraId="6A88D69B">
        <w:tblPrEx>
          <w:tblCellMar>
            <w:top w:w="0" w:type="dxa"/>
            <w:left w:w="108" w:type="dxa"/>
            <w:bottom w:w="0" w:type="dxa"/>
            <w:right w:w="108" w:type="dxa"/>
          </w:tblCellMar>
        </w:tblPrEx>
        <w:trPr>
          <w:trHeight w:val="454" w:hRule="atLeast"/>
        </w:trPr>
        <w:tc>
          <w:tcPr>
            <w:tcW w:w="0" w:type="auto"/>
            <w:tcBorders>
              <w:top w:val="double" w:color="auto" w:sz="4" w:space="0"/>
              <w:left w:val="single" w:color="auto" w:sz="4" w:space="0"/>
              <w:bottom w:val="single" w:color="auto" w:sz="4" w:space="0"/>
              <w:right w:val="single" w:color="auto" w:sz="4" w:space="0"/>
            </w:tcBorders>
            <w:shd w:val="clear" w:color="auto" w:fill="auto"/>
            <w:vAlign w:val="center"/>
          </w:tcPr>
          <w:p w14:paraId="1E1E44E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0" w:type="auto"/>
            <w:tcBorders>
              <w:top w:val="double" w:color="auto" w:sz="4" w:space="0"/>
              <w:left w:val="nil"/>
              <w:bottom w:val="single" w:color="auto" w:sz="4" w:space="0"/>
              <w:right w:val="single" w:color="auto" w:sz="4" w:space="0"/>
            </w:tcBorders>
            <w:shd w:val="clear" w:color="auto" w:fill="auto"/>
            <w:vAlign w:val="center"/>
          </w:tcPr>
          <w:p w14:paraId="4FE6D9C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上方无来水工程堆积体</w:t>
            </w:r>
          </w:p>
        </w:tc>
        <w:tc>
          <w:tcPr>
            <w:tcW w:w="0" w:type="auto"/>
            <w:tcBorders>
              <w:top w:val="double" w:color="auto" w:sz="4" w:space="0"/>
              <w:left w:val="nil"/>
              <w:bottom w:val="single" w:color="auto" w:sz="4" w:space="0"/>
              <w:right w:val="single" w:color="auto" w:sz="4" w:space="0"/>
            </w:tcBorders>
            <w:shd w:val="clear" w:color="auto" w:fill="auto"/>
            <w:vAlign w:val="center"/>
          </w:tcPr>
          <w:p w14:paraId="6925916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Mdw</w:t>
            </w:r>
          </w:p>
        </w:tc>
        <w:tc>
          <w:tcPr>
            <w:tcW w:w="0" w:type="auto"/>
            <w:tcBorders>
              <w:top w:val="double" w:color="auto" w:sz="4" w:space="0"/>
              <w:left w:val="nil"/>
              <w:bottom w:val="single" w:color="auto" w:sz="4" w:space="0"/>
              <w:right w:val="single" w:color="auto" w:sz="4" w:space="0"/>
            </w:tcBorders>
            <w:shd w:val="clear" w:color="auto" w:fill="auto"/>
            <w:vAlign w:val="center"/>
          </w:tcPr>
          <w:p w14:paraId="0E2A125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Mdw=XRGdwLdwSdw</w:t>
            </w:r>
          </w:p>
        </w:tc>
        <w:tc>
          <w:tcPr>
            <w:tcW w:w="0" w:type="auto"/>
            <w:tcBorders>
              <w:top w:val="double" w:color="auto" w:sz="4" w:space="0"/>
              <w:left w:val="nil"/>
              <w:bottom w:val="single" w:color="auto" w:sz="4" w:space="0"/>
              <w:right w:val="single" w:color="auto" w:sz="4" w:space="0"/>
            </w:tcBorders>
            <w:shd w:val="clear" w:color="auto" w:fill="auto"/>
            <w:vAlign w:val="center"/>
          </w:tcPr>
          <w:p w14:paraId="0635F90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11312 </w:t>
            </w:r>
          </w:p>
        </w:tc>
        <w:tc>
          <w:tcPr>
            <w:tcW w:w="0" w:type="auto"/>
            <w:tcBorders>
              <w:top w:val="double" w:color="auto" w:sz="4" w:space="0"/>
              <w:left w:val="nil"/>
              <w:bottom w:val="single" w:color="auto" w:sz="4" w:space="0"/>
              <w:right w:val="single" w:color="auto" w:sz="4" w:space="0"/>
            </w:tcBorders>
            <w:shd w:val="clear" w:color="auto" w:fill="auto"/>
            <w:vAlign w:val="center"/>
          </w:tcPr>
          <w:p w14:paraId="2C66154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11312 </w:t>
            </w:r>
          </w:p>
        </w:tc>
        <w:tc>
          <w:tcPr>
            <w:tcW w:w="0" w:type="auto"/>
            <w:tcBorders>
              <w:top w:val="double" w:color="auto" w:sz="4" w:space="0"/>
              <w:left w:val="nil"/>
              <w:bottom w:val="single" w:color="auto" w:sz="4" w:space="0"/>
              <w:right w:val="single" w:color="auto" w:sz="4" w:space="0"/>
            </w:tcBorders>
            <w:shd w:val="clear" w:color="auto" w:fill="auto"/>
            <w:vAlign w:val="center"/>
          </w:tcPr>
          <w:p w14:paraId="003B7BD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13636 </w:t>
            </w:r>
          </w:p>
        </w:tc>
        <w:tc>
          <w:tcPr>
            <w:tcW w:w="0" w:type="auto"/>
            <w:tcBorders>
              <w:top w:val="double" w:color="auto" w:sz="4" w:space="0"/>
              <w:left w:val="nil"/>
              <w:bottom w:val="single" w:color="auto" w:sz="4" w:space="0"/>
              <w:right w:val="single" w:color="auto" w:sz="4" w:space="0"/>
            </w:tcBorders>
            <w:shd w:val="clear" w:color="auto" w:fill="auto"/>
            <w:vAlign w:val="center"/>
          </w:tcPr>
          <w:p w14:paraId="4346BBD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11312 </w:t>
            </w:r>
          </w:p>
        </w:tc>
        <w:tc>
          <w:tcPr>
            <w:tcW w:w="0" w:type="auto"/>
            <w:tcBorders>
              <w:top w:val="double" w:color="auto" w:sz="4" w:space="0"/>
              <w:left w:val="nil"/>
              <w:bottom w:val="single" w:color="auto" w:sz="4" w:space="0"/>
              <w:right w:val="single" w:color="auto" w:sz="4" w:space="0"/>
            </w:tcBorders>
            <w:shd w:val="clear" w:color="auto" w:fill="auto"/>
            <w:vAlign w:val="center"/>
          </w:tcPr>
          <w:p w14:paraId="401A279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11312 </w:t>
            </w:r>
          </w:p>
        </w:tc>
        <w:tc>
          <w:tcPr>
            <w:tcW w:w="0" w:type="auto"/>
            <w:tcBorders>
              <w:top w:val="double" w:color="auto" w:sz="4" w:space="0"/>
              <w:left w:val="nil"/>
              <w:bottom w:val="single" w:color="auto" w:sz="4" w:space="0"/>
              <w:right w:val="single" w:color="auto" w:sz="4" w:space="0"/>
            </w:tcBorders>
            <w:shd w:val="clear" w:color="auto" w:fill="auto"/>
            <w:vAlign w:val="center"/>
          </w:tcPr>
          <w:p w14:paraId="4C48403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9069 </w:t>
            </w:r>
          </w:p>
        </w:tc>
        <w:tc>
          <w:tcPr>
            <w:tcW w:w="0" w:type="auto"/>
            <w:tcBorders>
              <w:top w:val="double" w:color="auto" w:sz="4" w:space="0"/>
              <w:left w:val="nil"/>
              <w:bottom w:val="single" w:color="auto" w:sz="4" w:space="0"/>
              <w:right w:val="single" w:color="auto" w:sz="4" w:space="0"/>
            </w:tcBorders>
            <w:shd w:val="clear" w:color="auto" w:fill="auto"/>
            <w:vAlign w:val="center"/>
          </w:tcPr>
          <w:p w14:paraId="4D48095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9069 </w:t>
            </w:r>
          </w:p>
        </w:tc>
      </w:tr>
      <w:tr w14:paraId="6147090A">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58B19A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w:t>
            </w:r>
          </w:p>
        </w:tc>
        <w:tc>
          <w:tcPr>
            <w:tcW w:w="0" w:type="auto"/>
            <w:tcBorders>
              <w:top w:val="nil"/>
              <w:left w:val="nil"/>
              <w:bottom w:val="single" w:color="auto" w:sz="4" w:space="0"/>
              <w:right w:val="single" w:color="auto" w:sz="4" w:space="0"/>
            </w:tcBorders>
            <w:shd w:val="clear" w:color="auto" w:fill="auto"/>
            <w:vAlign w:val="center"/>
          </w:tcPr>
          <w:p w14:paraId="425FA50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工程堆积体形态因子</w:t>
            </w:r>
          </w:p>
        </w:tc>
        <w:tc>
          <w:tcPr>
            <w:tcW w:w="0" w:type="auto"/>
            <w:tcBorders>
              <w:top w:val="nil"/>
              <w:left w:val="nil"/>
              <w:bottom w:val="single" w:color="auto" w:sz="4" w:space="0"/>
              <w:right w:val="single" w:color="auto" w:sz="4" w:space="0"/>
            </w:tcBorders>
            <w:shd w:val="clear" w:color="auto" w:fill="auto"/>
            <w:vAlign w:val="center"/>
          </w:tcPr>
          <w:p w14:paraId="7E50416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X</w:t>
            </w:r>
          </w:p>
        </w:tc>
        <w:tc>
          <w:tcPr>
            <w:tcW w:w="0" w:type="auto"/>
            <w:tcBorders>
              <w:top w:val="nil"/>
              <w:left w:val="nil"/>
              <w:bottom w:val="single" w:color="auto" w:sz="4" w:space="0"/>
              <w:right w:val="single" w:color="auto" w:sz="4" w:space="0"/>
            </w:tcBorders>
            <w:shd w:val="clear" w:color="auto" w:fill="auto"/>
            <w:vAlign w:val="center"/>
          </w:tcPr>
          <w:p w14:paraId="7EC9976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09B12F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0" w:type="auto"/>
            <w:tcBorders>
              <w:top w:val="nil"/>
              <w:left w:val="nil"/>
              <w:bottom w:val="single" w:color="auto" w:sz="4" w:space="0"/>
              <w:right w:val="single" w:color="auto" w:sz="4" w:space="0"/>
            </w:tcBorders>
            <w:shd w:val="clear" w:color="auto" w:fill="auto"/>
            <w:vAlign w:val="center"/>
          </w:tcPr>
          <w:p w14:paraId="7B082CD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0" w:type="auto"/>
            <w:tcBorders>
              <w:top w:val="nil"/>
              <w:left w:val="nil"/>
              <w:bottom w:val="single" w:color="auto" w:sz="4" w:space="0"/>
              <w:right w:val="single" w:color="auto" w:sz="4" w:space="0"/>
            </w:tcBorders>
            <w:shd w:val="clear" w:color="auto" w:fill="auto"/>
            <w:vAlign w:val="center"/>
          </w:tcPr>
          <w:p w14:paraId="6BB1898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0" w:type="auto"/>
            <w:tcBorders>
              <w:top w:val="nil"/>
              <w:left w:val="nil"/>
              <w:bottom w:val="single" w:color="auto" w:sz="4" w:space="0"/>
              <w:right w:val="single" w:color="auto" w:sz="4" w:space="0"/>
            </w:tcBorders>
            <w:shd w:val="clear" w:color="auto" w:fill="auto"/>
            <w:vAlign w:val="center"/>
          </w:tcPr>
          <w:p w14:paraId="70E1687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0" w:type="auto"/>
            <w:tcBorders>
              <w:top w:val="nil"/>
              <w:left w:val="nil"/>
              <w:bottom w:val="single" w:color="auto" w:sz="4" w:space="0"/>
              <w:right w:val="single" w:color="auto" w:sz="4" w:space="0"/>
            </w:tcBorders>
            <w:shd w:val="clear" w:color="auto" w:fill="auto"/>
            <w:vAlign w:val="center"/>
          </w:tcPr>
          <w:p w14:paraId="0002663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0" w:type="auto"/>
            <w:tcBorders>
              <w:top w:val="nil"/>
              <w:left w:val="nil"/>
              <w:bottom w:val="single" w:color="auto" w:sz="4" w:space="0"/>
              <w:right w:val="single" w:color="auto" w:sz="4" w:space="0"/>
            </w:tcBorders>
            <w:shd w:val="clear" w:color="auto" w:fill="auto"/>
            <w:vAlign w:val="center"/>
          </w:tcPr>
          <w:p w14:paraId="6BF872F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0" w:type="auto"/>
            <w:tcBorders>
              <w:top w:val="nil"/>
              <w:left w:val="nil"/>
              <w:bottom w:val="single" w:color="auto" w:sz="4" w:space="0"/>
              <w:right w:val="single" w:color="auto" w:sz="4" w:space="0"/>
            </w:tcBorders>
            <w:shd w:val="clear" w:color="auto" w:fill="auto"/>
            <w:vAlign w:val="center"/>
          </w:tcPr>
          <w:p w14:paraId="325E24C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r>
      <w:tr w14:paraId="74278659">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B6978A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w:t>
            </w:r>
          </w:p>
        </w:tc>
        <w:tc>
          <w:tcPr>
            <w:tcW w:w="0" w:type="auto"/>
            <w:tcBorders>
              <w:top w:val="nil"/>
              <w:left w:val="nil"/>
              <w:bottom w:val="single" w:color="auto" w:sz="4" w:space="0"/>
              <w:right w:val="single" w:color="auto" w:sz="4" w:space="0"/>
            </w:tcBorders>
            <w:shd w:val="clear" w:color="auto" w:fill="auto"/>
            <w:vAlign w:val="center"/>
          </w:tcPr>
          <w:p w14:paraId="3D230E0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降雨侵蚀力因子</w:t>
            </w:r>
          </w:p>
        </w:tc>
        <w:tc>
          <w:tcPr>
            <w:tcW w:w="0" w:type="auto"/>
            <w:tcBorders>
              <w:top w:val="nil"/>
              <w:left w:val="nil"/>
              <w:bottom w:val="single" w:color="auto" w:sz="4" w:space="0"/>
              <w:right w:val="single" w:color="auto" w:sz="4" w:space="0"/>
            </w:tcBorders>
            <w:shd w:val="clear" w:color="auto" w:fill="auto"/>
            <w:vAlign w:val="center"/>
          </w:tcPr>
          <w:p w14:paraId="47ADB25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R</w:t>
            </w:r>
          </w:p>
        </w:tc>
        <w:tc>
          <w:tcPr>
            <w:tcW w:w="0" w:type="auto"/>
            <w:tcBorders>
              <w:top w:val="nil"/>
              <w:left w:val="nil"/>
              <w:bottom w:val="single" w:color="auto" w:sz="4" w:space="0"/>
              <w:right w:val="single" w:color="auto" w:sz="4" w:space="0"/>
            </w:tcBorders>
            <w:shd w:val="clear" w:color="auto" w:fill="auto"/>
            <w:vAlign w:val="center"/>
          </w:tcPr>
          <w:p w14:paraId="7CACD94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R=0.067pd1.627</w:t>
            </w:r>
          </w:p>
        </w:tc>
        <w:tc>
          <w:tcPr>
            <w:tcW w:w="0" w:type="auto"/>
            <w:tcBorders>
              <w:top w:val="nil"/>
              <w:left w:val="nil"/>
              <w:bottom w:val="single" w:color="auto" w:sz="4" w:space="0"/>
              <w:right w:val="single" w:color="auto" w:sz="4" w:space="0"/>
            </w:tcBorders>
            <w:shd w:val="clear" w:color="auto" w:fill="auto"/>
            <w:vAlign w:val="center"/>
          </w:tcPr>
          <w:p w14:paraId="583CE23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0" w:type="auto"/>
            <w:tcBorders>
              <w:top w:val="nil"/>
              <w:left w:val="nil"/>
              <w:bottom w:val="single" w:color="auto" w:sz="4" w:space="0"/>
              <w:right w:val="single" w:color="auto" w:sz="4" w:space="0"/>
            </w:tcBorders>
            <w:shd w:val="clear" w:color="auto" w:fill="auto"/>
            <w:vAlign w:val="center"/>
          </w:tcPr>
          <w:p w14:paraId="6C8B7CB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0" w:type="auto"/>
            <w:tcBorders>
              <w:top w:val="nil"/>
              <w:left w:val="nil"/>
              <w:bottom w:val="single" w:color="auto" w:sz="4" w:space="0"/>
              <w:right w:val="single" w:color="auto" w:sz="4" w:space="0"/>
            </w:tcBorders>
            <w:shd w:val="clear" w:color="auto" w:fill="auto"/>
            <w:vAlign w:val="center"/>
          </w:tcPr>
          <w:p w14:paraId="58FAAAD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0" w:type="auto"/>
            <w:tcBorders>
              <w:top w:val="nil"/>
              <w:left w:val="nil"/>
              <w:bottom w:val="single" w:color="auto" w:sz="4" w:space="0"/>
              <w:right w:val="single" w:color="auto" w:sz="4" w:space="0"/>
            </w:tcBorders>
            <w:shd w:val="clear" w:color="auto" w:fill="auto"/>
            <w:vAlign w:val="center"/>
          </w:tcPr>
          <w:p w14:paraId="52B6C64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0" w:type="auto"/>
            <w:tcBorders>
              <w:top w:val="nil"/>
              <w:left w:val="nil"/>
              <w:bottom w:val="single" w:color="auto" w:sz="4" w:space="0"/>
              <w:right w:val="single" w:color="auto" w:sz="4" w:space="0"/>
            </w:tcBorders>
            <w:shd w:val="clear" w:color="auto" w:fill="auto"/>
            <w:vAlign w:val="center"/>
          </w:tcPr>
          <w:p w14:paraId="629760F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0" w:type="auto"/>
            <w:tcBorders>
              <w:top w:val="nil"/>
              <w:left w:val="nil"/>
              <w:bottom w:val="single" w:color="auto" w:sz="4" w:space="0"/>
              <w:right w:val="single" w:color="auto" w:sz="4" w:space="0"/>
            </w:tcBorders>
            <w:shd w:val="clear" w:color="auto" w:fill="auto"/>
            <w:vAlign w:val="center"/>
          </w:tcPr>
          <w:p w14:paraId="2505FBB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0" w:type="auto"/>
            <w:tcBorders>
              <w:top w:val="nil"/>
              <w:left w:val="nil"/>
              <w:bottom w:val="single" w:color="auto" w:sz="4" w:space="0"/>
              <w:right w:val="single" w:color="auto" w:sz="4" w:space="0"/>
            </w:tcBorders>
            <w:shd w:val="clear" w:color="auto" w:fill="auto"/>
            <w:vAlign w:val="center"/>
          </w:tcPr>
          <w:p w14:paraId="67C7FB6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r>
      <w:tr w14:paraId="1105CEF9">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A8E681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4</w:t>
            </w:r>
          </w:p>
        </w:tc>
        <w:tc>
          <w:tcPr>
            <w:tcW w:w="0" w:type="auto"/>
            <w:tcBorders>
              <w:top w:val="nil"/>
              <w:left w:val="nil"/>
              <w:bottom w:val="single" w:color="auto" w:sz="4" w:space="0"/>
              <w:right w:val="single" w:color="auto" w:sz="4" w:space="0"/>
            </w:tcBorders>
            <w:shd w:val="clear" w:color="auto" w:fill="auto"/>
            <w:vAlign w:val="center"/>
          </w:tcPr>
          <w:p w14:paraId="0E3A978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工程开挖面土质因子</w:t>
            </w:r>
          </w:p>
        </w:tc>
        <w:tc>
          <w:tcPr>
            <w:tcW w:w="0" w:type="auto"/>
            <w:tcBorders>
              <w:top w:val="nil"/>
              <w:left w:val="nil"/>
              <w:bottom w:val="single" w:color="auto" w:sz="4" w:space="0"/>
              <w:right w:val="single" w:color="auto" w:sz="4" w:space="0"/>
            </w:tcBorders>
            <w:shd w:val="clear" w:color="auto" w:fill="auto"/>
            <w:vAlign w:val="center"/>
          </w:tcPr>
          <w:p w14:paraId="444A257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Gdw</w:t>
            </w:r>
          </w:p>
        </w:tc>
        <w:tc>
          <w:tcPr>
            <w:tcW w:w="0" w:type="auto"/>
            <w:tcBorders>
              <w:top w:val="nil"/>
              <w:left w:val="nil"/>
              <w:bottom w:val="single" w:color="auto" w:sz="4" w:space="0"/>
              <w:right w:val="single" w:color="auto" w:sz="4" w:space="0"/>
            </w:tcBorders>
            <w:shd w:val="clear" w:color="auto" w:fill="auto"/>
            <w:vAlign w:val="center"/>
          </w:tcPr>
          <w:p w14:paraId="7A2DF34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Gdw=a1eb1δ</w:t>
            </w:r>
          </w:p>
        </w:tc>
        <w:tc>
          <w:tcPr>
            <w:tcW w:w="0" w:type="auto"/>
            <w:tcBorders>
              <w:top w:val="nil"/>
              <w:left w:val="nil"/>
              <w:bottom w:val="single" w:color="auto" w:sz="4" w:space="0"/>
              <w:right w:val="single" w:color="auto" w:sz="4" w:space="0"/>
            </w:tcBorders>
            <w:shd w:val="clear" w:color="auto" w:fill="auto"/>
            <w:vAlign w:val="center"/>
          </w:tcPr>
          <w:p w14:paraId="4389D25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0.0525</w:t>
            </w:r>
          </w:p>
        </w:tc>
        <w:tc>
          <w:tcPr>
            <w:tcW w:w="0" w:type="auto"/>
            <w:tcBorders>
              <w:top w:val="nil"/>
              <w:left w:val="nil"/>
              <w:bottom w:val="single" w:color="auto" w:sz="4" w:space="0"/>
              <w:right w:val="single" w:color="auto" w:sz="4" w:space="0"/>
            </w:tcBorders>
            <w:shd w:val="clear" w:color="auto" w:fill="auto"/>
            <w:vAlign w:val="center"/>
          </w:tcPr>
          <w:p w14:paraId="5DC73D7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0.0525</w:t>
            </w:r>
          </w:p>
        </w:tc>
        <w:tc>
          <w:tcPr>
            <w:tcW w:w="0" w:type="auto"/>
            <w:tcBorders>
              <w:top w:val="nil"/>
              <w:left w:val="nil"/>
              <w:bottom w:val="single" w:color="auto" w:sz="4" w:space="0"/>
              <w:right w:val="single" w:color="auto" w:sz="4" w:space="0"/>
            </w:tcBorders>
            <w:shd w:val="clear" w:color="auto" w:fill="auto"/>
            <w:vAlign w:val="center"/>
          </w:tcPr>
          <w:p w14:paraId="7AEF557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0.0525</w:t>
            </w:r>
          </w:p>
        </w:tc>
        <w:tc>
          <w:tcPr>
            <w:tcW w:w="0" w:type="auto"/>
            <w:tcBorders>
              <w:top w:val="nil"/>
              <w:left w:val="nil"/>
              <w:bottom w:val="single" w:color="auto" w:sz="4" w:space="0"/>
              <w:right w:val="single" w:color="auto" w:sz="4" w:space="0"/>
            </w:tcBorders>
            <w:shd w:val="clear" w:color="auto" w:fill="auto"/>
            <w:vAlign w:val="center"/>
          </w:tcPr>
          <w:p w14:paraId="5CF5030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0.0525</w:t>
            </w:r>
          </w:p>
        </w:tc>
        <w:tc>
          <w:tcPr>
            <w:tcW w:w="0" w:type="auto"/>
            <w:tcBorders>
              <w:top w:val="nil"/>
              <w:left w:val="nil"/>
              <w:bottom w:val="single" w:color="auto" w:sz="4" w:space="0"/>
              <w:right w:val="single" w:color="auto" w:sz="4" w:space="0"/>
            </w:tcBorders>
            <w:shd w:val="clear" w:color="auto" w:fill="auto"/>
            <w:vAlign w:val="center"/>
          </w:tcPr>
          <w:p w14:paraId="5ABF9A5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0.0525</w:t>
            </w:r>
          </w:p>
        </w:tc>
        <w:tc>
          <w:tcPr>
            <w:tcW w:w="0" w:type="auto"/>
            <w:tcBorders>
              <w:top w:val="nil"/>
              <w:left w:val="nil"/>
              <w:bottom w:val="single" w:color="auto" w:sz="4" w:space="0"/>
              <w:right w:val="single" w:color="auto" w:sz="4" w:space="0"/>
            </w:tcBorders>
            <w:shd w:val="clear" w:color="auto" w:fill="auto"/>
            <w:vAlign w:val="center"/>
          </w:tcPr>
          <w:p w14:paraId="48CFDE0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0.0525</w:t>
            </w:r>
          </w:p>
        </w:tc>
        <w:tc>
          <w:tcPr>
            <w:tcW w:w="0" w:type="auto"/>
            <w:tcBorders>
              <w:top w:val="nil"/>
              <w:left w:val="nil"/>
              <w:bottom w:val="single" w:color="auto" w:sz="4" w:space="0"/>
              <w:right w:val="single" w:color="auto" w:sz="4" w:space="0"/>
            </w:tcBorders>
            <w:shd w:val="clear" w:color="auto" w:fill="auto"/>
            <w:vAlign w:val="center"/>
          </w:tcPr>
          <w:p w14:paraId="2F04C68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0.0525</w:t>
            </w:r>
          </w:p>
        </w:tc>
      </w:tr>
      <w:tr w14:paraId="0B4B1189">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1E472C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01BCFEE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土体砾石含量</w:t>
            </w:r>
          </w:p>
        </w:tc>
        <w:tc>
          <w:tcPr>
            <w:tcW w:w="0" w:type="auto"/>
            <w:tcBorders>
              <w:top w:val="nil"/>
              <w:left w:val="nil"/>
              <w:bottom w:val="single" w:color="auto" w:sz="4" w:space="0"/>
              <w:right w:val="single" w:color="auto" w:sz="4" w:space="0"/>
            </w:tcBorders>
            <w:shd w:val="clear" w:color="auto" w:fill="auto"/>
            <w:vAlign w:val="center"/>
          </w:tcPr>
          <w:p w14:paraId="6B367FF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δ</w:t>
            </w:r>
          </w:p>
        </w:tc>
        <w:tc>
          <w:tcPr>
            <w:tcW w:w="0" w:type="auto"/>
            <w:tcBorders>
              <w:top w:val="nil"/>
              <w:left w:val="nil"/>
              <w:bottom w:val="single" w:color="auto" w:sz="4" w:space="0"/>
              <w:right w:val="single" w:color="auto" w:sz="4" w:space="0"/>
            </w:tcBorders>
            <w:shd w:val="clear" w:color="auto" w:fill="auto"/>
            <w:vAlign w:val="center"/>
          </w:tcPr>
          <w:p w14:paraId="42A9DF3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6E73F34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0.1</w:t>
            </w:r>
          </w:p>
        </w:tc>
        <w:tc>
          <w:tcPr>
            <w:tcW w:w="0" w:type="auto"/>
            <w:tcBorders>
              <w:top w:val="nil"/>
              <w:left w:val="nil"/>
              <w:bottom w:val="single" w:color="auto" w:sz="4" w:space="0"/>
              <w:right w:val="single" w:color="auto" w:sz="4" w:space="0"/>
            </w:tcBorders>
            <w:shd w:val="clear" w:color="auto" w:fill="auto"/>
            <w:vAlign w:val="center"/>
          </w:tcPr>
          <w:p w14:paraId="7165E6E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0.1</w:t>
            </w:r>
          </w:p>
        </w:tc>
        <w:tc>
          <w:tcPr>
            <w:tcW w:w="0" w:type="auto"/>
            <w:tcBorders>
              <w:top w:val="nil"/>
              <w:left w:val="nil"/>
              <w:bottom w:val="single" w:color="auto" w:sz="4" w:space="0"/>
              <w:right w:val="single" w:color="auto" w:sz="4" w:space="0"/>
            </w:tcBorders>
            <w:shd w:val="clear" w:color="auto" w:fill="auto"/>
            <w:vAlign w:val="center"/>
          </w:tcPr>
          <w:p w14:paraId="11C5102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0.1</w:t>
            </w:r>
          </w:p>
        </w:tc>
        <w:tc>
          <w:tcPr>
            <w:tcW w:w="0" w:type="auto"/>
            <w:tcBorders>
              <w:top w:val="nil"/>
              <w:left w:val="nil"/>
              <w:bottom w:val="single" w:color="auto" w:sz="4" w:space="0"/>
              <w:right w:val="single" w:color="auto" w:sz="4" w:space="0"/>
            </w:tcBorders>
            <w:shd w:val="clear" w:color="auto" w:fill="auto"/>
            <w:vAlign w:val="center"/>
          </w:tcPr>
          <w:p w14:paraId="2988C85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0.1</w:t>
            </w:r>
          </w:p>
        </w:tc>
        <w:tc>
          <w:tcPr>
            <w:tcW w:w="0" w:type="auto"/>
            <w:tcBorders>
              <w:top w:val="nil"/>
              <w:left w:val="nil"/>
              <w:bottom w:val="single" w:color="auto" w:sz="4" w:space="0"/>
              <w:right w:val="single" w:color="auto" w:sz="4" w:space="0"/>
            </w:tcBorders>
            <w:shd w:val="clear" w:color="auto" w:fill="auto"/>
            <w:vAlign w:val="center"/>
          </w:tcPr>
          <w:p w14:paraId="6B9FE47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0.1</w:t>
            </w:r>
          </w:p>
        </w:tc>
        <w:tc>
          <w:tcPr>
            <w:tcW w:w="0" w:type="auto"/>
            <w:tcBorders>
              <w:top w:val="nil"/>
              <w:left w:val="nil"/>
              <w:bottom w:val="single" w:color="auto" w:sz="4" w:space="0"/>
              <w:right w:val="single" w:color="auto" w:sz="4" w:space="0"/>
            </w:tcBorders>
            <w:shd w:val="clear" w:color="auto" w:fill="auto"/>
            <w:vAlign w:val="center"/>
          </w:tcPr>
          <w:p w14:paraId="6E425E1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0.1</w:t>
            </w:r>
          </w:p>
        </w:tc>
        <w:tc>
          <w:tcPr>
            <w:tcW w:w="0" w:type="auto"/>
            <w:tcBorders>
              <w:top w:val="nil"/>
              <w:left w:val="nil"/>
              <w:bottom w:val="single" w:color="auto" w:sz="4" w:space="0"/>
              <w:right w:val="single" w:color="auto" w:sz="4" w:space="0"/>
            </w:tcBorders>
            <w:shd w:val="clear" w:color="auto" w:fill="auto"/>
            <w:vAlign w:val="center"/>
          </w:tcPr>
          <w:p w14:paraId="05AA6A9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0.1</w:t>
            </w:r>
          </w:p>
        </w:tc>
      </w:tr>
      <w:tr w14:paraId="5AC3CAE0">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B39AF0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7ABF9E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土石质因子系数</w:t>
            </w:r>
          </w:p>
        </w:tc>
        <w:tc>
          <w:tcPr>
            <w:tcW w:w="0" w:type="auto"/>
            <w:tcBorders>
              <w:top w:val="nil"/>
              <w:left w:val="nil"/>
              <w:bottom w:val="single" w:color="auto" w:sz="4" w:space="0"/>
              <w:right w:val="single" w:color="auto" w:sz="4" w:space="0"/>
            </w:tcBorders>
            <w:shd w:val="clear" w:color="auto" w:fill="auto"/>
            <w:vAlign w:val="center"/>
          </w:tcPr>
          <w:p w14:paraId="58FD8F1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a1</w:t>
            </w:r>
          </w:p>
        </w:tc>
        <w:tc>
          <w:tcPr>
            <w:tcW w:w="0" w:type="auto"/>
            <w:tcBorders>
              <w:top w:val="nil"/>
              <w:left w:val="nil"/>
              <w:bottom w:val="single" w:color="auto" w:sz="4" w:space="0"/>
              <w:right w:val="single" w:color="auto" w:sz="4" w:space="0"/>
            </w:tcBorders>
            <w:shd w:val="clear" w:color="auto" w:fill="auto"/>
            <w:vAlign w:val="center"/>
          </w:tcPr>
          <w:p w14:paraId="199FBC4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1AB161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0.075</w:t>
            </w:r>
          </w:p>
        </w:tc>
        <w:tc>
          <w:tcPr>
            <w:tcW w:w="0" w:type="auto"/>
            <w:tcBorders>
              <w:top w:val="nil"/>
              <w:left w:val="nil"/>
              <w:bottom w:val="single" w:color="auto" w:sz="4" w:space="0"/>
              <w:right w:val="single" w:color="auto" w:sz="4" w:space="0"/>
            </w:tcBorders>
            <w:shd w:val="clear" w:color="auto" w:fill="auto"/>
            <w:vAlign w:val="center"/>
          </w:tcPr>
          <w:p w14:paraId="46E0690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0.075</w:t>
            </w:r>
          </w:p>
        </w:tc>
        <w:tc>
          <w:tcPr>
            <w:tcW w:w="0" w:type="auto"/>
            <w:tcBorders>
              <w:top w:val="nil"/>
              <w:left w:val="nil"/>
              <w:bottom w:val="single" w:color="auto" w:sz="4" w:space="0"/>
              <w:right w:val="single" w:color="auto" w:sz="4" w:space="0"/>
            </w:tcBorders>
            <w:shd w:val="clear" w:color="auto" w:fill="auto"/>
            <w:vAlign w:val="center"/>
          </w:tcPr>
          <w:p w14:paraId="123FE4D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0.075</w:t>
            </w:r>
          </w:p>
        </w:tc>
        <w:tc>
          <w:tcPr>
            <w:tcW w:w="0" w:type="auto"/>
            <w:tcBorders>
              <w:top w:val="nil"/>
              <w:left w:val="nil"/>
              <w:bottom w:val="single" w:color="auto" w:sz="4" w:space="0"/>
              <w:right w:val="single" w:color="auto" w:sz="4" w:space="0"/>
            </w:tcBorders>
            <w:shd w:val="clear" w:color="auto" w:fill="auto"/>
            <w:vAlign w:val="center"/>
          </w:tcPr>
          <w:p w14:paraId="684D93A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0.075</w:t>
            </w:r>
          </w:p>
        </w:tc>
        <w:tc>
          <w:tcPr>
            <w:tcW w:w="0" w:type="auto"/>
            <w:tcBorders>
              <w:top w:val="nil"/>
              <w:left w:val="nil"/>
              <w:bottom w:val="single" w:color="auto" w:sz="4" w:space="0"/>
              <w:right w:val="single" w:color="auto" w:sz="4" w:space="0"/>
            </w:tcBorders>
            <w:shd w:val="clear" w:color="auto" w:fill="auto"/>
            <w:vAlign w:val="center"/>
          </w:tcPr>
          <w:p w14:paraId="38B4702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0.075</w:t>
            </w:r>
          </w:p>
        </w:tc>
        <w:tc>
          <w:tcPr>
            <w:tcW w:w="0" w:type="auto"/>
            <w:tcBorders>
              <w:top w:val="nil"/>
              <w:left w:val="nil"/>
              <w:bottom w:val="single" w:color="auto" w:sz="4" w:space="0"/>
              <w:right w:val="single" w:color="auto" w:sz="4" w:space="0"/>
            </w:tcBorders>
            <w:shd w:val="clear" w:color="auto" w:fill="auto"/>
            <w:vAlign w:val="center"/>
          </w:tcPr>
          <w:p w14:paraId="7E23E4B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0.075</w:t>
            </w:r>
          </w:p>
        </w:tc>
        <w:tc>
          <w:tcPr>
            <w:tcW w:w="0" w:type="auto"/>
            <w:tcBorders>
              <w:top w:val="nil"/>
              <w:left w:val="nil"/>
              <w:bottom w:val="single" w:color="auto" w:sz="4" w:space="0"/>
              <w:right w:val="single" w:color="auto" w:sz="4" w:space="0"/>
            </w:tcBorders>
            <w:shd w:val="clear" w:color="auto" w:fill="auto"/>
            <w:vAlign w:val="center"/>
          </w:tcPr>
          <w:p w14:paraId="1A38DE8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0.075</w:t>
            </w:r>
          </w:p>
        </w:tc>
      </w:tr>
      <w:tr w14:paraId="46E50A60">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323382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0A8C9B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4D890D4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b1</w:t>
            </w:r>
          </w:p>
        </w:tc>
        <w:tc>
          <w:tcPr>
            <w:tcW w:w="0" w:type="auto"/>
            <w:tcBorders>
              <w:top w:val="nil"/>
              <w:left w:val="nil"/>
              <w:bottom w:val="single" w:color="auto" w:sz="4" w:space="0"/>
              <w:right w:val="single" w:color="auto" w:sz="4" w:space="0"/>
            </w:tcBorders>
            <w:shd w:val="clear" w:color="auto" w:fill="auto"/>
            <w:vAlign w:val="center"/>
          </w:tcPr>
          <w:p w14:paraId="5DE7685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51D240C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-3.57</w:t>
            </w:r>
          </w:p>
        </w:tc>
        <w:tc>
          <w:tcPr>
            <w:tcW w:w="0" w:type="auto"/>
            <w:tcBorders>
              <w:top w:val="nil"/>
              <w:left w:val="nil"/>
              <w:bottom w:val="single" w:color="auto" w:sz="4" w:space="0"/>
              <w:right w:val="single" w:color="auto" w:sz="4" w:space="0"/>
            </w:tcBorders>
            <w:shd w:val="clear" w:color="auto" w:fill="auto"/>
            <w:vAlign w:val="center"/>
          </w:tcPr>
          <w:p w14:paraId="547E95F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-3.57</w:t>
            </w:r>
          </w:p>
        </w:tc>
        <w:tc>
          <w:tcPr>
            <w:tcW w:w="0" w:type="auto"/>
            <w:tcBorders>
              <w:top w:val="nil"/>
              <w:left w:val="nil"/>
              <w:bottom w:val="single" w:color="auto" w:sz="4" w:space="0"/>
              <w:right w:val="single" w:color="auto" w:sz="4" w:space="0"/>
            </w:tcBorders>
            <w:shd w:val="clear" w:color="auto" w:fill="auto"/>
            <w:vAlign w:val="center"/>
          </w:tcPr>
          <w:p w14:paraId="3903755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-3.57</w:t>
            </w:r>
          </w:p>
        </w:tc>
        <w:tc>
          <w:tcPr>
            <w:tcW w:w="0" w:type="auto"/>
            <w:tcBorders>
              <w:top w:val="nil"/>
              <w:left w:val="nil"/>
              <w:bottom w:val="single" w:color="auto" w:sz="4" w:space="0"/>
              <w:right w:val="single" w:color="auto" w:sz="4" w:space="0"/>
            </w:tcBorders>
            <w:shd w:val="clear" w:color="auto" w:fill="auto"/>
            <w:vAlign w:val="center"/>
          </w:tcPr>
          <w:p w14:paraId="043DF5D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-3.57</w:t>
            </w:r>
          </w:p>
        </w:tc>
        <w:tc>
          <w:tcPr>
            <w:tcW w:w="0" w:type="auto"/>
            <w:tcBorders>
              <w:top w:val="nil"/>
              <w:left w:val="nil"/>
              <w:bottom w:val="single" w:color="auto" w:sz="4" w:space="0"/>
              <w:right w:val="single" w:color="auto" w:sz="4" w:space="0"/>
            </w:tcBorders>
            <w:shd w:val="clear" w:color="auto" w:fill="auto"/>
            <w:vAlign w:val="center"/>
          </w:tcPr>
          <w:p w14:paraId="4A203F4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-3.57</w:t>
            </w:r>
          </w:p>
        </w:tc>
        <w:tc>
          <w:tcPr>
            <w:tcW w:w="0" w:type="auto"/>
            <w:tcBorders>
              <w:top w:val="nil"/>
              <w:left w:val="nil"/>
              <w:bottom w:val="single" w:color="auto" w:sz="4" w:space="0"/>
              <w:right w:val="single" w:color="auto" w:sz="4" w:space="0"/>
            </w:tcBorders>
            <w:shd w:val="clear" w:color="auto" w:fill="auto"/>
            <w:vAlign w:val="center"/>
          </w:tcPr>
          <w:p w14:paraId="417518A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-3.57</w:t>
            </w:r>
          </w:p>
        </w:tc>
        <w:tc>
          <w:tcPr>
            <w:tcW w:w="0" w:type="auto"/>
            <w:tcBorders>
              <w:top w:val="nil"/>
              <w:left w:val="nil"/>
              <w:bottom w:val="single" w:color="auto" w:sz="4" w:space="0"/>
              <w:right w:val="single" w:color="auto" w:sz="4" w:space="0"/>
            </w:tcBorders>
            <w:shd w:val="clear" w:color="auto" w:fill="auto"/>
            <w:vAlign w:val="center"/>
          </w:tcPr>
          <w:p w14:paraId="1C9DA0E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-3.57</w:t>
            </w:r>
          </w:p>
        </w:tc>
      </w:tr>
      <w:tr w14:paraId="528C965C">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6791B9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w:t>
            </w:r>
          </w:p>
        </w:tc>
        <w:tc>
          <w:tcPr>
            <w:tcW w:w="0" w:type="auto"/>
            <w:tcBorders>
              <w:top w:val="nil"/>
              <w:left w:val="nil"/>
              <w:bottom w:val="single" w:color="auto" w:sz="4" w:space="0"/>
              <w:right w:val="single" w:color="auto" w:sz="4" w:space="0"/>
            </w:tcBorders>
            <w:shd w:val="clear" w:color="auto" w:fill="auto"/>
            <w:vAlign w:val="center"/>
          </w:tcPr>
          <w:p w14:paraId="621AD0A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堆积体坡长因子</w:t>
            </w:r>
          </w:p>
        </w:tc>
        <w:tc>
          <w:tcPr>
            <w:tcW w:w="0" w:type="auto"/>
            <w:tcBorders>
              <w:top w:val="nil"/>
              <w:left w:val="nil"/>
              <w:bottom w:val="single" w:color="auto" w:sz="4" w:space="0"/>
              <w:right w:val="single" w:color="auto" w:sz="4" w:space="0"/>
            </w:tcBorders>
            <w:shd w:val="clear" w:color="auto" w:fill="auto"/>
            <w:vAlign w:val="center"/>
          </w:tcPr>
          <w:p w14:paraId="2D48634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Ldw</w:t>
            </w:r>
          </w:p>
        </w:tc>
        <w:tc>
          <w:tcPr>
            <w:tcW w:w="0" w:type="auto"/>
            <w:tcBorders>
              <w:top w:val="nil"/>
              <w:left w:val="nil"/>
              <w:bottom w:val="single" w:color="auto" w:sz="4" w:space="0"/>
              <w:right w:val="single" w:color="auto" w:sz="4" w:space="0"/>
            </w:tcBorders>
            <w:shd w:val="clear" w:color="auto" w:fill="auto"/>
            <w:vAlign w:val="center"/>
          </w:tcPr>
          <w:p w14:paraId="144A65E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Ldw=(λ/5）</w:t>
            </w:r>
            <w:r>
              <w:rPr>
                <w:rFonts w:cs="Times New Roman"/>
                <w:color w:val="000000" w:themeColor="text1"/>
                <w:sz w:val="20"/>
                <w:szCs w:val="20"/>
                <w:vertAlign w:val="superscript"/>
                <w14:textFill>
                  <w14:solidFill>
                    <w14:schemeClr w14:val="tx1"/>
                  </w14:solidFill>
                </w14:textFill>
              </w:rPr>
              <w:t>f1</w:t>
            </w:r>
          </w:p>
        </w:tc>
        <w:tc>
          <w:tcPr>
            <w:tcW w:w="0" w:type="auto"/>
            <w:tcBorders>
              <w:top w:val="nil"/>
              <w:left w:val="nil"/>
              <w:bottom w:val="single" w:color="auto" w:sz="4" w:space="0"/>
              <w:right w:val="single" w:color="auto" w:sz="4" w:space="0"/>
            </w:tcBorders>
            <w:shd w:val="clear" w:color="auto" w:fill="auto"/>
            <w:vAlign w:val="center"/>
          </w:tcPr>
          <w:p w14:paraId="1B59E64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2.282</w:t>
            </w:r>
          </w:p>
        </w:tc>
        <w:tc>
          <w:tcPr>
            <w:tcW w:w="0" w:type="auto"/>
            <w:tcBorders>
              <w:top w:val="nil"/>
              <w:left w:val="nil"/>
              <w:bottom w:val="single" w:color="auto" w:sz="4" w:space="0"/>
              <w:right w:val="single" w:color="auto" w:sz="4" w:space="0"/>
            </w:tcBorders>
            <w:shd w:val="clear" w:color="auto" w:fill="auto"/>
            <w:vAlign w:val="center"/>
          </w:tcPr>
          <w:p w14:paraId="7A89AA3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2.282</w:t>
            </w:r>
          </w:p>
        </w:tc>
        <w:tc>
          <w:tcPr>
            <w:tcW w:w="0" w:type="auto"/>
            <w:tcBorders>
              <w:top w:val="nil"/>
              <w:left w:val="nil"/>
              <w:bottom w:val="single" w:color="auto" w:sz="4" w:space="0"/>
              <w:right w:val="single" w:color="auto" w:sz="4" w:space="0"/>
            </w:tcBorders>
            <w:shd w:val="clear" w:color="auto" w:fill="auto"/>
            <w:vAlign w:val="center"/>
          </w:tcPr>
          <w:p w14:paraId="00D33B8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2.282</w:t>
            </w:r>
          </w:p>
        </w:tc>
        <w:tc>
          <w:tcPr>
            <w:tcW w:w="0" w:type="auto"/>
            <w:tcBorders>
              <w:top w:val="nil"/>
              <w:left w:val="nil"/>
              <w:bottom w:val="single" w:color="auto" w:sz="4" w:space="0"/>
              <w:right w:val="single" w:color="auto" w:sz="4" w:space="0"/>
            </w:tcBorders>
            <w:shd w:val="clear" w:color="auto" w:fill="auto"/>
            <w:vAlign w:val="center"/>
          </w:tcPr>
          <w:p w14:paraId="46B7641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2.282</w:t>
            </w:r>
          </w:p>
        </w:tc>
        <w:tc>
          <w:tcPr>
            <w:tcW w:w="0" w:type="auto"/>
            <w:tcBorders>
              <w:top w:val="nil"/>
              <w:left w:val="nil"/>
              <w:bottom w:val="single" w:color="auto" w:sz="4" w:space="0"/>
              <w:right w:val="single" w:color="auto" w:sz="4" w:space="0"/>
            </w:tcBorders>
            <w:shd w:val="clear" w:color="auto" w:fill="auto"/>
            <w:vAlign w:val="center"/>
          </w:tcPr>
          <w:p w14:paraId="3CC0EDC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2.282</w:t>
            </w:r>
          </w:p>
        </w:tc>
        <w:tc>
          <w:tcPr>
            <w:tcW w:w="0" w:type="auto"/>
            <w:tcBorders>
              <w:top w:val="nil"/>
              <w:left w:val="nil"/>
              <w:bottom w:val="single" w:color="auto" w:sz="4" w:space="0"/>
              <w:right w:val="single" w:color="auto" w:sz="4" w:space="0"/>
            </w:tcBorders>
            <w:shd w:val="clear" w:color="auto" w:fill="auto"/>
            <w:vAlign w:val="center"/>
          </w:tcPr>
          <w:p w14:paraId="1A961E0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2.282</w:t>
            </w:r>
          </w:p>
        </w:tc>
        <w:tc>
          <w:tcPr>
            <w:tcW w:w="0" w:type="auto"/>
            <w:tcBorders>
              <w:top w:val="nil"/>
              <w:left w:val="nil"/>
              <w:bottom w:val="single" w:color="auto" w:sz="4" w:space="0"/>
              <w:right w:val="single" w:color="auto" w:sz="4" w:space="0"/>
            </w:tcBorders>
            <w:shd w:val="clear" w:color="auto" w:fill="auto"/>
            <w:vAlign w:val="center"/>
          </w:tcPr>
          <w:p w14:paraId="58FCB26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2.282</w:t>
            </w:r>
          </w:p>
        </w:tc>
      </w:tr>
      <w:tr w14:paraId="58E82437">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CD2F56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72E0728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水平投影坡坡长（m）</w:t>
            </w:r>
          </w:p>
        </w:tc>
        <w:tc>
          <w:tcPr>
            <w:tcW w:w="0" w:type="auto"/>
            <w:tcBorders>
              <w:top w:val="nil"/>
              <w:left w:val="nil"/>
              <w:bottom w:val="single" w:color="auto" w:sz="4" w:space="0"/>
              <w:right w:val="single" w:color="auto" w:sz="4" w:space="0"/>
            </w:tcBorders>
            <w:shd w:val="clear" w:color="auto" w:fill="auto"/>
            <w:vAlign w:val="center"/>
          </w:tcPr>
          <w:p w14:paraId="11AF282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λ</w:t>
            </w:r>
          </w:p>
        </w:tc>
        <w:tc>
          <w:tcPr>
            <w:tcW w:w="0" w:type="auto"/>
            <w:tcBorders>
              <w:top w:val="nil"/>
              <w:left w:val="nil"/>
              <w:bottom w:val="single" w:color="auto" w:sz="4" w:space="0"/>
              <w:right w:val="single" w:color="auto" w:sz="4" w:space="0"/>
            </w:tcBorders>
            <w:shd w:val="clear" w:color="auto" w:fill="auto"/>
            <w:vAlign w:val="center"/>
          </w:tcPr>
          <w:p w14:paraId="5C9EC5D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λ=λxcosθ</w:t>
            </w:r>
          </w:p>
        </w:tc>
        <w:tc>
          <w:tcPr>
            <w:tcW w:w="0" w:type="auto"/>
            <w:tcBorders>
              <w:top w:val="nil"/>
              <w:left w:val="nil"/>
              <w:bottom w:val="single" w:color="auto" w:sz="4" w:space="0"/>
              <w:right w:val="single" w:color="auto" w:sz="4" w:space="0"/>
            </w:tcBorders>
            <w:shd w:val="clear" w:color="auto" w:fill="auto"/>
            <w:vAlign w:val="center"/>
          </w:tcPr>
          <w:p w14:paraId="33A903A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15</w:t>
            </w:r>
          </w:p>
        </w:tc>
        <w:tc>
          <w:tcPr>
            <w:tcW w:w="0" w:type="auto"/>
            <w:tcBorders>
              <w:top w:val="nil"/>
              <w:left w:val="nil"/>
              <w:bottom w:val="single" w:color="auto" w:sz="4" w:space="0"/>
              <w:right w:val="single" w:color="auto" w:sz="4" w:space="0"/>
            </w:tcBorders>
            <w:shd w:val="clear" w:color="auto" w:fill="auto"/>
            <w:vAlign w:val="center"/>
          </w:tcPr>
          <w:p w14:paraId="18F5CB8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15</w:t>
            </w:r>
          </w:p>
        </w:tc>
        <w:tc>
          <w:tcPr>
            <w:tcW w:w="0" w:type="auto"/>
            <w:tcBorders>
              <w:top w:val="nil"/>
              <w:left w:val="nil"/>
              <w:bottom w:val="single" w:color="auto" w:sz="4" w:space="0"/>
              <w:right w:val="single" w:color="auto" w:sz="4" w:space="0"/>
            </w:tcBorders>
            <w:shd w:val="clear" w:color="auto" w:fill="auto"/>
            <w:vAlign w:val="center"/>
          </w:tcPr>
          <w:p w14:paraId="600FF20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15</w:t>
            </w:r>
          </w:p>
        </w:tc>
        <w:tc>
          <w:tcPr>
            <w:tcW w:w="0" w:type="auto"/>
            <w:tcBorders>
              <w:top w:val="nil"/>
              <w:left w:val="nil"/>
              <w:bottom w:val="single" w:color="auto" w:sz="4" w:space="0"/>
              <w:right w:val="single" w:color="auto" w:sz="4" w:space="0"/>
            </w:tcBorders>
            <w:shd w:val="clear" w:color="auto" w:fill="auto"/>
            <w:vAlign w:val="center"/>
          </w:tcPr>
          <w:p w14:paraId="20F401D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15</w:t>
            </w:r>
          </w:p>
        </w:tc>
        <w:tc>
          <w:tcPr>
            <w:tcW w:w="0" w:type="auto"/>
            <w:tcBorders>
              <w:top w:val="nil"/>
              <w:left w:val="nil"/>
              <w:bottom w:val="single" w:color="auto" w:sz="4" w:space="0"/>
              <w:right w:val="single" w:color="auto" w:sz="4" w:space="0"/>
            </w:tcBorders>
            <w:shd w:val="clear" w:color="auto" w:fill="auto"/>
            <w:vAlign w:val="center"/>
          </w:tcPr>
          <w:p w14:paraId="394F17A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15</w:t>
            </w:r>
          </w:p>
        </w:tc>
        <w:tc>
          <w:tcPr>
            <w:tcW w:w="0" w:type="auto"/>
            <w:tcBorders>
              <w:top w:val="nil"/>
              <w:left w:val="nil"/>
              <w:bottom w:val="single" w:color="auto" w:sz="4" w:space="0"/>
              <w:right w:val="single" w:color="auto" w:sz="4" w:space="0"/>
            </w:tcBorders>
            <w:shd w:val="clear" w:color="auto" w:fill="auto"/>
            <w:vAlign w:val="center"/>
          </w:tcPr>
          <w:p w14:paraId="4CF84F1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15</w:t>
            </w:r>
          </w:p>
        </w:tc>
        <w:tc>
          <w:tcPr>
            <w:tcW w:w="0" w:type="auto"/>
            <w:tcBorders>
              <w:top w:val="nil"/>
              <w:left w:val="nil"/>
              <w:bottom w:val="single" w:color="auto" w:sz="4" w:space="0"/>
              <w:right w:val="single" w:color="auto" w:sz="4" w:space="0"/>
            </w:tcBorders>
            <w:shd w:val="clear" w:color="auto" w:fill="auto"/>
            <w:vAlign w:val="center"/>
          </w:tcPr>
          <w:p w14:paraId="6B73C0B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15</w:t>
            </w:r>
          </w:p>
        </w:tc>
      </w:tr>
      <w:tr w14:paraId="758734CD">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FC0298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57C0A9E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坡长因子系数</w:t>
            </w:r>
          </w:p>
        </w:tc>
        <w:tc>
          <w:tcPr>
            <w:tcW w:w="0" w:type="auto"/>
            <w:tcBorders>
              <w:top w:val="nil"/>
              <w:left w:val="nil"/>
              <w:bottom w:val="single" w:color="auto" w:sz="4" w:space="0"/>
              <w:right w:val="single" w:color="auto" w:sz="4" w:space="0"/>
            </w:tcBorders>
            <w:shd w:val="clear" w:color="auto" w:fill="auto"/>
            <w:vAlign w:val="center"/>
          </w:tcPr>
          <w:p w14:paraId="154AE85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f1</w:t>
            </w:r>
          </w:p>
        </w:tc>
        <w:tc>
          <w:tcPr>
            <w:tcW w:w="0" w:type="auto"/>
            <w:tcBorders>
              <w:top w:val="nil"/>
              <w:left w:val="nil"/>
              <w:bottom w:val="single" w:color="auto" w:sz="4" w:space="0"/>
              <w:right w:val="single" w:color="auto" w:sz="4" w:space="0"/>
            </w:tcBorders>
            <w:shd w:val="clear" w:color="auto" w:fill="auto"/>
            <w:vAlign w:val="center"/>
          </w:tcPr>
          <w:p w14:paraId="1AAC2BB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5194F53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0.751</w:t>
            </w:r>
          </w:p>
        </w:tc>
        <w:tc>
          <w:tcPr>
            <w:tcW w:w="0" w:type="auto"/>
            <w:tcBorders>
              <w:top w:val="nil"/>
              <w:left w:val="nil"/>
              <w:bottom w:val="single" w:color="auto" w:sz="4" w:space="0"/>
              <w:right w:val="single" w:color="auto" w:sz="4" w:space="0"/>
            </w:tcBorders>
            <w:shd w:val="clear" w:color="auto" w:fill="auto"/>
            <w:vAlign w:val="center"/>
          </w:tcPr>
          <w:p w14:paraId="31F8B8C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0.751</w:t>
            </w:r>
          </w:p>
        </w:tc>
        <w:tc>
          <w:tcPr>
            <w:tcW w:w="0" w:type="auto"/>
            <w:tcBorders>
              <w:top w:val="nil"/>
              <w:left w:val="nil"/>
              <w:bottom w:val="single" w:color="auto" w:sz="4" w:space="0"/>
              <w:right w:val="single" w:color="auto" w:sz="4" w:space="0"/>
            </w:tcBorders>
            <w:shd w:val="clear" w:color="auto" w:fill="auto"/>
            <w:vAlign w:val="center"/>
          </w:tcPr>
          <w:p w14:paraId="516E7E0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0.751</w:t>
            </w:r>
          </w:p>
        </w:tc>
        <w:tc>
          <w:tcPr>
            <w:tcW w:w="0" w:type="auto"/>
            <w:tcBorders>
              <w:top w:val="nil"/>
              <w:left w:val="nil"/>
              <w:bottom w:val="single" w:color="auto" w:sz="4" w:space="0"/>
              <w:right w:val="single" w:color="auto" w:sz="4" w:space="0"/>
            </w:tcBorders>
            <w:shd w:val="clear" w:color="auto" w:fill="auto"/>
            <w:vAlign w:val="center"/>
          </w:tcPr>
          <w:p w14:paraId="46E3EBC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0.751</w:t>
            </w:r>
          </w:p>
        </w:tc>
        <w:tc>
          <w:tcPr>
            <w:tcW w:w="0" w:type="auto"/>
            <w:tcBorders>
              <w:top w:val="nil"/>
              <w:left w:val="nil"/>
              <w:bottom w:val="single" w:color="auto" w:sz="4" w:space="0"/>
              <w:right w:val="single" w:color="auto" w:sz="4" w:space="0"/>
            </w:tcBorders>
            <w:shd w:val="clear" w:color="auto" w:fill="auto"/>
            <w:vAlign w:val="center"/>
          </w:tcPr>
          <w:p w14:paraId="101E617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0.751</w:t>
            </w:r>
          </w:p>
        </w:tc>
        <w:tc>
          <w:tcPr>
            <w:tcW w:w="0" w:type="auto"/>
            <w:tcBorders>
              <w:top w:val="nil"/>
              <w:left w:val="nil"/>
              <w:bottom w:val="single" w:color="auto" w:sz="4" w:space="0"/>
              <w:right w:val="single" w:color="auto" w:sz="4" w:space="0"/>
            </w:tcBorders>
            <w:shd w:val="clear" w:color="auto" w:fill="auto"/>
            <w:vAlign w:val="center"/>
          </w:tcPr>
          <w:p w14:paraId="24BB7DC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0.751</w:t>
            </w:r>
          </w:p>
        </w:tc>
        <w:tc>
          <w:tcPr>
            <w:tcW w:w="0" w:type="auto"/>
            <w:tcBorders>
              <w:top w:val="nil"/>
              <w:left w:val="nil"/>
              <w:bottom w:val="single" w:color="auto" w:sz="4" w:space="0"/>
              <w:right w:val="single" w:color="auto" w:sz="4" w:space="0"/>
            </w:tcBorders>
            <w:shd w:val="clear" w:color="auto" w:fill="auto"/>
            <w:vAlign w:val="center"/>
          </w:tcPr>
          <w:p w14:paraId="1287846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0.751</w:t>
            </w:r>
          </w:p>
        </w:tc>
      </w:tr>
      <w:tr w14:paraId="6E1780B1">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F055F8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6</w:t>
            </w:r>
          </w:p>
        </w:tc>
        <w:tc>
          <w:tcPr>
            <w:tcW w:w="0" w:type="auto"/>
            <w:tcBorders>
              <w:top w:val="nil"/>
              <w:left w:val="nil"/>
              <w:bottom w:val="single" w:color="auto" w:sz="4" w:space="0"/>
              <w:right w:val="single" w:color="auto" w:sz="4" w:space="0"/>
            </w:tcBorders>
            <w:shd w:val="clear" w:color="auto" w:fill="auto"/>
            <w:vAlign w:val="center"/>
          </w:tcPr>
          <w:p w14:paraId="2B691EC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堆积体坡度因子</w:t>
            </w:r>
          </w:p>
        </w:tc>
        <w:tc>
          <w:tcPr>
            <w:tcW w:w="0" w:type="auto"/>
            <w:tcBorders>
              <w:top w:val="nil"/>
              <w:left w:val="nil"/>
              <w:bottom w:val="single" w:color="auto" w:sz="4" w:space="0"/>
              <w:right w:val="single" w:color="auto" w:sz="4" w:space="0"/>
            </w:tcBorders>
            <w:shd w:val="clear" w:color="auto" w:fill="auto"/>
            <w:vAlign w:val="center"/>
          </w:tcPr>
          <w:p w14:paraId="530406B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Sdw</w:t>
            </w:r>
          </w:p>
        </w:tc>
        <w:tc>
          <w:tcPr>
            <w:tcW w:w="0" w:type="auto"/>
            <w:tcBorders>
              <w:top w:val="nil"/>
              <w:left w:val="nil"/>
              <w:bottom w:val="single" w:color="auto" w:sz="4" w:space="0"/>
              <w:right w:val="single" w:color="auto" w:sz="4" w:space="0"/>
            </w:tcBorders>
            <w:shd w:val="clear" w:color="auto" w:fill="auto"/>
            <w:vAlign w:val="center"/>
          </w:tcPr>
          <w:p w14:paraId="13CDCBE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Sdw=（θ/25）</w:t>
            </w:r>
            <w:r>
              <w:rPr>
                <w:rFonts w:cs="Times New Roman"/>
                <w:color w:val="000000" w:themeColor="text1"/>
                <w:sz w:val="20"/>
                <w:szCs w:val="20"/>
                <w:vertAlign w:val="superscript"/>
                <w14:textFill>
                  <w14:solidFill>
                    <w14:schemeClr w14:val="tx1"/>
                  </w14:solidFill>
                </w14:textFill>
              </w:rPr>
              <w:t>d1</w:t>
            </w:r>
          </w:p>
        </w:tc>
        <w:tc>
          <w:tcPr>
            <w:tcW w:w="0" w:type="auto"/>
            <w:tcBorders>
              <w:top w:val="nil"/>
              <w:left w:val="nil"/>
              <w:bottom w:val="single" w:color="auto" w:sz="4" w:space="0"/>
              <w:right w:val="single" w:color="auto" w:sz="4" w:space="0"/>
            </w:tcBorders>
            <w:shd w:val="clear" w:color="auto" w:fill="auto"/>
            <w:vAlign w:val="center"/>
          </w:tcPr>
          <w:p w14:paraId="7595D02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1.2473 </w:t>
            </w:r>
          </w:p>
        </w:tc>
        <w:tc>
          <w:tcPr>
            <w:tcW w:w="0" w:type="auto"/>
            <w:tcBorders>
              <w:top w:val="nil"/>
              <w:left w:val="nil"/>
              <w:bottom w:val="single" w:color="auto" w:sz="4" w:space="0"/>
              <w:right w:val="single" w:color="auto" w:sz="4" w:space="0"/>
            </w:tcBorders>
            <w:shd w:val="clear" w:color="auto" w:fill="auto"/>
            <w:vAlign w:val="center"/>
          </w:tcPr>
          <w:p w14:paraId="5764874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1.2473 </w:t>
            </w:r>
          </w:p>
        </w:tc>
        <w:tc>
          <w:tcPr>
            <w:tcW w:w="0" w:type="auto"/>
            <w:tcBorders>
              <w:top w:val="nil"/>
              <w:left w:val="nil"/>
              <w:bottom w:val="single" w:color="auto" w:sz="4" w:space="0"/>
              <w:right w:val="single" w:color="auto" w:sz="4" w:space="0"/>
            </w:tcBorders>
            <w:shd w:val="clear" w:color="auto" w:fill="auto"/>
            <w:vAlign w:val="center"/>
          </w:tcPr>
          <w:p w14:paraId="3B8DF49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1.5035 </w:t>
            </w:r>
          </w:p>
        </w:tc>
        <w:tc>
          <w:tcPr>
            <w:tcW w:w="0" w:type="auto"/>
            <w:tcBorders>
              <w:top w:val="nil"/>
              <w:left w:val="nil"/>
              <w:bottom w:val="single" w:color="auto" w:sz="4" w:space="0"/>
              <w:right w:val="single" w:color="auto" w:sz="4" w:space="0"/>
            </w:tcBorders>
            <w:shd w:val="clear" w:color="auto" w:fill="auto"/>
            <w:vAlign w:val="center"/>
          </w:tcPr>
          <w:p w14:paraId="35E64DF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1.2473 </w:t>
            </w:r>
          </w:p>
        </w:tc>
        <w:tc>
          <w:tcPr>
            <w:tcW w:w="0" w:type="auto"/>
            <w:tcBorders>
              <w:top w:val="nil"/>
              <w:left w:val="nil"/>
              <w:bottom w:val="single" w:color="auto" w:sz="4" w:space="0"/>
              <w:right w:val="single" w:color="auto" w:sz="4" w:space="0"/>
            </w:tcBorders>
            <w:shd w:val="clear" w:color="auto" w:fill="auto"/>
            <w:vAlign w:val="center"/>
          </w:tcPr>
          <w:p w14:paraId="44C3E87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1.2473 </w:t>
            </w:r>
          </w:p>
        </w:tc>
        <w:tc>
          <w:tcPr>
            <w:tcW w:w="0" w:type="auto"/>
            <w:tcBorders>
              <w:top w:val="nil"/>
              <w:left w:val="nil"/>
              <w:bottom w:val="single" w:color="auto" w:sz="4" w:space="0"/>
              <w:right w:val="single" w:color="auto" w:sz="4" w:space="0"/>
            </w:tcBorders>
            <w:shd w:val="clear" w:color="auto" w:fill="auto"/>
            <w:vAlign w:val="center"/>
          </w:tcPr>
          <w:p w14:paraId="5CE9DA5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1.00 </w:t>
            </w:r>
          </w:p>
        </w:tc>
        <w:tc>
          <w:tcPr>
            <w:tcW w:w="0" w:type="auto"/>
            <w:tcBorders>
              <w:top w:val="nil"/>
              <w:left w:val="nil"/>
              <w:bottom w:val="single" w:color="auto" w:sz="4" w:space="0"/>
              <w:right w:val="single" w:color="auto" w:sz="4" w:space="0"/>
            </w:tcBorders>
            <w:shd w:val="clear" w:color="auto" w:fill="auto"/>
            <w:vAlign w:val="center"/>
          </w:tcPr>
          <w:p w14:paraId="57693C6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1.00 </w:t>
            </w:r>
          </w:p>
        </w:tc>
      </w:tr>
      <w:tr w14:paraId="09B13708">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86B984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6538823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坡度（°）</w:t>
            </w:r>
          </w:p>
        </w:tc>
        <w:tc>
          <w:tcPr>
            <w:tcW w:w="0" w:type="auto"/>
            <w:tcBorders>
              <w:top w:val="nil"/>
              <w:left w:val="nil"/>
              <w:bottom w:val="single" w:color="auto" w:sz="4" w:space="0"/>
              <w:right w:val="single" w:color="auto" w:sz="4" w:space="0"/>
            </w:tcBorders>
            <w:shd w:val="clear" w:color="auto" w:fill="auto"/>
            <w:vAlign w:val="center"/>
          </w:tcPr>
          <w:p w14:paraId="6D43414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θ</w:t>
            </w:r>
          </w:p>
        </w:tc>
        <w:tc>
          <w:tcPr>
            <w:tcW w:w="0" w:type="auto"/>
            <w:tcBorders>
              <w:top w:val="nil"/>
              <w:left w:val="nil"/>
              <w:bottom w:val="single" w:color="auto" w:sz="4" w:space="0"/>
              <w:right w:val="single" w:color="auto" w:sz="4" w:space="0"/>
            </w:tcBorders>
            <w:shd w:val="clear" w:color="auto" w:fill="auto"/>
            <w:vAlign w:val="center"/>
          </w:tcPr>
          <w:p w14:paraId="4D96604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64C9236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30</w:t>
            </w:r>
          </w:p>
        </w:tc>
        <w:tc>
          <w:tcPr>
            <w:tcW w:w="0" w:type="auto"/>
            <w:tcBorders>
              <w:top w:val="nil"/>
              <w:left w:val="nil"/>
              <w:bottom w:val="single" w:color="auto" w:sz="4" w:space="0"/>
              <w:right w:val="single" w:color="auto" w:sz="4" w:space="0"/>
            </w:tcBorders>
            <w:shd w:val="clear" w:color="auto" w:fill="auto"/>
            <w:vAlign w:val="center"/>
          </w:tcPr>
          <w:p w14:paraId="6ADFBB0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30</w:t>
            </w:r>
          </w:p>
        </w:tc>
        <w:tc>
          <w:tcPr>
            <w:tcW w:w="0" w:type="auto"/>
            <w:tcBorders>
              <w:top w:val="nil"/>
              <w:left w:val="nil"/>
              <w:bottom w:val="single" w:color="auto" w:sz="4" w:space="0"/>
              <w:right w:val="single" w:color="auto" w:sz="4" w:space="0"/>
            </w:tcBorders>
            <w:shd w:val="clear" w:color="auto" w:fill="auto"/>
            <w:vAlign w:val="center"/>
          </w:tcPr>
          <w:p w14:paraId="667FB5F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35</w:t>
            </w:r>
          </w:p>
        </w:tc>
        <w:tc>
          <w:tcPr>
            <w:tcW w:w="0" w:type="auto"/>
            <w:tcBorders>
              <w:top w:val="nil"/>
              <w:left w:val="nil"/>
              <w:bottom w:val="single" w:color="auto" w:sz="4" w:space="0"/>
              <w:right w:val="single" w:color="auto" w:sz="4" w:space="0"/>
            </w:tcBorders>
            <w:shd w:val="clear" w:color="auto" w:fill="auto"/>
            <w:vAlign w:val="center"/>
          </w:tcPr>
          <w:p w14:paraId="2CA9780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30</w:t>
            </w:r>
          </w:p>
        </w:tc>
        <w:tc>
          <w:tcPr>
            <w:tcW w:w="0" w:type="auto"/>
            <w:tcBorders>
              <w:top w:val="nil"/>
              <w:left w:val="nil"/>
              <w:bottom w:val="single" w:color="auto" w:sz="4" w:space="0"/>
              <w:right w:val="single" w:color="auto" w:sz="4" w:space="0"/>
            </w:tcBorders>
            <w:shd w:val="clear" w:color="auto" w:fill="auto"/>
            <w:vAlign w:val="center"/>
          </w:tcPr>
          <w:p w14:paraId="1179D70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30</w:t>
            </w:r>
          </w:p>
        </w:tc>
        <w:tc>
          <w:tcPr>
            <w:tcW w:w="0" w:type="auto"/>
            <w:tcBorders>
              <w:top w:val="nil"/>
              <w:left w:val="nil"/>
              <w:bottom w:val="single" w:color="auto" w:sz="4" w:space="0"/>
              <w:right w:val="single" w:color="auto" w:sz="4" w:space="0"/>
            </w:tcBorders>
            <w:shd w:val="clear" w:color="auto" w:fill="auto"/>
            <w:vAlign w:val="center"/>
          </w:tcPr>
          <w:p w14:paraId="3F15A92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FF0000"/>
                <w:sz w:val="21"/>
                <w:szCs w:val="21"/>
              </w:rPr>
              <w:t>25</w:t>
            </w:r>
          </w:p>
        </w:tc>
        <w:tc>
          <w:tcPr>
            <w:tcW w:w="0" w:type="auto"/>
            <w:tcBorders>
              <w:top w:val="nil"/>
              <w:left w:val="nil"/>
              <w:bottom w:val="single" w:color="auto" w:sz="4" w:space="0"/>
              <w:right w:val="single" w:color="auto" w:sz="4" w:space="0"/>
            </w:tcBorders>
            <w:shd w:val="clear" w:color="auto" w:fill="auto"/>
            <w:vAlign w:val="center"/>
          </w:tcPr>
          <w:p w14:paraId="40966D6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FF0000"/>
                <w:sz w:val="21"/>
                <w:szCs w:val="21"/>
              </w:rPr>
              <w:t>25</w:t>
            </w:r>
          </w:p>
        </w:tc>
      </w:tr>
      <w:tr w14:paraId="300C6B48">
        <w:tblPrEx>
          <w:tblCellMar>
            <w:top w:w="0" w:type="dxa"/>
            <w:left w:w="108" w:type="dxa"/>
            <w:bottom w:w="0" w:type="dxa"/>
            <w:right w:w="108" w:type="dxa"/>
          </w:tblCellMar>
        </w:tblPrEx>
        <w:trPr>
          <w:trHeight w:val="454"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D5BFD8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597C4AE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坡度因子系数</w:t>
            </w:r>
          </w:p>
        </w:tc>
        <w:tc>
          <w:tcPr>
            <w:tcW w:w="0" w:type="auto"/>
            <w:tcBorders>
              <w:top w:val="nil"/>
              <w:left w:val="nil"/>
              <w:bottom w:val="single" w:color="auto" w:sz="4" w:space="0"/>
              <w:right w:val="single" w:color="auto" w:sz="4" w:space="0"/>
            </w:tcBorders>
            <w:shd w:val="clear" w:color="auto" w:fill="auto"/>
            <w:vAlign w:val="center"/>
          </w:tcPr>
          <w:p w14:paraId="5162A8A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d1</w:t>
            </w:r>
          </w:p>
        </w:tc>
        <w:tc>
          <w:tcPr>
            <w:tcW w:w="0" w:type="auto"/>
            <w:tcBorders>
              <w:top w:val="nil"/>
              <w:left w:val="nil"/>
              <w:bottom w:val="single" w:color="auto" w:sz="4" w:space="0"/>
              <w:right w:val="single" w:color="auto" w:sz="4" w:space="0"/>
            </w:tcBorders>
            <w:shd w:val="clear" w:color="auto" w:fill="auto"/>
            <w:vAlign w:val="center"/>
          </w:tcPr>
          <w:p w14:paraId="1AF8734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4813BAC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1.212</w:t>
            </w:r>
          </w:p>
        </w:tc>
        <w:tc>
          <w:tcPr>
            <w:tcW w:w="0" w:type="auto"/>
            <w:tcBorders>
              <w:top w:val="nil"/>
              <w:left w:val="nil"/>
              <w:bottom w:val="single" w:color="auto" w:sz="4" w:space="0"/>
              <w:right w:val="single" w:color="auto" w:sz="4" w:space="0"/>
            </w:tcBorders>
            <w:shd w:val="clear" w:color="auto" w:fill="auto"/>
            <w:vAlign w:val="center"/>
          </w:tcPr>
          <w:p w14:paraId="30AC6CE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1.212</w:t>
            </w:r>
          </w:p>
        </w:tc>
        <w:tc>
          <w:tcPr>
            <w:tcW w:w="0" w:type="auto"/>
            <w:tcBorders>
              <w:top w:val="nil"/>
              <w:left w:val="nil"/>
              <w:bottom w:val="single" w:color="auto" w:sz="4" w:space="0"/>
              <w:right w:val="single" w:color="auto" w:sz="4" w:space="0"/>
            </w:tcBorders>
            <w:shd w:val="clear" w:color="auto" w:fill="auto"/>
            <w:vAlign w:val="center"/>
          </w:tcPr>
          <w:p w14:paraId="3F16C68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1.212</w:t>
            </w:r>
          </w:p>
        </w:tc>
        <w:tc>
          <w:tcPr>
            <w:tcW w:w="0" w:type="auto"/>
            <w:tcBorders>
              <w:top w:val="nil"/>
              <w:left w:val="nil"/>
              <w:bottom w:val="single" w:color="auto" w:sz="4" w:space="0"/>
              <w:right w:val="single" w:color="auto" w:sz="4" w:space="0"/>
            </w:tcBorders>
            <w:shd w:val="clear" w:color="auto" w:fill="auto"/>
            <w:vAlign w:val="center"/>
          </w:tcPr>
          <w:p w14:paraId="53EB10C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1.212</w:t>
            </w:r>
          </w:p>
        </w:tc>
        <w:tc>
          <w:tcPr>
            <w:tcW w:w="0" w:type="auto"/>
            <w:tcBorders>
              <w:top w:val="nil"/>
              <w:left w:val="nil"/>
              <w:bottom w:val="single" w:color="auto" w:sz="4" w:space="0"/>
              <w:right w:val="single" w:color="auto" w:sz="4" w:space="0"/>
            </w:tcBorders>
            <w:shd w:val="clear" w:color="auto" w:fill="auto"/>
            <w:vAlign w:val="center"/>
          </w:tcPr>
          <w:p w14:paraId="71751BB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1.212</w:t>
            </w:r>
          </w:p>
        </w:tc>
        <w:tc>
          <w:tcPr>
            <w:tcW w:w="0" w:type="auto"/>
            <w:tcBorders>
              <w:top w:val="nil"/>
              <w:left w:val="nil"/>
              <w:bottom w:val="single" w:color="auto" w:sz="4" w:space="0"/>
              <w:right w:val="single" w:color="auto" w:sz="4" w:space="0"/>
            </w:tcBorders>
            <w:shd w:val="clear" w:color="auto" w:fill="auto"/>
            <w:vAlign w:val="center"/>
          </w:tcPr>
          <w:p w14:paraId="61EEE50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1.212</w:t>
            </w:r>
          </w:p>
        </w:tc>
        <w:tc>
          <w:tcPr>
            <w:tcW w:w="0" w:type="auto"/>
            <w:tcBorders>
              <w:top w:val="nil"/>
              <w:left w:val="nil"/>
              <w:bottom w:val="single" w:color="auto" w:sz="4" w:space="0"/>
              <w:right w:val="single" w:color="auto" w:sz="4" w:space="0"/>
            </w:tcBorders>
            <w:shd w:val="clear" w:color="auto" w:fill="auto"/>
            <w:vAlign w:val="center"/>
          </w:tcPr>
          <w:p w14:paraId="5BAAAF9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1.212</w:t>
            </w:r>
          </w:p>
        </w:tc>
      </w:tr>
    </w:tbl>
    <w:p w14:paraId="16275375">
      <w:pPr>
        <w:pStyle w:val="66"/>
        <w:sectPr>
          <w:footerReference r:id="rId59" w:type="default"/>
          <w:pgSz w:w="16840" w:h="11910" w:orient="landscape"/>
          <w:pgMar w:top="1340" w:right="1420" w:bottom="1560" w:left="1360" w:header="876" w:footer="1227" w:gutter="0"/>
          <w:cols w:space="720" w:num="1"/>
          <w:docGrid w:linePitch="326" w:charSpace="0"/>
        </w:sectPr>
      </w:pPr>
    </w:p>
    <w:p w14:paraId="1A2392B6">
      <w:pPr>
        <w:pStyle w:val="66"/>
      </w:pPr>
      <w:r>
        <w:rPr>
          <w:rFonts w:hint="eastAsia"/>
        </w:rPr>
        <w:t>（2）</w:t>
      </w:r>
      <w:r>
        <w:t>风蚀土壤侵蚀模数</w:t>
      </w:r>
    </w:p>
    <w:p w14:paraId="63A5EEA5">
      <w:pPr>
        <w:pStyle w:val="66"/>
      </w:pPr>
      <w:r>
        <w:t>1）风力作用下一般扰动地表土壤侵蚀模数按下式计算：</w:t>
      </w:r>
    </w:p>
    <w:p w14:paraId="2F274C50">
      <w:pPr>
        <w:pStyle w:val="66"/>
        <w:jc w:val="center"/>
      </w:pPr>
      <w:r>
        <w:t>Mf=100QIJGf</w:t>
      </w:r>
    </w:p>
    <w:p w14:paraId="7EB6568F">
      <w:pPr>
        <w:pStyle w:val="66"/>
      </w:pPr>
      <w:r>
        <w:t>式中：</w:t>
      </w:r>
    </w:p>
    <w:p w14:paraId="238C4FC1">
      <w:pPr>
        <w:pStyle w:val="66"/>
      </w:pPr>
      <w:r>
        <w:t>Mf——一般扰动地表测算单元土壤侵蚀模数，t/（km²·a）；</w:t>
      </w:r>
    </w:p>
    <w:p w14:paraId="15DA90E1">
      <w:pPr>
        <w:pStyle w:val="66"/>
      </w:pPr>
      <w:r>
        <w:t>Q——单位面积风蚀率，t/km²；</w:t>
      </w:r>
    </w:p>
    <w:p w14:paraId="0F6BA7D3">
      <w:pPr>
        <w:pStyle w:val="66"/>
      </w:pPr>
      <w:r>
        <w:t>I——粗糙干扰因子，无量纲，I=e-0.045υ；</w:t>
      </w:r>
    </w:p>
    <w:p w14:paraId="4368182A">
      <w:pPr>
        <w:pStyle w:val="66"/>
      </w:pPr>
      <w:r>
        <w:t>J——地表物质紧实程度系数，无量纲；</w:t>
      </w:r>
    </w:p>
    <w:p w14:paraId="53106014">
      <w:pPr>
        <w:pStyle w:val="66"/>
      </w:pPr>
      <w:r>
        <w:t>Gf——风蚀可蚀性因子，无量纲。</w:t>
      </w:r>
    </w:p>
    <w:p w14:paraId="6A3CA4C4">
      <w:pPr>
        <w:pStyle w:val="66"/>
      </w:pPr>
      <w:r>
        <w:t>根据上式计算，风力作用下一般扰动地表土壤侵蚀模数计算见表4-8。</w:t>
      </w:r>
    </w:p>
    <w:p w14:paraId="2DCCDE38">
      <w:pPr>
        <w:pStyle w:val="66"/>
        <w:sectPr>
          <w:headerReference r:id="rId60" w:type="default"/>
          <w:footerReference r:id="rId61" w:type="default"/>
          <w:pgSz w:w="11910" w:h="16840"/>
          <w:pgMar w:top="1360" w:right="1340" w:bottom="1420" w:left="1560" w:header="876" w:footer="1227" w:gutter="0"/>
          <w:cols w:space="720" w:num="1"/>
        </w:sectPr>
      </w:pPr>
    </w:p>
    <w:p w14:paraId="60C2B011">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表4-</w:t>
      </w:r>
      <w:r>
        <w:rPr>
          <w:color w:val="000000" w:themeColor="text1"/>
          <w:spacing w:val="-5"/>
          <w:lang w:eastAsia="zh-CN"/>
          <w14:textFill>
            <w14:solidFill>
              <w14:schemeClr w14:val="tx1"/>
            </w14:solidFill>
          </w14:textFill>
        </w:rPr>
        <w:t>8</w:t>
      </w:r>
      <w:r>
        <w:rPr>
          <w:color w:val="000000" w:themeColor="text1"/>
          <w:lang w:eastAsia="zh-CN"/>
          <w14:textFill>
            <w14:solidFill>
              <w14:schemeClr w14:val="tx1"/>
            </w14:solidFill>
          </w14:textFill>
        </w:rPr>
        <w:t xml:space="preserve">                                                      风力作用下一般扰动地表土壤侵蚀模数计算</w:t>
      </w:r>
      <w:r>
        <w:rPr>
          <w:color w:val="000000" w:themeColor="text1"/>
          <w:spacing w:val="-10"/>
          <w:lang w:eastAsia="zh-CN"/>
          <w14:textFill>
            <w14:solidFill>
              <w14:schemeClr w14:val="tx1"/>
            </w14:solidFill>
          </w14:textFill>
        </w:rPr>
        <w:t>表</w:t>
      </w:r>
      <w:r>
        <w:rPr>
          <w:color w:val="000000" w:themeColor="text1"/>
          <w:lang w:eastAsia="zh-CN"/>
          <w14:textFill>
            <w14:solidFill>
              <w14:schemeClr w14:val="tx1"/>
            </w14:solidFill>
          </w14:textFill>
        </w:rPr>
        <w:t xml:space="preserve">                                            单位：t/km²·a</w:t>
      </w:r>
    </w:p>
    <w:tbl>
      <w:tblPr>
        <w:tblStyle w:val="27"/>
        <w:tblW w:w="0" w:type="auto"/>
        <w:tblInd w:w="0" w:type="dxa"/>
        <w:tblLayout w:type="autofit"/>
        <w:tblCellMar>
          <w:top w:w="0" w:type="dxa"/>
          <w:left w:w="108" w:type="dxa"/>
          <w:bottom w:w="0" w:type="dxa"/>
          <w:right w:w="108" w:type="dxa"/>
        </w:tblCellMar>
      </w:tblPr>
      <w:tblGrid>
        <w:gridCol w:w="552"/>
        <w:gridCol w:w="2421"/>
        <w:gridCol w:w="567"/>
        <w:gridCol w:w="1092"/>
        <w:gridCol w:w="1893"/>
        <w:gridCol w:w="1510"/>
        <w:gridCol w:w="1101"/>
        <w:gridCol w:w="1210"/>
        <w:gridCol w:w="1210"/>
        <w:gridCol w:w="1619"/>
        <w:gridCol w:w="1101"/>
      </w:tblGrid>
      <w:tr w14:paraId="09580729">
        <w:tblPrEx>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double" w:color="auto" w:sz="4" w:space="0"/>
              <w:right w:val="single" w:color="auto" w:sz="4" w:space="0"/>
            </w:tcBorders>
            <w:shd w:val="clear" w:color="auto" w:fill="auto"/>
            <w:vAlign w:val="center"/>
          </w:tcPr>
          <w:p w14:paraId="62EF006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序号</w:t>
            </w:r>
          </w:p>
        </w:tc>
        <w:tc>
          <w:tcPr>
            <w:tcW w:w="0" w:type="auto"/>
            <w:tcBorders>
              <w:top w:val="single" w:color="auto" w:sz="4" w:space="0"/>
              <w:left w:val="nil"/>
              <w:bottom w:val="double" w:color="auto" w:sz="4" w:space="0"/>
              <w:right w:val="single" w:color="auto" w:sz="4" w:space="0"/>
            </w:tcBorders>
            <w:shd w:val="clear" w:color="auto" w:fill="auto"/>
            <w:vAlign w:val="center"/>
          </w:tcPr>
          <w:p w14:paraId="3BFFA3A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项目</w:t>
            </w:r>
          </w:p>
        </w:tc>
        <w:tc>
          <w:tcPr>
            <w:tcW w:w="0" w:type="auto"/>
            <w:tcBorders>
              <w:top w:val="single" w:color="auto" w:sz="4" w:space="0"/>
              <w:left w:val="nil"/>
              <w:bottom w:val="double" w:color="auto" w:sz="4" w:space="0"/>
              <w:right w:val="single" w:color="auto" w:sz="4" w:space="0"/>
            </w:tcBorders>
            <w:shd w:val="clear" w:color="auto" w:fill="auto"/>
            <w:vAlign w:val="center"/>
          </w:tcPr>
          <w:p w14:paraId="7D5BB0D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因子</w:t>
            </w:r>
          </w:p>
        </w:tc>
        <w:tc>
          <w:tcPr>
            <w:tcW w:w="0" w:type="auto"/>
            <w:tcBorders>
              <w:top w:val="single" w:color="auto" w:sz="4" w:space="0"/>
              <w:left w:val="nil"/>
              <w:bottom w:val="double" w:color="auto" w:sz="4" w:space="0"/>
              <w:right w:val="single" w:color="auto" w:sz="4" w:space="0"/>
            </w:tcBorders>
            <w:shd w:val="clear" w:color="auto" w:fill="auto"/>
            <w:vAlign w:val="center"/>
          </w:tcPr>
          <w:p w14:paraId="43BB31B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公式</w:t>
            </w:r>
          </w:p>
        </w:tc>
        <w:tc>
          <w:tcPr>
            <w:tcW w:w="0" w:type="auto"/>
            <w:tcBorders>
              <w:top w:val="single" w:color="auto" w:sz="4" w:space="0"/>
              <w:left w:val="nil"/>
              <w:bottom w:val="double" w:color="auto" w:sz="4" w:space="0"/>
              <w:right w:val="single" w:color="auto" w:sz="4" w:space="0"/>
            </w:tcBorders>
            <w:shd w:val="clear" w:color="auto" w:fill="auto"/>
            <w:vAlign w:val="center"/>
          </w:tcPr>
          <w:p w14:paraId="1893EDD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公共管理与公共服务用地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07606231">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商业服务业用地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1732A97D">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工矿用地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5BC5E9F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交通运输用地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639E95B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公用设施用地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4FC703A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绿地与开敞空间用地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0D1134F1">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陆地水域</w:t>
            </w:r>
          </w:p>
        </w:tc>
      </w:tr>
      <w:tr w14:paraId="398DC6BD">
        <w:tblPrEx>
          <w:tblCellMar>
            <w:top w:w="0" w:type="dxa"/>
            <w:left w:w="108" w:type="dxa"/>
            <w:bottom w:w="0" w:type="dxa"/>
            <w:right w:w="108" w:type="dxa"/>
          </w:tblCellMar>
        </w:tblPrEx>
        <w:trPr>
          <w:trHeight w:val="397" w:hRule="atLeast"/>
        </w:trPr>
        <w:tc>
          <w:tcPr>
            <w:tcW w:w="0" w:type="auto"/>
            <w:tcBorders>
              <w:top w:val="double" w:color="auto" w:sz="4" w:space="0"/>
              <w:left w:val="single" w:color="auto" w:sz="4" w:space="0"/>
              <w:bottom w:val="single" w:color="auto" w:sz="4" w:space="0"/>
              <w:right w:val="single" w:color="auto" w:sz="4" w:space="0"/>
            </w:tcBorders>
            <w:shd w:val="clear" w:color="auto" w:fill="auto"/>
            <w:vAlign w:val="center"/>
          </w:tcPr>
          <w:p w14:paraId="09A1F95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0" w:type="auto"/>
            <w:tcBorders>
              <w:top w:val="double" w:color="auto" w:sz="4" w:space="0"/>
              <w:left w:val="nil"/>
              <w:bottom w:val="single" w:color="auto" w:sz="4" w:space="0"/>
              <w:right w:val="single" w:color="auto" w:sz="4" w:space="0"/>
            </w:tcBorders>
            <w:shd w:val="clear" w:color="auto" w:fill="auto"/>
            <w:vAlign w:val="center"/>
          </w:tcPr>
          <w:p w14:paraId="2B33C92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一般扰动地表</w:t>
            </w:r>
          </w:p>
        </w:tc>
        <w:tc>
          <w:tcPr>
            <w:tcW w:w="0" w:type="auto"/>
            <w:tcBorders>
              <w:top w:val="double" w:color="auto" w:sz="4" w:space="0"/>
              <w:left w:val="nil"/>
              <w:bottom w:val="single" w:color="auto" w:sz="4" w:space="0"/>
              <w:right w:val="single" w:color="auto" w:sz="4" w:space="0"/>
            </w:tcBorders>
            <w:shd w:val="clear" w:color="auto" w:fill="auto"/>
            <w:vAlign w:val="center"/>
          </w:tcPr>
          <w:p w14:paraId="22990C6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Mf</w:t>
            </w:r>
          </w:p>
        </w:tc>
        <w:tc>
          <w:tcPr>
            <w:tcW w:w="0" w:type="auto"/>
            <w:tcBorders>
              <w:top w:val="double" w:color="auto" w:sz="4" w:space="0"/>
              <w:left w:val="nil"/>
              <w:bottom w:val="single" w:color="auto" w:sz="4" w:space="0"/>
              <w:right w:val="single" w:color="auto" w:sz="4" w:space="0"/>
            </w:tcBorders>
            <w:shd w:val="clear" w:color="auto" w:fill="auto"/>
            <w:vAlign w:val="center"/>
          </w:tcPr>
          <w:p w14:paraId="489EA8E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Mf=QIJGf</w:t>
            </w:r>
          </w:p>
        </w:tc>
        <w:tc>
          <w:tcPr>
            <w:tcW w:w="0" w:type="auto"/>
            <w:tcBorders>
              <w:top w:val="double" w:color="auto" w:sz="4" w:space="0"/>
              <w:left w:val="nil"/>
              <w:bottom w:val="single" w:color="auto" w:sz="4" w:space="0"/>
              <w:right w:val="single" w:color="auto" w:sz="4" w:space="0"/>
            </w:tcBorders>
            <w:shd w:val="clear" w:color="auto" w:fill="auto"/>
            <w:vAlign w:val="center"/>
          </w:tcPr>
          <w:p w14:paraId="310B07E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5518</w:t>
            </w:r>
          </w:p>
        </w:tc>
        <w:tc>
          <w:tcPr>
            <w:tcW w:w="0" w:type="auto"/>
            <w:tcBorders>
              <w:top w:val="double" w:color="auto" w:sz="4" w:space="0"/>
              <w:left w:val="nil"/>
              <w:bottom w:val="single" w:color="auto" w:sz="4" w:space="0"/>
              <w:right w:val="single" w:color="auto" w:sz="4" w:space="0"/>
            </w:tcBorders>
            <w:shd w:val="clear" w:color="auto" w:fill="auto"/>
            <w:vAlign w:val="center"/>
          </w:tcPr>
          <w:p w14:paraId="094DC8E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5518</w:t>
            </w:r>
          </w:p>
        </w:tc>
        <w:tc>
          <w:tcPr>
            <w:tcW w:w="0" w:type="auto"/>
            <w:tcBorders>
              <w:top w:val="double" w:color="auto" w:sz="4" w:space="0"/>
              <w:left w:val="nil"/>
              <w:bottom w:val="single" w:color="auto" w:sz="4" w:space="0"/>
              <w:right w:val="single" w:color="auto" w:sz="4" w:space="0"/>
            </w:tcBorders>
            <w:shd w:val="clear" w:color="auto" w:fill="auto"/>
            <w:vAlign w:val="center"/>
          </w:tcPr>
          <w:p w14:paraId="0F1DECE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5518</w:t>
            </w:r>
          </w:p>
        </w:tc>
        <w:tc>
          <w:tcPr>
            <w:tcW w:w="0" w:type="auto"/>
            <w:tcBorders>
              <w:top w:val="double" w:color="auto" w:sz="4" w:space="0"/>
              <w:left w:val="nil"/>
              <w:bottom w:val="single" w:color="auto" w:sz="4" w:space="0"/>
              <w:right w:val="single" w:color="auto" w:sz="4" w:space="0"/>
            </w:tcBorders>
            <w:shd w:val="clear" w:color="auto" w:fill="auto"/>
            <w:vAlign w:val="center"/>
          </w:tcPr>
          <w:p w14:paraId="7F58D44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5518</w:t>
            </w:r>
          </w:p>
        </w:tc>
        <w:tc>
          <w:tcPr>
            <w:tcW w:w="0" w:type="auto"/>
            <w:tcBorders>
              <w:top w:val="double" w:color="auto" w:sz="4" w:space="0"/>
              <w:left w:val="nil"/>
              <w:bottom w:val="single" w:color="auto" w:sz="4" w:space="0"/>
              <w:right w:val="single" w:color="auto" w:sz="4" w:space="0"/>
            </w:tcBorders>
            <w:shd w:val="clear" w:color="auto" w:fill="auto"/>
            <w:vAlign w:val="center"/>
          </w:tcPr>
          <w:p w14:paraId="44A4964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5518</w:t>
            </w:r>
          </w:p>
        </w:tc>
        <w:tc>
          <w:tcPr>
            <w:tcW w:w="0" w:type="auto"/>
            <w:tcBorders>
              <w:top w:val="double" w:color="auto" w:sz="4" w:space="0"/>
              <w:left w:val="nil"/>
              <w:bottom w:val="single" w:color="auto" w:sz="4" w:space="0"/>
              <w:right w:val="single" w:color="auto" w:sz="4" w:space="0"/>
            </w:tcBorders>
            <w:shd w:val="clear" w:color="auto" w:fill="auto"/>
            <w:vAlign w:val="center"/>
          </w:tcPr>
          <w:p w14:paraId="7577F4B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5518</w:t>
            </w:r>
          </w:p>
        </w:tc>
        <w:tc>
          <w:tcPr>
            <w:tcW w:w="0" w:type="auto"/>
            <w:tcBorders>
              <w:top w:val="double" w:color="auto" w:sz="4" w:space="0"/>
              <w:left w:val="nil"/>
              <w:bottom w:val="single" w:color="auto" w:sz="4" w:space="0"/>
              <w:right w:val="single" w:color="auto" w:sz="4" w:space="0"/>
            </w:tcBorders>
            <w:shd w:val="clear" w:color="auto" w:fill="auto"/>
            <w:vAlign w:val="center"/>
          </w:tcPr>
          <w:p w14:paraId="67A964A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5518</w:t>
            </w:r>
          </w:p>
        </w:tc>
      </w:tr>
      <w:tr w14:paraId="3E4D2C8D">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9BC035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w:t>
            </w:r>
          </w:p>
        </w:tc>
        <w:tc>
          <w:tcPr>
            <w:tcW w:w="0" w:type="auto"/>
            <w:tcBorders>
              <w:top w:val="nil"/>
              <w:left w:val="nil"/>
              <w:bottom w:val="single" w:color="auto" w:sz="4" w:space="0"/>
              <w:right w:val="single" w:color="auto" w:sz="4" w:space="0"/>
            </w:tcBorders>
            <w:shd w:val="clear" w:color="auto" w:fill="auto"/>
            <w:vAlign w:val="center"/>
          </w:tcPr>
          <w:p w14:paraId="57BE998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风蚀率</w:t>
            </w:r>
          </w:p>
        </w:tc>
        <w:tc>
          <w:tcPr>
            <w:tcW w:w="0" w:type="auto"/>
            <w:tcBorders>
              <w:top w:val="nil"/>
              <w:left w:val="nil"/>
              <w:bottom w:val="single" w:color="auto" w:sz="4" w:space="0"/>
              <w:right w:val="single" w:color="auto" w:sz="4" w:space="0"/>
            </w:tcBorders>
            <w:shd w:val="clear" w:color="auto" w:fill="auto"/>
            <w:vAlign w:val="center"/>
          </w:tcPr>
          <w:p w14:paraId="19780FA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Q</w:t>
            </w:r>
          </w:p>
        </w:tc>
        <w:tc>
          <w:tcPr>
            <w:tcW w:w="0" w:type="auto"/>
            <w:tcBorders>
              <w:top w:val="nil"/>
              <w:left w:val="nil"/>
              <w:bottom w:val="single" w:color="auto" w:sz="4" w:space="0"/>
              <w:right w:val="single" w:color="auto" w:sz="4" w:space="0"/>
            </w:tcBorders>
            <w:shd w:val="clear" w:color="auto" w:fill="auto"/>
            <w:vAlign w:val="center"/>
          </w:tcPr>
          <w:p w14:paraId="5BA495E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54D5CA1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4B0FE1B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048E492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7980651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6DD5153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2CA2851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718BBE6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r>
      <w:tr w14:paraId="35B2B0D4">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160D6B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w:t>
            </w:r>
          </w:p>
        </w:tc>
        <w:tc>
          <w:tcPr>
            <w:tcW w:w="0" w:type="auto"/>
            <w:tcBorders>
              <w:top w:val="nil"/>
              <w:left w:val="nil"/>
              <w:bottom w:val="single" w:color="auto" w:sz="4" w:space="0"/>
              <w:right w:val="single" w:color="auto" w:sz="4" w:space="0"/>
            </w:tcBorders>
            <w:shd w:val="clear" w:color="auto" w:fill="auto"/>
            <w:vAlign w:val="center"/>
          </w:tcPr>
          <w:p w14:paraId="78ED75E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粗糙干扰因子</w:t>
            </w:r>
          </w:p>
        </w:tc>
        <w:tc>
          <w:tcPr>
            <w:tcW w:w="0" w:type="auto"/>
            <w:tcBorders>
              <w:top w:val="nil"/>
              <w:left w:val="nil"/>
              <w:bottom w:val="single" w:color="auto" w:sz="4" w:space="0"/>
              <w:right w:val="single" w:color="auto" w:sz="4" w:space="0"/>
            </w:tcBorders>
            <w:shd w:val="clear" w:color="auto" w:fill="auto"/>
            <w:vAlign w:val="center"/>
          </w:tcPr>
          <w:p w14:paraId="77D4B21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I</w:t>
            </w:r>
          </w:p>
        </w:tc>
        <w:tc>
          <w:tcPr>
            <w:tcW w:w="0" w:type="auto"/>
            <w:tcBorders>
              <w:top w:val="nil"/>
              <w:left w:val="nil"/>
              <w:bottom w:val="single" w:color="auto" w:sz="4" w:space="0"/>
              <w:right w:val="single" w:color="auto" w:sz="4" w:space="0"/>
            </w:tcBorders>
            <w:shd w:val="clear" w:color="auto" w:fill="auto"/>
            <w:vAlign w:val="center"/>
          </w:tcPr>
          <w:p w14:paraId="231588A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I=e-0.045υ</w:t>
            </w:r>
          </w:p>
        </w:tc>
        <w:tc>
          <w:tcPr>
            <w:tcW w:w="0" w:type="auto"/>
            <w:tcBorders>
              <w:top w:val="nil"/>
              <w:left w:val="nil"/>
              <w:bottom w:val="single" w:color="auto" w:sz="4" w:space="0"/>
              <w:right w:val="single" w:color="auto" w:sz="4" w:space="0"/>
            </w:tcBorders>
            <w:shd w:val="clear" w:color="auto" w:fill="auto"/>
            <w:vAlign w:val="center"/>
          </w:tcPr>
          <w:p w14:paraId="276CD8F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0.6374</w:t>
            </w:r>
          </w:p>
        </w:tc>
        <w:tc>
          <w:tcPr>
            <w:tcW w:w="0" w:type="auto"/>
            <w:tcBorders>
              <w:top w:val="nil"/>
              <w:left w:val="nil"/>
              <w:bottom w:val="single" w:color="auto" w:sz="4" w:space="0"/>
              <w:right w:val="single" w:color="auto" w:sz="4" w:space="0"/>
            </w:tcBorders>
            <w:shd w:val="clear" w:color="auto" w:fill="auto"/>
            <w:vAlign w:val="center"/>
          </w:tcPr>
          <w:p w14:paraId="46981FE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0.6374</w:t>
            </w:r>
          </w:p>
        </w:tc>
        <w:tc>
          <w:tcPr>
            <w:tcW w:w="0" w:type="auto"/>
            <w:tcBorders>
              <w:top w:val="nil"/>
              <w:left w:val="nil"/>
              <w:bottom w:val="single" w:color="auto" w:sz="4" w:space="0"/>
              <w:right w:val="single" w:color="auto" w:sz="4" w:space="0"/>
            </w:tcBorders>
            <w:shd w:val="clear" w:color="auto" w:fill="auto"/>
            <w:vAlign w:val="center"/>
          </w:tcPr>
          <w:p w14:paraId="192ABBE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0.6374</w:t>
            </w:r>
          </w:p>
        </w:tc>
        <w:tc>
          <w:tcPr>
            <w:tcW w:w="0" w:type="auto"/>
            <w:tcBorders>
              <w:top w:val="nil"/>
              <w:left w:val="nil"/>
              <w:bottom w:val="single" w:color="auto" w:sz="4" w:space="0"/>
              <w:right w:val="single" w:color="auto" w:sz="4" w:space="0"/>
            </w:tcBorders>
            <w:shd w:val="clear" w:color="auto" w:fill="auto"/>
            <w:vAlign w:val="center"/>
          </w:tcPr>
          <w:p w14:paraId="3D9A74F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0.6374</w:t>
            </w:r>
          </w:p>
        </w:tc>
        <w:tc>
          <w:tcPr>
            <w:tcW w:w="0" w:type="auto"/>
            <w:tcBorders>
              <w:top w:val="nil"/>
              <w:left w:val="nil"/>
              <w:bottom w:val="single" w:color="auto" w:sz="4" w:space="0"/>
              <w:right w:val="single" w:color="auto" w:sz="4" w:space="0"/>
            </w:tcBorders>
            <w:shd w:val="clear" w:color="auto" w:fill="auto"/>
            <w:vAlign w:val="center"/>
          </w:tcPr>
          <w:p w14:paraId="12CB39E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0.6374</w:t>
            </w:r>
          </w:p>
        </w:tc>
        <w:tc>
          <w:tcPr>
            <w:tcW w:w="0" w:type="auto"/>
            <w:tcBorders>
              <w:top w:val="nil"/>
              <w:left w:val="nil"/>
              <w:bottom w:val="single" w:color="auto" w:sz="4" w:space="0"/>
              <w:right w:val="single" w:color="auto" w:sz="4" w:space="0"/>
            </w:tcBorders>
            <w:shd w:val="clear" w:color="auto" w:fill="auto"/>
            <w:vAlign w:val="center"/>
          </w:tcPr>
          <w:p w14:paraId="3087E91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0.6374</w:t>
            </w:r>
          </w:p>
        </w:tc>
        <w:tc>
          <w:tcPr>
            <w:tcW w:w="0" w:type="auto"/>
            <w:tcBorders>
              <w:top w:val="nil"/>
              <w:left w:val="nil"/>
              <w:bottom w:val="single" w:color="auto" w:sz="4" w:space="0"/>
              <w:right w:val="single" w:color="auto" w:sz="4" w:space="0"/>
            </w:tcBorders>
            <w:shd w:val="clear" w:color="auto" w:fill="auto"/>
            <w:vAlign w:val="center"/>
          </w:tcPr>
          <w:p w14:paraId="1D34EE6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0.6374</w:t>
            </w:r>
          </w:p>
        </w:tc>
      </w:tr>
      <w:tr w14:paraId="7F2AD506">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5D9860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D01D8E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地表植被覆盖度和砾石盖度（%）</w:t>
            </w:r>
          </w:p>
        </w:tc>
        <w:tc>
          <w:tcPr>
            <w:tcW w:w="0" w:type="auto"/>
            <w:tcBorders>
              <w:top w:val="nil"/>
              <w:left w:val="nil"/>
              <w:bottom w:val="single" w:color="auto" w:sz="4" w:space="0"/>
              <w:right w:val="single" w:color="auto" w:sz="4" w:space="0"/>
            </w:tcBorders>
            <w:shd w:val="clear" w:color="auto" w:fill="auto"/>
            <w:vAlign w:val="center"/>
          </w:tcPr>
          <w:p w14:paraId="103268A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υ</w:t>
            </w:r>
          </w:p>
        </w:tc>
        <w:tc>
          <w:tcPr>
            <w:tcW w:w="0" w:type="auto"/>
            <w:tcBorders>
              <w:top w:val="nil"/>
              <w:left w:val="nil"/>
              <w:bottom w:val="single" w:color="auto" w:sz="4" w:space="0"/>
              <w:right w:val="single" w:color="auto" w:sz="4" w:space="0"/>
            </w:tcBorders>
            <w:shd w:val="clear" w:color="auto" w:fill="auto"/>
            <w:vAlign w:val="center"/>
          </w:tcPr>
          <w:p w14:paraId="5368FAB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27C556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w:t>
            </w:r>
          </w:p>
        </w:tc>
        <w:tc>
          <w:tcPr>
            <w:tcW w:w="0" w:type="auto"/>
            <w:tcBorders>
              <w:top w:val="nil"/>
              <w:left w:val="nil"/>
              <w:bottom w:val="single" w:color="auto" w:sz="4" w:space="0"/>
              <w:right w:val="single" w:color="auto" w:sz="4" w:space="0"/>
            </w:tcBorders>
            <w:shd w:val="clear" w:color="auto" w:fill="auto"/>
            <w:vAlign w:val="center"/>
          </w:tcPr>
          <w:p w14:paraId="6466504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w:t>
            </w:r>
          </w:p>
        </w:tc>
        <w:tc>
          <w:tcPr>
            <w:tcW w:w="0" w:type="auto"/>
            <w:tcBorders>
              <w:top w:val="nil"/>
              <w:left w:val="nil"/>
              <w:bottom w:val="single" w:color="auto" w:sz="4" w:space="0"/>
              <w:right w:val="single" w:color="auto" w:sz="4" w:space="0"/>
            </w:tcBorders>
            <w:shd w:val="clear" w:color="auto" w:fill="auto"/>
            <w:vAlign w:val="center"/>
          </w:tcPr>
          <w:p w14:paraId="0C58F50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w:t>
            </w:r>
          </w:p>
        </w:tc>
        <w:tc>
          <w:tcPr>
            <w:tcW w:w="0" w:type="auto"/>
            <w:tcBorders>
              <w:top w:val="nil"/>
              <w:left w:val="nil"/>
              <w:bottom w:val="single" w:color="auto" w:sz="4" w:space="0"/>
              <w:right w:val="single" w:color="auto" w:sz="4" w:space="0"/>
            </w:tcBorders>
            <w:shd w:val="clear" w:color="auto" w:fill="auto"/>
            <w:vAlign w:val="center"/>
          </w:tcPr>
          <w:p w14:paraId="778EBF9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w:t>
            </w:r>
          </w:p>
        </w:tc>
        <w:tc>
          <w:tcPr>
            <w:tcW w:w="0" w:type="auto"/>
            <w:tcBorders>
              <w:top w:val="nil"/>
              <w:left w:val="nil"/>
              <w:bottom w:val="single" w:color="auto" w:sz="4" w:space="0"/>
              <w:right w:val="single" w:color="auto" w:sz="4" w:space="0"/>
            </w:tcBorders>
            <w:shd w:val="clear" w:color="auto" w:fill="auto"/>
            <w:vAlign w:val="center"/>
          </w:tcPr>
          <w:p w14:paraId="543BA32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w:t>
            </w:r>
          </w:p>
        </w:tc>
        <w:tc>
          <w:tcPr>
            <w:tcW w:w="0" w:type="auto"/>
            <w:tcBorders>
              <w:top w:val="nil"/>
              <w:left w:val="nil"/>
              <w:bottom w:val="single" w:color="auto" w:sz="4" w:space="0"/>
              <w:right w:val="single" w:color="auto" w:sz="4" w:space="0"/>
            </w:tcBorders>
            <w:shd w:val="clear" w:color="auto" w:fill="auto"/>
            <w:vAlign w:val="center"/>
          </w:tcPr>
          <w:p w14:paraId="5F36013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w:t>
            </w:r>
          </w:p>
        </w:tc>
        <w:tc>
          <w:tcPr>
            <w:tcW w:w="0" w:type="auto"/>
            <w:tcBorders>
              <w:top w:val="nil"/>
              <w:left w:val="nil"/>
              <w:bottom w:val="single" w:color="auto" w:sz="4" w:space="0"/>
              <w:right w:val="single" w:color="auto" w:sz="4" w:space="0"/>
            </w:tcBorders>
            <w:shd w:val="clear" w:color="auto" w:fill="auto"/>
            <w:vAlign w:val="center"/>
          </w:tcPr>
          <w:p w14:paraId="17C101E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w:t>
            </w:r>
          </w:p>
        </w:tc>
      </w:tr>
      <w:tr w14:paraId="38D408B2">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5D255B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4</w:t>
            </w:r>
          </w:p>
        </w:tc>
        <w:tc>
          <w:tcPr>
            <w:tcW w:w="0" w:type="auto"/>
            <w:tcBorders>
              <w:top w:val="nil"/>
              <w:left w:val="nil"/>
              <w:bottom w:val="single" w:color="auto" w:sz="4" w:space="0"/>
              <w:right w:val="single" w:color="auto" w:sz="4" w:space="0"/>
            </w:tcBorders>
            <w:shd w:val="clear" w:color="auto" w:fill="auto"/>
            <w:vAlign w:val="center"/>
          </w:tcPr>
          <w:p w14:paraId="6959D55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地表物质紧实程度系数</w:t>
            </w:r>
          </w:p>
        </w:tc>
        <w:tc>
          <w:tcPr>
            <w:tcW w:w="0" w:type="auto"/>
            <w:tcBorders>
              <w:top w:val="nil"/>
              <w:left w:val="nil"/>
              <w:bottom w:val="single" w:color="auto" w:sz="4" w:space="0"/>
              <w:right w:val="single" w:color="auto" w:sz="4" w:space="0"/>
            </w:tcBorders>
            <w:shd w:val="clear" w:color="auto" w:fill="auto"/>
            <w:vAlign w:val="center"/>
          </w:tcPr>
          <w:p w14:paraId="5F165EB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J</w:t>
            </w:r>
          </w:p>
        </w:tc>
        <w:tc>
          <w:tcPr>
            <w:tcW w:w="0" w:type="auto"/>
            <w:tcBorders>
              <w:top w:val="nil"/>
              <w:left w:val="nil"/>
              <w:bottom w:val="single" w:color="auto" w:sz="4" w:space="0"/>
              <w:right w:val="single" w:color="auto" w:sz="4" w:space="0"/>
            </w:tcBorders>
            <w:shd w:val="clear" w:color="auto" w:fill="auto"/>
            <w:vAlign w:val="center"/>
          </w:tcPr>
          <w:p w14:paraId="298262E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4FF13C5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1.33</w:t>
            </w:r>
          </w:p>
        </w:tc>
        <w:tc>
          <w:tcPr>
            <w:tcW w:w="0" w:type="auto"/>
            <w:tcBorders>
              <w:top w:val="nil"/>
              <w:left w:val="nil"/>
              <w:bottom w:val="single" w:color="auto" w:sz="4" w:space="0"/>
              <w:right w:val="single" w:color="auto" w:sz="4" w:space="0"/>
            </w:tcBorders>
            <w:shd w:val="clear" w:color="auto" w:fill="auto"/>
            <w:vAlign w:val="center"/>
          </w:tcPr>
          <w:p w14:paraId="642F845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1.33</w:t>
            </w:r>
          </w:p>
        </w:tc>
        <w:tc>
          <w:tcPr>
            <w:tcW w:w="0" w:type="auto"/>
            <w:tcBorders>
              <w:top w:val="nil"/>
              <w:left w:val="nil"/>
              <w:bottom w:val="single" w:color="auto" w:sz="4" w:space="0"/>
              <w:right w:val="single" w:color="auto" w:sz="4" w:space="0"/>
            </w:tcBorders>
            <w:shd w:val="clear" w:color="auto" w:fill="auto"/>
            <w:vAlign w:val="center"/>
          </w:tcPr>
          <w:p w14:paraId="68C8680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1.33</w:t>
            </w:r>
          </w:p>
        </w:tc>
        <w:tc>
          <w:tcPr>
            <w:tcW w:w="0" w:type="auto"/>
            <w:tcBorders>
              <w:top w:val="nil"/>
              <w:left w:val="nil"/>
              <w:bottom w:val="single" w:color="auto" w:sz="4" w:space="0"/>
              <w:right w:val="single" w:color="auto" w:sz="4" w:space="0"/>
            </w:tcBorders>
            <w:shd w:val="clear" w:color="auto" w:fill="auto"/>
            <w:vAlign w:val="center"/>
          </w:tcPr>
          <w:p w14:paraId="1DB0BB1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1.33</w:t>
            </w:r>
          </w:p>
        </w:tc>
        <w:tc>
          <w:tcPr>
            <w:tcW w:w="0" w:type="auto"/>
            <w:tcBorders>
              <w:top w:val="nil"/>
              <w:left w:val="nil"/>
              <w:bottom w:val="single" w:color="auto" w:sz="4" w:space="0"/>
              <w:right w:val="single" w:color="auto" w:sz="4" w:space="0"/>
            </w:tcBorders>
            <w:shd w:val="clear" w:color="auto" w:fill="auto"/>
            <w:vAlign w:val="center"/>
          </w:tcPr>
          <w:p w14:paraId="7A629E5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1.33</w:t>
            </w:r>
          </w:p>
        </w:tc>
        <w:tc>
          <w:tcPr>
            <w:tcW w:w="0" w:type="auto"/>
            <w:tcBorders>
              <w:top w:val="nil"/>
              <w:left w:val="nil"/>
              <w:bottom w:val="single" w:color="auto" w:sz="4" w:space="0"/>
              <w:right w:val="single" w:color="auto" w:sz="4" w:space="0"/>
            </w:tcBorders>
            <w:shd w:val="clear" w:color="auto" w:fill="auto"/>
            <w:vAlign w:val="center"/>
          </w:tcPr>
          <w:p w14:paraId="3055BD7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1.33</w:t>
            </w:r>
          </w:p>
        </w:tc>
        <w:tc>
          <w:tcPr>
            <w:tcW w:w="0" w:type="auto"/>
            <w:tcBorders>
              <w:top w:val="nil"/>
              <w:left w:val="nil"/>
              <w:bottom w:val="single" w:color="auto" w:sz="4" w:space="0"/>
              <w:right w:val="single" w:color="auto" w:sz="4" w:space="0"/>
            </w:tcBorders>
            <w:shd w:val="clear" w:color="auto" w:fill="auto"/>
            <w:vAlign w:val="center"/>
          </w:tcPr>
          <w:p w14:paraId="7F10372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1.33</w:t>
            </w:r>
          </w:p>
        </w:tc>
      </w:tr>
      <w:tr w14:paraId="6FDDAC26">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AF0A94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w:t>
            </w:r>
          </w:p>
        </w:tc>
        <w:tc>
          <w:tcPr>
            <w:tcW w:w="0" w:type="auto"/>
            <w:tcBorders>
              <w:top w:val="nil"/>
              <w:left w:val="nil"/>
              <w:bottom w:val="single" w:color="auto" w:sz="4" w:space="0"/>
              <w:right w:val="single" w:color="auto" w:sz="4" w:space="0"/>
            </w:tcBorders>
            <w:shd w:val="clear" w:color="auto" w:fill="auto"/>
            <w:vAlign w:val="center"/>
          </w:tcPr>
          <w:p w14:paraId="01BF816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风蚀可蚀性因子</w:t>
            </w:r>
          </w:p>
        </w:tc>
        <w:tc>
          <w:tcPr>
            <w:tcW w:w="0" w:type="auto"/>
            <w:tcBorders>
              <w:top w:val="nil"/>
              <w:left w:val="nil"/>
              <w:bottom w:val="single" w:color="auto" w:sz="4" w:space="0"/>
              <w:right w:val="single" w:color="auto" w:sz="4" w:space="0"/>
            </w:tcBorders>
            <w:shd w:val="clear" w:color="auto" w:fill="auto"/>
            <w:vAlign w:val="center"/>
          </w:tcPr>
          <w:p w14:paraId="6D6FD61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Gf</w:t>
            </w:r>
          </w:p>
        </w:tc>
        <w:tc>
          <w:tcPr>
            <w:tcW w:w="0" w:type="auto"/>
            <w:tcBorders>
              <w:top w:val="nil"/>
              <w:left w:val="nil"/>
              <w:bottom w:val="single" w:color="auto" w:sz="4" w:space="0"/>
              <w:right w:val="single" w:color="auto" w:sz="4" w:space="0"/>
            </w:tcBorders>
            <w:shd w:val="clear" w:color="auto" w:fill="auto"/>
            <w:vAlign w:val="center"/>
          </w:tcPr>
          <w:p w14:paraId="75DB32A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86EB98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32E5119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3A1CB9C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007A290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285558D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3158FDC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30AEEA0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r>
    </w:tbl>
    <w:p w14:paraId="36A502B2">
      <w:pPr>
        <w:pStyle w:val="44"/>
        <w:rPr>
          <w:color w:val="000000" w:themeColor="text1"/>
          <w14:textFill>
            <w14:solidFill>
              <w14:schemeClr w14:val="tx1"/>
            </w14:solidFill>
          </w14:textFill>
        </w:rPr>
        <w:sectPr>
          <w:headerReference r:id="rId62" w:type="default"/>
          <w:footerReference r:id="rId63" w:type="default"/>
          <w:pgSz w:w="16840" w:h="11910" w:orient="landscape"/>
          <w:pgMar w:top="1560" w:right="1360" w:bottom="1340" w:left="1420" w:header="876" w:footer="1227" w:gutter="0"/>
          <w:cols w:space="720" w:num="1"/>
          <w:docGrid w:linePitch="326" w:charSpace="0"/>
        </w:sectPr>
      </w:pPr>
    </w:p>
    <w:p w14:paraId="7D4513DE">
      <w:pPr>
        <w:pStyle w:val="66"/>
        <w:ind w:firstLine="478"/>
      </w:pPr>
      <w:r>
        <w:rPr>
          <w:rFonts w:hint="eastAsia"/>
          <w:spacing w:val="-1"/>
        </w:rPr>
        <w:t>2）</w:t>
      </w:r>
      <w:r>
        <w:rPr>
          <w:spacing w:val="-1"/>
        </w:rPr>
        <w:t>风力作用下工程堆积体土壤侵蚀模数按下式计算：</w:t>
      </w:r>
    </w:p>
    <w:p w14:paraId="34081D77">
      <w:pPr>
        <w:pStyle w:val="66"/>
        <w:ind w:firstLine="476"/>
        <w:jc w:val="center"/>
        <w:rPr>
          <w:sz w:val="15"/>
        </w:rPr>
      </w:pPr>
      <w:r>
        <w:rPr>
          <w:spacing w:val="-2"/>
          <w:position w:val="2"/>
        </w:rPr>
        <w:t>M</w:t>
      </w:r>
      <w:r>
        <w:rPr>
          <w:spacing w:val="-2"/>
          <w:sz w:val="15"/>
        </w:rPr>
        <w:t>fd</w:t>
      </w:r>
      <w:r>
        <w:rPr>
          <w:spacing w:val="-2"/>
          <w:position w:val="2"/>
        </w:rPr>
        <w:t>=100QIHPG</w:t>
      </w:r>
      <w:r>
        <w:rPr>
          <w:spacing w:val="-2"/>
          <w:sz w:val="15"/>
        </w:rPr>
        <w:t>f</w:t>
      </w:r>
    </w:p>
    <w:p w14:paraId="40EAADAC">
      <w:pPr>
        <w:pStyle w:val="66"/>
        <w:ind w:firstLine="472"/>
      </w:pPr>
      <w:r>
        <w:rPr>
          <w:spacing w:val="-4"/>
        </w:rPr>
        <w:t>式中：</w:t>
      </w:r>
    </w:p>
    <w:p w14:paraId="7F9D2D80">
      <w:pPr>
        <w:pStyle w:val="66"/>
        <w:ind w:firstLine="476"/>
        <w:rPr>
          <w:spacing w:val="-2"/>
          <w:position w:val="2"/>
        </w:rPr>
      </w:pPr>
      <w:r>
        <w:rPr>
          <w:spacing w:val="-2"/>
          <w:position w:val="2"/>
        </w:rPr>
        <w:t>M</w:t>
      </w:r>
      <w:r>
        <w:rPr>
          <w:spacing w:val="-2"/>
          <w:sz w:val="15"/>
        </w:rPr>
        <w:t>fd</w:t>
      </w:r>
      <w:r>
        <w:rPr>
          <w:spacing w:val="-2"/>
          <w:position w:val="2"/>
        </w:rPr>
        <w:t>——工程堆积体测算单元土壤侵蚀模数，t/（km²·a）；</w:t>
      </w:r>
    </w:p>
    <w:p w14:paraId="342C8450">
      <w:pPr>
        <w:pStyle w:val="66"/>
        <w:ind w:firstLine="476"/>
      </w:pPr>
      <w:r>
        <w:rPr>
          <w:spacing w:val="-2"/>
        </w:rPr>
        <w:t>Q——单位面积风蚀率，t/km²；</w:t>
      </w:r>
    </w:p>
    <w:p w14:paraId="28B8B34C">
      <w:pPr>
        <w:pStyle w:val="66"/>
        <w:ind w:firstLine="476"/>
      </w:pPr>
      <w:r>
        <w:rPr>
          <w:spacing w:val="-2"/>
        </w:rPr>
        <w:t>I——粗糙干扰因子，无量纲，I=e</w:t>
      </w:r>
      <w:r>
        <w:rPr>
          <w:spacing w:val="-2"/>
          <w:vertAlign w:val="superscript"/>
        </w:rPr>
        <w:t>-0.045υ</w:t>
      </w:r>
      <w:r>
        <w:rPr>
          <w:spacing w:val="-2"/>
        </w:rPr>
        <w:t>；</w:t>
      </w:r>
    </w:p>
    <w:p w14:paraId="030EB3AF">
      <w:pPr>
        <w:pStyle w:val="66"/>
        <w:ind w:firstLine="476"/>
        <w:rPr>
          <w:spacing w:val="-2"/>
        </w:rPr>
      </w:pPr>
      <w:r>
        <w:rPr>
          <w:spacing w:val="-2"/>
        </w:rPr>
        <w:t>H——工程堆积体高度因子，无量纲，H=0.381nh+2.75；</w:t>
      </w:r>
    </w:p>
    <w:p w14:paraId="5981A79D">
      <w:pPr>
        <w:pStyle w:val="66"/>
        <w:ind w:firstLine="476"/>
      </w:pPr>
      <w:r>
        <w:rPr>
          <w:spacing w:val="-2"/>
        </w:rPr>
        <w:t>P——工程堆积体堆放方式因子，无量纲；</w:t>
      </w:r>
    </w:p>
    <w:p w14:paraId="2387FDA0">
      <w:pPr>
        <w:pStyle w:val="66"/>
        <w:ind w:firstLine="476"/>
      </w:pPr>
      <w:r>
        <w:rPr>
          <w:spacing w:val="-2"/>
          <w:position w:val="2"/>
        </w:rPr>
        <w:t>G</w:t>
      </w:r>
      <w:r>
        <w:rPr>
          <w:spacing w:val="-2"/>
          <w:sz w:val="15"/>
        </w:rPr>
        <w:t>f</w:t>
      </w:r>
      <w:r>
        <w:rPr>
          <w:spacing w:val="-2"/>
          <w:position w:val="2"/>
        </w:rPr>
        <w:t>——</w:t>
      </w:r>
      <w:r>
        <w:rPr>
          <w:spacing w:val="-3"/>
          <w:position w:val="2"/>
        </w:rPr>
        <w:t>风蚀可蚀性因子，无量纲。</w:t>
      </w:r>
    </w:p>
    <w:p w14:paraId="7FEAB779">
      <w:pPr>
        <w:pStyle w:val="66"/>
        <w:ind w:firstLine="476"/>
        <w:rPr>
          <w:spacing w:val="-10"/>
        </w:rPr>
      </w:pPr>
      <w:r>
        <w:rPr>
          <w:spacing w:val="-2"/>
        </w:rPr>
        <w:t>根据上式计算，风力作用下工程堆积体土壤侵蚀模数计算见表4-9</w:t>
      </w:r>
      <w:r>
        <w:rPr>
          <w:spacing w:val="-10"/>
        </w:rPr>
        <w:t>。</w:t>
      </w:r>
    </w:p>
    <w:p w14:paraId="38F4B8AF">
      <w:pPr>
        <w:pStyle w:val="66"/>
        <w:ind w:firstLine="460"/>
        <w:rPr>
          <w:spacing w:val="-10"/>
        </w:rPr>
      </w:pPr>
    </w:p>
    <w:p w14:paraId="18B35445">
      <w:pPr>
        <w:pStyle w:val="66"/>
        <w:sectPr>
          <w:footerReference r:id="rId64" w:type="default"/>
          <w:pgSz w:w="11910" w:h="16840"/>
          <w:pgMar w:top="1360" w:right="1340" w:bottom="1420" w:left="1560" w:header="876" w:footer="1227" w:gutter="0"/>
          <w:cols w:space="720" w:num="1"/>
        </w:sectPr>
      </w:pPr>
    </w:p>
    <w:p w14:paraId="4E22B8EE">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表4-9                                                           风力作用下工程堆积体土壤侵蚀模数计算表                                            单位：t/km²·a</w:t>
      </w:r>
    </w:p>
    <w:tbl>
      <w:tblPr>
        <w:tblStyle w:val="27"/>
        <w:tblW w:w="5000" w:type="pct"/>
        <w:tblInd w:w="0" w:type="dxa"/>
        <w:tblLayout w:type="autofit"/>
        <w:tblCellMar>
          <w:top w:w="0" w:type="dxa"/>
          <w:left w:w="108" w:type="dxa"/>
          <w:bottom w:w="0" w:type="dxa"/>
          <w:right w:w="108" w:type="dxa"/>
        </w:tblCellMar>
      </w:tblPr>
      <w:tblGrid>
        <w:gridCol w:w="947"/>
        <w:gridCol w:w="1894"/>
        <w:gridCol w:w="953"/>
        <w:gridCol w:w="1542"/>
        <w:gridCol w:w="1252"/>
        <w:gridCol w:w="1252"/>
        <w:gridCol w:w="1252"/>
        <w:gridCol w:w="1252"/>
        <w:gridCol w:w="1252"/>
        <w:gridCol w:w="1253"/>
        <w:gridCol w:w="1247"/>
      </w:tblGrid>
      <w:tr w14:paraId="08026295">
        <w:tblPrEx>
          <w:tblCellMar>
            <w:top w:w="0" w:type="dxa"/>
            <w:left w:w="108" w:type="dxa"/>
            <w:bottom w:w="0" w:type="dxa"/>
            <w:right w:w="108" w:type="dxa"/>
          </w:tblCellMar>
        </w:tblPrEx>
        <w:trPr>
          <w:trHeight w:val="397" w:hRule="atLeast"/>
        </w:trPr>
        <w:tc>
          <w:tcPr>
            <w:tcW w:w="342" w:type="pct"/>
            <w:tcBorders>
              <w:top w:val="single" w:color="auto" w:sz="4" w:space="0"/>
              <w:left w:val="single" w:color="auto" w:sz="4" w:space="0"/>
              <w:bottom w:val="double" w:color="auto" w:sz="4" w:space="0"/>
              <w:right w:val="single" w:color="auto" w:sz="4" w:space="0"/>
            </w:tcBorders>
            <w:shd w:val="clear" w:color="auto" w:fill="auto"/>
            <w:vAlign w:val="center"/>
          </w:tcPr>
          <w:p w14:paraId="322CFD4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序号</w:t>
            </w:r>
          </w:p>
        </w:tc>
        <w:tc>
          <w:tcPr>
            <w:tcW w:w="678" w:type="pct"/>
            <w:tcBorders>
              <w:top w:val="single" w:color="auto" w:sz="4" w:space="0"/>
              <w:left w:val="nil"/>
              <w:bottom w:val="double" w:color="auto" w:sz="4" w:space="0"/>
              <w:right w:val="single" w:color="auto" w:sz="4" w:space="0"/>
            </w:tcBorders>
            <w:shd w:val="clear" w:color="auto" w:fill="auto"/>
            <w:vAlign w:val="center"/>
          </w:tcPr>
          <w:p w14:paraId="522A51C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项目</w:t>
            </w:r>
          </w:p>
        </w:tc>
        <w:tc>
          <w:tcPr>
            <w:tcW w:w="344" w:type="pct"/>
            <w:tcBorders>
              <w:top w:val="single" w:color="auto" w:sz="4" w:space="0"/>
              <w:left w:val="nil"/>
              <w:bottom w:val="double" w:color="auto" w:sz="4" w:space="0"/>
              <w:right w:val="single" w:color="auto" w:sz="4" w:space="0"/>
            </w:tcBorders>
            <w:shd w:val="clear" w:color="auto" w:fill="auto"/>
            <w:vAlign w:val="center"/>
          </w:tcPr>
          <w:p w14:paraId="0D2488F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因子</w:t>
            </w:r>
          </w:p>
        </w:tc>
        <w:tc>
          <w:tcPr>
            <w:tcW w:w="488" w:type="pct"/>
            <w:tcBorders>
              <w:top w:val="single" w:color="auto" w:sz="4" w:space="0"/>
              <w:left w:val="nil"/>
              <w:bottom w:val="double" w:color="auto" w:sz="4" w:space="0"/>
              <w:right w:val="single" w:color="auto" w:sz="4" w:space="0"/>
            </w:tcBorders>
            <w:shd w:val="clear" w:color="auto" w:fill="auto"/>
            <w:vAlign w:val="center"/>
          </w:tcPr>
          <w:p w14:paraId="5EC1917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公式</w:t>
            </w:r>
          </w:p>
        </w:tc>
        <w:tc>
          <w:tcPr>
            <w:tcW w:w="450" w:type="pct"/>
            <w:tcBorders>
              <w:top w:val="single" w:color="auto" w:sz="4" w:space="0"/>
              <w:left w:val="nil"/>
              <w:bottom w:val="double" w:color="auto" w:sz="4" w:space="0"/>
              <w:right w:val="single" w:color="auto" w:sz="4" w:space="0"/>
            </w:tcBorders>
            <w:shd w:val="clear" w:color="auto" w:fill="auto"/>
            <w:vAlign w:val="center"/>
          </w:tcPr>
          <w:p w14:paraId="5DC234A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公共管理与公共服务用地</w:t>
            </w:r>
          </w:p>
        </w:tc>
        <w:tc>
          <w:tcPr>
            <w:tcW w:w="450" w:type="pct"/>
            <w:tcBorders>
              <w:top w:val="single" w:color="auto" w:sz="4" w:space="0"/>
              <w:left w:val="nil"/>
              <w:bottom w:val="double" w:color="auto" w:sz="4" w:space="0"/>
              <w:right w:val="single" w:color="auto" w:sz="4" w:space="0"/>
            </w:tcBorders>
            <w:shd w:val="clear" w:color="auto" w:fill="auto"/>
            <w:vAlign w:val="center"/>
          </w:tcPr>
          <w:p w14:paraId="40F7293B">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商业服务业用地</w:t>
            </w:r>
          </w:p>
        </w:tc>
        <w:tc>
          <w:tcPr>
            <w:tcW w:w="450" w:type="pct"/>
            <w:tcBorders>
              <w:top w:val="single" w:color="auto" w:sz="4" w:space="0"/>
              <w:left w:val="nil"/>
              <w:bottom w:val="double" w:color="auto" w:sz="4" w:space="0"/>
              <w:right w:val="single" w:color="auto" w:sz="4" w:space="0"/>
            </w:tcBorders>
            <w:shd w:val="clear" w:color="auto" w:fill="auto"/>
            <w:vAlign w:val="center"/>
          </w:tcPr>
          <w:p w14:paraId="1455363B">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工矿用地</w:t>
            </w:r>
          </w:p>
        </w:tc>
        <w:tc>
          <w:tcPr>
            <w:tcW w:w="450" w:type="pct"/>
            <w:tcBorders>
              <w:top w:val="single" w:color="auto" w:sz="4" w:space="0"/>
              <w:left w:val="nil"/>
              <w:bottom w:val="double" w:color="auto" w:sz="4" w:space="0"/>
              <w:right w:val="single" w:color="auto" w:sz="4" w:space="0"/>
            </w:tcBorders>
            <w:shd w:val="clear" w:color="auto" w:fill="auto"/>
            <w:vAlign w:val="center"/>
          </w:tcPr>
          <w:p w14:paraId="4379840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交通运输用地</w:t>
            </w:r>
          </w:p>
        </w:tc>
        <w:tc>
          <w:tcPr>
            <w:tcW w:w="450" w:type="pct"/>
            <w:tcBorders>
              <w:top w:val="single" w:color="auto" w:sz="4" w:space="0"/>
              <w:left w:val="nil"/>
              <w:bottom w:val="double" w:color="auto" w:sz="4" w:space="0"/>
              <w:right w:val="single" w:color="auto" w:sz="4" w:space="0"/>
            </w:tcBorders>
            <w:shd w:val="clear" w:color="auto" w:fill="auto"/>
            <w:vAlign w:val="center"/>
          </w:tcPr>
          <w:p w14:paraId="56C640B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公用设施用地</w:t>
            </w:r>
          </w:p>
        </w:tc>
        <w:tc>
          <w:tcPr>
            <w:tcW w:w="450" w:type="pct"/>
            <w:tcBorders>
              <w:top w:val="single" w:color="auto" w:sz="4" w:space="0"/>
              <w:left w:val="nil"/>
              <w:bottom w:val="double" w:color="auto" w:sz="4" w:space="0"/>
              <w:right w:val="single" w:color="auto" w:sz="4" w:space="0"/>
            </w:tcBorders>
            <w:shd w:val="clear" w:color="auto" w:fill="auto"/>
            <w:vAlign w:val="center"/>
          </w:tcPr>
          <w:p w14:paraId="1AFD28D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绿地与开敞空间用地</w:t>
            </w:r>
          </w:p>
        </w:tc>
        <w:tc>
          <w:tcPr>
            <w:tcW w:w="450" w:type="pct"/>
            <w:tcBorders>
              <w:top w:val="single" w:color="auto" w:sz="4" w:space="0"/>
              <w:left w:val="nil"/>
              <w:bottom w:val="double" w:color="auto" w:sz="4" w:space="0"/>
              <w:right w:val="single" w:color="auto" w:sz="4" w:space="0"/>
            </w:tcBorders>
            <w:shd w:val="clear" w:color="auto" w:fill="auto"/>
            <w:vAlign w:val="center"/>
          </w:tcPr>
          <w:p w14:paraId="2D2FC260">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陆地水域</w:t>
            </w:r>
          </w:p>
        </w:tc>
      </w:tr>
      <w:tr w14:paraId="77189B52">
        <w:tblPrEx>
          <w:tblCellMar>
            <w:top w:w="0" w:type="dxa"/>
            <w:left w:w="108" w:type="dxa"/>
            <w:bottom w:w="0" w:type="dxa"/>
            <w:right w:w="108" w:type="dxa"/>
          </w:tblCellMar>
        </w:tblPrEx>
        <w:trPr>
          <w:trHeight w:val="397" w:hRule="atLeast"/>
        </w:trPr>
        <w:tc>
          <w:tcPr>
            <w:tcW w:w="342" w:type="pct"/>
            <w:tcBorders>
              <w:top w:val="double" w:color="auto" w:sz="4" w:space="0"/>
              <w:left w:val="single" w:color="auto" w:sz="4" w:space="0"/>
              <w:bottom w:val="single" w:color="auto" w:sz="4" w:space="0"/>
              <w:right w:val="single" w:color="auto" w:sz="4" w:space="0"/>
            </w:tcBorders>
            <w:shd w:val="clear" w:color="auto" w:fill="auto"/>
            <w:vAlign w:val="center"/>
          </w:tcPr>
          <w:p w14:paraId="27C8D4D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678" w:type="pct"/>
            <w:tcBorders>
              <w:top w:val="double" w:color="auto" w:sz="4" w:space="0"/>
              <w:left w:val="nil"/>
              <w:bottom w:val="single" w:color="auto" w:sz="4" w:space="0"/>
              <w:right w:val="single" w:color="auto" w:sz="4" w:space="0"/>
            </w:tcBorders>
            <w:shd w:val="clear" w:color="auto" w:fill="auto"/>
            <w:vAlign w:val="center"/>
          </w:tcPr>
          <w:p w14:paraId="7B8A251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一般扰动地表</w:t>
            </w:r>
          </w:p>
        </w:tc>
        <w:tc>
          <w:tcPr>
            <w:tcW w:w="344" w:type="pct"/>
            <w:tcBorders>
              <w:top w:val="double" w:color="auto" w:sz="4" w:space="0"/>
              <w:left w:val="nil"/>
              <w:bottom w:val="single" w:color="auto" w:sz="4" w:space="0"/>
              <w:right w:val="single" w:color="auto" w:sz="4" w:space="0"/>
            </w:tcBorders>
            <w:shd w:val="clear" w:color="auto" w:fill="auto"/>
            <w:vAlign w:val="center"/>
          </w:tcPr>
          <w:p w14:paraId="34D729B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Mfd</w:t>
            </w:r>
          </w:p>
        </w:tc>
        <w:tc>
          <w:tcPr>
            <w:tcW w:w="488" w:type="pct"/>
            <w:tcBorders>
              <w:top w:val="double" w:color="auto" w:sz="4" w:space="0"/>
              <w:left w:val="nil"/>
              <w:bottom w:val="single" w:color="auto" w:sz="4" w:space="0"/>
              <w:right w:val="single" w:color="auto" w:sz="4" w:space="0"/>
            </w:tcBorders>
            <w:shd w:val="clear" w:color="auto" w:fill="auto"/>
            <w:vAlign w:val="center"/>
          </w:tcPr>
          <w:p w14:paraId="792A72D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Mfd=QIHPGf</w:t>
            </w:r>
          </w:p>
        </w:tc>
        <w:tc>
          <w:tcPr>
            <w:tcW w:w="450" w:type="pct"/>
            <w:tcBorders>
              <w:top w:val="double" w:color="auto" w:sz="4" w:space="0"/>
              <w:left w:val="nil"/>
              <w:bottom w:val="single" w:color="auto" w:sz="4" w:space="0"/>
              <w:right w:val="single" w:color="auto" w:sz="4" w:space="0"/>
            </w:tcBorders>
            <w:shd w:val="clear" w:color="auto" w:fill="auto"/>
            <w:vAlign w:val="center"/>
          </w:tcPr>
          <w:p w14:paraId="65CE88A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13146</w:t>
            </w:r>
          </w:p>
        </w:tc>
        <w:tc>
          <w:tcPr>
            <w:tcW w:w="450" w:type="pct"/>
            <w:tcBorders>
              <w:top w:val="double" w:color="auto" w:sz="4" w:space="0"/>
              <w:left w:val="nil"/>
              <w:bottom w:val="single" w:color="auto" w:sz="4" w:space="0"/>
              <w:right w:val="single" w:color="auto" w:sz="4" w:space="0"/>
            </w:tcBorders>
            <w:shd w:val="clear" w:color="auto" w:fill="auto"/>
            <w:vAlign w:val="center"/>
          </w:tcPr>
          <w:p w14:paraId="2BFF9E1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13146</w:t>
            </w:r>
          </w:p>
        </w:tc>
        <w:tc>
          <w:tcPr>
            <w:tcW w:w="450" w:type="pct"/>
            <w:tcBorders>
              <w:top w:val="double" w:color="auto" w:sz="4" w:space="0"/>
              <w:left w:val="nil"/>
              <w:bottom w:val="single" w:color="auto" w:sz="4" w:space="0"/>
              <w:right w:val="single" w:color="auto" w:sz="4" w:space="0"/>
            </w:tcBorders>
            <w:shd w:val="clear" w:color="auto" w:fill="auto"/>
            <w:vAlign w:val="center"/>
          </w:tcPr>
          <w:p w14:paraId="6A93CAD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13146</w:t>
            </w:r>
          </w:p>
        </w:tc>
        <w:tc>
          <w:tcPr>
            <w:tcW w:w="450" w:type="pct"/>
            <w:tcBorders>
              <w:top w:val="double" w:color="auto" w:sz="4" w:space="0"/>
              <w:left w:val="nil"/>
              <w:bottom w:val="single" w:color="auto" w:sz="4" w:space="0"/>
              <w:right w:val="single" w:color="auto" w:sz="4" w:space="0"/>
            </w:tcBorders>
            <w:shd w:val="clear" w:color="auto" w:fill="auto"/>
            <w:vAlign w:val="center"/>
          </w:tcPr>
          <w:p w14:paraId="3A93DCC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7493</w:t>
            </w:r>
          </w:p>
        </w:tc>
        <w:tc>
          <w:tcPr>
            <w:tcW w:w="450" w:type="pct"/>
            <w:tcBorders>
              <w:top w:val="double" w:color="auto" w:sz="4" w:space="0"/>
              <w:left w:val="nil"/>
              <w:bottom w:val="single" w:color="auto" w:sz="4" w:space="0"/>
              <w:right w:val="single" w:color="auto" w:sz="4" w:space="0"/>
            </w:tcBorders>
            <w:shd w:val="clear" w:color="auto" w:fill="auto"/>
            <w:vAlign w:val="center"/>
          </w:tcPr>
          <w:p w14:paraId="743C903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13146</w:t>
            </w:r>
          </w:p>
        </w:tc>
        <w:tc>
          <w:tcPr>
            <w:tcW w:w="450" w:type="pct"/>
            <w:tcBorders>
              <w:top w:val="double" w:color="auto" w:sz="4" w:space="0"/>
              <w:left w:val="nil"/>
              <w:bottom w:val="single" w:color="auto" w:sz="4" w:space="0"/>
              <w:right w:val="single" w:color="auto" w:sz="4" w:space="0"/>
            </w:tcBorders>
            <w:shd w:val="clear" w:color="auto" w:fill="auto"/>
            <w:vAlign w:val="center"/>
          </w:tcPr>
          <w:p w14:paraId="45CA2D7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13146</w:t>
            </w:r>
          </w:p>
        </w:tc>
        <w:tc>
          <w:tcPr>
            <w:tcW w:w="450" w:type="pct"/>
            <w:tcBorders>
              <w:top w:val="double" w:color="auto" w:sz="4" w:space="0"/>
              <w:left w:val="nil"/>
              <w:bottom w:val="single" w:color="auto" w:sz="4" w:space="0"/>
              <w:right w:val="single" w:color="auto" w:sz="4" w:space="0"/>
            </w:tcBorders>
            <w:shd w:val="clear" w:color="auto" w:fill="auto"/>
            <w:vAlign w:val="center"/>
          </w:tcPr>
          <w:p w14:paraId="144CD6D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13146</w:t>
            </w:r>
          </w:p>
        </w:tc>
      </w:tr>
      <w:tr w14:paraId="48E0B190">
        <w:tblPrEx>
          <w:tblCellMar>
            <w:top w:w="0" w:type="dxa"/>
            <w:left w:w="108" w:type="dxa"/>
            <w:bottom w:w="0" w:type="dxa"/>
            <w:right w:w="108" w:type="dxa"/>
          </w:tblCellMar>
        </w:tblPrEx>
        <w:trPr>
          <w:trHeight w:val="397" w:hRule="atLeast"/>
        </w:trPr>
        <w:tc>
          <w:tcPr>
            <w:tcW w:w="342" w:type="pct"/>
            <w:tcBorders>
              <w:top w:val="nil"/>
              <w:left w:val="single" w:color="auto" w:sz="4" w:space="0"/>
              <w:bottom w:val="single" w:color="auto" w:sz="4" w:space="0"/>
              <w:right w:val="single" w:color="auto" w:sz="4" w:space="0"/>
            </w:tcBorders>
            <w:shd w:val="clear" w:color="auto" w:fill="auto"/>
            <w:vAlign w:val="center"/>
          </w:tcPr>
          <w:p w14:paraId="1C28CF9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w:t>
            </w:r>
          </w:p>
        </w:tc>
        <w:tc>
          <w:tcPr>
            <w:tcW w:w="678" w:type="pct"/>
            <w:tcBorders>
              <w:top w:val="nil"/>
              <w:left w:val="nil"/>
              <w:bottom w:val="single" w:color="auto" w:sz="4" w:space="0"/>
              <w:right w:val="single" w:color="auto" w:sz="4" w:space="0"/>
            </w:tcBorders>
            <w:shd w:val="clear" w:color="auto" w:fill="auto"/>
            <w:vAlign w:val="center"/>
          </w:tcPr>
          <w:p w14:paraId="3C18DEB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风蚀率</w:t>
            </w:r>
          </w:p>
        </w:tc>
        <w:tc>
          <w:tcPr>
            <w:tcW w:w="344" w:type="pct"/>
            <w:tcBorders>
              <w:top w:val="nil"/>
              <w:left w:val="nil"/>
              <w:bottom w:val="single" w:color="auto" w:sz="4" w:space="0"/>
              <w:right w:val="single" w:color="auto" w:sz="4" w:space="0"/>
            </w:tcBorders>
            <w:shd w:val="clear" w:color="auto" w:fill="auto"/>
            <w:vAlign w:val="center"/>
          </w:tcPr>
          <w:p w14:paraId="02B15BF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Q</w:t>
            </w:r>
          </w:p>
        </w:tc>
        <w:tc>
          <w:tcPr>
            <w:tcW w:w="488" w:type="pct"/>
            <w:tcBorders>
              <w:top w:val="nil"/>
              <w:left w:val="nil"/>
              <w:bottom w:val="single" w:color="auto" w:sz="4" w:space="0"/>
              <w:right w:val="single" w:color="auto" w:sz="4" w:space="0"/>
            </w:tcBorders>
            <w:shd w:val="clear" w:color="auto" w:fill="auto"/>
            <w:vAlign w:val="center"/>
          </w:tcPr>
          <w:p w14:paraId="2889F29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450" w:type="pct"/>
            <w:tcBorders>
              <w:top w:val="nil"/>
              <w:left w:val="nil"/>
              <w:bottom w:val="single" w:color="auto" w:sz="4" w:space="0"/>
              <w:right w:val="single" w:color="auto" w:sz="4" w:space="0"/>
            </w:tcBorders>
            <w:shd w:val="clear" w:color="auto" w:fill="auto"/>
            <w:vAlign w:val="center"/>
          </w:tcPr>
          <w:p w14:paraId="7E49FB8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450" w:type="pct"/>
            <w:tcBorders>
              <w:top w:val="nil"/>
              <w:left w:val="nil"/>
              <w:bottom w:val="single" w:color="auto" w:sz="4" w:space="0"/>
              <w:right w:val="single" w:color="auto" w:sz="4" w:space="0"/>
            </w:tcBorders>
            <w:shd w:val="clear" w:color="auto" w:fill="auto"/>
            <w:vAlign w:val="center"/>
          </w:tcPr>
          <w:p w14:paraId="2B43C0A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450" w:type="pct"/>
            <w:tcBorders>
              <w:top w:val="nil"/>
              <w:left w:val="nil"/>
              <w:bottom w:val="single" w:color="auto" w:sz="4" w:space="0"/>
              <w:right w:val="single" w:color="auto" w:sz="4" w:space="0"/>
            </w:tcBorders>
            <w:shd w:val="clear" w:color="auto" w:fill="auto"/>
            <w:vAlign w:val="center"/>
          </w:tcPr>
          <w:p w14:paraId="4BD7676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450" w:type="pct"/>
            <w:tcBorders>
              <w:top w:val="nil"/>
              <w:left w:val="nil"/>
              <w:bottom w:val="single" w:color="auto" w:sz="4" w:space="0"/>
              <w:right w:val="single" w:color="auto" w:sz="4" w:space="0"/>
            </w:tcBorders>
            <w:shd w:val="clear" w:color="auto" w:fill="auto"/>
            <w:vAlign w:val="center"/>
          </w:tcPr>
          <w:p w14:paraId="7C56D55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450" w:type="pct"/>
            <w:tcBorders>
              <w:top w:val="nil"/>
              <w:left w:val="nil"/>
              <w:bottom w:val="single" w:color="auto" w:sz="4" w:space="0"/>
              <w:right w:val="single" w:color="auto" w:sz="4" w:space="0"/>
            </w:tcBorders>
            <w:shd w:val="clear" w:color="auto" w:fill="auto"/>
            <w:vAlign w:val="center"/>
          </w:tcPr>
          <w:p w14:paraId="7F3F251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450" w:type="pct"/>
            <w:tcBorders>
              <w:top w:val="nil"/>
              <w:left w:val="nil"/>
              <w:bottom w:val="single" w:color="auto" w:sz="4" w:space="0"/>
              <w:right w:val="single" w:color="auto" w:sz="4" w:space="0"/>
            </w:tcBorders>
            <w:shd w:val="clear" w:color="auto" w:fill="auto"/>
            <w:vAlign w:val="center"/>
          </w:tcPr>
          <w:p w14:paraId="6C4A2DB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450" w:type="pct"/>
            <w:tcBorders>
              <w:top w:val="nil"/>
              <w:left w:val="nil"/>
              <w:bottom w:val="single" w:color="auto" w:sz="4" w:space="0"/>
              <w:right w:val="single" w:color="auto" w:sz="4" w:space="0"/>
            </w:tcBorders>
            <w:shd w:val="clear" w:color="auto" w:fill="auto"/>
            <w:vAlign w:val="center"/>
          </w:tcPr>
          <w:p w14:paraId="39E1F81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r>
      <w:tr w14:paraId="4298FA2A">
        <w:tblPrEx>
          <w:tblCellMar>
            <w:top w:w="0" w:type="dxa"/>
            <w:left w:w="108" w:type="dxa"/>
            <w:bottom w:w="0" w:type="dxa"/>
            <w:right w:w="108" w:type="dxa"/>
          </w:tblCellMar>
        </w:tblPrEx>
        <w:trPr>
          <w:trHeight w:val="397" w:hRule="atLeast"/>
        </w:trPr>
        <w:tc>
          <w:tcPr>
            <w:tcW w:w="342" w:type="pct"/>
            <w:tcBorders>
              <w:top w:val="nil"/>
              <w:left w:val="single" w:color="auto" w:sz="4" w:space="0"/>
              <w:bottom w:val="single" w:color="auto" w:sz="4" w:space="0"/>
              <w:right w:val="single" w:color="auto" w:sz="4" w:space="0"/>
            </w:tcBorders>
            <w:shd w:val="clear" w:color="auto" w:fill="auto"/>
            <w:vAlign w:val="center"/>
          </w:tcPr>
          <w:p w14:paraId="52E3555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w:t>
            </w:r>
          </w:p>
        </w:tc>
        <w:tc>
          <w:tcPr>
            <w:tcW w:w="678" w:type="pct"/>
            <w:tcBorders>
              <w:top w:val="nil"/>
              <w:left w:val="nil"/>
              <w:bottom w:val="single" w:color="auto" w:sz="4" w:space="0"/>
              <w:right w:val="single" w:color="auto" w:sz="4" w:space="0"/>
            </w:tcBorders>
            <w:shd w:val="clear" w:color="auto" w:fill="auto"/>
            <w:vAlign w:val="center"/>
          </w:tcPr>
          <w:p w14:paraId="079641F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粗糙干扰因子</w:t>
            </w:r>
          </w:p>
        </w:tc>
        <w:tc>
          <w:tcPr>
            <w:tcW w:w="344" w:type="pct"/>
            <w:tcBorders>
              <w:top w:val="nil"/>
              <w:left w:val="nil"/>
              <w:bottom w:val="single" w:color="auto" w:sz="4" w:space="0"/>
              <w:right w:val="single" w:color="auto" w:sz="4" w:space="0"/>
            </w:tcBorders>
            <w:shd w:val="clear" w:color="auto" w:fill="auto"/>
            <w:vAlign w:val="center"/>
          </w:tcPr>
          <w:p w14:paraId="5EA076C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I</w:t>
            </w:r>
          </w:p>
        </w:tc>
        <w:tc>
          <w:tcPr>
            <w:tcW w:w="488" w:type="pct"/>
            <w:tcBorders>
              <w:top w:val="nil"/>
              <w:left w:val="nil"/>
              <w:bottom w:val="single" w:color="auto" w:sz="4" w:space="0"/>
              <w:right w:val="single" w:color="auto" w:sz="4" w:space="0"/>
            </w:tcBorders>
            <w:shd w:val="clear" w:color="auto" w:fill="auto"/>
            <w:vAlign w:val="center"/>
          </w:tcPr>
          <w:p w14:paraId="37D59C2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I=e-0.045υ</w:t>
            </w:r>
          </w:p>
        </w:tc>
        <w:tc>
          <w:tcPr>
            <w:tcW w:w="450" w:type="pct"/>
            <w:tcBorders>
              <w:top w:val="nil"/>
              <w:left w:val="nil"/>
              <w:bottom w:val="single" w:color="auto" w:sz="4" w:space="0"/>
              <w:right w:val="single" w:color="auto" w:sz="4" w:space="0"/>
            </w:tcBorders>
            <w:shd w:val="clear" w:color="auto" w:fill="auto"/>
            <w:vAlign w:val="center"/>
          </w:tcPr>
          <w:p w14:paraId="203356F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0.6374</w:t>
            </w:r>
          </w:p>
        </w:tc>
        <w:tc>
          <w:tcPr>
            <w:tcW w:w="450" w:type="pct"/>
            <w:tcBorders>
              <w:top w:val="nil"/>
              <w:left w:val="nil"/>
              <w:bottom w:val="single" w:color="auto" w:sz="4" w:space="0"/>
              <w:right w:val="single" w:color="auto" w:sz="4" w:space="0"/>
            </w:tcBorders>
            <w:shd w:val="clear" w:color="auto" w:fill="auto"/>
            <w:vAlign w:val="center"/>
          </w:tcPr>
          <w:p w14:paraId="5ACA83E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0.6374</w:t>
            </w:r>
          </w:p>
        </w:tc>
        <w:tc>
          <w:tcPr>
            <w:tcW w:w="450" w:type="pct"/>
            <w:tcBorders>
              <w:top w:val="nil"/>
              <w:left w:val="nil"/>
              <w:bottom w:val="single" w:color="auto" w:sz="4" w:space="0"/>
              <w:right w:val="single" w:color="auto" w:sz="4" w:space="0"/>
            </w:tcBorders>
            <w:shd w:val="clear" w:color="auto" w:fill="auto"/>
            <w:vAlign w:val="center"/>
          </w:tcPr>
          <w:p w14:paraId="71D6D92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0.6374</w:t>
            </w:r>
          </w:p>
        </w:tc>
        <w:tc>
          <w:tcPr>
            <w:tcW w:w="450" w:type="pct"/>
            <w:tcBorders>
              <w:top w:val="nil"/>
              <w:left w:val="nil"/>
              <w:bottom w:val="single" w:color="auto" w:sz="4" w:space="0"/>
              <w:right w:val="single" w:color="auto" w:sz="4" w:space="0"/>
            </w:tcBorders>
            <w:shd w:val="clear" w:color="auto" w:fill="auto"/>
            <w:vAlign w:val="center"/>
          </w:tcPr>
          <w:p w14:paraId="62250B5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0.6374</w:t>
            </w:r>
          </w:p>
        </w:tc>
        <w:tc>
          <w:tcPr>
            <w:tcW w:w="450" w:type="pct"/>
            <w:tcBorders>
              <w:top w:val="nil"/>
              <w:left w:val="nil"/>
              <w:bottom w:val="single" w:color="auto" w:sz="4" w:space="0"/>
              <w:right w:val="single" w:color="auto" w:sz="4" w:space="0"/>
            </w:tcBorders>
            <w:shd w:val="clear" w:color="auto" w:fill="auto"/>
            <w:vAlign w:val="center"/>
          </w:tcPr>
          <w:p w14:paraId="4E68446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0.6374</w:t>
            </w:r>
          </w:p>
        </w:tc>
        <w:tc>
          <w:tcPr>
            <w:tcW w:w="450" w:type="pct"/>
            <w:tcBorders>
              <w:top w:val="nil"/>
              <w:left w:val="nil"/>
              <w:bottom w:val="single" w:color="auto" w:sz="4" w:space="0"/>
              <w:right w:val="single" w:color="auto" w:sz="4" w:space="0"/>
            </w:tcBorders>
            <w:shd w:val="clear" w:color="auto" w:fill="auto"/>
            <w:vAlign w:val="center"/>
          </w:tcPr>
          <w:p w14:paraId="183EA60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0.6374</w:t>
            </w:r>
          </w:p>
        </w:tc>
        <w:tc>
          <w:tcPr>
            <w:tcW w:w="450" w:type="pct"/>
            <w:tcBorders>
              <w:top w:val="nil"/>
              <w:left w:val="nil"/>
              <w:bottom w:val="single" w:color="auto" w:sz="4" w:space="0"/>
              <w:right w:val="single" w:color="auto" w:sz="4" w:space="0"/>
            </w:tcBorders>
            <w:shd w:val="clear" w:color="auto" w:fill="auto"/>
            <w:vAlign w:val="center"/>
          </w:tcPr>
          <w:p w14:paraId="4FBD84E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0.6374</w:t>
            </w:r>
          </w:p>
        </w:tc>
      </w:tr>
      <w:tr w14:paraId="6B37346D">
        <w:tblPrEx>
          <w:tblCellMar>
            <w:top w:w="0" w:type="dxa"/>
            <w:left w:w="108" w:type="dxa"/>
            <w:bottom w:w="0" w:type="dxa"/>
            <w:right w:w="108" w:type="dxa"/>
          </w:tblCellMar>
        </w:tblPrEx>
        <w:trPr>
          <w:trHeight w:val="397" w:hRule="atLeast"/>
        </w:trPr>
        <w:tc>
          <w:tcPr>
            <w:tcW w:w="342" w:type="pct"/>
            <w:tcBorders>
              <w:top w:val="nil"/>
              <w:left w:val="single" w:color="auto" w:sz="4" w:space="0"/>
              <w:bottom w:val="single" w:color="auto" w:sz="4" w:space="0"/>
              <w:right w:val="single" w:color="auto" w:sz="4" w:space="0"/>
            </w:tcBorders>
            <w:shd w:val="clear" w:color="auto" w:fill="auto"/>
            <w:vAlign w:val="center"/>
          </w:tcPr>
          <w:p w14:paraId="01A8016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678" w:type="pct"/>
            <w:tcBorders>
              <w:top w:val="nil"/>
              <w:left w:val="nil"/>
              <w:bottom w:val="single" w:color="auto" w:sz="4" w:space="0"/>
              <w:right w:val="single" w:color="auto" w:sz="4" w:space="0"/>
            </w:tcBorders>
            <w:shd w:val="clear" w:color="auto" w:fill="auto"/>
            <w:vAlign w:val="center"/>
          </w:tcPr>
          <w:p w14:paraId="4412808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地表植被覆盖度和砾石盖度（%）</w:t>
            </w:r>
          </w:p>
        </w:tc>
        <w:tc>
          <w:tcPr>
            <w:tcW w:w="344" w:type="pct"/>
            <w:tcBorders>
              <w:top w:val="nil"/>
              <w:left w:val="nil"/>
              <w:bottom w:val="single" w:color="auto" w:sz="4" w:space="0"/>
              <w:right w:val="single" w:color="auto" w:sz="4" w:space="0"/>
            </w:tcBorders>
            <w:shd w:val="clear" w:color="auto" w:fill="auto"/>
            <w:vAlign w:val="center"/>
          </w:tcPr>
          <w:p w14:paraId="40339C3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υ</w:t>
            </w:r>
          </w:p>
        </w:tc>
        <w:tc>
          <w:tcPr>
            <w:tcW w:w="488" w:type="pct"/>
            <w:tcBorders>
              <w:top w:val="nil"/>
              <w:left w:val="nil"/>
              <w:bottom w:val="single" w:color="auto" w:sz="4" w:space="0"/>
              <w:right w:val="single" w:color="auto" w:sz="4" w:space="0"/>
            </w:tcBorders>
            <w:shd w:val="clear" w:color="auto" w:fill="auto"/>
            <w:vAlign w:val="center"/>
          </w:tcPr>
          <w:p w14:paraId="1982DC0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450" w:type="pct"/>
            <w:tcBorders>
              <w:top w:val="nil"/>
              <w:left w:val="nil"/>
              <w:bottom w:val="single" w:color="auto" w:sz="4" w:space="0"/>
              <w:right w:val="single" w:color="auto" w:sz="4" w:space="0"/>
            </w:tcBorders>
            <w:shd w:val="clear" w:color="auto" w:fill="auto"/>
            <w:vAlign w:val="center"/>
          </w:tcPr>
          <w:p w14:paraId="38AC36D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w:t>
            </w:r>
          </w:p>
        </w:tc>
        <w:tc>
          <w:tcPr>
            <w:tcW w:w="450" w:type="pct"/>
            <w:tcBorders>
              <w:top w:val="nil"/>
              <w:left w:val="nil"/>
              <w:bottom w:val="single" w:color="auto" w:sz="4" w:space="0"/>
              <w:right w:val="single" w:color="auto" w:sz="4" w:space="0"/>
            </w:tcBorders>
            <w:shd w:val="clear" w:color="auto" w:fill="auto"/>
            <w:vAlign w:val="center"/>
          </w:tcPr>
          <w:p w14:paraId="5564445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w:t>
            </w:r>
          </w:p>
        </w:tc>
        <w:tc>
          <w:tcPr>
            <w:tcW w:w="450" w:type="pct"/>
            <w:tcBorders>
              <w:top w:val="nil"/>
              <w:left w:val="nil"/>
              <w:bottom w:val="single" w:color="auto" w:sz="4" w:space="0"/>
              <w:right w:val="single" w:color="auto" w:sz="4" w:space="0"/>
            </w:tcBorders>
            <w:shd w:val="clear" w:color="auto" w:fill="auto"/>
            <w:vAlign w:val="center"/>
          </w:tcPr>
          <w:p w14:paraId="055612E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w:t>
            </w:r>
          </w:p>
        </w:tc>
        <w:tc>
          <w:tcPr>
            <w:tcW w:w="450" w:type="pct"/>
            <w:tcBorders>
              <w:top w:val="nil"/>
              <w:left w:val="nil"/>
              <w:bottom w:val="single" w:color="auto" w:sz="4" w:space="0"/>
              <w:right w:val="single" w:color="auto" w:sz="4" w:space="0"/>
            </w:tcBorders>
            <w:shd w:val="clear" w:color="auto" w:fill="auto"/>
            <w:vAlign w:val="center"/>
          </w:tcPr>
          <w:p w14:paraId="2484020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w:t>
            </w:r>
          </w:p>
        </w:tc>
        <w:tc>
          <w:tcPr>
            <w:tcW w:w="450" w:type="pct"/>
            <w:tcBorders>
              <w:top w:val="nil"/>
              <w:left w:val="nil"/>
              <w:bottom w:val="single" w:color="auto" w:sz="4" w:space="0"/>
              <w:right w:val="single" w:color="auto" w:sz="4" w:space="0"/>
            </w:tcBorders>
            <w:shd w:val="clear" w:color="auto" w:fill="auto"/>
            <w:vAlign w:val="center"/>
          </w:tcPr>
          <w:p w14:paraId="2024E0D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w:t>
            </w:r>
          </w:p>
        </w:tc>
        <w:tc>
          <w:tcPr>
            <w:tcW w:w="450" w:type="pct"/>
            <w:tcBorders>
              <w:top w:val="nil"/>
              <w:left w:val="nil"/>
              <w:bottom w:val="single" w:color="auto" w:sz="4" w:space="0"/>
              <w:right w:val="single" w:color="auto" w:sz="4" w:space="0"/>
            </w:tcBorders>
            <w:shd w:val="clear" w:color="auto" w:fill="auto"/>
            <w:vAlign w:val="center"/>
          </w:tcPr>
          <w:p w14:paraId="33CC8B7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w:t>
            </w:r>
          </w:p>
        </w:tc>
        <w:tc>
          <w:tcPr>
            <w:tcW w:w="450" w:type="pct"/>
            <w:tcBorders>
              <w:top w:val="nil"/>
              <w:left w:val="nil"/>
              <w:bottom w:val="single" w:color="auto" w:sz="4" w:space="0"/>
              <w:right w:val="single" w:color="auto" w:sz="4" w:space="0"/>
            </w:tcBorders>
            <w:shd w:val="clear" w:color="auto" w:fill="auto"/>
            <w:vAlign w:val="center"/>
          </w:tcPr>
          <w:p w14:paraId="47272AA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w:t>
            </w:r>
          </w:p>
        </w:tc>
      </w:tr>
      <w:tr w14:paraId="72FB7900">
        <w:tblPrEx>
          <w:tblCellMar>
            <w:top w:w="0" w:type="dxa"/>
            <w:left w:w="108" w:type="dxa"/>
            <w:bottom w:w="0" w:type="dxa"/>
            <w:right w:w="108" w:type="dxa"/>
          </w:tblCellMar>
        </w:tblPrEx>
        <w:trPr>
          <w:trHeight w:val="397" w:hRule="atLeast"/>
        </w:trPr>
        <w:tc>
          <w:tcPr>
            <w:tcW w:w="342" w:type="pct"/>
            <w:tcBorders>
              <w:top w:val="nil"/>
              <w:left w:val="single" w:color="auto" w:sz="4" w:space="0"/>
              <w:bottom w:val="single" w:color="auto" w:sz="4" w:space="0"/>
              <w:right w:val="single" w:color="auto" w:sz="4" w:space="0"/>
            </w:tcBorders>
            <w:shd w:val="clear" w:color="auto" w:fill="auto"/>
            <w:vAlign w:val="center"/>
          </w:tcPr>
          <w:p w14:paraId="79382A6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4</w:t>
            </w:r>
          </w:p>
        </w:tc>
        <w:tc>
          <w:tcPr>
            <w:tcW w:w="678" w:type="pct"/>
            <w:tcBorders>
              <w:top w:val="nil"/>
              <w:left w:val="nil"/>
              <w:bottom w:val="single" w:color="auto" w:sz="4" w:space="0"/>
              <w:right w:val="single" w:color="auto" w:sz="4" w:space="0"/>
            </w:tcBorders>
            <w:shd w:val="clear" w:color="auto" w:fill="auto"/>
            <w:vAlign w:val="center"/>
          </w:tcPr>
          <w:p w14:paraId="6ABE174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高度因子</w:t>
            </w:r>
          </w:p>
        </w:tc>
        <w:tc>
          <w:tcPr>
            <w:tcW w:w="344" w:type="pct"/>
            <w:tcBorders>
              <w:top w:val="nil"/>
              <w:left w:val="nil"/>
              <w:bottom w:val="single" w:color="auto" w:sz="4" w:space="0"/>
              <w:right w:val="single" w:color="auto" w:sz="4" w:space="0"/>
            </w:tcBorders>
            <w:shd w:val="clear" w:color="auto" w:fill="auto"/>
            <w:vAlign w:val="center"/>
          </w:tcPr>
          <w:p w14:paraId="025235B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H</w:t>
            </w:r>
          </w:p>
        </w:tc>
        <w:tc>
          <w:tcPr>
            <w:tcW w:w="488" w:type="pct"/>
            <w:tcBorders>
              <w:top w:val="nil"/>
              <w:left w:val="nil"/>
              <w:bottom w:val="single" w:color="auto" w:sz="4" w:space="0"/>
              <w:right w:val="single" w:color="auto" w:sz="4" w:space="0"/>
            </w:tcBorders>
            <w:shd w:val="clear" w:color="auto" w:fill="auto"/>
            <w:vAlign w:val="center"/>
          </w:tcPr>
          <w:p w14:paraId="3ADDE13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H=0.38lnh+2.75</w:t>
            </w:r>
          </w:p>
        </w:tc>
        <w:tc>
          <w:tcPr>
            <w:tcW w:w="450" w:type="pct"/>
            <w:tcBorders>
              <w:top w:val="nil"/>
              <w:left w:val="nil"/>
              <w:bottom w:val="single" w:color="auto" w:sz="4" w:space="0"/>
              <w:right w:val="single" w:color="auto" w:sz="4" w:space="0"/>
            </w:tcBorders>
            <w:shd w:val="clear" w:color="auto" w:fill="auto"/>
            <w:vAlign w:val="center"/>
          </w:tcPr>
          <w:p w14:paraId="5D29BA7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3.1686</w:t>
            </w:r>
          </w:p>
        </w:tc>
        <w:tc>
          <w:tcPr>
            <w:tcW w:w="450" w:type="pct"/>
            <w:tcBorders>
              <w:top w:val="nil"/>
              <w:left w:val="nil"/>
              <w:bottom w:val="single" w:color="auto" w:sz="4" w:space="0"/>
              <w:right w:val="single" w:color="auto" w:sz="4" w:space="0"/>
            </w:tcBorders>
            <w:shd w:val="clear" w:color="auto" w:fill="auto"/>
            <w:vAlign w:val="center"/>
          </w:tcPr>
          <w:p w14:paraId="0DFA1DF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3.1686</w:t>
            </w:r>
          </w:p>
        </w:tc>
        <w:tc>
          <w:tcPr>
            <w:tcW w:w="450" w:type="pct"/>
            <w:tcBorders>
              <w:top w:val="nil"/>
              <w:left w:val="nil"/>
              <w:bottom w:val="single" w:color="auto" w:sz="4" w:space="0"/>
              <w:right w:val="single" w:color="auto" w:sz="4" w:space="0"/>
            </w:tcBorders>
            <w:shd w:val="clear" w:color="auto" w:fill="auto"/>
            <w:vAlign w:val="center"/>
          </w:tcPr>
          <w:p w14:paraId="04150A1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3.1686</w:t>
            </w:r>
          </w:p>
        </w:tc>
        <w:tc>
          <w:tcPr>
            <w:tcW w:w="450" w:type="pct"/>
            <w:tcBorders>
              <w:top w:val="nil"/>
              <w:left w:val="nil"/>
              <w:bottom w:val="single" w:color="auto" w:sz="4" w:space="0"/>
              <w:right w:val="single" w:color="auto" w:sz="4" w:space="0"/>
            </w:tcBorders>
            <w:shd w:val="clear" w:color="auto" w:fill="auto"/>
            <w:vAlign w:val="center"/>
          </w:tcPr>
          <w:p w14:paraId="1D1B4A9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3.1686</w:t>
            </w:r>
          </w:p>
        </w:tc>
        <w:tc>
          <w:tcPr>
            <w:tcW w:w="450" w:type="pct"/>
            <w:tcBorders>
              <w:top w:val="nil"/>
              <w:left w:val="nil"/>
              <w:bottom w:val="single" w:color="auto" w:sz="4" w:space="0"/>
              <w:right w:val="single" w:color="auto" w:sz="4" w:space="0"/>
            </w:tcBorders>
            <w:shd w:val="clear" w:color="auto" w:fill="auto"/>
            <w:vAlign w:val="center"/>
          </w:tcPr>
          <w:p w14:paraId="23ADA6E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3.1686</w:t>
            </w:r>
          </w:p>
        </w:tc>
        <w:tc>
          <w:tcPr>
            <w:tcW w:w="450" w:type="pct"/>
            <w:tcBorders>
              <w:top w:val="nil"/>
              <w:left w:val="nil"/>
              <w:bottom w:val="single" w:color="auto" w:sz="4" w:space="0"/>
              <w:right w:val="single" w:color="auto" w:sz="4" w:space="0"/>
            </w:tcBorders>
            <w:shd w:val="clear" w:color="auto" w:fill="auto"/>
            <w:vAlign w:val="center"/>
          </w:tcPr>
          <w:p w14:paraId="559B5DC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3.1686</w:t>
            </w:r>
          </w:p>
        </w:tc>
        <w:tc>
          <w:tcPr>
            <w:tcW w:w="450" w:type="pct"/>
            <w:tcBorders>
              <w:top w:val="nil"/>
              <w:left w:val="nil"/>
              <w:bottom w:val="single" w:color="auto" w:sz="4" w:space="0"/>
              <w:right w:val="single" w:color="auto" w:sz="4" w:space="0"/>
            </w:tcBorders>
            <w:shd w:val="clear" w:color="auto" w:fill="auto"/>
            <w:vAlign w:val="center"/>
          </w:tcPr>
          <w:p w14:paraId="0251C71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3.1686</w:t>
            </w:r>
          </w:p>
        </w:tc>
      </w:tr>
      <w:tr w14:paraId="364F002B">
        <w:tblPrEx>
          <w:tblCellMar>
            <w:top w:w="0" w:type="dxa"/>
            <w:left w:w="108" w:type="dxa"/>
            <w:bottom w:w="0" w:type="dxa"/>
            <w:right w:w="108" w:type="dxa"/>
          </w:tblCellMar>
        </w:tblPrEx>
        <w:trPr>
          <w:trHeight w:val="397" w:hRule="atLeast"/>
        </w:trPr>
        <w:tc>
          <w:tcPr>
            <w:tcW w:w="342" w:type="pct"/>
            <w:tcBorders>
              <w:top w:val="nil"/>
              <w:left w:val="single" w:color="auto" w:sz="4" w:space="0"/>
              <w:bottom w:val="single" w:color="auto" w:sz="4" w:space="0"/>
              <w:right w:val="single" w:color="auto" w:sz="4" w:space="0"/>
            </w:tcBorders>
            <w:shd w:val="clear" w:color="auto" w:fill="auto"/>
            <w:vAlign w:val="center"/>
          </w:tcPr>
          <w:p w14:paraId="1CF5924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678" w:type="pct"/>
            <w:tcBorders>
              <w:top w:val="nil"/>
              <w:left w:val="nil"/>
              <w:bottom w:val="single" w:color="auto" w:sz="4" w:space="0"/>
              <w:right w:val="single" w:color="auto" w:sz="4" w:space="0"/>
            </w:tcBorders>
            <w:shd w:val="clear" w:color="auto" w:fill="auto"/>
            <w:vAlign w:val="center"/>
          </w:tcPr>
          <w:p w14:paraId="77F79ED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堆积体高度（m）</w:t>
            </w:r>
          </w:p>
        </w:tc>
        <w:tc>
          <w:tcPr>
            <w:tcW w:w="344" w:type="pct"/>
            <w:tcBorders>
              <w:top w:val="nil"/>
              <w:left w:val="nil"/>
              <w:bottom w:val="single" w:color="auto" w:sz="4" w:space="0"/>
              <w:right w:val="single" w:color="auto" w:sz="4" w:space="0"/>
            </w:tcBorders>
            <w:shd w:val="clear" w:color="auto" w:fill="auto"/>
            <w:vAlign w:val="center"/>
          </w:tcPr>
          <w:p w14:paraId="2B7C50E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h</w:t>
            </w:r>
          </w:p>
        </w:tc>
        <w:tc>
          <w:tcPr>
            <w:tcW w:w="488" w:type="pct"/>
            <w:tcBorders>
              <w:top w:val="nil"/>
              <w:left w:val="nil"/>
              <w:bottom w:val="single" w:color="auto" w:sz="4" w:space="0"/>
              <w:right w:val="single" w:color="auto" w:sz="4" w:space="0"/>
            </w:tcBorders>
            <w:shd w:val="clear" w:color="auto" w:fill="auto"/>
            <w:vAlign w:val="center"/>
          </w:tcPr>
          <w:p w14:paraId="1ABE640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450" w:type="pct"/>
            <w:tcBorders>
              <w:top w:val="nil"/>
              <w:left w:val="nil"/>
              <w:bottom w:val="single" w:color="auto" w:sz="4" w:space="0"/>
              <w:right w:val="single" w:color="auto" w:sz="4" w:space="0"/>
            </w:tcBorders>
            <w:shd w:val="clear" w:color="auto" w:fill="auto"/>
            <w:vAlign w:val="center"/>
          </w:tcPr>
          <w:p w14:paraId="500C5DE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w:t>
            </w:r>
          </w:p>
        </w:tc>
        <w:tc>
          <w:tcPr>
            <w:tcW w:w="450" w:type="pct"/>
            <w:tcBorders>
              <w:top w:val="nil"/>
              <w:left w:val="nil"/>
              <w:bottom w:val="single" w:color="auto" w:sz="4" w:space="0"/>
              <w:right w:val="single" w:color="auto" w:sz="4" w:space="0"/>
            </w:tcBorders>
            <w:shd w:val="clear" w:color="auto" w:fill="auto"/>
            <w:vAlign w:val="center"/>
          </w:tcPr>
          <w:p w14:paraId="104FB64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w:t>
            </w:r>
          </w:p>
        </w:tc>
        <w:tc>
          <w:tcPr>
            <w:tcW w:w="450" w:type="pct"/>
            <w:tcBorders>
              <w:top w:val="nil"/>
              <w:left w:val="nil"/>
              <w:bottom w:val="single" w:color="auto" w:sz="4" w:space="0"/>
              <w:right w:val="single" w:color="auto" w:sz="4" w:space="0"/>
            </w:tcBorders>
            <w:shd w:val="clear" w:color="auto" w:fill="auto"/>
            <w:vAlign w:val="center"/>
          </w:tcPr>
          <w:p w14:paraId="7CAA0BF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w:t>
            </w:r>
          </w:p>
        </w:tc>
        <w:tc>
          <w:tcPr>
            <w:tcW w:w="450" w:type="pct"/>
            <w:tcBorders>
              <w:top w:val="nil"/>
              <w:left w:val="nil"/>
              <w:bottom w:val="single" w:color="auto" w:sz="4" w:space="0"/>
              <w:right w:val="single" w:color="auto" w:sz="4" w:space="0"/>
            </w:tcBorders>
            <w:shd w:val="clear" w:color="auto" w:fill="auto"/>
            <w:vAlign w:val="center"/>
          </w:tcPr>
          <w:p w14:paraId="4112A80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w:t>
            </w:r>
          </w:p>
        </w:tc>
        <w:tc>
          <w:tcPr>
            <w:tcW w:w="450" w:type="pct"/>
            <w:tcBorders>
              <w:top w:val="nil"/>
              <w:left w:val="nil"/>
              <w:bottom w:val="single" w:color="auto" w:sz="4" w:space="0"/>
              <w:right w:val="single" w:color="auto" w:sz="4" w:space="0"/>
            </w:tcBorders>
            <w:shd w:val="clear" w:color="auto" w:fill="auto"/>
            <w:vAlign w:val="center"/>
          </w:tcPr>
          <w:p w14:paraId="1E3F89D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w:t>
            </w:r>
          </w:p>
        </w:tc>
        <w:tc>
          <w:tcPr>
            <w:tcW w:w="450" w:type="pct"/>
            <w:tcBorders>
              <w:top w:val="nil"/>
              <w:left w:val="nil"/>
              <w:bottom w:val="single" w:color="auto" w:sz="4" w:space="0"/>
              <w:right w:val="single" w:color="auto" w:sz="4" w:space="0"/>
            </w:tcBorders>
            <w:shd w:val="clear" w:color="auto" w:fill="auto"/>
            <w:vAlign w:val="center"/>
          </w:tcPr>
          <w:p w14:paraId="3D02E8F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w:t>
            </w:r>
          </w:p>
        </w:tc>
        <w:tc>
          <w:tcPr>
            <w:tcW w:w="450" w:type="pct"/>
            <w:tcBorders>
              <w:top w:val="nil"/>
              <w:left w:val="nil"/>
              <w:bottom w:val="single" w:color="auto" w:sz="4" w:space="0"/>
              <w:right w:val="single" w:color="auto" w:sz="4" w:space="0"/>
            </w:tcBorders>
            <w:shd w:val="clear" w:color="auto" w:fill="auto"/>
            <w:vAlign w:val="center"/>
          </w:tcPr>
          <w:p w14:paraId="1A273DF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w:t>
            </w:r>
          </w:p>
        </w:tc>
      </w:tr>
      <w:tr w14:paraId="1BADD711">
        <w:tblPrEx>
          <w:tblCellMar>
            <w:top w:w="0" w:type="dxa"/>
            <w:left w:w="108" w:type="dxa"/>
            <w:bottom w:w="0" w:type="dxa"/>
            <w:right w:w="108" w:type="dxa"/>
          </w:tblCellMar>
        </w:tblPrEx>
        <w:trPr>
          <w:trHeight w:val="397" w:hRule="atLeast"/>
        </w:trPr>
        <w:tc>
          <w:tcPr>
            <w:tcW w:w="342" w:type="pct"/>
            <w:tcBorders>
              <w:top w:val="nil"/>
              <w:left w:val="single" w:color="auto" w:sz="4" w:space="0"/>
              <w:bottom w:val="single" w:color="auto" w:sz="4" w:space="0"/>
              <w:right w:val="single" w:color="auto" w:sz="4" w:space="0"/>
            </w:tcBorders>
            <w:shd w:val="clear" w:color="auto" w:fill="auto"/>
            <w:vAlign w:val="center"/>
          </w:tcPr>
          <w:p w14:paraId="15B7E1B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w:t>
            </w:r>
          </w:p>
        </w:tc>
        <w:tc>
          <w:tcPr>
            <w:tcW w:w="678" w:type="pct"/>
            <w:tcBorders>
              <w:top w:val="nil"/>
              <w:left w:val="nil"/>
              <w:bottom w:val="single" w:color="auto" w:sz="4" w:space="0"/>
              <w:right w:val="single" w:color="auto" w:sz="4" w:space="0"/>
            </w:tcBorders>
            <w:shd w:val="clear" w:color="auto" w:fill="auto"/>
            <w:vAlign w:val="center"/>
          </w:tcPr>
          <w:p w14:paraId="332E9B8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堆积体堆放方式因子</w:t>
            </w:r>
          </w:p>
        </w:tc>
        <w:tc>
          <w:tcPr>
            <w:tcW w:w="344" w:type="pct"/>
            <w:tcBorders>
              <w:top w:val="nil"/>
              <w:left w:val="nil"/>
              <w:bottom w:val="single" w:color="auto" w:sz="4" w:space="0"/>
              <w:right w:val="single" w:color="auto" w:sz="4" w:space="0"/>
            </w:tcBorders>
            <w:shd w:val="clear" w:color="auto" w:fill="auto"/>
            <w:vAlign w:val="center"/>
          </w:tcPr>
          <w:p w14:paraId="29187A3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P</w:t>
            </w:r>
          </w:p>
        </w:tc>
        <w:tc>
          <w:tcPr>
            <w:tcW w:w="488" w:type="pct"/>
            <w:tcBorders>
              <w:top w:val="nil"/>
              <w:left w:val="nil"/>
              <w:bottom w:val="single" w:color="auto" w:sz="4" w:space="0"/>
              <w:right w:val="single" w:color="auto" w:sz="4" w:space="0"/>
            </w:tcBorders>
            <w:shd w:val="clear" w:color="auto" w:fill="auto"/>
            <w:vAlign w:val="center"/>
          </w:tcPr>
          <w:p w14:paraId="5A91045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450" w:type="pct"/>
            <w:tcBorders>
              <w:top w:val="nil"/>
              <w:left w:val="nil"/>
              <w:bottom w:val="single" w:color="auto" w:sz="4" w:space="0"/>
              <w:right w:val="single" w:color="auto" w:sz="4" w:space="0"/>
            </w:tcBorders>
            <w:shd w:val="clear" w:color="auto" w:fill="auto"/>
            <w:vAlign w:val="center"/>
          </w:tcPr>
          <w:p w14:paraId="201B87A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450" w:type="pct"/>
            <w:tcBorders>
              <w:top w:val="nil"/>
              <w:left w:val="nil"/>
              <w:bottom w:val="single" w:color="auto" w:sz="4" w:space="0"/>
              <w:right w:val="single" w:color="auto" w:sz="4" w:space="0"/>
            </w:tcBorders>
            <w:shd w:val="clear" w:color="auto" w:fill="auto"/>
            <w:vAlign w:val="center"/>
          </w:tcPr>
          <w:p w14:paraId="5B9EA92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450" w:type="pct"/>
            <w:tcBorders>
              <w:top w:val="nil"/>
              <w:left w:val="nil"/>
              <w:bottom w:val="single" w:color="auto" w:sz="4" w:space="0"/>
              <w:right w:val="single" w:color="auto" w:sz="4" w:space="0"/>
            </w:tcBorders>
            <w:shd w:val="clear" w:color="auto" w:fill="auto"/>
            <w:vAlign w:val="center"/>
          </w:tcPr>
          <w:p w14:paraId="10B31C4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450" w:type="pct"/>
            <w:tcBorders>
              <w:top w:val="nil"/>
              <w:left w:val="nil"/>
              <w:bottom w:val="single" w:color="auto" w:sz="4" w:space="0"/>
              <w:right w:val="single" w:color="auto" w:sz="4" w:space="0"/>
            </w:tcBorders>
            <w:shd w:val="clear" w:color="auto" w:fill="auto"/>
            <w:vAlign w:val="center"/>
          </w:tcPr>
          <w:p w14:paraId="612234C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0.57</w:t>
            </w:r>
          </w:p>
        </w:tc>
        <w:tc>
          <w:tcPr>
            <w:tcW w:w="450" w:type="pct"/>
            <w:tcBorders>
              <w:top w:val="nil"/>
              <w:left w:val="nil"/>
              <w:bottom w:val="single" w:color="auto" w:sz="4" w:space="0"/>
              <w:right w:val="single" w:color="auto" w:sz="4" w:space="0"/>
            </w:tcBorders>
            <w:shd w:val="clear" w:color="auto" w:fill="auto"/>
            <w:vAlign w:val="center"/>
          </w:tcPr>
          <w:p w14:paraId="32E7BA6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450" w:type="pct"/>
            <w:tcBorders>
              <w:top w:val="nil"/>
              <w:left w:val="nil"/>
              <w:bottom w:val="single" w:color="auto" w:sz="4" w:space="0"/>
              <w:right w:val="single" w:color="auto" w:sz="4" w:space="0"/>
            </w:tcBorders>
            <w:shd w:val="clear" w:color="auto" w:fill="auto"/>
            <w:vAlign w:val="center"/>
          </w:tcPr>
          <w:p w14:paraId="013816A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450" w:type="pct"/>
            <w:tcBorders>
              <w:top w:val="nil"/>
              <w:left w:val="nil"/>
              <w:bottom w:val="single" w:color="auto" w:sz="4" w:space="0"/>
              <w:right w:val="single" w:color="auto" w:sz="4" w:space="0"/>
            </w:tcBorders>
            <w:shd w:val="clear" w:color="auto" w:fill="auto"/>
            <w:vAlign w:val="center"/>
          </w:tcPr>
          <w:p w14:paraId="2661972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r>
      <w:tr w14:paraId="186BC49A">
        <w:tblPrEx>
          <w:tblCellMar>
            <w:top w:w="0" w:type="dxa"/>
            <w:left w:w="108" w:type="dxa"/>
            <w:bottom w:w="0" w:type="dxa"/>
            <w:right w:w="108" w:type="dxa"/>
          </w:tblCellMar>
        </w:tblPrEx>
        <w:trPr>
          <w:trHeight w:val="397" w:hRule="atLeast"/>
        </w:trPr>
        <w:tc>
          <w:tcPr>
            <w:tcW w:w="342" w:type="pct"/>
            <w:tcBorders>
              <w:top w:val="nil"/>
              <w:left w:val="single" w:color="auto" w:sz="4" w:space="0"/>
              <w:bottom w:val="single" w:color="auto" w:sz="4" w:space="0"/>
              <w:right w:val="single" w:color="auto" w:sz="4" w:space="0"/>
            </w:tcBorders>
            <w:shd w:val="clear" w:color="auto" w:fill="auto"/>
            <w:vAlign w:val="center"/>
          </w:tcPr>
          <w:p w14:paraId="1EFFB68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6</w:t>
            </w:r>
          </w:p>
        </w:tc>
        <w:tc>
          <w:tcPr>
            <w:tcW w:w="678" w:type="pct"/>
            <w:tcBorders>
              <w:top w:val="nil"/>
              <w:left w:val="nil"/>
              <w:bottom w:val="single" w:color="auto" w:sz="4" w:space="0"/>
              <w:right w:val="single" w:color="auto" w:sz="4" w:space="0"/>
            </w:tcBorders>
            <w:shd w:val="clear" w:color="auto" w:fill="auto"/>
            <w:vAlign w:val="center"/>
          </w:tcPr>
          <w:p w14:paraId="1E4716D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风蚀可蚀性因子</w:t>
            </w:r>
          </w:p>
        </w:tc>
        <w:tc>
          <w:tcPr>
            <w:tcW w:w="344" w:type="pct"/>
            <w:tcBorders>
              <w:top w:val="nil"/>
              <w:left w:val="nil"/>
              <w:bottom w:val="single" w:color="auto" w:sz="4" w:space="0"/>
              <w:right w:val="single" w:color="auto" w:sz="4" w:space="0"/>
            </w:tcBorders>
            <w:shd w:val="clear" w:color="auto" w:fill="auto"/>
            <w:vAlign w:val="center"/>
          </w:tcPr>
          <w:p w14:paraId="3BC8857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Gf</w:t>
            </w:r>
          </w:p>
        </w:tc>
        <w:tc>
          <w:tcPr>
            <w:tcW w:w="488" w:type="pct"/>
            <w:tcBorders>
              <w:top w:val="nil"/>
              <w:left w:val="nil"/>
              <w:bottom w:val="single" w:color="auto" w:sz="4" w:space="0"/>
              <w:right w:val="single" w:color="auto" w:sz="4" w:space="0"/>
            </w:tcBorders>
            <w:shd w:val="clear" w:color="auto" w:fill="auto"/>
            <w:vAlign w:val="center"/>
          </w:tcPr>
          <w:p w14:paraId="268C2B0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450" w:type="pct"/>
            <w:tcBorders>
              <w:top w:val="nil"/>
              <w:left w:val="nil"/>
              <w:bottom w:val="single" w:color="auto" w:sz="4" w:space="0"/>
              <w:right w:val="single" w:color="auto" w:sz="4" w:space="0"/>
            </w:tcBorders>
            <w:shd w:val="clear" w:color="auto" w:fill="auto"/>
            <w:vAlign w:val="center"/>
          </w:tcPr>
          <w:p w14:paraId="2BD2670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450" w:type="pct"/>
            <w:tcBorders>
              <w:top w:val="nil"/>
              <w:left w:val="nil"/>
              <w:bottom w:val="single" w:color="auto" w:sz="4" w:space="0"/>
              <w:right w:val="single" w:color="auto" w:sz="4" w:space="0"/>
            </w:tcBorders>
            <w:shd w:val="clear" w:color="auto" w:fill="auto"/>
            <w:vAlign w:val="center"/>
          </w:tcPr>
          <w:p w14:paraId="3818C40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450" w:type="pct"/>
            <w:tcBorders>
              <w:top w:val="nil"/>
              <w:left w:val="nil"/>
              <w:bottom w:val="single" w:color="auto" w:sz="4" w:space="0"/>
              <w:right w:val="single" w:color="auto" w:sz="4" w:space="0"/>
            </w:tcBorders>
            <w:shd w:val="clear" w:color="auto" w:fill="auto"/>
            <w:vAlign w:val="center"/>
          </w:tcPr>
          <w:p w14:paraId="1EE9E7A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450" w:type="pct"/>
            <w:tcBorders>
              <w:top w:val="nil"/>
              <w:left w:val="nil"/>
              <w:bottom w:val="single" w:color="auto" w:sz="4" w:space="0"/>
              <w:right w:val="single" w:color="auto" w:sz="4" w:space="0"/>
            </w:tcBorders>
            <w:shd w:val="clear" w:color="auto" w:fill="auto"/>
            <w:vAlign w:val="center"/>
          </w:tcPr>
          <w:p w14:paraId="2935FA0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450" w:type="pct"/>
            <w:tcBorders>
              <w:top w:val="nil"/>
              <w:left w:val="nil"/>
              <w:bottom w:val="single" w:color="auto" w:sz="4" w:space="0"/>
              <w:right w:val="single" w:color="auto" w:sz="4" w:space="0"/>
            </w:tcBorders>
            <w:shd w:val="clear" w:color="auto" w:fill="auto"/>
            <w:vAlign w:val="center"/>
          </w:tcPr>
          <w:p w14:paraId="7715C6D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450" w:type="pct"/>
            <w:tcBorders>
              <w:top w:val="nil"/>
              <w:left w:val="nil"/>
              <w:bottom w:val="single" w:color="auto" w:sz="4" w:space="0"/>
              <w:right w:val="single" w:color="auto" w:sz="4" w:space="0"/>
            </w:tcBorders>
            <w:shd w:val="clear" w:color="auto" w:fill="auto"/>
            <w:vAlign w:val="center"/>
          </w:tcPr>
          <w:p w14:paraId="7C797FC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450" w:type="pct"/>
            <w:tcBorders>
              <w:top w:val="nil"/>
              <w:left w:val="nil"/>
              <w:bottom w:val="single" w:color="auto" w:sz="4" w:space="0"/>
              <w:right w:val="single" w:color="auto" w:sz="4" w:space="0"/>
            </w:tcBorders>
            <w:shd w:val="clear" w:color="auto" w:fill="auto"/>
            <w:vAlign w:val="center"/>
          </w:tcPr>
          <w:p w14:paraId="6B9175C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r>
    </w:tbl>
    <w:p w14:paraId="73F58E75">
      <w:pPr>
        <w:pStyle w:val="66"/>
        <w:sectPr>
          <w:headerReference r:id="rId65" w:type="default"/>
          <w:footerReference r:id="rId66" w:type="default"/>
          <w:pgSz w:w="16840" w:h="11910" w:orient="landscape"/>
          <w:pgMar w:top="1360" w:right="1580" w:bottom="1360" w:left="1380" w:header="876" w:footer="1444" w:gutter="0"/>
          <w:cols w:space="720" w:num="1"/>
          <w:docGrid w:linePitch="326" w:charSpace="0"/>
        </w:sectPr>
      </w:pPr>
    </w:p>
    <w:p w14:paraId="7F46DA51">
      <w:pPr>
        <w:pStyle w:val="5"/>
      </w:pPr>
      <w:r>
        <w:rPr>
          <w:rFonts w:hint="eastAsia"/>
        </w:rPr>
        <w:t>自然恢复期</w:t>
      </w:r>
      <w:r>
        <w:t>土壤侵蚀模数确定</w:t>
      </w:r>
    </w:p>
    <w:p w14:paraId="6ACC2D4F">
      <w:pPr>
        <w:ind w:firstLine="480"/>
        <w:rPr>
          <w:rFonts w:cs="Times New Roman"/>
        </w:rPr>
      </w:pPr>
      <w:r>
        <w:rPr>
          <w:rFonts w:cs="Times New Roman"/>
        </w:rPr>
        <w:t>根据施工</w:t>
      </w:r>
      <w:r>
        <w:rPr>
          <w:rFonts w:hint="eastAsia" w:cs="Times New Roman"/>
        </w:rPr>
        <w:t>工艺</w:t>
      </w:r>
      <w:r>
        <w:rPr>
          <w:rFonts w:cs="Times New Roman"/>
        </w:rPr>
        <w:t>，</w:t>
      </w:r>
      <w:r>
        <w:t>确定</w:t>
      </w:r>
      <w:r>
        <w:rPr>
          <w:rFonts w:hint="eastAsia"/>
        </w:rPr>
        <w:t>园区</w:t>
      </w:r>
      <w:r>
        <w:t>自然恢复期水蚀土壤流失类型按地表翻扰型一般扰动地表计算</w:t>
      </w:r>
      <w:r>
        <w:rPr>
          <w:rFonts w:hint="eastAsia"/>
        </w:rPr>
        <w:t>；</w:t>
      </w:r>
      <w:r>
        <w:t>自然恢复期风力作用下的土壤流失类型为一般扰动地表</w:t>
      </w:r>
      <w:r>
        <w:rPr>
          <w:rFonts w:hint="eastAsia"/>
        </w:rPr>
        <w:t>计算</w:t>
      </w:r>
      <w:r>
        <w:t>。</w:t>
      </w:r>
    </w:p>
    <w:p w14:paraId="0ECA0EB6">
      <w:pPr>
        <w:ind w:firstLine="480"/>
        <w:rPr>
          <w:rFonts w:cs="Times New Roman"/>
        </w:rPr>
      </w:pPr>
      <w:r>
        <w:rPr>
          <w:rFonts w:cs="Times New Roman"/>
        </w:rPr>
        <w:t>①</w:t>
      </w:r>
      <w:r>
        <w:rPr>
          <w:rFonts w:hint="eastAsia" w:cs="Times New Roman"/>
        </w:rPr>
        <w:t>水蚀：水蚀计算公式与施工期</w:t>
      </w:r>
      <w:r>
        <w:rPr>
          <w:rFonts w:cs="Times New Roman"/>
        </w:rPr>
        <w:t>地表翻扰型一般扰动地表公式</w:t>
      </w:r>
      <w:r>
        <w:rPr>
          <w:rFonts w:hint="eastAsia" w:cs="Times New Roman"/>
        </w:rPr>
        <w:t>一致，只根据自然恢复期不同时段的地表植被覆盖度的变化，调整系数</w:t>
      </w:r>
      <w:r>
        <w:rPr>
          <w:rFonts w:cs="Times New Roman"/>
        </w:rPr>
        <w:t>B</w:t>
      </w:r>
      <w:r>
        <w:rPr>
          <w:rFonts w:hint="eastAsia" w:cs="Times New Roman"/>
        </w:rPr>
        <w:t>-</w:t>
      </w:r>
      <w:r>
        <w:rPr>
          <w:rFonts w:cs="Times New Roman"/>
        </w:rPr>
        <w:t>植被覆盖因子</w:t>
      </w:r>
      <w:r>
        <w:rPr>
          <w:rFonts w:hint="eastAsia" w:cs="Times New Roman"/>
        </w:rPr>
        <w:t>及</w:t>
      </w:r>
      <w:r>
        <w:rPr>
          <w:rFonts w:cs="Times New Roman"/>
        </w:rPr>
        <w:t>K</w:t>
      </w:r>
      <w:r>
        <w:rPr>
          <w:rFonts w:cs="Times New Roman"/>
          <w:vertAlign w:val="subscript"/>
        </w:rPr>
        <w:t>yd</w:t>
      </w:r>
      <w:r>
        <w:rPr>
          <w:rFonts w:cs="Times New Roman"/>
        </w:rPr>
        <w:t>—地表翻扰后土壤可蚀性因子，K</w:t>
      </w:r>
      <w:r>
        <w:rPr>
          <w:rFonts w:cs="Times New Roman"/>
          <w:vertAlign w:val="subscript"/>
        </w:rPr>
        <w:t>yd</w:t>
      </w:r>
      <w:r>
        <w:rPr>
          <w:rFonts w:cs="Times New Roman"/>
        </w:rPr>
        <w:t>=NK，N为地表翻扰后土壤可蚀性因子增大系数，无量纲，</w:t>
      </w:r>
      <w:r>
        <w:t>无条件实测时可取值为2.13</w:t>
      </w:r>
      <w:r>
        <w:rPr>
          <w:rFonts w:hint="eastAsia"/>
        </w:rPr>
        <w:t>，自然恢复期的第一年N取2.13，自然恢复期的第五年N取1，自然恢复期的第二年至第四年N取值按等比数列取值</w:t>
      </w:r>
      <w:r>
        <w:t>；K为土壤可蚀性因子，通过查询《生产建设项目土壤流失量测算导则》（SL773-2018）中附录C得出</w:t>
      </w:r>
      <w:r>
        <w:rPr>
          <w:rFonts w:hint="eastAsia"/>
        </w:rPr>
        <w:t>，取值为</w:t>
      </w:r>
      <w:r>
        <w:rPr>
          <w:rFonts w:cs="Times New Roman"/>
        </w:rPr>
        <w:t>0.01</w:t>
      </w:r>
      <w:r>
        <w:rPr>
          <w:rFonts w:hint="eastAsia" w:cs="Times New Roman"/>
        </w:rPr>
        <w:t>75。</w:t>
      </w:r>
    </w:p>
    <w:p w14:paraId="2C989DF8">
      <w:pPr>
        <w:pStyle w:val="66"/>
      </w:pPr>
      <w:r>
        <w:rPr>
          <w:rFonts w:hint="eastAsia"/>
        </w:rPr>
        <w:t>自然恢复期水力作用第一年至第五年土壤侵蚀模数预算表见表4-1</w:t>
      </w:r>
      <w:r>
        <w:t>0</w:t>
      </w:r>
      <w:r>
        <w:rPr>
          <w:rFonts w:hint="eastAsia"/>
        </w:rPr>
        <w:t>。自然恢复期风力作用第一年至第五年土壤侵蚀模数预算表见表4-1</w:t>
      </w:r>
      <w:r>
        <w:t>1</w:t>
      </w:r>
      <w:r>
        <w:rPr>
          <w:rFonts w:hint="eastAsia"/>
        </w:rPr>
        <w:t>。</w:t>
      </w:r>
    </w:p>
    <w:p w14:paraId="60A1C118">
      <w:pPr>
        <w:pStyle w:val="66"/>
        <w:sectPr>
          <w:footerReference r:id="rId67" w:type="default"/>
          <w:pgSz w:w="11910" w:h="16840"/>
          <w:pgMar w:top="1380" w:right="1360" w:bottom="1580" w:left="1360" w:header="876" w:footer="1444" w:gutter="0"/>
          <w:cols w:space="720" w:num="1"/>
        </w:sectPr>
      </w:pPr>
    </w:p>
    <w:p w14:paraId="0D2C2DE8">
      <w:pPr>
        <w:pStyle w:val="44"/>
      </w:pPr>
      <w:r>
        <w:t>表4-10                                                 自然恢复期水力作用下第1年~第5年土壤侵蚀模数计算表                     单位：t/km²·a</w:t>
      </w:r>
    </w:p>
    <w:tbl>
      <w:tblPr>
        <w:tblStyle w:val="27"/>
        <w:tblW w:w="5000" w:type="pct"/>
        <w:tblInd w:w="0" w:type="dxa"/>
        <w:tblLayout w:type="autofit"/>
        <w:tblCellMar>
          <w:top w:w="0" w:type="dxa"/>
          <w:left w:w="108" w:type="dxa"/>
          <w:bottom w:w="0" w:type="dxa"/>
          <w:right w:w="108" w:type="dxa"/>
        </w:tblCellMar>
      </w:tblPr>
      <w:tblGrid>
        <w:gridCol w:w="496"/>
        <w:gridCol w:w="1661"/>
        <w:gridCol w:w="629"/>
        <w:gridCol w:w="2439"/>
        <w:gridCol w:w="851"/>
        <w:gridCol w:w="663"/>
        <w:gridCol w:w="276"/>
        <w:gridCol w:w="851"/>
        <w:gridCol w:w="592"/>
        <w:gridCol w:w="347"/>
        <w:gridCol w:w="851"/>
        <w:gridCol w:w="502"/>
        <w:gridCol w:w="437"/>
        <w:gridCol w:w="854"/>
        <w:gridCol w:w="547"/>
        <w:gridCol w:w="395"/>
        <w:gridCol w:w="854"/>
        <w:gridCol w:w="851"/>
      </w:tblGrid>
      <w:tr w14:paraId="11F0BFA5">
        <w:tblPrEx>
          <w:tblCellMar>
            <w:top w:w="0" w:type="dxa"/>
            <w:left w:w="108" w:type="dxa"/>
            <w:bottom w:w="0" w:type="dxa"/>
            <w:right w:w="108" w:type="dxa"/>
          </w:tblCellMar>
        </w:tblPrEx>
        <w:trPr>
          <w:cantSplit/>
          <w:trHeight w:val="425" w:hRule="atLeast"/>
        </w:trPr>
        <w:tc>
          <w:tcPr>
            <w:tcW w:w="17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7DD9B5">
            <w:pPr>
              <w:spacing w:line="240" w:lineRule="auto"/>
              <w:ind w:firstLine="0" w:firstLineChars="0"/>
              <w:jc w:val="center"/>
              <w:rPr>
                <w:rFonts w:cs="Times New Roman"/>
                <w:color w:val="000000"/>
                <w:sz w:val="21"/>
                <w:szCs w:val="21"/>
              </w:rPr>
            </w:pPr>
            <w:r>
              <w:rPr>
                <w:rFonts w:cs="Times New Roman"/>
                <w:color w:val="000000"/>
                <w:sz w:val="21"/>
                <w:szCs w:val="21"/>
              </w:rPr>
              <w:t>序号</w:t>
            </w:r>
          </w:p>
        </w:tc>
        <w:tc>
          <w:tcPr>
            <w:tcW w:w="58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F70755">
            <w:pPr>
              <w:spacing w:line="240" w:lineRule="auto"/>
              <w:ind w:firstLine="0" w:firstLineChars="0"/>
              <w:jc w:val="center"/>
              <w:rPr>
                <w:rFonts w:cs="Times New Roman"/>
                <w:color w:val="000000"/>
                <w:sz w:val="21"/>
                <w:szCs w:val="21"/>
              </w:rPr>
            </w:pPr>
            <w:r>
              <w:rPr>
                <w:rFonts w:cs="Times New Roman"/>
                <w:color w:val="000000"/>
                <w:sz w:val="21"/>
                <w:szCs w:val="21"/>
              </w:rPr>
              <w:t>项目</w:t>
            </w:r>
          </w:p>
        </w:tc>
        <w:tc>
          <w:tcPr>
            <w:tcW w:w="2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EEFFDC">
            <w:pPr>
              <w:spacing w:line="240" w:lineRule="auto"/>
              <w:ind w:firstLine="0" w:firstLineChars="0"/>
              <w:jc w:val="center"/>
              <w:rPr>
                <w:rFonts w:cs="Times New Roman"/>
                <w:color w:val="000000"/>
                <w:sz w:val="21"/>
                <w:szCs w:val="21"/>
              </w:rPr>
            </w:pPr>
            <w:r>
              <w:rPr>
                <w:rFonts w:cs="Times New Roman"/>
                <w:color w:val="000000"/>
                <w:sz w:val="21"/>
                <w:szCs w:val="21"/>
              </w:rPr>
              <w:t>因子</w:t>
            </w:r>
          </w:p>
        </w:tc>
        <w:tc>
          <w:tcPr>
            <w:tcW w:w="86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0D266B">
            <w:pPr>
              <w:spacing w:line="240" w:lineRule="auto"/>
              <w:ind w:firstLine="0" w:firstLineChars="0"/>
              <w:jc w:val="center"/>
              <w:rPr>
                <w:rFonts w:cs="Times New Roman"/>
                <w:color w:val="000000"/>
                <w:sz w:val="21"/>
                <w:szCs w:val="21"/>
              </w:rPr>
            </w:pPr>
            <w:r>
              <w:rPr>
                <w:rFonts w:cs="Times New Roman"/>
                <w:color w:val="000000"/>
                <w:sz w:val="21"/>
                <w:szCs w:val="21"/>
              </w:rPr>
              <w:t>公式</w:t>
            </w:r>
          </w:p>
        </w:tc>
        <w:tc>
          <w:tcPr>
            <w:tcW w:w="1572" w:type="pct"/>
            <w:gridSpan w:val="7"/>
            <w:tcBorders>
              <w:top w:val="single" w:color="auto" w:sz="4" w:space="0"/>
              <w:left w:val="nil"/>
              <w:bottom w:val="single" w:color="auto" w:sz="4" w:space="0"/>
              <w:right w:val="single" w:color="auto" w:sz="4" w:space="0"/>
            </w:tcBorders>
            <w:shd w:val="clear" w:color="auto" w:fill="auto"/>
            <w:vAlign w:val="center"/>
          </w:tcPr>
          <w:p w14:paraId="323D27F2">
            <w:pPr>
              <w:spacing w:line="240" w:lineRule="auto"/>
              <w:ind w:firstLine="210" w:firstLineChars="100"/>
              <w:jc w:val="center"/>
              <w:rPr>
                <w:rFonts w:cs="Times New Roman"/>
                <w:color w:val="000000"/>
                <w:sz w:val="21"/>
                <w:szCs w:val="21"/>
              </w:rPr>
            </w:pPr>
            <w:r>
              <w:rPr>
                <w:rFonts w:cs="Times New Roman"/>
                <w:color w:val="000000"/>
                <w:sz w:val="21"/>
                <w:szCs w:val="21"/>
              </w:rPr>
              <w:t>公共管理与公共服务用地</w:t>
            </w:r>
          </w:p>
        </w:tc>
        <w:tc>
          <w:tcPr>
            <w:tcW w:w="1574" w:type="pct"/>
            <w:gridSpan w:val="7"/>
            <w:tcBorders>
              <w:top w:val="single" w:color="auto" w:sz="4" w:space="0"/>
              <w:left w:val="nil"/>
              <w:bottom w:val="single" w:color="auto" w:sz="4" w:space="0"/>
              <w:right w:val="single" w:color="auto" w:sz="4" w:space="0"/>
            </w:tcBorders>
            <w:shd w:val="clear" w:color="auto" w:fill="auto"/>
            <w:vAlign w:val="center"/>
          </w:tcPr>
          <w:p w14:paraId="0C94ABDF">
            <w:pPr>
              <w:spacing w:line="240" w:lineRule="auto"/>
              <w:ind w:firstLine="0" w:firstLineChars="0"/>
              <w:jc w:val="center"/>
              <w:rPr>
                <w:rFonts w:cs="Times New Roman"/>
                <w:color w:val="000000"/>
                <w:sz w:val="21"/>
                <w:szCs w:val="21"/>
              </w:rPr>
            </w:pPr>
            <w:r>
              <w:rPr>
                <w:rFonts w:cs="Times New Roman"/>
                <w:color w:val="000000"/>
                <w:sz w:val="21"/>
                <w:szCs w:val="21"/>
              </w:rPr>
              <w:t>商业服务业用地</w:t>
            </w:r>
          </w:p>
        </w:tc>
      </w:tr>
      <w:tr w14:paraId="1F01FDD8">
        <w:tblPrEx>
          <w:tblCellMar>
            <w:top w:w="0" w:type="dxa"/>
            <w:left w:w="108" w:type="dxa"/>
            <w:bottom w:w="0" w:type="dxa"/>
            <w:right w:w="108" w:type="dxa"/>
          </w:tblCellMar>
        </w:tblPrEx>
        <w:trPr>
          <w:cantSplit/>
          <w:trHeight w:val="425" w:hRule="atLeast"/>
        </w:trPr>
        <w:tc>
          <w:tcPr>
            <w:tcW w:w="1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D728E5">
            <w:pPr>
              <w:spacing w:line="240" w:lineRule="auto"/>
              <w:ind w:firstLine="0" w:firstLineChars="0"/>
              <w:jc w:val="center"/>
              <w:rPr>
                <w:rFonts w:cs="Times New Roman"/>
                <w:color w:val="000000"/>
                <w:sz w:val="21"/>
                <w:szCs w:val="21"/>
              </w:rPr>
            </w:pPr>
          </w:p>
        </w:tc>
        <w:tc>
          <w:tcPr>
            <w:tcW w:w="58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A1008F">
            <w:pPr>
              <w:spacing w:line="240" w:lineRule="auto"/>
              <w:ind w:firstLine="0" w:firstLineChars="0"/>
              <w:jc w:val="center"/>
              <w:rPr>
                <w:rFonts w:cs="Times New Roman"/>
                <w:color w:val="000000"/>
                <w:sz w:val="21"/>
                <w:szCs w:val="21"/>
              </w:rPr>
            </w:pPr>
          </w:p>
        </w:tc>
        <w:tc>
          <w:tcPr>
            <w:tcW w:w="22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4F0A95">
            <w:pPr>
              <w:spacing w:line="240" w:lineRule="auto"/>
              <w:ind w:firstLine="0" w:firstLineChars="0"/>
              <w:jc w:val="center"/>
              <w:rPr>
                <w:rFonts w:cs="Times New Roman"/>
                <w:color w:val="000000"/>
                <w:sz w:val="21"/>
                <w:szCs w:val="21"/>
              </w:rPr>
            </w:pPr>
          </w:p>
        </w:tc>
        <w:tc>
          <w:tcPr>
            <w:tcW w:w="86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5997C8">
            <w:pPr>
              <w:spacing w:line="240" w:lineRule="auto"/>
              <w:ind w:firstLine="0" w:firstLineChars="0"/>
              <w:jc w:val="center"/>
              <w:rPr>
                <w:rFonts w:cs="Times New Roman"/>
                <w:color w:val="000000"/>
                <w:sz w:val="21"/>
                <w:szCs w:val="21"/>
              </w:rPr>
            </w:pPr>
          </w:p>
        </w:tc>
        <w:tc>
          <w:tcPr>
            <w:tcW w:w="302" w:type="pct"/>
            <w:tcBorders>
              <w:top w:val="nil"/>
              <w:left w:val="nil"/>
              <w:bottom w:val="single" w:color="auto" w:sz="4" w:space="0"/>
              <w:right w:val="single" w:color="auto" w:sz="4" w:space="0"/>
            </w:tcBorders>
            <w:shd w:val="clear" w:color="auto" w:fill="auto"/>
            <w:vAlign w:val="center"/>
          </w:tcPr>
          <w:p w14:paraId="137CDB8B">
            <w:pPr>
              <w:spacing w:line="240" w:lineRule="auto"/>
              <w:ind w:firstLine="0" w:firstLineChars="0"/>
              <w:jc w:val="center"/>
              <w:rPr>
                <w:rFonts w:cs="Times New Roman"/>
                <w:color w:val="000000"/>
                <w:sz w:val="21"/>
                <w:szCs w:val="21"/>
              </w:rPr>
            </w:pPr>
            <w:r>
              <w:rPr>
                <w:rFonts w:cs="Times New Roman"/>
                <w:color w:val="000000"/>
                <w:sz w:val="21"/>
                <w:szCs w:val="21"/>
              </w:rPr>
              <w:t>第 1 年</w:t>
            </w:r>
          </w:p>
        </w:tc>
        <w:tc>
          <w:tcPr>
            <w:tcW w:w="333" w:type="pct"/>
            <w:gridSpan w:val="2"/>
            <w:tcBorders>
              <w:top w:val="nil"/>
              <w:left w:val="nil"/>
              <w:bottom w:val="single" w:color="auto" w:sz="4" w:space="0"/>
              <w:right w:val="single" w:color="auto" w:sz="4" w:space="0"/>
            </w:tcBorders>
            <w:shd w:val="clear" w:color="auto" w:fill="auto"/>
            <w:vAlign w:val="center"/>
          </w:tcPr>
          <w:p w14:paraId="6FD73EC3">
            <w:pPr>
              <w:spacing w:line="240" w:lineRule="auto"/>
              <w:ind w:firstLine="0" w:firstLineChars="0"/>
              <w:jc w:val="center"/>
              <w:rPr>
                <w:rFonts w:cs="Times New Roman"/>
                <w:color w:val="000000"/>
                <w:sz w:val="21"/>
                <w:szCs w:val="21"/>
              </w:rPr>
            </w:pPr>
            <w:r>
              <w:rPr>
                <w:rFonts w:cs="Times New Roman"/>
                <w:color w:val="000000"/>
                <w:sz w:val="21"/>
                <w:szCs w:val="21"/>
              </w:rPr>
              <w:t>第 2 年</w:t>
            </w:r>
          </w:p>
        </w:tc>
        <w:tc>
          <w:tcPr>
            <w:tcW w:w="302" w:type="pct"/>
            <w:tcBorders>
              <w:top w:val="nil"/>
              <w:left w:val="nil"/>
              <w:bottom w:val="single" w:color="auto" w:sz="4" w:space="0"/>
              <w:right w:val="single" w:color="auto" w:sz="4" w:space="0"/>
            </w:tcBorders>
            <w:shd w:val="clear" w:color="auto" w:fill="auto"/>
            <w:vAlign w:val="center"/>
          </w:tcPr>
          <w:p w14:paraId="1002A52E">
            <w:pPr>
              <w:spacing w:line="240" w:lineRule="auto"/>
              <w:ind w:firstLine="0" w:firstLineChars="0"/>
              <w:jc w:val="center"/>
              <w:rPr>
                <w:rFonts w:cs="Times New Roman"/>
                <w:color w:val="000000"/>
                <w:sz w:val="21"/>
                <w:szCs w:val="21"/>
              </w:rPr>
            </w:pPr>
            <w:r>
              <w:rPr>
                <w:rFonts w:cs="Times New Roman"/>
                <w:color w:val="000000"/>
                <w:sz w:val="21"/>
                <w:szCs w:val="21"/>
              </w:rPr>
              <w:t>第 3 年</w:t>
            </w:r>
          </w:p>
        </w:tc>
        <w:tc>
          <w:tcPr>
            <w:tcW w:w="333" w:type="pct"/>
            <w:gridSpan w:val="2"/>
            <w:tcBorders>
              <w:top w:val="nil"/>
              <w:left w:val="nil"/>
              <w:bottom w:val="single" w:color="auto" w:sz="4" w:space="0"/>
              <w:right w:val="single" w:color="auto" w:sz="4" w:space="0"/>
            </w:tcBorders>
            <w:shd w:val="clear" w:color="auto" w:fill="auto"/>
            <w:vAlign w:val="center"/>
          </w:tcPr>
          <w:p w14:paraId="04182869">
            <w:pPr>
              <w:spacing w:line="240" w:lineRule="auto"/>
              <w:ind w:firstLine="0" w:firstLineChars="0"/>
              <w:jc w:val="center"/>
              <w:rPr>
                <w:rFonts w:cs="Times New Roman"/>
                <w:color w:val="000000"/>
                <w:sz w:val="21"/>
                <w:szCs w:val="21"/>
              </w:rPr>
            </w:pPr>
            <w:r>
              <w:rPr>
                <w:rFonts w:cs="Times New Roman"/>
                <w:color w:val="000000"/>
                <w:sz w:val="21"/>
                <w:szCs w:val="21"/>
              </w:rPr>
              <w:t>第 4 年</w:t>
            </w:r>
          </w:p>
        </w:tc>
        <w:tc>
          <w:tcPr>
            <w:tcW w:w="302" w:type="pct"/>
            <w:tcBorders>
              <w:top w:val="nil"/>
              <w:left w:val="nil"/>
              <w:bottom w:val="single" w:color="auto" w:sz="4" w:space="0"/>
              <w:right w:val="single" w:color="auto" w:sz="4" w:space="0"/>
            </w:tcBorders>
            <w:shd w:val="clear" w:color="auto" w:fill="auto"/>
            <w:vAlign w:val="center"/>
          </w:tcPr>
          <w:p w14:paraId="453B2F6B">
            <w:pPr>
              <w:spacing w:line="240" w:lineRule="auto"/>
              <w:ind w:firstLine="0" w:firstLineChars="0"/>
              <w:jc w:val="center"/>
              <w:rPr>
                <w:rFonts w:cs="Times New Roman"/>
                <w:color w:val="000000"/>
                <w:sz w:val="21"/>
                <w:szCs w:val="21"/>
              </w:rPr>
            </w:pPr>
            <w:r>
              <w:rPr>
                <w:rFonts w:cs="Times New Roman"/>
                <w:color w:val="000000"/>
                <w:sz w:val="21"/>
                <w:szCs w:val="21"/>
              </w:rPr>
              <w:t>第 5 年</w:t>
            </w:r>
          </w:p>
        </w:tc>
        <w:tc>
          <w:tcPr>
            <w:tcW w:w="333" w:type="pct"/>
            <w:gridSpan w:val="2"/>
            <w:tcBorders>
              <w:top w:val="nil"/>
              <w:left w:val="nil"/>
              <w:bottom w:val="single" w:color="auto" w:sz="4" w:space="0"/>
              <w:right w:val="single" w:color="auto" w:sz="4" w:space="0"/>
            </w:tcBorders>
            <w:shd w:val="clear" w:color="auto" w:fill="auto"/>
            <w:vAlign w:val="center"/>
          </w:tcPr>
          <w:p w14:paraId="26E5DDA1">
            <w:pPr>
              <w:spacing w:line="240" w:lineRule="auto"/>
              <w:ind w:firstLine="0" w:firstLineChars="0"/>
              <w:jc w:val="center"/>
              <w:rPr>
                <w:rFonts w:cs="Times New Roman"/>
                <w:color w:val="000000"/>
                <w:sz w:val="21"/>
                <w:szCs w:val="21"/>
              </w:rPr>
            </w:pPr>
            <w:r>
              <w:rPr>
                <w:rFonts w:cs="Times New Roman"/>
                <w:color w:val="000000"/>
                <w:sz w:val="21"/>
                <w:szCs w:val="21"/>
              </w:rPr>
              <w:t>第 1 年</w:t>
            </w:r>
          </w:p>
        </w:tc>
        <w:tc>
          <w:tcPr>
            <w:tcW w:w="303" w:type="pct"/>
            <w:tcBorders>
              <w:top w:val="nil"/>
              <w:left w:val="nil"/>
              <w:bottom w:val="single" w:color="auto" w:sz="4" w:space="0"/>
              <w:right w:val="single" w:color="auto" w:sz="4" w:space="0"/>
            </w:tcBorders>
            <w:shd w:val="clear" w:color="auto" w:fill="auto"/>
            <w:vAlign w:val="center"/>
          </w:tcPr>
          <w:p w14:paraId="2BBD4D62">
            <w:pPr>
              <w:spacing w:line="240" w:lineRule="auto"/>
              <w:ind w:firstLine="0" w:firstLineChars="0"/>
              <w:jc w:val="center"/>
              <w:rPr>
                <w:rFonts w:cs="Times New Roman"/>
                <w:color w:val="000000"/>
                <w:sz w:val="21"/>
                <w:szCs w:val="21"/>
              </w:rPr>
            </w:pPr>
            <w:r>
              <w:rPr>
                <w:rFonts w:cs="Times New Roman"/>
                <w:color w:val="000000"/>
                <w:sz w:val="21"/>
                <w:szCs w:val="21"/>
              </w:rPr>
              <w:t>第 2 年</w:t>
            </w:r>
          </w:p>
        </w:tc>
        <w:tc>
          <w:tcPr>
            <w:tcW w:w="334" w:type="pct"/>
            <w:gridSpan w:val="2"/>
            <w:tcBorders>
              <w:top w:val="nil"/>
              <w:left w:val="nil"/>
              <w:bottom w:val="single" w:color="auto" w:sz="4" w:space="0"/>
              <w:right w:val="single" w:color="auto" w:sz="4" w:space="0"/>
            </w:tcBorders>
            <w:shd w:val="clear" w:color="auto" w:fill="auto"/>
            <w:vAlign w:val="center"/>
          </w:tcPr>
          <w:p w14:paraId="49147580">
            <w:pPr>
              <w:spacing w:line="240" w:lineRule="auto"/>
              <w:ind w:firstLine="0" w:firstLineChars="0"/>
              <w:jc w:val="center"/>
              <w:rPr>
                <w:rFonts w:cs="Times New Roman"/>
                <w:color w:val="000000"/>
                <w:sz w:val="21"/>
                <w:szCs w:val="21"/>
              </w:rPr>
            </w:pPr>
            <w:r>
              <w:rPr>
                <w:rFonts w:cs="Times New Roman"/>
                <w:color w:val="000000"/>
                <w:sz w:val="21"/>
                <w:szCs w:val="21"/>
              </w:rPr>
              <w:t>第 3 年</w:t>
            </w:r>
          </w:p>
        </w:tc>
        <w:tc>
          <w:tcPr>
            <w:tcW w:w="303" w:type="pct"/>
            <w:tcBorders>
              <w:top w:val="nil"/>
              <w:left w:val="nil"/>
              <w:bottom w:val="single" w:color="auto" w:sz="4" w:space="0"/>
              <w:right w:val="single" w:color="auto" w:sz="4" w:space="0"/>
            </w:tcBorders>
            <w:shd w:val="clear" w:color="auto" w:fill="auto"/>
            <w:vAlign w:val="center"/>
          </w:tcPr>
          <w:p w14:paraId="026096AD">
            <w:pPr>
              <w:spacing w:line="240" w:lineRule="auto"/>
              <w:ind w:firstLine="0" w:firstLineChars="0"/>
              <w:jc w:val="center"/>
              <w:rPr>
                <w:rFonts w:cs="Times New Roman"/>
                <w:color w:val="000000"/>
                <w:sz w:val="21"/>
                <w:szCs w:val="21"/>
              </w:rPr>
            </w:pPr>
            <w:r>
              <w:rPr>
                <w:rFonts w:cs="Times New Roman"/>
                <w:color w:val="000000"/>
                <w:sz w:val="21"/>
                <w:szCs w:val="21"/>
              </w:rPr>
              <w:t>第 4 年</w:t>
            </w:r>
          </w:p>
        </w:tc>
        <w:tc>
          <w:tcPr>
            <w:tcW w:w="301" w:type="pct"/>
            <w:tcBorders>
              <w:top w:val="nil"/>
              <w:left w:val="nil"/>
              <w:bottom w:val="single" w:color="auto" w:sz="4" w:space="0"/>
              <w:right w:val="single" w:color="auto" w:sz="4" w:space="0"/>
            </w:tcBorders>
            <w:shd w:val="clear" w:color="auto" w:fill="auto"/>
            <w:vAlign w:val="center"/>
          </w:tcPr>
          <w:p w14:paraId="4EF3B6EE">
            <w:pPr>
              <w:spacing w:line="240" w:lineRule="auto"/>
              <w:ind w:firstLine="0" w:firstLineChars="0"/>
              <w:jc w:val="center"/>
              <w:rPr>
                <w:rFonts w:cs="Times New Roman"/>
                <w:color w:val="000000"/>
                <w:sz w:val="21"/>
                <w:szCs w:val="21"/>
              </w:rPr>
            </w:pPr>
            <w:r>
              <w:rPr>
                <w:rFonts w:cs="Times New Roman"/>
                <w:color w:val="000000"/>
                <w:sz w:val="21"/>
                <w:szCs w:val="21"/>
              </w:rPr>
              <w:t>第 5 年</w:t>
            </w:r>
          </w:p>
        </w:tc>
      </w:tr>
      <w:tr w14:paraId="17F9018B">
        <w:tblPrEx>
          <w:tblCellMar>
            <w:top w:w="0" w:type="dxa"/>
            <w:left w:w="108" w:type="dxa"/>
            <w:bottom w:w="0" w:type="dxa"/>
            <w:right w:w="108" w:type="dxa"/>
          </w:tblCellMar>
        </w:tblPrEx>
        <w:trPr>
          <w:cantSplit/>
          <w:trHeight w:val="425"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576E5D06">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589" w:type="pct"/>
            <w:tcBorders>
              <w:top w:val="nil"/>
              <w:left w:val="nil"/>
              <w:bottom w:val="single" w:color="auto" w:sz="4" w:space="0"/>
              <w:right w:val="single" w:color="auto" w:sz="4" w:space="0"/>
            </w:tcBorders>
            <w:shd w:val="clear" w:color="auto" w:fill="auto"/>
            <w:vAlign w:val="center"/>
          </w:tcPr>
          <w:p w14:paraId="7DF68749">
            <w:pPr>
              <w:spacing w:line="240" w:lineRule="auto"/>
              <w:ind w:firstLine="0" w:firstLineChars="0"/>
              <w:jc w:val="center"/>
              <w:rPr>
                <w:rFonts w:cs="Times New Roman"/>
                <w:color w:val="000000"/>
                <w:sz w:val="21"/>
                <w:szCs w:val="21"/>
              </w:rPr>
            </w:pPr>
            <w:r>
              <w:rPr>
                <w:rFonts w:cs="Times New Roman"/>
                <w:color w:val="000000"/>
                <w:sz w:val="21"/>
                <w:szCs w:val="21"/>
              </w:rPr>
              <w:t>地表翻扰型</w:t>
            </w:r>
          </w:p>
        </w:tc>
        <w:tc>
          <w:tcPr>
            <w:tcW w:w="223" w:type="pct"/>
            <w:tcBorders>
              <w:top w:val="nil"/>
              <w:left w:val="nil"/>
              <w:bottom w:val="single" w:color="auto" w:sz="4" w:space="0"/>
              <w:right w:val="single" w:color="auto" w:sz="4" w:space="0"/>
            </w:tcBorders>
            <w:shd w:val="clear" w:color="auto" w:fill="auto"/>
            <w:vAlign w:val="center"/>
          </w:tcPr>
          <w:p w14:paraId="4AEEA9AD">
            <w:pPr>
              <w:spacing w:line="240" w:lineRule="auto"/>
              <w:ind w:firstLine="0" w:firstLineChars="0"/>
              <w:jc w:val="center"/>
              <w:rPr>
                <w:rFonts w:cs="Times New Roman"/>
                <w:color w:val="000000"/>
                <w:sz w:val="21"/>
                <w:szCs w:val="21"/>
              </w:rPr>
            </w:pPr>
            <w:r>
              <w:rPr>
                <w:rFonts w:cs="Times New Roman"/>
                <w:color w:val="000000"/>
                <w:sz w:val="21"/>
                <w:szCs w:val="21"/>
              </w:rPr>
              <w:t>Myd</w:t>
            </w:r>
          </w:p>
        </w:tc>
        <w:tc>
          <w:tcPr>
            <w:tcW w:w="865" w:type="pct"/>
            <w:tcBorders>
              <w:top w:val="nil"/>
              <w:left w:val="nil"/>
              <w:bottom w:val="single" w:color="auto" w:sz="4" w:space="0"/>
              <w:right w:val="single" w:color="auto" w:sz="4" w:space="0"/>
            </w:tcBorders>
            <w:shd w:val="clear" w:color="auto" w:fill="auto"/>
            <w:vAlign w:val="center"/>
          </w:tcPr>
          <w:p w14:paraId="3174E8AE">
            <w:pPr>
              <w:spacing w:line="240" w:lineRule="auto"/>
              <w:ind w:firstLine="0" w:firstLineChars="0"/>
              <w:jc w:val="center"/>
              <w:rPr>
                <w:rFonts w:cs="Times New Roman"/>
                <w:color w:val="000000"/>
                <w:sz w:val="21"/>
                <w:szCs w:val="21"/>
              </w:rPr>
            </w:pPr>
            <w:r>
              <w:rPr>
                <w:rFonts w:cs="Times New Roman"/>
                <w:color w:val="000000"/>
                <w:sz w:val="21"/>
                <w:szCs w:val="21"/>
              </w:rPr>
              <w:t>Myd=RKLydSyBET*100</w:t>
            </w:r>
          </w:p>
        </w:tc>
        <w:tc>
          <w:tcPr>
            <w:tcW w:w="302" w:type="pct"/>
            <w:tcBorders>
              <w:top w:val="nil"/>
              <w:left w:val="nil"/>
              <w:bottom w:val="single" w:color="auto" w:sz="4" w:space="0"/>
              <w:right w:val="single" w:color="auto" w:sz="4" w:space="0"/>
            </w:tcBorders>
            <w:shd w:val="clear" w:color="auto" w:fill="auto"/>
            <w:vAlign w:val="center"/>
          </w:tcPr>
          <w:p w14:paraId="60239A3B">
            <w:pPr>
              <w:spacing w:line="240" w:lineRule="auto"/>
              <w:ind w:firstLine="0" w:firstLineChars="0"/>
              <w:jc w:val="center"/>
              <w:rPr>
                <w:rFonts w:cs="Times New Roman"/>
                <w:color w:val="000000"/>
                <w:sz w:val="21"/>
                <w:szCs w:val="21"/>
              </w:rPr>
            </w:pPr>
            <w:r>
              <w:rPr>
                <w:rFonts w:cs="Times New Roman"/>
                <w:color w:val="000000"/>
                <w:sz w:val="21"/>
                <w:szCs w:val="21"/>
              </w:rPr>
              <w:t xml:space="preserve">2713 </w:t>
            </w:r>
          </w:p>
        </w:tc>
        <w:tc>
          <w:tcPr>
            <w:tcW w:w="333" w:type="pct"/>
            <w:gridSpan w:val="2"/>
            <w:tcBorders>
              <w:top w:val="nil"/>
              <w:left w:val="nil"/>
              <w:bottom w:val="single" w:color="auto" w:sz="4" w:space="0"/>
              <w:right w:val="single" w:color="auto" w:sz="4" w:space="0"/>
            </w:tcBorders>
            <w:shd w:val="clear" w:color="auto" w:fill="auto"/>
            <w:vAlign w:val="center"/>
          </w:tcPr>
          <w:p w14:paraId="1E5BA5CA">
            <w:pPr>
              <w:spacing w:line="240" w:lineRule="auto"/>
              <w:ind w:firstLine="0" w:firstLineChars="0"/>
              <w:jc w:val="center"/>
              <w:rPr>
                <w:rFonts w:cs="Times New Roman"/>
                <w:color w:val="000000"/>
                <w:sz w:val="21"/>
                <w:szCs w:val="21"/>
              </w:rPr>
            </w:pPr>
            <w:r>
              <w:rPr>
                <w:rFonts w:cs="Times New Roman"/>
                <w:color w:val="000000"/>
                <w:sz w:val="21"/>
                <w:szCs w:val="21"/>
              </w:rPr>
              <w:t xml:space="preserve">1853 </w:t>
            </w:r>
          </w:p>
        </w:tc>
        <w:tc>
          <w:tcPr>
            <w:tcW w:w="302" w:type="pct"/>
            <w:tcBorders>
              <w:top w:val="nil"/>
              <w:left w:val="nil"/>
              <w:bottom w:val="single" w:color="auto" w:sz="4" w:space="0"/>
              <w:right w:val="single" w:color="auto" w:sz="4" w:space="0"/>
            </w:tcBorders>
            <w:shd w:val="clear" w:color="auto" w:fill="auto"/>
            <w:vAlign w:val="center"/>
          </w:tcPr>
          <w:p w14:paraId="2F4D2859">
            <w:pPr>
              <w:spacing w:line="240" w:lineRule="auto"/>
              <w:ind w:firstLine="0" w:firstLineChars="0"/>
              <w:jc w:val="center"/>
              <w:rPr>
                <w:rFonts w:cs="Times New Roman"/>
                <w:color w:val="000000"/>
                <w:sz w:val="21"/>
                <w:szCs w:val="21"/>
              </w:rPr>
            </w:pPr>
            <w:r>
              <w:rPr>
                <w:rFonts w:cs="Times New Roman"/>
                <w:color w:val="000000"/>
                <w:sz w:val="21"/>
                <w:szCs w:val="21"/>
              </w:rPr>
              <w:t xml:space="preserve">1187 </w:t>
            </w:r>
          </w:p>
        </w:tc>
        <w:tc>
          <w:tcPr>
            <w:tcW w:w="333" w:type="pct"/>
            <w:gridSpan w:val="2"/>
            <w:tcBorders>
              <w:top w:val="nil"/>
              <w:left w:val="nil"/>
              <w:bottom w:val="single" w:color="auto" w:sz="4" w:space="0"/>
              <w:right w:val="single" w:color="auto" w:sz="4" w:space="0"/>
            </w:tcBorders>
            <w:shd w:val="clear" w:color="auto" w:fill="auto"/>
            <w:vAlign w:val="center"/>
          </w:tcPr>
          <w:p w14:paraId="45511273">
            <w:pPr>
              <w:spacing w:line="240" w:lineRule="auto"/>
              <w:ind w:firstLine="0" w:firstLineChars="0"/>
              <w:jc w:val="center"/>
              <w:rPr>
                <w:rFonts w:cs="Times New Roman"/>
                <w:color w:val="000000"/>
                <w:sz w:val="21"/>
                <w:szCs w:val="21"/>
              </w:rPr>
            </w:pPr>
            <w:r>
              <w:rPr>
                <w:rFonts w:cs="Times New Roman"/>
                <w:color w:val="000000"/>
                <w:sz w:val="21"/>
                <w:szCs w:val="21"/>
              </w:rPr>
              <w:t xml:space="preserve">891 </w:t>
            </w:r>
          </w:p>
        </w:tc>
        <w:tc>
          <w:tcPr>
            <w:tcW w:w="302" w:type="pct"/>
            <w:tcBorders>
              <w:top w:val="nil"/>
              <w:left w:val="nil"/>
              <w:bottom w:val="single" w:color="auto" w:sz="4" w:space="0"/>
              <w:right w:val="single" w:color="auto" w:sz="4" w:space="0"/>
            </w:tcBorders>
            <w:shd w:val="clear" w:color="auto" w:fill="auto"/>
            <w:vAlign w:val="center"/>
          </w:tcPr>
          <w:p w14:paraId="2ECA3266">
            <w:pPr>
              <w:spacing w:line="240" w:lineRule="auto"/>
              <w:ind w:firstLine="0" w:firstLineChars="0"/>
              <w:jc w:val="center"/>
              <w:rPr>
                <w:rFonts w:cs="Times New Roman"/>
                <w:color w:val="000000"/>
                <w:sz w:val="21"/>
                <w:szCs w:val="21"/>
              </w:rPr>
            </w:pPr>
            <w:r>
              <w:rPr>
                <w:rFonts w:cs="Times New Roman"/>
                <w:color w:val="000000"/>
                <w:sz w:val="21"/>
                <w:szCs w:val="21"/>
              </w:rPr>
              <w:t xml:space="preserve">609 </w:t>
            </w:r>
          </w:p>
        </w:tc>
        <w:tc>
          <w:tcPr>
            <w:tcW w:w="333" w:type="pct"/>
            <w:gridSpan w:val="2"/>
            <w:tcBorders>
              <w:top w:val="nil"/>
              <w:left w:val="nil"/>
              <w:bottom w:val="single" w:color="auto" w:sz="4" w:space="0"/>
              <w:right w:val="single" w:color="auto" w:sz="4" w:space="0"/>
            </w:tcBorders>
            <w:shd w:val="clear" w:color="auto" w:fill="auto"/>
            <w:vAlign w:val="center"/>
          </w:tcPr>
          <w:p w14:paraId="3524C707">
            <w:pPr>
              <w:spacing w:line="240" w:lineRule="auto"/>
              <w:ind w:firstLine="0" w:firstLineChars="0"/>
              <w:jc w:val="center"/>
              <w:rPr>
                <w:rFonts w:cs="Times New Roman"/>
                <w:color w:val="000000"/>
                <w:sz w:val="21"/>
                <w:szCs w:val="21"/>
              </w:rPr>
            </w:pPr>
            <w:r>
              <w:rPr>
                <w:rFonts w:cs="Times New Roman"/>
                <w:color w:val="000000"/>
                <w:sz w:val="21"/>
                <w:szCs w:val="21"/>
              </w:rPr>
              <w:t xml:space="preserve">2713 </w:t>
            </w:r>
          </w:p>
        </w:tc>
        <w:tc>
          <w:tcPr>
            <w:tcW w:w="303" w:type="pct"/>
            <w:tcBorders>
              <w:top w:val="nil"/>
              <w:left w:val="nil"/>
              <w:bottom w:val="single" w:color="auto" w:sz="4" w:space="0"/>
              <w:right w:val="single" w:color="auto" w:sz="4" w:space="0"/>
            </w:tcBorders>
            <w:shd w:val="clear" w:color="auto" w:fill="auto"/>
            <w:vAlign w:val="center"/>
          </w:tcPr>
          <w:p w14:paraId="0CB2A558">
            <w:pPr>
              <w:spacing w:line="240" w:lineRule="auto"/>
              <w:ind w:firstLine="0" w:firstLineChars="0"/>
              <w:jc w:val="center"/>
              <w:rPr>
                <w:rFonts w:cs="Times New Roman"/>
                <w:color w:val="000000"/>
                <w:sz w:val="21"/>
                <w:szCs w:val="21"/>
              </w:rPr>
            </w:pPr>
            <w:r>
              <w:rPr>
                <w:rFonts w:cs="Times New Roman"/>
                <w:color w:val="000000"/>
                <w:sz w:val="21"/>
                <w:szCs w:val="21"/>
              </w:rPr>
              <w:t xml:space="preserve">1853 </w:t>
            </w:r>
          </w:p>
        </w:tc>
        <w:tc>
          <w:tcPr>
            <w:tcW w:w="334" w:type="pct"/>
            <w:gridSpan w:val="2"/>
            <w:tcBorders>
              <w:top w:val="nil"/>
              <w:left w:val="nil"/>
              <w:bottom w:val="single" w:color="auto" w:sz="4" w:space="0"/>
              <w:right w:val="single" w:color="auto" w:sz="4" w:space="0"/>
            </w:tcBorders>
            <w:shd w:val="clear" w:color="auto" w:fill="auto"/>
            <w:vAlign w:val="center"/>
          </w:tcPr>
          <w:p w14:paraId="24524F6E">
            <w:pPr>
              <w:spacing w:line="240" w:lineRule="auto"/>
              <w:ind w:firstLine="0" w:firstLineChars="0"/>
              <w:jc w:val="center"/>
              <w:rPr>
                <w:rFonts w:cs="Times New Roman"/>
                <w:color w:val="000000"/>
                <w:sz w:val="21"/>
                <w:szCs w:val="21"/>
              </w:rPr>
            </w:pPr>
            <w:r>
              <w:rPr>
                <w:rFonts w:cs="Times New Roman"/>
                <w:color w:val="000000"/>
                <w:sz w:val="21"/>
                <w:szCs w:val="21"/>
              </w:rPr>
              <w:t xml:space="preserve">1187 </w:t>
            </w:r>
          </w:p>
        </w:tc>
        <w:tc>
          <w:tcPr>
            <w:tcW w:w="303" w:type="pct"/>
            <w:tcBorders>
              <w:top w:val="nil"/>
              <w:left w:val="nil"/>
              <w:bottom w:val="single" w:color="auto" w:sz="4" w:space="0"/>
              <w:right w:val="single" w:color="auto" w:sz="4" w:space="0"/>
            </w:tcBorders>
            <w:shd w:val="clear" w:color="auto" w:fill="auto"/>
            <w:vAlign w:val="center"/>
          </w:tcPr>
          <w:p w14:paraId="5B395734">
            <w:pPr>
              <w:spacing w:line="240" w:lineRule="auto"/>
              <w:ind w:firstLine="0" w:firstLineChars="0"/>
              <w:jc w:val="center"/>
              <w:rPr>
                <w:rFonts w:cs="Times New Roman"/>
                <w:color w:val="000000"/>
                <w:sz w:val="21"/>
                <w:szCs w:val="21"/>
              </w:rPr>
            </w:pPr>
            <w:r>
              <w:rPr>
                <w:rFonts w:cs="Times New Roman"/>
                <w:color w:val="000000"/>
                <w:sz w:val="21"/>
                <w:szCs w:val="21"/>
              </w:rPr>
              <w:t xml:space="preserve">891 </w:t>
            </w:r>
          </w:p>
        </w:tc>
        <w:tc>
          <w:tcPr>
            <w:tcW w:w="301" w:type="pct"/>
            <w:tcBorders>
              <w:top w:val="nil"/>
              <w:left w:val="nil"/>
              <w:bottom w:val="single" w:color="auto" w:sz="4" w:space="0"/>
              <w:right w:val="single" w:color="auto" w:sz="4" w:space="0"/>
            </w:tcBorders>
            <w:shd w:val="clear" w:color="auto" w:fill="auto"/>
            <w:vAlign w:val="center"/>
          </w:tcPr>
          <w:p w14:paraId="082B2358">
            <w:pPr>
              <w:spacing w:line="240" w:lineRule="auto"/>
              <w:ind w:firstLine="0" w:firstLineChars="0"/>
              <w:jc w:val="center"/>
              <w:rPr>
                <w:rFonts w:cs="Times New Roman"/>
                <w:color w:val="000000"/>
                <w:sz w:val="21"/>
                <w:szCs w:val="21"/>
              </w:rPr>
            </w:pPr>
            <w:r>
              <w:rPr>
                <w:rFonts w:cs="Times New Roman"/>
                <w:color w:val="000000"/>
                <w:sz w:val="21"/>
                <w:szCs w:val="21"/>
              </w:rPr>
              <w:t xml:space="preserve">609 </w:t>
            </w:r>
          </w:p>
        </w:tc>
      </w:tr>
      <w:tr w14:paraId="14350F0B">
        <w:tblPrEx>
          <w:tblCellMar>
            <w:top w:w="0" w:type="dxa"/>
            <w:left w:w="108" w:type="dxa"/>
            <w:bottom w:w="0" w:type="dxa"/>
            <w:right w:w="108" w:type="dxa"/>
          </w:tblCellMar>
        </w:tblPrEx>
        <w:trPr>
          <w:cantSplit/>
          <w:trHeight w:val="425"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4C747573">
            <w:pPr>
              <w:spacing w:line="240" w:lineRule="auto"/>
              <w:ind w:firstLine="0" w:firstLineChars="0"/>
              <w:jc w:val="center"/>
              <w:rPr>
                <w:rFonts w:cs="Times New Roman"/>
                <w:color w:val="000000"/>
                <w:sz w:val="21"/>
                <w:szCs w:val="21"/>
              </w:rPr>
            </w:pPr>
            <w:r>
              <w:rPr>
                <w:rFonts w:cs="Times New Roman"/>
                <w:color w:val="000000"/>
                <w:sz w:val="21"/>
                <w:szCs w:val="21"/>
              </w:rPr>
              <w:t>2</w:t>
            </w:r>
          </w:p>
        </w:tc>
        <w:tc>
          <w:tcPr>
            <w:tcW w:w="589" w:type="pct"/>
            <w:tcBorders>
              <w:top w:val="nil"/>
              <w:left w:val="nil"/>
              <w:bottom w:val="single" w:color="auto" w:sz="4" w:space="0"/>
              <w:right w:val="single" w:color="auto" w:sz="4" w:space="0"/>
            </w:tcBorders>
            <w:shd w:val="clear" w:color="auto" w:fill="auto"/>
            <w:vAlign w:val="center"/>
          </w:tcPr>
          <w:p w14:paraId="2720891E">
            <w:pPr>
              <w:spacing w:line="240" w:lineRule="auto"/>
              <w:ind w:firstLine="0" w:firstLineChars="0"/>
              <w:jc w:val="center"/>
              <w:rPr>
                <w:rFonts w:cs="Times New Roman"/>
                <w:color w:val="000000"/>
                <w:sz w:val="21"/>
                <w:szCs w:val="21"/>
              </w:rPr>
            </w:pPr>
            <w:r>
              <w:rPr>
                <w:rFonts w:cs="Times New Roman"/>
                <w:color w:val="000000"/>
                <w:sz w:val="21"/>
                <w:szCs w:val="21"/>
              </w:rPr>
              <w:t>降雨侵蚀力因子</w:t>
            </w:r>
          </w:p>
        </w:tc>
        <w:tc>
          <w:tcPr>
            <w:tcW w:w="223" w:type="pct"/>
            <w:tcBorders>
              <w:top w:val="nil"/>
              <w:left w:val="nil"/>
              <w:bottom w:val="single" w:color="auto" w:sz="4" w:space="0"/>
              <w:right w:val="single" w:color="auto" w:sz="4" w:space="0"/>
            </w:tcBorders>
            <w:shd w:val="clear" w:color="auto" w:fill="auto"/>
            <w:vAlign w:val="center"/>
          </w:tcPr>
          <w:p w14:paraId="5645BC5D">
            <w:pPr>
              <w:spacing w:line="240" w:lineRule="auto"/>
              <w:ind w:firstLine="0" w:firstLineChars="0"/>
              <w:jc w:val="center"/>
              <w:rPr>
                <w:rFonts w:cs="Times New Roman"/>
                <w:color w:val="000000"/>
                <w:sz w:val="21"/>
                <w:szCs w:val="21"/>
              </w:rPr>
            </w:pPr>
            <w:r>
              <w:rPr>
                <w:rFonts w:cs="Times New Roman"/>
                <w:color w:val="000000"/>
                <w:sz w:val="21"/>
                <w:szCs w:val="21"/>
              </w:rPr>
              <w:t>R</w:t>
            </w:r>
          </w:p>
        </w:tc>
        <w:tc>
          <w:tcPr>
            <w:tcW w:w="865" w:type="pct"/>
            <w:tcBorders>
              <w:top w:val="nil"/>
              <w:left w:val="nil"/>
              <w:bottom w:val="single" w:color="auto" w:sz="4" w:space="0"/>
              <w:right w:val="single" w:color="auto" w:sz="4" w:space="0"/>
            </w:tcBorders>
            <w:shd w:val="clear" w:color="auto" w:fill="auto"/>
            <w:vAlign w:val="center"/>
          </w:tcPr>
          <w:p w14:paraId="65400309">
            <w:pPr>
              <w:spacing w:line="240" w:lineRule="auto"/>
              <w:ind w:firstLine="0" w:firstLineChars="0"/>
              <w:jc w:val="center"/>
              <w:rPr>
                <w:rFonts w:cs="Times New Roman"/>
                <w:color w:val="000000"/>
                <w:sz w:val="21"/>
                <w:szCs w:val="21"/>
              </w:rPr>
            </w:pPr>
            <w:r>
              <w:rPr>
                <w:rFonts w:cs="Times New Roman"/>
                <w:color w:val="000000"/>
                <w:sz w:val="21"/>
                <w:szCs w:val="21"/>
              </w:rPr>
              <w:t>R=0.067pd1.627</w:t>
            </w:r>
          </w:p>
        </w:tc>
        <w:tc>
          <w:tcPr>
            <w:tcW w:w="302" w:type="pct"/>
            <w:tcBorders>
              <w:top w:val="nil"/>
              <w:left w:val="nil"/>
              <w:bottom w:val="single" w:color="auto" w:sz="4" w:space="0"/>
              <w:right w:val="single" w:color="auto" w:sz="4" w:space="0"/>
            </w:tcBorders>
            <w:shd w:val="clear" w:color="auto" w:fill="auto"/>
            <w:vAlign w:val="center"/>
          </w:tcPr>
          <w:p w14:paraId="520CF5B8">
            <w:pPr>
              <w:spacing w:line="240" w:lineRule="auto"/>
              <w:ind w:firstLine="0" w:firstLineChars="0"/>
              <w:jc w:val="center"/>
              <w:rPr>
                <w:rFonts w:cs="Times New Roman"/>
                <w:color w:val="000000"/>
                <w:sz w:val="21"/>
                <w:szCs w:val="21"/>
              </w:rPr>
            </w:pPr>
            <w:r>
              <w:rPr>
                <w:rFonts w:cs="Times New Roman"/>
                <w:color w:val="000000"/>
                <w:sz w:val="21"/>
                <w:szCs w:val="21"/>
              </w:rPr>
              <w:t>757</w:t>
            </w:r>
          </w:p>
        </w:tc>
        <w:tc>
          <w:tcPr>
            <w:tcW w:w="333" w:type="pct"/>
            <w:gridSpan w:val="2"/>
            <w:tcBorders>
              <w:top w:val="nil"/>
              <w:left w:val="nil"/>
              <w:bottom w:val="single" w:color="auto" w:sz="4" w:space="0"/>
              <w:right w:val="single" w:color="auto" w:sz="4" w:space="0"/>
            </w:tcBorders>
            <w:shd w:val="clear" w:color="auto" w:fill="auto"/>
            <w:vAlign w:val="center"/>
          </w:tcPr>
          <w:p w14:paraId="7A3263A6">
            <w:pPr>
              <w:spacing w:line="240" w:lineRule="auto"/>
              <w:ind w:firstLine="0" w:firstLineChars="0"/>
              <w:jc w:val="center"/>
              <w:rPr>
                <w:rFonts w:cs="Times New Roman"/>
                <w:color w:val="000000"/>
                <w:sz w:val="21"/>
                <w:szCs w:val="21"/>
              </w:rPr>
            </w:pPr>
            <w:r>
              <w:rPr>
                <w:rFonts w:cs="Times New Roman"/>
                <w:color w:val="000000"/>
                <w:sz w:val="21"/>
                <w:szCs w:val="21"/>
              </w:rPr>
              <w:t>757</w:t>
            </w:r>
          </w:p>
        </w:tc>
        <w:tc>
          <w:tcPr>
            <w:tcW w:w="302" w:type="pct"/>
            <w:tcBorders>
              <w:top w:val="nil"/>
              <w:left w:val="nil"/>
              <w:bottom w:val="single" w:color="auto" w:sz="4" w:space="0"/>
              <w:right w:val="single" w:color="auto" w:sz="4" w:space="0"/>
            </w:tcBorders>
            <w:shd w:val="clear" w:color="auto" w:fill="auto"/>
            <w:vAlign w:val="center"/>
          </w:tcPr>
          <w:p w14:paraId="17D01702">
            <w:pPr>
              <w:spacing w:line="240" w:lineRule="auto"/>
              <w:ind w:firstLine="0" w:firstLineChars="0"/>
              <w:jc w:val="center"/>
              <w:rPr>
                <w:rFonts w:cs="Times New Roman"/>
                <w:color w:val="000000"/>
                <w:sz w:val="21"/>
                <w:szCs w:val="21"/>
              </w:rPr>
            </w:pPr>
            <w:r>
              <w:rPr>
                <w:rFonts w:cs="Times New Roman"/>
                <w:color w:val="000000"/>
                <w:sz w:val="21"/>
                <w:szCs w:val="21"/>
              </w:rPr>
              <w:t>757</w:t>
            </w:r>
          </w:p>
        </w:tc>
        <w:tc>
          <w:tcPr>
            <w:tcW w:w="333" w:type="pct"/>
            <w:gridSpan w:val="2"/>
            <w:tcBorders>
              <w:top w:val="nil"/>
              <w:left w:val="nil"/>
              <w:bottom w:val="single" w:color="auto" w:sz="4" w:space="0"/>
              <w:right w:val="single" w:color="auto" w:sz="4" w:space="0"/>
            </w:tcBorders>
            <w:shd w:val="clear" w:color="auto" w:fill="auto"/>
            <w:vAlign w:val="center"/>
          </w:tcPr>
          <w:p w14:paraId="209643CE">
            <w:pPr>
              <w:spacing w:line="240" w:lineRule="auto"/>
              <w:ind w:firstLine="0" w:firstLineChars="0"/>
              <w:jc w:val="center"/>
              <w:rPr>
                <w:rFonts w:cs="Times New Roman"/>
                <w:color w:val="000000"/>
                <w:sz w:val="21"/>
                <w:szCs w:val="21"/>
              </w:rPr>
            </w:pPr>
            <w:r>
              <w:rPr>
                <w:rFonts w:cs="Times New Roman"/>
                <w:color w:val="000000"/>
                <w:sz w:val="21"/>
                <w:szCs w:val="21"/>
              </w:rPr>
              <w:t>757</w:t>
            </w:r>
          </w:p>
        </w:tc>
        <w:tc>
          <w:tcPr>
            <w:tcW w:w="302" w:type="pct"/>
            <w:tcBorders>
              <w:top w:val="nil"/>
              <w:left w:val="nil"/>
              <w:bottom w:val="single" w:color="auto" w:sz="4" w:space="0"/>
              <w:right w:val="single" w:color="auto" w:sz="4" w:space="0"/>
            </w:tcBorders>
            <w:shd w:val="clear" w:color="auto" w:fill="auto"/>
            <w:vAlign w:val="center"/>
          </w:tcPr>
          <w:p w14:paraId="431367DE">
            <w:pPr>
              <w:spacing w:line="240" w:lineRule="auto"/>
              <w:ind w:firstLine="0" w:firstLineChars="0"/>
              <w:jc w:val="center"/>
              <w:rPr>
                <w:rFonts w:cs="Times New Roman"/>
                <w:color w:val="000000"/>
                <w:sz w:val="21"/>
                <w:szCs w:val="21"/>
              </w:rPr>
            </w:pPr>
            <w:r>
              <w:rPr>
                <w:rFonts w:cs="Times New Roman"/>
                <w:color w:val="000000"/>
                <w:sz w:val="21"/>
                <w:szCs w:val="21"/>
              </w:rPr>
              <w:t>757</w:t>
            </w:r>
          </w:p>
        </w:tc>
        <w:tc>
          <w:tcPr>
            <w:tcW w:w="333" w:type="pct"/>
            <w:gridSpan w:val="2"/>
            <w:tcBorders>
              <w:top w:val="nil"/>
              <w:left w:val="nil"/>
              <w:bottom w:val="single" w:color="auto" w:sz="4" w:space="0"/>
              <w:right w:val="single" w:color="auto" w:sz="4" w:space="0"/>
            </w:tcBorders>
            <w:shd w:val="clear" w:color="auto" w:fill="auto"/>
            <w:vAlign w:val="center"/>
          </w:tcPr>
          <w:p w14:paraId="2C7F7C06">
            <w:pPr>
              <w:spacing w:line="240" w:lineRule="auto"/>
              <w:ind w:firstLine="0" w:firstLineChars="0"/>
              <w:jc w:val="center"/>
              <w:rPr>
                <w:rFonts w:cs="Times New Roman"/>
                <w:color w:val="000000"/>
                <w:sz w:val="21"/>
                <w:szCs w:val="21"/>
              </w:rPr>
            </w:pPr>
            <w:r>
              <w:rPr>
                <w:rFonts w:cs="Times New Roman"/>
                <w:color w:val="000000"/>
                <w:sz w:val="21"/>
                <w:szCs w:val="21"/>
              </w:rPr>
              <w:t>757</w:t>
            </w:r>
          </w:p>
        </w:tc>
        <w:tc>
          <w:tcPr>
            <w:tcW w:w="303" w:type="pct"/>
            <w:tcBorders>
              <w:top w:val="nil"/>
              <w:left w:val="nil"/>
              <w:bottom w:val="single" w:color="auto" w:sz="4" w:space="0"/>
              <w:right w:val="single" w:color="auto" w:sz="4" w:space="0"/>
            </w:tcBorders>
            <w:shd w:val="clear" w:color="auto" w:fill="auto"/>
            <w:vAlign w:val="center"/>
          </w:tcPr>
          <w:p w14:paraId="5C79DCFD">
            <w:pPr>
              <w:spacing w:line="240" w:lineRule="auto"/>
              <w:ind w:firstLine="0" w:firstLineChars="0"/>
              <w:jc w:val="center"/>
              <w:rPr>
                <w:rFonts w:cs="Times New Roman"/>
                <w:color w:val="000000"/>
                <w:sz w:val="21"/>
                <w:szCs w:val="21"/>
              </w:rPr>
            </w:pPr>
            <w:r>
              <w:rPr>
                <w:rFonts w:cs="Times New Roman"/>
                <w:color w:val="000000"/>
                <w:sz w:val="21"/>
                <w:szCs w:val="21"/>
              </w:rPr>
              <w:t>757</w:t>
            </w:r>
          </w:p>
        </w:tc>
        <w:tc>
          <w:tcPr>
            <w:tcW w:w="334" w:type="pct"/>
            <w:gridSpan w:val="2"/>
            <w:tcBorders>
              <w:top w:val="nil"/>
              <w:left w:val="nil"/>
              <w:bottom w:val="single" w:color="auto" w:sz="4" w:space="0"/>
              <w:right w:val="single" w:color="auto" w:sz="4" w:space="0"/>
            </w:tcBorders>
            <w:shd w:val="clear" w:color="auto" w:fill="auto"/>
            <w:vAlign w:val="center"/>
          </w:tcPr>
          <w:p w14:paraId="3ED5CCF3">
            <w:pPr>
              <w:spacing w:line="240" w:lineRule="auto"/>
              <w:ind w:firstLine="0" w:firstLineChars="0"/>
              <w:jc w:val="center"/>
              <w:rPr>
                <w:rFonts w:cs="Times New Roman"/>
                <w:color w:val="000000"/>
                <w:sz w:val="21"/>
                <w:szCs w:val="21"/>
              </w:rPr>
            </w:pPr>
            <w:r>
              <w:rPr>
                <w:rFonts w:cs="Times New Roman"/>
                <w:color w:val="000000"/>
                <w:sz w:val="21"/>
                <w:szCs w:val="21"/>
              </w:rPr>
              <w:t>757</w:t>
            </w:r>
          </w:p>
        </w:tc>
        <w:tc>
          <w:tcPr>
            <w:tcW w:w="303" w:type="pct"/>
            <w:tcBorders>
              <w:top w:val="nil"/>
              <w:left w:val="nil"/>
              <w:bottom w:val="single" w:color="auto" w:sz="4" w:space="0"/>
              <w:right w:val="single" w:color="auto" w:sz="4" w:space="0"/>
            </w:tcBorders>
            <w:shd w:val="clear" w:color="auto" w:fill="auto"/>
            <w:vAlign w:val="center"/>
          </w:tcPr>
          <w:p w14:paraId="601D78F7">
            <w:pPr>
              <w:spacing w:line="240" w:lineRule="auto"/>
              <w:ind w:firstLine="0" w:firstLineChars="0"/>
              <w:jc w:val="center"/>
              <w:rPr>
                <w:rFonts w:cs="Times New Roman"/>
                <w:color w:val="000000"/>
                <w:sz w:val="21"/>
                <w:szCs w:val="21"/>
              </w:rPr>
            </w:pPr>
            <w:r>
              <w:rPr>
                <w:rFonts w:cs="Times New Roman"/>
                <w:color w:val="000000"/>
                <w:sz w:val="21"/>
                <w:szCs w:val="21"/>
              </w:rPr>
              <w:t>757</w:t>
            </w:r>
          </w:p>
        </w:tc>
        <w:tc>
          <w:tcPr>
            <w:tcW w:w="301" w:type="pct"/>
            <w:tcBorders>
              <w:top w:val="nil"/>
              <w:left w:val="nil"/>
              <w:bottom w:val="single" w:color="auto" w:sz="4" w:space="0"/>
              <w:right w:val="single" w:color="auto" w:sz="4" w:space="0"/>
            </w:tcBorders>
            <w:shd w:val="clear" w:color="auto" w:fill="auto"/>
            <w:vAlign w:val="center"/>
          </w:tcPr>
          <w:p w14:paraId="6A9BDDE3">
            <w:pPr>
              <w:spacing w:line="240" w:lineRule="auto"/>
              <w:ind w:firstLine="0" w:firstLineChars="0"/>
              <w:jc w:val="center"/>
              <w:rPr>
                <w:rFonts w:cs="Times New Roman"/>
                <w:color w:val="000000"/>
                <w:sz w:val="21"/>
                <w:szCs w:val="21"/>
              </w:rPr>
            </w:pPr>
            <w:r>
              <w:rPr>
                <w:rFonts w:cs="Times New Roman"/>
                <w:color w:val="000000"/>
                <w:sz w:val="21"/>
                <w:szCs w:val="21"/>
              </w:rPr>
              <w:t>757</w:t>
            </w:r>
          </w:p>
        </w:tc>
      </w:tr>
      <w:tr w14:paraId="03787F0D">
        <w:tblPrEx>
          <w:tblCellMar>
            <w:top w:w="0" w:type="dxa"/>
            <w:left w:w="108" w:type="dxa"/>
            <w:bottom w:w="0" w:type="dxa"/>
            <w:right w:w="108" w:type="dxa"/>
          </w:tblCellMar>
        </w:tblPrEx>
        <w:trPr>
          <w:cantSplit/>
          <w:trHeight w:val="425"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072DC088">
            <w:pPr>
              <w:spacing w:line="240" w:lineRule="auto"/>
              <w:ind w:firstLine="0" w:firstLineChars="0"/>
              <w:jc w:val="center"/>
              <w:rPr>
                <w:rFonts w:cs="Times New Roman"/>
                <w:color w:val="000000"/>
                <w:sz w:val="21"/>
                <w:szCs w:val="21"/>
              </w:rPr>
            </w:pPr>
            <w:r>
              <w:rPr>
                <w:rFonts w:cs="Times New Roman"/>
                <w:color w:val="000000"/>
                <w:sz w:val="21"/>
                <w:szCs w:val="21"/>
              </w:rPr>
              <w:t>3</w:t>
            </w:r>
          </w:p>
        </w:tc>
        <w:tc>
          <w:tcPr>
            <w:tcW w:w="589" w:type="pct"/>
            <w:tcBorders>
              <w:top w:val="nil"/>
              <w:left w:val="nil"/>
              <w:bottom w:val="single" w:color="auto" w:sz="4" w:space="0"/>
              <w:right w:val="single" w:color="auto" w:sz="4" w:space="0"/>
            </w:tcBorders>
            <w:shd w:val="clear" w:color="auto" w:fill="auto"/>
            <w:vAlign w:val="center"/>
          </w:tcPr>
          <w:p w14:paraId="62A899E3">
            <w:pPr>
              <w:spacing w:line="240" w:lineRule="auto"/>
              <w:ind w:firstLine="0" w:firstLineChars="0"/>
              <w:jc w:val="center"/>
              <w:rPr>
                <w:rFonts w:cs="Times New Roman"/>
                <w:color w:val="000000"/>
                <w:sz w:val="21"/>
                <w:szCs w:val="21"/>
              </w:rPr>
            </w:pPr>
            <w:r>
              <w:rPr>
                <w:rFonts w:cs="Times New Roman"/>
                <w:color w:val="000000"/>
                <w:sz w:val="21"/>
                <w:szCs w:val="21"/>
              </w:rPr>
              <w:t>地表翻扰后土壤可蚀性因子</w:t>
            </w:r>
          </w:p>
        </w:tc>
        <w:tc>
          <w:tcPr>
            <w:tcW w:w="223" w:type="pct"/>
            <w:tcBorders>
              <w:top w:val="nil"/>
              <w:left w:val="nil"/>
              <w:bottom w:val="single" w:color="auto" w:sz="4" w:space="0"/>
              <w:right w:val="single" w:color="auto" w:sz="4" w:space="0"/>
            </w:tcBorders>
            <w:shd w:val="clear" w:color="auto" w:fill="auto"/>
            <w:vAlign w:val="center"/>
          </w:tcPr>
          <w:p w14:paraId="764AE01D">
            <w:pPr>
              <w:spacing w:line="240" w:lineRule="auto"/>
              <w:ind w:firstLine="0" w:firstLineChars="0"/>
              <w:jc w:val="center"/>
              <w:rPr>
                <w:rFonts w:cs="Times New Roman"/>
                <w:color w:val="000000"/>
                <w:sz w:val="21"/>
                <w:szCs w:val="21"/>
              </w:rPr>
            </w:pPr>
            <w:r>
              <w:rPr>
                <w:rFonts w:cs="Times New Roman"/>
                <w:color w:val="000000"/>
                <w:sz w:val="21"/>
                <w:szCs w:val="21"/>
              </w:rPr>
              <w:t>Kyd</w:t>
            </w:r>
          </w:p>
        </w:tc>
        <w:tc>
          <w:tcPr>
            <w:tcW w:w="865" w:type="pct"/>
            <w:tcBorders>
              <w:top w:val="nil"/>
              <w:left w:val="nil"/>
              <w:bottom w:val="single" w:color="auto" w:sz="4" w:space="0"/>
              <w:right w:val="single" w:color="auto" w:sz="4" w:space="0"/>
            </w:tcBorders>
            <w:shd w:val="clear" w:color="auto" w:fill="auto"/>
            <w:vAlign w:val="center"/>
          </w:tcPr>
          <w:p w14:paraId="32902EF1">
            <w:pPr>
              <w:spacing w:line="240" w:lineRule="auto"/>
              <w:ind w:firstLine="0" w:firstLineChars="0"/>
              <w:jc w:val="center"/>
              <w:rPr>
                <w:rFonts w:cs="Times New Roman"/>
                <w:color w:val="000000"/>
                <w:sz w:val="21"/>
                <w:szCs w:val="21"/>
              </w:rPr>
            </w:pPr>
            <w:r>
              <w:rPr>
                <w:rFonts w:cs="Times New Roman"/>
                <w:color w:val="000000"/>
                <w:sz w:val="21"/>
                <w:szCs w:val="21"/>
              </w:rPr>
              <w:t>Kyd=NK</w:t>
            </w:r>
          </w:p>
        </w:tc>
        <w:tc>
          <w:tcPr>
            <w:tcW w:w="302" w:type="pct"/>
            <w:tcBorders>
              <w:top w:val="nil"/>
              <w:left w:val="nil"/>
              <w:bottom w:val="single" w:color="auto" w:sz="4" w:space="0"/>
              <w:right w:val="single" w:color="auto" w:sz="4" w:space="0"/>
            </w:tcBorders>
            <w:shd w:val="clear" w:color="auto" w:fill="auto"/>
            <w:vAlign w:val="center"/>
          </w:tcPr>
          <w:p w14:paraId="73232AF5">
            <w:pPr>
              <w:spacing w:line="240" w:lineRule="auto"/>
              <w:ind w:firstLine="0" w:firstLineChars="0"/>
              <w:jc w:val="center"/>
              <w:rPr>
                <w:rFonts w:cs="Times New Roman"/>
                <w:color w:val="000000"/>
                <w:sz w:val="21"/>
                <w:szCs w:val="21"/>
              </w:rPr>
            </w:pPr>
            <w:r>
              <w:rPr>
                <w:rFonts w:cs="Times New Roman"/>
                <w:color w:val="000000"/>
                <w:sz w:val="21"/>
                <w:szCs w:val="21"/>
              </w:rPr>
              <w:t xml:space="preserve">0.037 </w:t>
            </w:r>
          </w:p>
        </w:tc>
        <w:tc>
          <w:tcPr>
            <w:tcW w:w="333" w:type="pct"/>
            <w:gridSpan w:val="2"/>
            <w:tcBorders>
              <w:top w:val="nil"/>
              <w:left w:val="nil"/>
              <w:bottom w:val="single" w:color="auto" w:sz="4" w:space="0"/>
              <w:right w:val="single" w:color="auto" w:sz="4" w:space="0"/>
            </w:tcBorders>
            <w:shd w:val="clear" w:color="auto" w:fill="auto"/>
            <w:vAlign w:val="center"/>
          </w:tcPr>
          <w:p w14:paraId="5E7F0432">
            <w:pPr>
              <w:spacing w:line="240" w:lineRule="auto"/>
              <w:ind w:firstLine="0" w:firstLineChars="0"/>
              <w:jc w:val="center"/>
              <w:rPr>
                <w:rFonts w:cs="Times New Roman"/>
                <w:color w:val="000000"/>
                <w:sz w:val="21"/>
                <w:szCs w:val="21"/>
              </w:rPr>
            </w:pPr>
            <w:r>
              <w:rPr>
                <w:rFonts w:cs="Times New Roman"/>
                <w:color w:val="000000"/>
                <w:sz w:val="21"/>
                <w:szCs w:val="21"/>
              </w:rPr>
              <w:t xml:space="preserve">0.031 </w:t>
            </w:r>
          </w:p>
        </w:tc>
        <w:tc>
          <w:tcPr>
            <w:tcW w:w="302" w:type="pct"/>
            <w:tcBorders>
              <w:top w:val="nil"/>
              <w:left w:val="nil"/>
              <w:bottom w:val="single" w:color="auto" w:sz="4" w:space="0"/>
              <w:right w:val="single" w:color="auto" w:sz="4" w:space="0"/>
            </w:tcBorders>
            <w:shd w:val="clear" w:color="auto" w:fill="auto"/>
            <w:vAlign w:val="center"/>
          </w:tcPr>
          <w:p w14:paraId="34E66CF4">
            <w:pPr>
              <w:spacing w:line="240" w:lineRule="auto"/>
              <w:ind w:firstLine="0" w:firstLineChars="0"/>
              <w:jc w:val="center"/>
              <w:rPr>
                <w:rFonts w:cs="Times New Roman"/>
                <w:color w:val="000000"/>
                <w:sz w:val="21"/>
                <w:szCs w:val="21"/>
              </w:rPr>
            </w:pPr>
            <w:r>
              <w:rPr>
                <w:rFonts w:cs="Times New Roman"/>
                <w:color w:val="000000"/>
                <w:sz w:val="21"/>
                <w:szCs w:val="21"/>
              </w:rPr>
              <w:t xml:space="preserve">0.026 </w:t>
            </w:r>
          </w:p>
        </w:tc>
        <w:tc>
          <w:tcPr>
            <w:tcW w:w="333" w:type="pct"/>
            <w:gridSpan w:val="2"/>
            <w:tcBorders>
              <w:top w:val="nil"/>
              <w:left w:val="nil"/>
              <w:bottom w:val="single" w:color="auto" w:sz="4" w:space="0"/>
              <w:right w:val="single" w:color="auto" w:sz="4" w:space="0"/>
            </w:tcBorders>
            <w:shd w:val="clear" w:color="auto" w:fill="auto"/>
            <w:vAlign w:val="center"/>
          </w:tcPr>
          <w:p w14:paraId="7902A092">
            <w:pPr>
              <w:spacing w:line="240" w:lineRule="auto"/>
              <w:ind w:firstLine="0" w:firstLineChars="0"/>
              <w:jc w:val="center"/>
              <w:rPr>
                <w:rFonts w:cs="Times New Roman"/>
                <w:color w:val="000000"/>
                <w:sz w:val="21"/>
                <w:szCs w:val="21"/>
              </w:rPr>
            </w:pPr>
            <w:r>
              <w:rPr>
                <w:rFonts w:cs="Times New Roman"/>
                <w:color w:val="000000"/>
                <w:sz w:val="21"/>
                <w:szCs w:val="21"/>
              </w:rPr>
              <w:t xml:space="preserve">0.021 </w:t>
            </w:r>
          </w:p>
        </w:tc>
        <w:tc>
          <w:tcPr>
            <w:tcW w:w="302" w:type="pct"/>
            <w:tcBorders>
              <w:top w:val="nil"/>
              <w:left w:val="nil"/>
              <w:bottom w:val="single" w:color="auto" w:sz="4" w:space="0"/>
              <w:right w:val="single" w:color="auto" w:sz="4" w:space="0"/>
            </w:tcBorders>
            <w:shd w:val="clear" w:color="auto" w:fill="auto"/>
            <w:vAlign w:val="center"/>
          </w:tcPr>
          <w:p w14:paraId="65640935">
            <w:pPr>
              <w:spacing w:line="240" w:lineRule="auto"/>
              <w:ind w:firstLine="0" w:firstLineChars="0"/>
              <w:jc w:val="center"/>
              <w:rPr>
                <w:rFonts w:cs="Times New Roman"/>
                <w:color w:val="000000"/>
                <w:sz w:val="21"/>
                <w:szCs w:val="21"/>
              </w:rPr>
            </w:pPr>
            <w:r>
              <w:rPr>
                <w:rFonts w:cs="Times New Roman"/>
                <w:color w:val="000000"/>
                <w:sz w:val="21"/>
                <w:szCs w:val="21"/>
              </w:rPr>
              <w:t xml:space="preserve">0.018 </w:t>
            </w:r>
          </w:p>
        </w:tc>
        <w:tc>
          <w:tcPr>
            <w:tcW w:w="333" w:type="pct"/>
            <w:gridSpan w:val="2"/>
            <w:tcBorders>
              <w:top w:val="nil"/>
              <w:left w:val="nil"/>
              <w:bottom w:val="single" w:color="auto" w:sz="4" w:space="0"/>
              <w:right w:val="single" w:color="auto" w:sz="4" w:space="0"/>
            </w:tcBorders>
            <w:shd w:val="clear" w:color="auto" w:fill="auto"/>
            <w:vAlign w:val="center"/>
          </w:tcPr>
          <w:p w14:paraId="30C30DA8">
            <w:pPr>
              <w:spacing w:line="240" w:lineRule="auto"/>
              <w:ind w:firstLine="0" w:firstLineChars="0"/>
              <w:jc w:val="center"/>
              <w:rPr>
                <w:rFonts w:cs="Times New Roman"/>
                <w:color w:val="000000"/>
                <w:sz w:val="21"/>
                <w:szCs w:val="21"/>
              </w:rPr>
            </w:pPr>
            <w:r>
              <w:rPr>
                <w:rFonts w:cs="Times New Roman"/>
                <w:color w:val="000000"/>
                <w:sz w:val="21"/>
                <w:szCs w:val="21"/>
              </w:rPr>
              <w:t xml:space="preserve">0.037 </w:t>
            </w:r>
          </w:p>
        </w:tc>
        <w:tc>
          <w:tcPr>
            <w:tcW w:w="303" w:type="pct"/>
            <w:tcBorders>
              <w:top w:val="nil"/>
              <w:left w:val="nil"/>
              <w:bottom w:val="single" w:color="auto" w:sz="4" w:space="0"/>
              <w:right w:val="single" w:color="auto" w:sz="4" w:space="0"/>
            </w:tcBorders>
            <w:shd w:val="clear" w:color="auto" w:fill="auto"/>
            <w:vAlign w:val="center"/>
          </w:tcPr>
          <w:p w14:paraId="6861A96A">
            <w:pPr>
              <w:spacing w:line="240" w:lineRule="auto"/>
              <w:ind w:firstLine="0" w:firstLineChars="0"/>
              <w:jc w:val="center"/>
              <w:rPr>
                <w:rFonts w:cs="Times New Roman"/>
                <w:color w:val="000000"/>
                <w:sz w:val="21"/>
                <w:szCs w:val="21"/>
              </w:rPr>
            </w:pPr>
            <w:r>
              <w:rPr>
                <w:rFonts w:cs="Times New Roman"/>
                <w:color w:val="000000"/>
                <w:sz w:val="21"/>
                <w:szCs w:val="21"/>
              </w:rPr>
              <w:t xml:space="preserve">0.031 </w:t>
            </w:r>
          </w:p>
        </w:tc>
        <w:tc>
          <w:tcPr>
            <w:tcW w:w="334" w:type="pct"/>
            <w:gridSpan w:val="2"/>
            <w:tcBorders>
              <w:top w:val="nil"/>
              <w:left w:val="nil"/>
              <w:bottom w:val="single" w:color="auto" w:sz="4" w:space="0"/>
              <w:right w:val="single" w:color="auto" w:sz="4" w:space="0"/>
            </w:tcBorders>
            <w:shd w:val="clear" w:color="auto" w:fill="auto"/>
            <w:vAlign w:val="center"/>
          </w:tcPr>
          <w:p w14:paraId="26B1CF62">
            <w:pPr>
              <w:spacing w:line="240" w:lineRule="auto"/>
              <w:ind w:firstLine="0" w:firstLineChars="0"/>
              <w:jc w:val="center"/>
              <w:rPr>
                <w:rFonts w:cs="Times New Roman"/>
                <w:color w:val="000000"/>
                <w:sz w:val="21"/>
                <w:szCs w:val="21"/>
              </w:rPr>
            </w:pPr>
            <w:r>
              <w:rPr>
                <w:rFonts w:cs="Times New Roman"/>
                <w:color w:val="000000"/>
                <w:sz w:val="21"/>
                <w:szCs w:val="21"/>
              </w:rPr>
              <w:t xml:space="preserve">0.026 </w:t>
            </w:r>
          </w:p>
        </w:tc>
        <w:tc>
          <w:tcPr>
            <w:tcW w:w="303" w:type="pct"/>
            <w:tcBorders>
              <w:top w:val="nil"/>
              <w:left w:val="nil"/>
              <w:bottom w:val="single" w:color="auto" w:sz="4" w:space="0"/>
              <w:right w:val="single" w:color="auto" w:sz="4" w:space="0"/>
            </w:tcBorders>
            <w:shd w:val="clear" w:color="auto" w:fill="auto"/>
            <w:vAlign w:val="center"/>
          </w:tcPr>
          <w:p w14:paraId="532D444D">
            <w:pPr>
              <w:spacing w:line="240" w:lineRule="auto"/>
              <w:ind w:firstLine="0" w:firstLineChars="0"/>
              <w:jc w:val="center"/>
              <w:rPr>
                <w:rFonts w:cs="Times New Roman"/>
                <w:color w:val="000000"/>
                <w:sz w:val="21"/>
                <w:szCs w:val="21"/>
              </w:rPr>
            </w:pPr>
            <w:r>
              <w:rPr>
                <w:rFonts w:cs="Times New Roman"/>
                <w:color w:val="000000"/>
                <w:sz w:val="21"/>
                <w:szCs w:val="21"/>
              </w:rPr>
              <w:t xml:space="preserve">0.021 </w:t>
            </w:r>
          </w:p>
        </w:tc>
        <w:tc>
          <w:tcPr>
            <w:tcW w:w="301" w:type="pct"/>
            <w:tcBorders>
              <w:top w:val="nil"/>
              <w:left w:val="nil"/>
              <w:bottom w:val="single" w:color="auto" w:sz="4" w:space="0"/>
              <w:right w:val="single" w:color="auto" w:sz="4" w:space="0"/>
            </w:tcBorders>
            <w:shd w:val="clear" w:color="auto" w:fill="auto"/>
            <w:vAlign w:val="center"/>
          </w:tcPr>
          <w:p w14:paraId="3849FB65">
            <w:pPr>
              <w:spacing w:line="240" w:lineRule="auto"/>
              <w:ind w:firstLine="0" w:firstLineChars="0"/>
              <w:jc w:val="center"/>
              <w:rPr>
                <w:rFonts w:cs="Times New Roman"/>
                <w:color w:val="000000"/>
                <w:sz w:val="21"/>
                <w:szCs w:val="21"/>
              </w:rPr>
            </w:pPr>
            <w:r>
              <w:rPr>
                <w:rFonts w:cs="Times New Roman"/>
                <w:color w:val="000000"/>
                <w:sz w:val="21"/>
                <w:szCs w:val="21"/>
              </w:rPr>
              <w:t xml:space="preserve">0.018 </w:t>
            </w:r>
          </w:p>
        </w:tc>
      </w:tr>
      <w:tr w14:paraId="070C7EA4">
        <w:tblPrEx>
          <w:tblCellMar>
            <w:top w:w="0" w:type="dxa"/>
            <w:left w:w="108" w:type="dxa"/>
            <w:bottom w:w="0" w:type="dxa"/>
            <w:right w:w="108" w:type="dxa"/>
          </w:tblCellMar>
        </w:tblPrEx>
        <w:trPr>
          <w:cantSplit/>
          <w:trHeight w:val="425"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02531D29">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7858EDD8">
            <w:pPr>
              <w:spacing w:line="240" w:lineRule="auto"/>
              <w:ind w:firstLine="0" w:firstLineChars="0"/>
              <w:jc w:val="center"/>
              <w:rPr>
                <w:rFonts w:cs="Times New Roman"/>
                <w:color w:val="000000"/>
                <w:sz w:val="21"/>
                <w:szCs w:val="21"/>
              </w:rPr>
            </w:pPr>
            <w:r>
              <w:rPr>
                <w:rFonts w:cs="Times New Roman"/>
                <w:color w:val="000000"/>
                <w:sz w:val="21"/>
                <w:szCs w:val="21"/>
              </w:rPr>
              <w:t>可蚀性因子增大系数</w:t>
            </w:r>
          </w:p>
        </w:tc>
        <w:tc>
          <w:tcPr>
            <w:tcW w:w="223" w:type="pct"/>
            <w:tcBorders>
              <w:top w:val="nil"/>
              <w:left w:val="nil"/>
              <w:bottom w:val="single" w:color="auto" w:sz="4" w:space="0"/>
              <w:right w:val="single" w:color="auto" w:sz="4" w:space="0"/>
            </w:tcBorders>
            <w:shd w:val="clear" w:color="auto" w:fill="auto"/>
            <w:vAlign w:val="center"/>
          </w:tcPr>
          <w:p w14:paraId="50CFA2FA">
            <w:pPr>
              <w:spacing w:line="240" w:lineRule="auto"/>
              <w:ind w:firstLine="0" w:firstLineChars="0"/>
              <w:jc w:val="center"/>
              <w:rPr>
                <w:rFonts w:cs="Times New Roman"/>
                <w:color w:val="000000"/>
                <w:sz w:val="21"/>
                <w:szCs w:val="21"/>
              </w:rPr>
            </w:pPr>
            <w:r>
              <w:rPr>
                <w:rFonts w:cs="Times New Roman"/>
                <w:color w:val="000000"/>
                <w:sz w:val="21"/>
                <w:szCs w:val="21"/>
              </w:rPr>
              <w:t>N</w:t>
            </w:r>
          </w:p>
        </w:tc>
        <w:tc>
          <w:tcPr>
            <w:tcW w:w="865" w:type="pct"/>
            <w:tcBorders>
              <w:top w:val="nil"/>
              <w:left w:val="nil"/>
              <w:bottom w:val="single" w:color="auto" w:sz="4" w:space="0"/>
              <w:right w:val="single" w:color="auto" w:sz="4" w:space="0"/>
            </w:tcBorders>
            <w:shd w:val="clear" w:color="auto" w:fill="auto"/>
            <w:vAlign w:val="center"/>
          </w:tcPr>
          <w:p w14:paraId="1612FABD">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3D640BA3">
            <w:pPr>
              <w:spacing w:line="240" w:lineRule="auto"/>
              <w:ind w:firstLine="0" w:firstLineChars="0"/>
              <w:jc w:val="center"/>
              <w:rPr>
                <w:rFonts w:cs="Times New Roman"/>
                <w:color w:val="000000"/>
                <w:sz w:val="21"/>
                <w:szCs w:val="21"/>
              </w:rPr>
            </w:pPr>
            <w:r>
              <w:rPr>
                <w:rFonts w:cs="Times New Roman"/>
                <w:color w:val="000000"/>
                <w:sz w:val="21"/>
                <w:szCs w:val="21"/>
              </w:rPr>
              <w:t xml:space="preserve">2.13 </w:t>
            </w:r>
          </w:p>
        </w:tc>
        <w:tc>
          <w:tcPr>
            <w:tcW w:w="333" w:type="pct"/>
            <w:gridSpan w:val="2"/>
            <w:tcBorders>
              <w:top w:val="nil"/>
              <w:left w:val="nil"/>
              <w:bottom w:val="single" w:color="auto" w:sz="4" w:space="0"/>
              <w:right w:val="single" w:color="auto" w:sz="4" w:space="0"/>
            </w:tcBorders>
            <w:shd w:val="clear" w:color="auto" w:fill="auto"/>
            <w:vAlign w:val="center"/>
          </w:tcPr>
          <w:p w14:paraId="00795731">
            <w:pPr>
              <w:spacing w:line="240" w:lineRule="auto"/>
              <w:ind w:firstLine="0" w:firstLineChars="0"/>
              <w:jc w:val="center"/>
              <w:rPr>
                <w:rFonts w:cs="Times New Roman"/>
                <w:color w:val="000000"/>
                <w:sz w:val="21"/>
                <w:szCs w:val="21"/>
              </w:rPr>
            </w:pPr>
            <w:r>
              <w:rPr>
                <w:rFonts w:cs="Times New Roman"/>
                <w:color w:val="000000"/>
                <w:sz w:val="21"/>
                <w:szCs w:val="21"/>
              </w:rPr>
              <w:t xml:space="preserve">1.76 </w:t>
            </w:r>
          </w:p>
        </w:tc>
        <w:tc>
          <w:tcPr>
            <w:tcW w:w="302" w:type="pct"/>
            <w:tcBorders>
              <w:top w:val="nil"/>
              <w:left w:val="nil"/>
              <w:bottom w:val="single" w:color="auto" w:sz="4" w:space="0"/>
              <w:right w:val="single" w:color="auto" w:sz="4" w:space="0"/>
            </w:tcBorders>
            <w:shd w:val="clear" w:color="auto" w:fill="auto"/>
            <w:vAlign w:val="center"/>
          </w:tcPr>
          <w:p w14:paraId="71DBF2FA">
            <w:pPr>
              <w:spacing w:line="240" w:lineRule="auto"/>
              <w:ind w:firstLine="0" w:firstLineChars="0"/>
              <w:jc w:val="center"/>
              <w:rPr>
                <w:rFonts w:cs="Times New Roman"/>
                <w:color w:val="000000"/>
                <w:sz w:val="21"/>
                <w:szCs w:val="21"/>
              </w:rPr>
            </w:pPr>
            <w:r>
              <w:rPr>
                <w:rFonts w:cs="Times New Roman"/>
                <w:color w:val="000000"/>
                <w:sz w:val="21"/>
                <w:szCs w:val="21"/>
              </w:rPr>
              <w:t xml:space="preserve">1.46 </w:t>
            </w:r>
          </w:p>
        </w:tc>
        <w:tc>
          <w:tcPr>
            <w:tcW w:w="333" w:type="pct"/>
            <w:gridSpan w:val="2"/>
            <w:tcBorders>
              <w:top w:val="nil"/>
              <w:left w:val="nil"/>
              <w:bottom w:val="single" w:color="auto" w:sz="4" w:space="0"/>
              <w:right w:val="single" w:color="auto" w:sz="4" w:space="0"/>
            </w:tcBorders>
            <w:shd w:val="clear" w:color="auto" w:fill="auto"/>
            <w:vAlign w:val="center"/>
          </w:tcPr>
          <w:p w14:paraId="2E740192">
            <w:pPr>
              <w:spacing w:line="240" w:lineRule="auto"/>
              <w:ind w:firstLine="0" w:firstLineChars="0"/>
              <w:jc w:val="center"/>
              <w:rPr>
                <w:rFonts w:cs="Times New Roman"/>
                <w:color w:val="000000"/>
                <w:sz w:val="21"/>
                <w:szCs w:val="21"/>
              </w:rPr>
            </w:pPr>
            <w:r>
              <w:rPr>
                <w:rFonts w:cs="Times New Roman"/>
                <w:color w:val="000000"/>
                <w:sz w:val="21"/>
                <w:szCs w:val="21"/>
              </w:rPr>
              <w:t xml:space="preserve">1.21 </w:t>
            </w:r>
          </w:p>
        </w:tc>
        <w:tc>
          <w:tcPr>
            <w:tcW w:w="302" w:type="pct"/>
            <w:tcBorders>
              <w:top w:val="nil"/>
              <w:left w:val="nil"/>
              <w:bottom w:val="single" w:color="auto" w:sz="4" w:space="0"/>
              <w:right w:val="single" w:color="auto" w:sz="4" w:space="0"/>
            </w:tcBorders>
            <w:shd w:val="clear" w:color="auto" w:fill="auto"/>
            <w:vAlign w:val="center"/>
          </w:tcPr>
          <w:p w14:paraId="1538ABB0">
            <w:pPr>
              <w:spacing w:line="240" w:lineRule="auto"/>
              <w:ind w:firstLine="0" w:firstLineChars="0"/>
              <w:jc w:val="center"/>
              <w:rPr>
                <w:rFonts w:cs="Times New Roman"/>
                <w:color w:val="000000"/>
                <w:sz w:val="21"/>
                <w:szCs w:val="21"/>
              </w:rPr>
            </w:pPr>
            <w:r>
              <w:rPr>
                <w:rFonts w:cs="Times New Roman"/>
                <w:color w:val="000000"/>
                <w:sz w:val="21"/>
                <w:szCs w:val="21"/>
              </w:rPr>
              <w:t xml:space="preserve">1.00 </w:t>
            </w:r>
          </w:p>
        </w:tc>
        <w:tc>
          <w:tcPr>
            <w:tcW w:w="333" w:type="pct"/>
            <w:gridSpan w:val="2"/>
            <w:tcBorders>
              <w:top w:val="nil"/>
              <w:left w:val="nil"/>
              <w:bottom w:val="single" w:color="auto" w:sz="4" w:space="0"/>
              <w:right w:val="single" w:color="auto" w:sz="4" w:space="0"/>
            </w:tcBorders>
            <w:shd w:val="clear" w:color="auto" w:fill="auto"/>
            <w:vAlign w:val="center"/>
          </w:tcPr>
          <w:p w14:paraId="5BF397B6">
            <w:pPr>
              <w:spacing w:line="240" w:lineRule="auto"/>
              <w:ind w:firstLine="0" w:firstLineChars="0"/>
              <w:jc w:val="center"/>
              <w:rPr>
                <w:rFonts w:cs="Times New Roman"/>
                <w:color w:val="000000"/>
                <w:sz w:val="21"/>
                <w:szCs w:val="21"/>
              </w:rPr>
            </w:pPr>
            <w:r>
              <w:rPr>
                <w:rFonts w:cs="Times New Roman"/>
                <w:color w:val="000000"/>
                <w:sz w:val="21"/>
                <w:szCs w:val="21"/>
              </w:rPr>
              <w:t xml:space="preserve">2.13 </w:t>
            </w:r>
          </w:p>
        </w:tc>
        <w:tc>
          <w:tcPr>
            <w:tcW w:w="303" w:type="pct"/>
            <w:tcBorders>
              <w:top w:val="nil"/>
              <w:left w:val="nil"/>
              <w:bottom w:val="single" w:color="auto" w:sz="4" w:space="0"/>
              <w:right w:val="single" w:color="auto" w:sz="4" w:space="0"/>
            </w:tcBorders>
            <w:shd w:val="clear" w:color="auto" w:fill="auto"/>
            <w:vAlign w:val="center"/>
          </w:tcPr>
          <w:p w14:paraId="20754B9F">
            <w:pPr>
              <w:spacing w:line="240" w:lineRule="auto"/>
              <w:ind w:firstLine="0" w:firstLineChars="0"/>
              <w:jc w:val="center"/>
              <w:rPr>
                <w:rFonts w:cs="Times New Roman"/>
                <w:color w:val="000000"/>
                <w:sz w:val="21"/>
                <w:szCs w:val="21"/>
              </w:rPr>
            </w:pPr>
            <w:r>
              <w:rPr>
                <w:rFonts w:cs="Times New Roman"/>
                <w:color w:val="000000"/>
                <w:sz w:val="21"/>
                <w:szCs w:val="21"/>
              </w:rPr>
              <w:t xml:space="preserve">1.76 </w:t>
            </w:r>
          </w:p>
        </w:tc>
        <w:tc>
          <w:tcPr>
            <w:tcW w:w="334" w:type="pct"/>
            <w:gridSpan w:val="2"/>
            <w:tcBorders>
              <w:top w:val="nil"/>
              <w:left w:val="nil"/>
              <w:bottom w:val="single" w:color="auto" w:sz="4" w:space="0"/>
              <w:right w:val="single" w:color="auto" w:sz="4" w:space="0"/>
            </w:tcBorders>
            <w:shd w:val="clear" w:color="auto" w:fill="auto"/>
            <w:vAlign w:val="center"/>
          </w:tcPr>
          <w:p w14:paraId="474340FB">
            <w:pPr>
              <w:spacing w:line="240" w:lineRule="auto"/>
              <w:ind w:firstLine="0" w:firstLineChars="0"/>
              <w:jc w:val="center"/>
              <w:rPr>
                <w:rFonts w:cs="Times New Roman"/>
                <w:color w:val="000000"/>
                <w:sz w:val="21"/>
                <w:szCs w:val="21"/>
              </w:rPr>
            </w:pPr>
            <w:r>
              <w:rPr>
                <w:rFonts w:cs="Times New Roman"/>
                <w:color w:val="000000"/>
                <w:sz w:val="21"/>
                <w:szCs w:val="21"/>
              </w:rPr>
              <w:t xml:space="preserve">1.46 </w:t>
            </w:r>
          </w:p>
        </w:tc>
        <w:tc>
          <w:tcPr>
            <w:tcW w:w="303" w:type="pct"/>
            <w:tcBorders>
              <w:top w:val="nil"/>
              <w:left w:val="nil"/>
              <w:bottom w:val="single" w:color="auto" w:sz="4" w:space="0"/>
              <w:right w:val="single" w:color="auto" w:sz="4" w:space="0"/>
            </w:tcBorders>
            <w:shd w:val="clear" w:color="auto" w:fill="auto"/>
            <w:vAlign w:val="center"/>
          </w:tcPr>
          <w:p w14:paraId="5589F68F">
            <w:pPr>
              <w:spacing w:line="240" w:lineRule="auto"/>
              <w:ind w:firstLine="0" w:firstLineChars="0"/>
              <w:jc w:val="center"/>
              <w:rPr>
                <w:rFonts w:cs="Times New Roman"/>
                <w:color w:val="000000"/>
                <w:sz w:val="21"/>
                <w:szCs w:val="21"/>
              </w:rPr>
            </w:pPr>
            <w:r>
              <w:rPr>
                <w:rFonts w:cs="Times New Roman"/>
                <w:color w:val="000000"/>
                <w:sz w:val="21"/>
                <w:szCs w:val="21"/>
              </w:rPr>
              <w:t xml:space="preserve">1.21 </w:t>
            </w:r>
          </w:p>
        </w:tc>
        <w:tc>
          <w:tcPr>
            <w:tcW w:w="301" w:type="pct"/>
            <w:tcBorders>
              <w:top w:val="nil"/>
              <w:left w:val="nil"/>
              <w:bottom w:val="single" w:color="auto" w:sz="4" w:space="0"/>
              <w:right w:val="single" w:color="auto" w:sz="4" w:space="0"/>
            </w:tcBorders>
            <w:shd w:val="clear" w:color="auto" w:fill="auto"/>
            <w:vAlign w:val="center"/>
          </w:tcPr>
          <w:p w14:paraId="35B6352C">
            <w:pPr>
              <w:spacing w:line="240" w:lineRule="auto"/>
              <w:ind w:firstLine="0" w:firstLineChars="0"/>
              <w:jc w:val="center"/>
              <w:rPr>
                <w:rFonts w:cs="Times New Roman"/>
                <w:color w:val="000000"/>
                <w:sz w:val="21"/>
                <w:szCs w:val="21"/>
              </w:rPr>
            </w:pPr>
            <w:r>
              <w:rPr>
                <w:rFonts w:cs="Times New Roman"/>
                <w:color w:val="000000"/>
                <w:sz w:val="21"/>
                <w:szCs w:val="21"/>
              </w:rPr>
              <w:t xml:space="preserve">1.00 </w:t>
            </w:r>
          </w:p>
        </w:tc>
      </w:tr>
      <w:tr w14:paraId="58D7CBE2">
        <w:tblPrEx>
          <w:tblCellMar>
            <w:top w:w="0" w:type="dxa"/>
            <w:left w:w="108" w:type="dxa"/>
            <w:bottom w:w="0" w:type="dxa"/>
            <w:right w:w="108" w:type="dxa"/>
          </w:tblCellMar>
        </w:tblPrEx>
        <w:trPr>
          <w:cantSplit/>
          <w:trHeight w:val="425"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7A520AE5">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02127DC7">
            <w:pPr>
              <w:spacing w:line="240" w:lineRule="auto"/>
              <w:ind w:firstLine="0" w:firstLineChars="0"/>
              <w:jc w:val="center"/>
              <w:rPr>
                <w:rFonts w:cs="Times New Roman"/>
                <w:color w:val="000000"/>
                <w:sz w:val="21"/>
                <w:szCs w:val="21"/>
              </w:rPr>
            </w:pPr>
            <w:r>
              <w:rPr>
                <w:rFonts w:cs="Times New Roman"/>
                <w:color w:val="000000"/>
                <w:sz w:val="21"/>
                <w:szCs w:val="21"/>
              </w:rPr>
              <w:t>土壤可蚀性因子</w:t>
            </w:r>
          </w:p>
        </w:tc>
        <w:tc>
          <w:tcPr>
            <w:tcW w:w="223" w:type="pct"/>
            <w:tcBorders>
              <w:top w:val="nil"/>
              <w:left w:val="nil"/>
              <w:bottom w:val="single" w:color="auto" w:sz="4" w:space="0"/>
              <w:right w:val="single" w:color="auto" w:sz="4" w:space="0"/>
            </w:tcBorders>
            <w:shd w:val="clear" w:color="auto" w:fill="auto"/>
            <w:vAlign w:val="center"/>
          </w:tcPr>
          <w:p w14:paraId="173392A8">
            <w:pPr>
              <w:spacing w:line="240" w:lineRule="auto"/>
              <w:ind w:firstLine="0" w:firstLineChars="0"/>
              <w:jc w:val="center"/>
              <w:rPr>
                <w:rFonts w:cs="Times New Roman"/>
                <w:color w:val="000000"/>
                <w:sz w:val="21"/>
                <w:szCs w:val="21"/>
              </w:rPr>
            </w:pPr>
            <w:r>
              <w:rPr>
                <w:rFonts w:cs="Times New Roman"/>
                <w:color w:val="000000"/>
                <w:sz w:val="21"/>
                <w:szCs w:val="21"/>
              </w:rPr>
              <w:t>K</w:t>
            </w:r>
          </w:p>
        </w:tc>
        <w:tc>
          <w:tcPr>
            <w:tcW w:w="865" w:type="pct"/>
            <w:tcBorders>
              <w:top w:val="nil"/>
              <w:left w:val="nil"/>
              <w:bottom w:val="single" w:color="auto" w:sz="4" w:space="0"/>
              <w:right w:val="single" w:color="auto" w:sz="4" w:space="0"/>
            </w:tcBorders>
            <w:shd w:val="clear" w:color="auto" w:fill="auto"/>
            <w:vAlign w:val="center"/>
          </w:tcPr>
          <w:p w14:paraId="303A82DB">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6BAEF70C">
            <w:pPr>
              <w:spacing w:line="240" w:lineRule="auto"/>
              <w:ind w:firstLine="0" w:firstLineChars="0"/>
              <w:jc w:val="center"/>
              <w:rPr>
                <w:rFonts w:cs="Times New Roman"/>
                <w:color w:val="000000"/>
                <w:sz w:val="21"/>
                <w:szCs w:val="21"/>
              </w:rPr>
            </w:pPr>
            <w:r>
              <w:rPr>
                <w:rFonts w:cs="Times New Roman"/>
                <w:color w:val="000000"/>
                <w:sz w:val="21"/>
                <w:szCs w:val="21"/>
              </w:rPr>
              <w:t>0.0175</w:t>
            </w:r>
          </w:p>
        </w:tc>
        <w:tc>
          <w:tcPr>
            <w:tcW w:w="333" w:type="pct"/>
            <w:gridSpan w:val="2"/>
            <w:tcBorders>
              <w:top w:val="nil"/>
              <w:left w:val="nil"/>
              <w:bottom w:val="single" w:color="auto" w:sz="4" w:space="0"/>
              <w:right w:val="single" w:color="auto" w:sz="4" w:space="0"/>
            </w:tcBorders>
            <w:shd w:val="clear" w:color="auto" w:fill="auto"/>
            <w:vAlign w:val="center"/>
          </w:tcPr>
          <w:p w14:paraId="4B0ECFAE">
            <w:pPr>
              <w:spacing w:line="240" w:lineRule="auto"/>
              <w:ind w:firstLine="0" w:firstLineChars="0"/>
              <w:jc w:val="center"/>
              <w:rPr>
                <w:rFonts w:cs="Times New Roman"/>
                <w:color w:val="000000"/>
                <w:sz w:val="21"/>
                <w:szCs w:val="21"/>
              </w:rPr>
            </w:pPr>
            <w:r>
              <w:rPr>
                <w:rFonts w:cs="Times New Roman"/>
                <w:color w:val="000000"/>
                <w:sz w:val="21"/>
                <w:szCs w:val="21"/>
              </w:rPr>
              <w:t>0.0175</w:t>
            </w:r>
          </w:p>
        </w:tc>
        <w:tc>
          <w:tcPr>
            <w:tcW w:w="302" w:type="pct"/>
            <w:tcBorders>
              <w:top w:val="nil"/>
              <w:left w:val="nil"/>
              <w:bottom w:val="single" w:color="auto" w:sz="4" w:space="0"/>
              <w:right w:val="single" w:color="auto" w:sz="4" w:space="0"/>
            </w:tcBorders>
            <w:shd w:val="clear" w:color="auto" w:fill="auto"/>
            <w:vAlign w:val="center"/>
          </w:tcPr>
          <w:p w14:paraId="3196336E">
            <w:pPr>
              <w:spacing w:line="240" w:lineRule="auto"/>
              <w:ind w:firstLine="0" w:firstLineChars="0"/>
              <w:jc w:val="center"/>
              <w:rPr>
                <w:rFonts w:cs="Times New Roman"/>
                <w:color w:val="000000"/>
                <w:sz w:val="21"/>
                <w:szCs w:val="21"/>
              </w:rPr>
            </w:pPr>
            <w:r>
              <w:rPr>
                <w:rFonts w:cs="Times New Roman"/>
                <w:color w:val="000000"/>
                <w:sz w:val="21"/>
                <w:szCs w:val="21"/>
              </w:rPr>
              <w:t>0.0175</w:t>
            </w:r>
          </w:p>
        </w:tc>
        <w:tc>
          <w:tcPr>
            <w:tcW w:w="333" w:type="pct"/>
            <w:gridSpan w:val="2"/>
            <w:tcBorders>
              <w:top w:val="nil"/>
              <w:left w:val="nil"/>
              <w:bottom w:val="single" w:color="auto" w:sz="4" w:space="0"/>
              <w:right w:val="single" w:color="auto" w:sz="4" w:space="0"/>
            </w:tcBorders>
            <w:shd w:val="clear" w:color="auto" w:fill="auto"/>
            <w:vAlign w:val="center"/>
          </w:tcPr>
          <w:p w14:paraId="3B9E6723">
            <w:pPr>
              <w:spacing w:line="240" w:lineRule="auto"/>
              <w:ind w:firstLine="0" w:firstLineChars="0"/>
              <w:jc w:val="center"/>
              <w:rPr>
                <w:rFonts w:cs="Times New Roman"/>
                <w:color w:val="000000"/>
                <w:sz w:val="21"/>
                <w:szCs w:val="21"/>
              </w:rPr>
            </w:pPr>
            <w:r>
              <w:rPr>
                <w:rFonts w:cs="Times New Roman"/>
                <w:color w:val="000000"/>
                <w:sz w:val="21"/>
                <w:szCs w:val="21"/>
              </w:rPr>
              <w:t>0.0175</w:t>
            </w:r>
          </w:p>
        </w:tc>
        <w:tc>
          <w:tcPr>
            <w:tcW w:w="302" w:type="pct"/>
            <w:tcBorders>
              <w:top w:val="nil"/>
              <w:left w:val="nil"/>
              <w:bottom w:val="single" w:color="auto" w:sz="4" w:space="0"/>
              <w:right w:val="single" w:color="auto" w:sz="4" w:space="0"/>
            </w:tcBorders>
            <w:shd w:val="clear" w:color="auto" w:fill="auto"/>
            <w:vAlign w:val="center"/>
          </w:tcPr>
          <w:p w14:paraId="53ABD5ED">
            <w:pPr>
              <w:spacing w:line="240" w:lineRule="auto"/>
              <w:ind w:firstLine="0" w:firstLineChars="0"/>
              <w:jc w:val="center"/>
              <w:rPr>
                <w:rFonts w:cs="Times New Roman"/>
                <w:color w:val="000000"/>
                <w:sz w:val="21"/>
                <w:szCs w:val="21"/>
              </w:rPr>
            </w:pPr>
            <w:r>
              <w:rPr>
                <w:rFonts w:cs="Times New Roman"/>
                <w:color w:val="000000"/>
                <w:sz w:val="21"/>
                <w:szCs w:val="21"/>
              </w:rPr>
              <w:t>0.0175</w:t>
            </w:r>
          </w:p>
        </w:tc>
        <w:tc>
          <w:tcPr>
            <w:tcW w:w="333" w:type="pct"/>
            <w:gridSpan w:val="2"/>
            <w:tcBorders>
              <w:top w:val="nil"/>
              <w:left w:val="nil"/>
              <w:bottom w:val="single" w:color="auto" w:sz="4" w:space="0"/>
              <w:right w:val="single" w:color="auto" w:sz="4" w:space="0"/>
            </w:tcBorders>
            <w:shd w:val="clear" w:color="auto" w:fill="auto"/>
            <w:vAlign w:val="center"/>
          </w:tcPr>
          <w:p w14:paraId="20612DEB">
            <w:pPr>
              <w:spacing w:line="240" w:lineRule="auto"/>
              <w:ind w:firstLine="0" w:firstLineChars="0"/>
              <w:jc w:val="center"/>
              <w:rPr>
                <w:rFonts w:cs="Times New Roman"/>
                <w:color w:val="000000"/>
                <w:sz w:val="21"/>
                <w:szCs w:val="21"/>
              </w:rPr>
            </w:pPr>
            <w:r>
              <w:rPr>
                <w:rFonts w:cs="Times New Roman"/>
                <w:color w:val="000000"/>
                <w:sz w:val="21"/>
                <w:szCs w:val="21"/>
              </w:rPr>
              <w:t>0.0175</w:t>
            </w:r>
          </w:p>
        </w:tc>
        <w:tc>
          <w:tcPr>
            <w:tcW w:w="303" w:type="pct"/>
            <w:tcBorders>
              <w:top w:val="nil"/>
              <w:left w:val="nil"/>
              <w:bottom w:val="single" w:color="auto" w:sz="4" w:space="0"/>
              <w:right w:val="single" w:color="auto" w:sz="4" w:space="0"/>
            </w:tcBorders>
            <w:shd w:val="clear" w:color="auto" w:fill="auto"/>
            <w:vAlign w:val="center"/>
          </w:tcPr>
          <w:p w14:paraId="009342A7">
            <w:pPr>
              <w:spacing w:line="240" w:lineRule="auto"/>
              <w:ind w:firstLine="0" w:firstLineChars="0"/>
              <w:jc w:val="center"/>
              <w:rPr>
                <w:rFonts w:cs="Times New Roman"/>
                <w:color w:val="000000"/>
                <w:sz w:val="21"/>
                <w:szCs w:val="21"/>
              </w:rPr>
            </w:pPr>
            <w:r>
              <w:rPr>
                <w:rFonts w:cs="Times New Roman"/>
                <w:color w:val="000000"/>
                <w:sz w:val="21"/>
                <w:szCs w:val="21"/>
              </w:rPr>
              <w:t>0.0175</w:t>
            </w:r>
          </w:p>
        </w:tc>
        <w:tc>
          <w:tcPr>
            <w:tcW w:w="334" w:type="pct"/>
            <w:gridSpan w:val="2"/>
            <w:tcBorders>
              <w:top w:val="nil"/>
              <w:left w:val="nil"/>
              <w:bottom w:val="single" w:color="auto" w:sz="4" w:space="0"/>
              <w:right w:val="single" w:color="auto" w:sz="4" w:space="0"/>
            </w:tcBorders>
            <w:shd w:val="clear" w:color="auto" w:fill="auto"/>
            <w:vAlign w:val="center"/>
          </w:tcPr>
          <w:p w14:paraId="00F742BC">
            <w:pPr>
              <w:spacing w:line="240" w:lineRule="auto"/>
              <w:ind w:firstLine="0" w:firstLineChars="0"/>
              <w:jc w:val="center"/>
              <w:rPr>
                <w:rFonts w:cs="Times New Roman"/>
                <w:color w:val="000000"/>
                <w:sz w:val="21"/>
                <w:szCs w:val="21"/>
              </w:rPr>
            </w:pPr>
            <w:r>
              <w:rPr>
                <w:rFonts w:cs="Times New Roman"/>
                <w:color w:val="000000"/>
                <w:sz w:val="21"/>
                <w:szCs w:val="21"/>
              </w:rPr>
              <w:t>0.0175</w:t>
            </w:r>
          </w:p>
        </w:tc>
        <w:tc>
          <w:tcPr>
            <w:tcW w:w="303" w:type="pct"/>
            <w:tcBorders>
              <w:top w:val="nil"/>
              <w:left w:val="nil"/>
              <w:bottom w:val="single" w:color="auto" w:sz="4" w:space="0"/>
              <w:right w:val="single" w:color="auto" w:sz="4" w:space="0"/>
            </w:tcBorders>
            <w:shd w:val="clear" w:color="auto" w:fill="auto"/>
            <w:vAlign w:val="center"/>
          </w:tcPr>
          <w:p w14:paraId="31100ACE">
            <w:pPr>
              <w:spacing w:line="240" w:lineRule="auto"/>
              <w:ind w:firstLine="0" w:firstLineChars="0"/>
              <w:jc w:val="center"/>
              <w:rPr>
                <w:rFonts w:cs="Times New Roman"/>
                <w:color w:val="000000"/>
                <w:sz w:val="21"/>
                <w:szCs w:val="21"/>
              </w:rPr>
            </w:pPr>
            <w:r>
              <w:rPr>
                <w:rFonts w:cs="Times New Roman"/>
                <w:color w:val="000000"/>
                <w:sz w:val="21"/>
                <w:szCs w:val="21"/>
              </w:rPr>
              <w:t>0.0175</w:t>
            </w:r>
          </w:p>
        </w:tc>
        <w:tc>
          <w:tcPr>
            <w:tcW w:w="301" w:type="pct"/>
            <w:tcBorders>
              <w:top w:val="nil"/>
              <w:left w:val="nil"/>
              <w:bottom w:val="single" w:color="auto" w:sz="4" w:space="0"/>
              <w:right w:val="single" w:color="auto" w:sz="4" w:space="0"/>
            </w:tcBorders>
            <w:shd w:val="clear" w:color="auto" w:fill="auto"/>
            <w:vAlign w:val="center"/>
          </w:tcPr>
          <w:p w14:paraId="33927B18">
            <w:pPr>
              <w:spacing w:line="240" w:lineRule="auto"/>
              <w:ind w:firstLine="0" w:firstLineChars="0"/>
              <w:jc w:val="center"/>
              <w:rPr>
                <w:rFonts w:cs="Times New Roman"/>
                <w:color w:val="000000"/>
                <w:sz w:val="21"/>
                <w:szCs w:val="21"/>
              </w:rPr>
            </w:pPr>
            <w:r>
              <w:rPr>
                <w:rFonts w:cs="Times New Roman"/>
                <w:color w:val="000000"/>
                <w:sz w:val="21"/>
                <w:szCs w:val="21"/>
              </w:rPr>
              <w:t>0.0175</w:t>
            </w:r>
          </w:p>
        </w:tc>
      </w:tr>
      <w:tr w14:paraId="0E671644">
        <w:tblPrEx>
          <w:tblCellMar>
            <w:top w:w="0" w:type="dxa"/>
            <w:left w:w="108" w:type="dxa"/>
            <w:bottom w:w="0" w:type="dxa"/>
            <w:right w:w="108" w:type="dxa"/>
          </w:tblCellMar>
        </w:tblPrEx>
        <w:trPr>
          <w:cantSplit/>
          <w:trHeight w:val="425"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40395B54">
            <w:pPr>
              <w:spacing w:line="240" w:lineRule="auto"/>
              <w:ind w:firstLine="0" w:firstLineChars="0"/>
              <w:jc w:val="center"/>
              <w:rPr>
                <w:rFonts w:cs="Times New Roman"/>
                <w:color w:val="000000"/>
                <w:sz w:val="21"/>
                <w:szCs w:val="21"/>
              </w:rPr>
            </w:pPr>
            <w:r>
              <w:rPr>
                <w:rFonts w:cs="Times New Roman"/>
                <w:color w:val="000000"/>
                <w:sz w:val="21"/>
                <w:szCs w:val="21"/>
              </w:rPr>
              <w:t>4</w:t>
            </w:r>
          </w:p>
        </w:tc>
        <w:tc>
          <w:tcPr>
            <w:tcW w:w="589" w:type="pct"/>
            <w:tcBorders>
              <w:top w:val="nil"/>
              <w:left w:val="nil"/>
              <w:bottom w:val="single" w:color="auto" w:sz="4" w:space="0"/>
              <w:right w:val="single" w:color="auto" w:sz="4" w:space="0"/>
            </w:tcBorders>
            <w:shd w:val="clear" w:color="auto" w:fill="auto"/>
            <w:vAlign w:val="center"/>
          </w:tcPr>
          <w:p w14:paraId="4D667723">
            <w:pPr>
              <w:spacing w:line="240" w:lineRule="auto"/>
              <w:ind w:firstLine="0" w:firstLineChars="0"/>
              <w:jc w:val="center"/>
              <w:rPr>
                <w:rFonts w:cs="Times New Roman"/>
                <w:color w:val="000000"/>
                <w:sz w:val="21"/>
                <w:szCs w:val="21"/>
              </w:rPr>
            </w:pPr>
            <w:r>
              <w:rPr>
                <w:rFonts w:cs="Times New Roman"/>
                <w:color w:val="000000"/>
                <w:sz w:val="21"/>
                <w:szCs w:val="21"/>
              </w:rPr>
              <w:t>坡长因子</w:t>
            </w:r>
          </w:p>
        </w:tc>
        <w:tc>
          <w:tcPr>
            <w:tcW w:w="223" w:type="pct"/>
            <w:tcBorders>
              <w:top w:val="nil"/>
              <w:left w:val="nil"/>
              <w:bottom w:val="single" w:color="auto" w:sz="4" w:space="0"/>
              <w:right w:val="single" w:color="auto" w:sz="4" w:space="0"/>
            </w:tcBorders>
            <w:shd w:val="clear" w:color="auto" w:fill="auto"/>
            <w:vAlign w:val="center"/>
          </w:tcPr>
          <w:p w14:paraId="5D01305B">
            <w:pPr>
              <w:spacing w:line="240" w:lineRule="auto"/>
              <w:ind w:firstLine="0" w:firstLineChars="0"/>
              <w:jc w:val="center"/>
              <w:rPr>
                <w:rFonts w:cs="Times New Roman"/>
                <w:color w:val="000000"/>
                <w:sz w:val="21"/>
                <w:szCs w:val="21"/>
              </w:rPr>
            </w:pPr>
            <w:r>
              <w:rPr>
                <w:rFonts w:cs="Times New Roman"/>
                <w:color w:val="000000"/>
                <w:sz w:val="21"/>
                <w:szCs w:val="21"/>
              </w:rPr>
              <w:t>Ly</w:t>
            </w:r>
          </w:p>
        </w:tc>
        <w:tc>
          <w:tcPr>
            <w:tcW w:w="865" w:type="pct"/>
            <w:tcBorders>
              <w:top w:val="nil"/>
              <w:left w:val="nil"/>
              <w:bottom w:val="single" w:color="auto" w:sz="4" w:space="0"/>
              <w:right w:val="single" w:color="auto" w:sz="4" w:space="0"/>
            </w:tcBorders>
            <w:shd w:val="clear" w:color="auto" w:fill="auto"/>
            <w:vAlign w:val="center"/>
          </w:tcPr>
          <w:p w14:paraId="0B70EEAD">
            <w:pPr>
              <w:spacing w:line="240" w:lineRule="auto"/>
              <w:ind w:firstLine="0" w:firstLineChars="0"/>
              <w:jc w:val="center"/>
              <w:rPr>
                <w:rFonts w:cs="Times New Roman"/>
                <w:color w:val="000000"/>
                <w:sz w:val="21"/>
                <w:szCs w:val="21"/>
              </w:rPr>
            </w:pPr>
            <w:r>
              <w:rPr>
                <w:rFonts w:cs="Times New Roman"/>
                <w:color w:val="000000"/>
                <w:sz w:val="21"/>
                <w:szCs w:val="21"/>
              </w:rPr>
              <w:t>Ly=(λ/20）</w:t>
            </w:r>
            <w:r>
              <w:rPr>
                <w:rFonts w:cs="Times New Roman"/>
                <w:color w:val="000000"/>
                <w:sz w:val="21"/>
                <w:szCs w:val="21"/>
                <w:vertAlign w:val="superscript"/>
              </w:rPr>
              <w:t>m</w:t>
            </w:r>
          </w:p>
        </w:tc>
        <w:tc>
          <w:tcPr>
            <w:tcW w:w="302" w:type="pct"/>
            <w:tcBorders>
              <w:top w:val="nil"/>
              <w:left w:val="nil"/>
              <w:bottom w:val="single" w:color="auto" w:sz="4" w:space="0"/>
              <w:right w:val="single" w:color="auto" w:sz="4" w:space="0"/>
            </w:tcBorders>
            <w:shd w:val="clear" w:color="auto" w:fill="auto"/>
            <w:vAlign w:val="center"/>
          </w:tcPr>
          <w:p w14:paraId="267DF725">
            <w:pPr>
              <w:spacing w:line="240" w:lineRule="auto"/>
              <w:ind w:firstLine="0" w:firstLineChars="0"/>
              <w:jc w:val="center"/>
              <w:rPr>
                <w:rFonts w:cs="Times New Roman"/>
                <w:color w:val="000000"/>
                <w:sz w:val="21"/>
                <w:szCs w:val="21"/>
              </w:rPr>
            </w:pPr>
            <w:r>
              <w:rPr>
                <w:rFonts w:cs="Times New Roman"/>
                <w:color w:val="000000"/>
                <w:sz w:val="21"/>
                <w:szCs w:val="21"/>
              </w:rPr>
              <w:t xml:space="preserve">1.90 </w:t>
            </w:r>
          </w:p>
        </w:tc>
        <w:tc>
          <w:tcPr>
            <w:tcW w:w="333" w:type="pct"/>
            <w:gridSpan w:val="2"/>
            <w:tcBorders>
              <w:top w:val="nil"/>
              <w:left w:val="nil"/>
              <w:bottom w:val="single" w:color="auto" w:sz="4" w:space="0"/>
              <w:right w:val="single" w:color="auto" w:sz="4" w:space="0"/>
            </w:tcBorders>
            <w:shd w:val="clear" w:color="auto" w:fill="auto"/>
            <w:vAlign w:val="center"/>
          </w:tcPr>
          <w:p w14:paraId="79B2A180">
            <w:pPr>
              <w:spacing w:line="240" w:lineRule="auto"/>
              <w:ind w:firstLine="0" w:firstLineChars="0"/>
              <w:jc w:val="center"/>
              <w:rPr>
                <w:rFonts w:cs="Times New Roman"/>
                <w:color w:val="000000"/>
                <w:sz w:val="21"/>
                <w:szCs w:val="21"/>
              </w:rPr>
            </w:pPr>
            <w:r>
              <w:rPr>
                <w:rFonts w:cs="Times New Roman"/>
                <w:color w:val="000000"/>
                <w:sz w:val="21"/>
                <w:szCs w:val="21"/>
              </w:rPr>
              <w:t xml:space="preserve">1.90 </w:t>
            </w:r>
          </w:p>
        </w:tc>
        <w:tc>
          <w:tcPr>
            <w:tcW w:w="302" w:type="pct"/>
            <w:tcBorders>
              <w:top w:val="nil"/>
              <w:left w:val="nil"/>
              <w:bottom w:val="single" w:color="auto" w:sz="4" w:space="0"/>
              <w:right w:val="single" w:color="auto" w:sz="4" w:space="0"/>
            </w:tcBorders>
            <w:shd w:val="clear" w:color="auto" w:fill="auto"/>
            <w:vAlign w:val="center"/>
          </w:tcPr>
          <w:p w14:paraId="4CF75A7D">
            <w:pPr>
              <w:spacing w:line="240" w:lineRule="auto"/>
              <w:ind w:firstLine="0" w:firstLineChars="0"/>
              <w:jc w:val="center"/>
              <w:rPr>
                <w:rFonts w:cs="Times New Roman"/>
                <w:color w:val="000000"/>
                <w:sz w:val="21"/>
                <w:szCs w:val="21"/>
              </w:rPr>
            </w:pPr>
            <w:r>
              <w:rPr>
                <w:rFonts w:cs="Times New Roman"/>
                <w:color w:val="000000"/>
                <w:sz w:val="21"/>
                <w:szCs w:val="21"/>
              </w:rPr>
              <w:t xml:space="preserve">1.90 </w:t>
            </w:r>
          </w:p>
        </w:tc>
        <w:tc>
          <w:tcPr>
            <w:tcW w:w="333" w:type="pct"/>
            <w:gridSpan w:val="2"/>
            <w:tcBorders>
              <w:top w:val="nil"/>
              <w:left w:val="nil"/>
              <w:bottom w:val="single" w:color="auto" w:sz="4" w:space="0"/>
              <w:right w:val="single" w:color="auto" w:sz="4" w:space="0"/>
            </w:tcBorders>
            <w:shd w:val="clear" w:color="auto" w:fill="auto"/>
            <w:vAlign w:val="center"/>
          </w:tcPr>
          <w:p w14:paraId="05A9C6E0">
            <w:pPr>
              <w:spacing w:line="240" w:lineRule="auto"/>
              <w:ind w:firstLine="0" w:firstLineChars="0"/>
              <w:jc w:val="center"/>
              <w:rPr>
                <w:rFonts w:cs="Times New Roman"/>
                <w:color w:val="000000"/>
                <w:sz w:val="21"/>
                <w:szCs w:val="21"/>
              </w:rPr>
            </w:pPr>
            <w:r>
              <w:rPr>
                <w:rFonts w:cs="Times New Roman"/>
                <w:color w:val="000000"/>
                <w:sz w:val="21"/>
                <w:szCs w:val="21"/>
              </w:rPr>
              <w:t xml:space="preserve">1.90 </w:t>
            </w:r>
          </w:p>
        </w:tc>
        <w:tc>
          <w:tcPr>
            <w:tcW w:w="302" w:type="pct"/>
            <w:tcBorders>
              <w:top w:val="nil"/>
              <w:left w:val="nil"/>
              <w:bottom w:val="single" w:color="auto" w:sz="4" w:space="0"/>
              <w:right w:val="single" w:color="auto" w:sz="4" w:space="0"/>
            </w:tcBorders>
            <w:shd w:val="clear" w:color="auto" w:fill="auto"/>
            <w:vAlign w:val="center"/>
          </w:tcPr>
          <w:p w14:paraId="0BF0706B">
            <w:pPr>
              <w:spacing w:line="240" w:lineRule="auto"/>
              <w:ind w:firstLine="0" w:firstLineChars="0"/>
              <w:jc w:val="center"/>
              <w:rPr>
                <w:rFonts w:cs="Times New Roman"/>
                <w:color w:val="000000"/>
                <w:sz w:val="21"/>
                <w:szCs w:val="21"/>
              </w:rPr>
            </w:pPr>
            <w:r>
              <w:rPr>
                <w:rFonts w:cs="Times New Roman"/>
                <w:color w:val="000000"/>
                <w:sz w:val="21"/>
                <w:szCs w:val="21"/>
              </w:rPr>
              <w:t xml:space="preserve">1.90 </w:t>
            </w:r>
          </w:p>
        </w:tc>
        <w:tc>
          <w:tcPr>
            <w:tcW w:w="333" w:type="pct"/>
            <w:gridSpan w:val="2"/>
            <w:tcBorders>
              <w:top w:val="nil"/>
              <w:left w:val="nil"/>
              <w:bottom w:val="single" w:color="auto" w:sz="4" w:space="0"/>
              <w:right w:val="single" w:color="auto" w:sz="4" w:space="0"/>
            </w:tcBorders>
            <w:shd w:val="clear" w:color="auto" w:fill="auto"/>
            <w:vAlign w:val="center"/>
          </w:tcPr>
          <w:p w14:paraId="25FDE715">
            <w:pPr>
              <w:spacing w:line="240" w:lineRule="auto"/>
              <w:ind w:firstLine="0" w:firstLineChars="0"/>
              <w:jc w:val="center"/>
              <w:rPr>
                <w:rFonts w:cs="Times New Roman"/>
                <w:color w:val="000000"/>
                <w:sz w:val="21"/>
                <w:szCs w:val="21"/>
              </w:rPr>
            </w:pPr>
            <w:r>
              <w:rPr>
                <w:rFonts w:cs="Times New Roman"/>
                <w:color w:val="000000"/>
                <w:sz w:val="21"/>
                <w:szCs w:val="21"/>
              </w:rPr>
              <w:t xml:space="preserve">1.90 </w:t>
            </w:r>
          </w:p>
        </w:tc>
        <w:tc>
          <w:tcPr>
            <w:tcW w:w="303" w:type="pct"/>
            <w:tcBorders>
              <w:top w:val="nil"/>
              <w:left w:val="nil"/>
              <w:bottom w:val="single" w:color="auto" w:sz="4" w:space="0"/>
              <w:right w:val="single" w:color="auto" w:sz="4" w:space="0"/>
            </w:tcBorders>
            <w:shd w:val="clear" w:color="auto" w:fill="auto"/>
            <w:vAlign w:val="center"/>
          </w:tcPr>
          <w:p w14:paraId="5AAD933A">
            <w:pPr>
              <w:spacing w:line="240" w:lineRule="auto"/>
              <w:ind w:firstLine="0" w:firstLineChars="0"/>
              <w:jc w:val="center"/>
              <w:rPr>
                <w:rFonts w:cs="Times New Roman"/>
                <w:color w:val="000000"/>
                <w:sz w:val="21"/>
                <w:szCs w:val="21"/>
              </w:rPr>
            </w:pPr>
            <w:r>
              <w:rPr>
                <w:rFonts w:cs="Times New Roman"/>
                <w:color w:val="000000"/>
                <w:sz w:val="21"/>
                <w:szCs w:val="21"/>
              </w:rPr>
              <w:t xml:space="preserve">1.90 </w:t>
            </w:r>
          </w:p>
        </w:tc>
        <w:tc>
          <w:tcPr>
            <w:tcW w:w="334" w:type="pct"/>
            <w:gridSpan w:val="2"/>
            <w:tcBorders>
              <w:top w:val="nil"/>
              <w:left w:val="nil"/>
              <w:bottom w:val="single" w:color="auto" w:sz="4" w:space="0"/>
              <w:right w:val="single" w:color="auto" w:sz="4" w:space="0"/>
            </w:tcBorders>
            <w:shd w:val="clear" w:color="auto" w:fill="auto"/>
            <w:vAlign w:val="center"/>
          </w:tcPr>
          <w:p w14:paraId="507A830D">
            <w:pPr>
              <w:spacing w:line="240" w:lineRule="auto"/>
              <w:ind w:firstLine="0" w:firstLineChars="0"/>
              <w:jc w:val="center"/>
              <w:rPr>
                <w:rFonts w:cs="Times New Roman"/>
                <w:color w:val="000000"/>
                <w:sz w:val="21"/>
                <w:szCs w:val="21"/>
              </w:rPr>
            </w:pPr>
            <w:r>
              <w:rPr>
                <w:rFonts w:cs="Times New Roman"/>
                <w:color w:val="000000"/>
                <w:sz w:val="21"/>
                <w:szCs w:val="21"/>
              </w:rPr>
              <w:t xml:space="preserve">1.90 </w:t>
            </w:r>
          </w:p>
        </w:tc>
        <w:tc>
          <w:tcPr>
            <w:tcW w:w="303" w:type="pct"/>
            <w:tcBorders>
              <w:top w:val="nil"/>
              <w:left w:val="nil"/>
              <w:bottom w:val="single" w:color="auto" w:sz="4" w:space="0"/>
              <w:right w:val="single" w:color="auto" w:sz="4" w:space="0"/>
            </w:tcBorders>
            <w:shd w:val="clear" w:color="auto" w:fill="auto"/>
            <w:vAlign w:val="center"/>
          </w:tcPr>
          <w:p w14:paraId="3BDE4C67">
            <w:pPr>
              <w:spacing w:line="240" w:lineRule="auto"/>
              <w:ind w:firstLine="0" w:firstLineChars="0"/>
              <w:jc w:val="center"/>
              <w:rPr>
                <w:rFonts w:cs="Times New Roman"/>
                <w:color w:val="000000"/>
                <w:sz w:val="21"/>
                <w:szCs w:val="21"/>
              </w:rPr>
            </w:pPr>
            <w:r>
              <w:rPr>
                <w:rFonts w:cs="Times New Roman"/>
                <w:color w:val="000000"/>
                <w:sz w:val="21"/>
                <w:szCs w:val="21"/>
              </w:rPr>
              <w:t xml:space="preserve">1.90 </w:t>
            </w:r>
          </w:p>
        </w:tc>
        <w:tc>
          <w:tcPr>
            <w:tcW w:w="301" w:type="pct"/>
            <w:tcBorders>
              <w:top w:val="nil"/>
              <w:left w:val="nil"/>
              <w:bottom w:val="single" w:color="auto" w:sz="4" w:space="0"/>
              <w:right w:val="single" w:color="auto" w:sz="4" w:space="0"/>
            </w:tcBorders>
            <w:shd w:val="clear" w:color="auto" w:fill="auto"/>
            <w:vAlign w:val="center"/>
          </w:tcPr>
          <w:p w14:paraId="12A295E9">
            <w:pPr>
              <w:spacing w:line="240" w:lineRule="auto"/>
              <w:ind w:firstLine="0" w:firstLineChars="0"/>
              <w:jc w:val="center"/>
              <w:rPr>
                <w:rFonts w:cs="Times New Roman"/>
                <w:color w:val="000000"/>
                <w:sz w:val="21"/>
                <w:szCs w:val="21"/>
              </w:rPr>
            </w:pPr>
            <w:r>
              <w:rPr>
                <w:rFonts w:cs="Times New Roman"/>
                <w:color w:val="000000"/>
                <w:sz w:val="21"/>
                <w:szCs w:val="21"/>
              </w:rPr>
              <w:t xml:space="preserve">1.90 </w:t>
            </w:r>
          </w:p>
        </w:tc>
      </w:tr>
      <w:tr w14:paraId="195A3875">
        <w:tblPrEx>
          <w:tblCellMar>
            <w:top w:w="0" w:type="dxa"/>
            <w:left w:w="108" w:type="dxa"/>
            <w:bottom w:w="0" w:type="dxa"/>
            <w:right w:w="108" w:type="dxa"/>
          </w:tblCellMar>
        </w:tblPrEx>
        <w:trPr>
          <w:cantSplit/>
          <w:trHeight w:val="425"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7F78B662">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40390854">
            <w:pPr>
              <w:spacing w:line="240" w:lineRule="auto"/>
              <w:ind w:firstLine="0" w:firstLineChars="0"/>
              <w:jc w:val="center"/>
              <w:rPr>
                <w:rFonts w:cs="Times New Roman"/>
                <w:color w:val="000000"/>
                <w:sz w:val="21"/>
                <w:szCs w:val="21"/>
              </w:rPr>
            </w:pPr>
            <w:r>
              <w:rPr>
                <w:rFonts w:cs="Times New Roman"/>
                <w:color w:val="000000"/>
                <w:sz w:val="21"/>
                <w:szCs w:val="21"/>
              </w:rPr>
              <w:t>水平投影坡坡长（m）</w:t>
            </w:r>
          </w:p>
        </w:tc>
        <w:tc>
          <w:tcPr>
            <w:tcW w:w="223" w:type="pct"/>
            <w:tcBorders>
              <w:top w:val="nil"/>
              <w:left w:val="nil"/>
              <w:bottom w:val="single" w:color="auto" w:sz="4" w:space="0"/>
              <w:right w:val="single" w:color="auto" w:sz="4" w:space="0"/>
            </w:tcBorders>
            <w:shd w:val="clear" w:color="auto" w:fill="auto"/>
            <w:vAlign w:val="center"/>
          </w:tcPr>
          <w:p w14:paraId="280E2D58">
            <w:pPr>
              <w:spacing w:line="240" w:lineRule="auto"/>
              <w:ind w:firstLine="0" w:firstLineChars="0"/>
              <w:jc w:val="center"/>
              <w:rPr>
                <w:rFonts w:cs="Times New Roman"/>
                <w:color w:val="000000"/>
                <w:sz w:val="21"/>
                <w:szCs w:val="21"/>
              </w:rPr>
            </w:pPr>
            <w:r>
              <w:rPr>
                <w:rFonts w:cs="Times New Roman"/>
                <w:color w:val="000000"/>
                <w:sz w:val="21"/>
                <w:szCs w:val="21"/>
              </w:rPr>
              <w:t>λ</w:t>
            </w:r>
          </w:p>
        </w:tc>
        <w:tc>
          <w:tcPr>
            <w:tcW w:w="865" w:type="pct"/>
            <w:tcBorders>
              <w:top w:val="nil"/>
              <w:left w:val="nil"/>
              <w:bottom w:val="single" w:color="auto" w:sz="4" w:space="0"/>
              <w:right w:val="single" w:color="auto" w:sz="4" w:space="0"/>
            </w:tcBorders>
            <w:shd w:val="clear" w:color="auto" w:fill="auto"/>
            <w:vAlign w:val="center"/>
          </w:tcPr>
          <w:p w14:paraId="569435C7">
            <w:pPr>
              <w:spacing w:line="240" w:lineRule="auto"/>
              <w:ind w:firstLine="0" w:firstLineChars="0"/>
              <w:jc w:val="center"/>
              <w:rPr>
                <w:rFonts w:cs="Times New Roman"/>
                <w:color w:val="000000"/>
                <w:sz w:val="21"/>
                <w:szCs w:val="21"/>
              </w:rPr>
            </w:pPr>
            <w:r>
              <w:rPr>
                <w:rFonts w:cs="Times New Roman"/>
                <w:color w:val="000000"/>
                <w:sz w:val="21"/>
                <w:szCs w:val="21"/>
              </w:rPr>
              <w:t>λ=λxcosθ</w:t>
            </w:r>
          </w:p>
        </w:tc>
        <w:tc>
          <w:tcPr>
            <w:tcW w:w="302" w:type="pct"/>
            <w:tcBorders>
              <w:top w:val="nil"/>
              <w:left w:val="nil"/>
              <w:bottom w:val="single" w:color="auto" w:sz="4" w:space="0"/>
              <w:right w:val="single" w:color="auto" w:sz="4" w:space="0"/>
            </w:tcBorders>
            <w:shd w:val="clear" w:color="auto" w:fill="auto"/>
            <w:vAlign w:val="center"/>
          </w:tcPr>
          <w:p w14:paraId="64D651B6">
            <w:pPr>
              <w:spacing w:line="240" w:lineRule="auto"/>
              <w:ind w:firstLine="0" w:firstLineChars="0"/>
              <w:jc w:val="center"/>
              <w:rPr>
                <w:rFonts w:cs="Times New Roman"/>
                <w:color w:val="000000"/>
                <w:sz w:val="21"/>
                <w:szCs w:val="21"/>
              </w:rPr>
            </w:pPr>
            <w:r>
              <w:rPr>
                <w:rFonts w:cs="Times New Roman"/>
                <w:color w:val="000000"/>
                <w:sz w:val="21"/>
                <w:szCs w:val="21"/>
              </w:rPr>
              <w:t xml:space="preserve">99.62 </w:t>
            </w:r>
          </w:p>
        </w:tc>
        <w:tc>
          <w:tcPr>
            <w:tcW w:w="333" w:type="pct"/>
            <w:gridSpan w:val="2"/>
            <w:tcBorders>
              <w:top w:val="nil"/>
              <w:left w:val="nil"/>
              <w:bottom w:val="single" w:color="auto" w:sz="4" w:space="0"/>
              <w:right w:val="single" w:color="auto" w:sz="4" w:space="0"/>
            </w:tcBorders>
            <w:shd w:val="clear" w:color="auto" w:fill="auto"/>
            <w:vAlign w:val="center"/>
          </w:tcPr>
          <w:p w14:paraId="7DB4C7D3">
            <w:pPr>
              <w:spacing w:line="240" w:lineRule="auto"/>
              <w:ind w:firstLine="0" w:firstLineChars="0"/>
              <w:jc w:val="center"/>
              <w:rPr>
                <w:rFonts w:cs="Times New Roman"/>
                <w:color w:val="000000"/>
                <w:sz w:val="21"/>
                <w:szCs w:val="21"/>
              </w:rPr>
            </w:pPr>
            <w:r>
              <w:rPr>
                <w:rFonts w:cs="Times New Roman"/>
                <w:color w:val="000000"/>
                <w:sz w:val="21"/>
                <w:szCs w:val="21"/>
              </w:rPr>
              <w:t xml:space="preserve">99.62 </w:t>
            </w:r>
          </w:p>
        </w:tc>
        <w:tc>
          <w:tcPr>
            <w:tcW w:w="302" w:type="pct"/>
            <w:tcBorders>
              <w:top w:val="nil"/>
              <w:left w:val="nil"/>
              <w:bottom w:val="single" w:color="auto" w:sz="4" w:space="0"/>
              <w:right w:val="single" w:color="auto" w:sz="4" w:space="0"/>
            </w:tcBorders>
            <w:shd w:val="clear" w:color="auto" w:fill="auto"/>
            <w:vAlign w:val="center"/>
          </w:tcPr>
          <w:p w14:paraId="09C399FC">
            <w:pPr>
              <w:spacing w:line="240" w:lineRule="auto"/>
              <w:ind w:firstLine="0" w:firstLineChars="0"/>
              <w:jc w:val="center"/>
              <w:rPr>
                <w:rFonts w:cs="Times New Roman"/>
                <w:color w:val="000000"/>
                <w:sz w:val="21"/>
                <w:szCs w:val="21"/>
              </w:rPr>
            </w:pPr>
            <w:r>
              <w:rPr>
                <w:rFonts w:cs="Times New Roman"/>
                <w:color w:val="000000"/>
                <w:sz w:val="21"/>
                <w:szCs w:val="21"/>
              </w:rPr>
              <w:t xml:space="preserve">99.62 </w:t>
            </w:r>
          </w:p>
        </w:tc>
        <w:tc>
          <w:tcPr>
            <w:tcW w:w="333" w:type="pct"/>
            <w:gridSpan w:val="2"/>
            <w:tcBorders>
              <w:top w:val="nil"/>
              <w:left w:val="nil"/>
              <w:bottom w:val="single" w:color="auto" w:sz="4" w:space="0"/>
              <w:right w:val="single" w:color="auto" w:sz="4" w:space="0"/>
            </w:tcBorders>
            <w:shd w:val="clear" w:color="auto" w:fill="auto"/>
            <w:vAlign w:val="center"/>
          </w:tcPr>
          <w:p w14:paraId="23932F8F">
            <w:pPr>
              <w:spacing w:line="240" w:lineRule="auto"/>
              <w:ind w:firstLine="0" w:firstLineChars="0"/>
              <w:jc w:val="center"/>
              <w:rPr>
                <w:rFonts w:cs="Times New Roman"/>
                <w:color w:val="000000"/>
                <w:sz w:val="21"/>
                <w:szCs w:val="21"/>
              </w:rPr>
            </w:pPr>
            <w:r>
              <w:rPr>
                <w:rFonts w:cs="Times New Roman"/>
                <w:color w:val="000000"/>
                <w:sz w:val="21"/>
                <w:szCs w:val="21"/>
              </w:rPr>
              <w:t xml:space="preserve">99.62 </w:t>
            </w:r>
          </w:p>
        </w:tc>
        <w:tc>
          <w:tcPr>
            <w:tcW w:w="302" w:type="pct"/>
            <w:tcBorders>
              <w:top w:val="nil"/>
              <w:left w:val="nil"/>
              <w:bottom w:val="single" w:color="auto" w:sz="4" w:space="0"/>
              <w:right w:val="single" w:color="auto" w:sz="4" w:space="0"/>
            </w:tcBorders>
            <w:shd w:val="clear" w:color="auto" w:fill="auto"/>
            <w:vAlign w:val="center"/>
          </w:tcPr>
          <w:p w14:paraId="2B10BDA1">
            <w:pPr>
              <w:spacing w:line="240" w:lineRule="auto"/>
              <w:ind w:firstLine="0" w:firstLineChars="0"/>
              <w:jc w:val="center"/>
              <w:rPr>
                <w:rFonts w:cs="Times New Roman"/>
                <w:color w:val="000000"/>
                <w:sz w:val="21"/>
                <w:szCs w:val="21"/>
              </w:rPr>
            </w:pPr>
            <w:r>
              <w:rPr>
                <w:rFonts w:cs="Times New Roman"/>
                <w:color w:val="000000"/>
                <w:sz w:val="21"/>
                <w:szCs w:val="21"/>
              </w:rPr>
              <w:t xml:space="preserve">99.62 </w:t>
            </w:r>
          </w:p>
        </w:tc>
        <w:tc>
          <w:tcPr>
            <w:tcW w:w="333" w:type="pct"/>
            <w:gridSpan w:val="2"/>
            <w:tcBorders>
              <w:top w:val="nil"/>
              <w:left w:val="nil"/>
              <w:bottom w:val="single" w:color="auto" w:sz="4" w:space="0"/>
              <w:right w:val="single" w:color="auto" w:sz="4" w:space="0"/>
            </w:tcBorders>
            <w:shd w:val="clear" w:color="auto" w:fill="auto"/>
            <w:vAlign w:val="center"/>
          </w:tcPr>
          <w:p w14:paraId="37EE4A8E">
            <w:pPr>
              <w:spacing w:line="240" w:lineRule="auto"/>
              <w:ind w:firstLine="0" w:firstLineChars="0"/>
              <w:jc w:val="center"/>
              <w:rPr>
                <w:rFonts w:cs="Times New Roman"/>
                <w:color w:val="000000"/>
                <w:sz w:val="21"/>
                <w:szCs w:val="21"/>
              </w:rPr>
            </w:pPr>
            <w:r>
              <w:rPr>
                <w:rFonts w:cs="Times New Roman"/>
                <w:color w:val="000000"/>
                <w:sz w:val="21"/>
                <w:szCs w:val="21"/>
              </w:rPr>
              <w:t xml:space="preserve">99.62 </w:t>
            </w:r>
          </w:p>
        </w:tc>
        <w:tc>
          <w:tcPr>
            <w:tcW w:w="303" w:type="pct"/>
            <w:tcBorders>
              <w:top w:val="nil"/>
              <w:left w:val="nil"/>
              <w:bottom w:val="single" w:color="auto" w:sz="4" w:space="0"/>
              <w:right w:val="single" w:color="auto" w:sz="4" w:space="0"/>
            </w:tcBorders>
            <w:shd w:val="clear" w:color="auto" w:fill="auto"/>
            <w:vAlign w:val="center"/>
          </w:tcPr>
          <w:p w14:paraId="252A55D5">
            <w:pPr>
              <w:spacing w:line="240" w:lineRule="auto"/>
              <w:ind w:firstLine="0" w:firstLineChars="0"/>
              <w:jc w:val="center"/>
              <w:rPr>
                <w:rFonts w:cs="Times New Roman"/>
                <w:color w:val="000000"/>
                <w:sz w:val="21"/>
                <w:szCs w:val="21"/>
              </w:rPr>
            </w:pPr>
            <w:r>
              <w:rPr>
                <w:rFonts w:cs="Times New Roman"/>
                <w:color w:val="000000"/>
                <w:sz w:val="21"/>
                <w:szCs w:val="21"/>
              </w:rPr>
              <w:t xml:space="preserve">99.62 </w:t>
            </w:r>
          </w:p>
        </w:tc>
        <w:tc>
          <w:tcPr>
            <w:tcW w:w="334" w:type="pct"/>
            <w:gridSpan w:val="2"/>
            <w:tcBorders>
              <w:top w:val="nil"/>
              <w:left w:val="nil"/>
              <w:bottom w:val="single" w:color="auto" w:sz="4" w:space="0"/>
              <w:right w:val="single" w:color="auto" w:sz="4" w:space="0"/>
            </w:tcBorders>
            <w:shd w:val="clear" w:color="auto" w:fill="auto"/>
            <w:vAlign w:val="center"/>
          </w:tcPr>
          <w:p w14:paraId="51A34FC4">
            <w:pPr>
              <w:spacing w:line="240" w:lineRule="auto"/>
              <w:ind w:firstLine="0" w:firstLineChars="0"/>
              <w:jc w:val="center"/>
              <w:rPr>
                <w:rFonts w:cs="Times New Roman"/>
                <w:color w:val="000000"/>
                <w:sz w:val="21"/>
                <w:szCs w:val="21"/>
              </w:rPr>
            </w:pPr>
            <w:r>
              <w:rPr>
                <w:rFonts w:cs="Times New Roman"/>
                <w:color w:val="000000"/>
                <w:sz w:val="21"/>
                <w:szCs w:val="21"/>
              </w:rPr>
              <w:t xml:space="preserve">99.62 </w:t>
            </w:r>
          </w:p>
        </w:tc>
        <w:tc>
          <w:tcPr>
            <w:tcW w:w="303" w:type="pct"/>
            <w:tcBorders>
              <w:top w:val="nil"/>
              <w:left w:val="nil"/>
              <w:bottom w:val="single" w:color="auto" w:sz="4" w:space="0"/>
              <w:right w:val="single" w:color="auto" w:sz="4" w:space="0"/>
            </w:tcBorders>
            <w:shd w:val="clear" w:color="auto" w:fill="auto"/>
            <w:vAlign w:val="center"/>
          </w:tcPr>
          <w:p w14:paraId="30F3316F">
            <w:pPr>
              <w:spacing w:line="240" w:lineRule="auto"/>
              <w:ind w:firstLine="0" w:firstLineChars="0"/>
              <w:jc w:val="center"/>
              <w:rPr>
                <w:rFonts w:cs="Times New Roman"/>
                <w:color w:val="000000"/>
                <w:sz w:val="21"/>
                <w:szCs w:val="21"/>
              </w:rPr>
            </w:pPr>
            <w:r>
              <w:rPr>
                <w:rFonts w:cs="Times New Roman"/>
                <w:color w:val="000000"/>
                <w:sz w:val="21"/>
                <w:szCs w:val="21"/>
              </w:rPr>
              <w:t xml:space="preserve">99.62 </w:t>
            </w:r>
          </w:p>
        </w:tc>
        <w:tc>
          <w:tcPr>
            <w:tcW w:w="301" w:type="pct"/>
            <w:tcBorders>
              <w:top w:val="nil"/>
              <w:left w:val="nil"/>
              <w:bottom w:val="single" w:color="auto" w:sz="4" w:space="0"/>
              <w:right w:val="single" w:color="auto" w:sz="4" w:space="0"/>
            </w:tcBorders>
            <w:shd w:val="clear" w:color="auto" w:fill="auto"/>
            <w:vAlign w:val="center"/>
          </w:tcPr>
          <w:p w14:paraId="5AECD45B">
            <w:pPr>
              <w:spacing w:line="240" w:lineRule="auto"/>
              <w:ind w:firstLine="0" w:firstLineChars="0"/>
              <w:jc w:val="center"/>
              <w:rPr>
                <w:rFonts w:cs="Times New Roman"/>
                <w:color w:val="000000"/>
                <w:sz w:val="21"/>
                <w:szCs w:val="21"/>
              </w:rPr>
            </w:pPr>
            <w:r>
              <w:rPr>
                <w:rFonts w:cs="Times New Roman"/>
                <w:color w:val="000000"/>
                <w:sz w:val="21"/>
                <w:szCs w:val="21"/>
              </w:rPr>
              <w:t xml:space="preserve">99.62 </w:t>
            </w:r>
          </w:p>
        </w:tc>
      </w:tr>
      <w:tr w14:paraId="73B5DDCA">
        <w:tblPrEx>
          <w:tblCellMar>
            <w:top w:w="0" w:type="dxa"/>
            <w:left w:w="108" w:type="dxa"/>
            <w:bottom w:w="0" w:type="dxa"/>
            <w:right w:w="108" w:type="dxa"/>
          </w:tblCellMar>
        </w:tblPrEx>
        <w:trPr>
          <w:cantSplit/>
          <w:trHeight w:val="425"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21280DE1">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17B40A34">
            <w:pPr>
              <w:spacing w:line="240" w:lineRule="auto"/>
              <w:ind w:firstLine="0" w:firstLineChars="0"/>
              <w:jc w:val="center"/>
              <w:rPr>
                <w:rFonts w:cs="Times New Roman"/>
                <w:color w:val="000000"/>
                <w:sz w:val="21"/>
                <w:szCs w:val="21"/>
              </w:rPr>
            </w:pPr>
            <w:r>
              <w:rPr>
                <w:rFonts w:cs="Times New Roman"/>
                <w:color w:val="000000"/>
                <w:sz w:val="21"/>
                <w:szCs w:val="21"/>
              </w:rPr>
              <w:t>斜坡长度（m）</w:t>
            </w:r>
          </w:p>
        </w:tc>
        <w:tc>
          <w:tcPr>
            <w:tcW w:w="223" w:type="pct"/>
            <w:tcBorders>
              <w:top w:val="nil"/>
              <w:left w:val="nil"/>
              <w:bottom w:val="single" w:color="auto" w:sz="4" w:space="0"/>
              <w:right w:val="single" w:color="auto" w:sz="4" w:space="0"/>
            </w:tcBorders>
            <w:shd w:val="clear" w:color="auto" w:fill="auto"/>
            <w:vAlign w:val="center"/>
          </w:tcPr>
          <w:p w14:paraId="7239A4A8">
            <w:pPr>
              <w:spacing w:line="240" w:lineRule="auto"/>
              <w:ind w:firstLine="0" w:firstLineChars="0"/>
              <w:jc w:val="center"/>
              <w:rPr>
                <w:rFonts w:cs="Times New Roman"/>
                <w:color w:val="000000"/>
                <w:sz w:val="21"/>
                <w:szCs w:val="21"/>
              </w:rPr>
            </w:pPr>
            <w:r>
              <w:rPr>
                <w:rFonts w:cs="Times New Roman"/>
                <w:color w:val="000000"/>
                <w:sz w:val="21"/>
                <w:szCs w:val="21"/>
              </w:rPr>
              <w:t>λx</w:t>
            </w:r>
          </w:p>
        </w:tc>
        <w:tc>
          <w:tcPr>
            <w:tcW w:w="865" w:type="pct"/>
            <w:tcBorders>
              <w:top w:val="nil"/>
              <w:left w:val="nil"/>
              <w:bottom w:val="single" w:color="auto" w:sz="4" w:space="0"/>
              <w:right w:val="single" w:color="auto" w:sz="4" w:space="0"/>
            </w:tcBorders>
            <w:shd w:val="clear" w:color="auto" w:fill="auto"/>
            <w:vAlign w:val="center"/>
          </w:tcPr>
          <w:p w14:paraId="0F2AA635">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04A39CB7">
            <w:pPr>
              <w:spacing w:line="240" w:lineRule="auto"/>
              <w:ind w:firstLine="0" w:firstLineChars="0"/>
              <w:jc w:val="center"/>
              <w:rPr>
                <w:rFonts w:cs="Times New Roman"/>
                <w:color w:val="000000"/>
                <w:sz w:val="21"/>
                <w:szCs w:val="21"/>
              </w:rPr>
            </w:pPr>
            <w:r>
              <w:rPr>
                <w:rFonts w:cs="Times New Roman"/>
                <w:color w:val="000000"/>
                <w:sz w:val="21"/>
                <w:szCs w:val="21"/>
              </w:rPr>
              <w:t>100</w:t>
            </w:r>
          </w:p>
        </w:tc>
        <w:tc>
          <w:tcPr>
            <w:tcW w:w="333" w:type="pct"/>
            <w:gridSpan w:val="2"/>
            <w:tcBorders>
              <w:top w:val="nil"/>
              <w:left w:val="nil"/>
              <w:bottom w:val="single" w:color="auto" w:sz="4" w:space="0"/>
              <w:right w:val="single" w:color="auto" w:sz="4" w:space="0"/>
            </w:tcBorders>
            <w:shd w:val="clear" w:color="auto" w:fill="auto"/>
            <w:vAlign w:val="center"/>
          </w:tcPr>
          <w:p w14:paraId="1B26AB28">
            <w:pPr>
              <w:spacing w:line="240" w:lineRule="auto"/>
              <w:ind w:firstLine="0" w:firstLineChars="0"/>
              <w:jc w:val="center"/>
              <w:rPr>
                <w:rFonts w:cs="Times New Roman"/>
                <w:color w:val="000000"/>
                <w:sz w:val="21"/>
                <w:szCs w:val="21"/>
              </w:rPr>
            </w:pPr>
            <w:r>
              <w:rPr>
                <w:rFonts w:cs="Times New Roman"/>
                <w:color w:val="000000"/>
                <w:sz w:val="21"/>
                <w:szCs w:val="21"/>
              </w:rPr>
              <w:t>100</w:t>
            </w:r>
          </w:p>
        </w:tc>
        <w:tc>
          <w:tcPr>
            <w:tcW w:w="302" w:type="pct"/>
            <w:tcBorders>
              <w:top w:val="nil"/>
              <w:left w:val="nil"/>
              <w:bottom w:val="single" w:color="auto" w:sz="4" w:space="0"/>
              <w:right w:val="single" w:color="auto" w:sz="4" w:space="0"/>
            </w:tcBorders>
            <w:shd w:val="clear" w:color="auto" w:fill="auto"/>
            <w:vAlign w:val="center"/>
          </w:tcPr>
          <w:p w14:paraId="6C5D6D8D">
            <w:pPr>
              <w:spacing w:line="240" w:lineRule="auto"/>
              <w:ind w:firstLine="0" w:firstLineChars="0"/>
              <w:jc w:val="center"/>
              <w:rPr>
                <w:rFonts w:cs="Times New Roman"/>
                <w:color w:val="000000"/>
                <w:sz w:val="21"/>
                <w:szCs w:val="21"/>
              </w:rPr>
            </w:pPr>
            <w:r>
              <w:rPr>
                <w:rFonts w:cs="Times New Roman"/>
                <w:color w:val="000000"/>
                <w:sz w:val="21"/>
                <w:szCs w:val="21"/>
              </w:rPr>
              <w:t>100</w:t>
            </w:r>
          </w:p>
        </w:tc>
        <w:tc>
          <w:tcPr>
            <w:tcW w:w="333" w:type="pct"/>
            <w:gridSpan w:val="2"/>
            <w:tcBorders>
              <w:top w:val="nil"/>
              <w:left w:val="nil"/>
              <w:bottom w:val="single" w:color="auto" w:sz="4" w:space="0"/>
              <w:right w:val="single" w:color="auto" w:sz="4" w:space="0"/>
            </w:tcBorders>
            <w:shd w:val="clear" w:color="auto" w:fill="auto"/>
            <w:vAlign w:val="center"/>
          </w:tcPr>
          <w:p w14:paraId="388A2A7C">
            <w:pPr>
              <w:spacing w:line="240" w:lineRule="auto"/>
              <w:ind w:firstLine="0" w:firstLineChars="0"/>
              <w:jc w:val="center"/>
              <w:rPr>
                <w:rFonts w:cs="Times New Roman"/>
                <w:color w:val="000000"/>
                <w:sz w:val="21"/>
                <w:szCs w:val="21"/>
              </w:rPr>
            </w:pPr>
            <w:r>
              <w:rPr>
                <w:rFonts w:cs="Times New Roman"/>
                <w:color w:val="000000"/>
                <w:sz w:val="21"/>
                <w:szCs w:val="21"/>
              </w:rPr>
              <w:t>100</w:t>
            </w:r>
          </w:p>
        </w:tc>
        <w:tc>
          <w:tcPr>
            <w:tcW w:w="302" w:type="pct"/>
            <w:tcBorders>
              <w:top w:val="nil"/>
              <w:left w:val="nil"/>
              <w:bottom w:val="single" w:color="auto" w:sz="4" w:space="0"/>
              <w:right w:val="single" w:color="auto" w:sz="4" w:space="0"/>
            </w:tcBorders>
            <w:shd w:val="clear" w:color="auto" w:fill="auto"/>
            <w:vAlign w:val="center"/>
          </w:tcPr>
          <w:p w14:paraId="750B61B2">
            <w:pPr>
              <w:spacing w:line="240" w:lineRule="auto"/>
              <w:ind w:firstLine="0" w:firstLineChars="0"/>
              <w:jc w:val="center"/>
              <w:rPr>
                <w:rFonts w:cs="Times New Roman"/>
                <w:color w:val="000000"/>
                <w:sz w:val="21"/>
                <w:szCs w:val="21"/>
              </w:rPr>
            </w:pPr>
            <w:r>
              <w:rPr>
                <w:rFonts w:cs="Times New Roman"/>
                <w:color w:val="000000"/>
                <w:sz w:val="21"/>
                <w:szCs w:val="21"/>
              </w:rPr>
              <w:t>100</w:t>
            </w:r>
          </w:p>
        </w:tc>
        <w:tc>
          <w:tcPr>
            <w:tcW w:w="333" w:type="pct"/>
            <w:gridSpan w:val="2"/>
            <w:tcBorders>
              <w:top w:val="nil"/>
              <w:left w:val="nil"/>
              <w:bottom w:val="single" w:color="auto" w:sz="4" w:space="0"/>
              <w:right w:val="single" w:color="auto" w:sz="4" w:space="0"/>
            </w:tcBorders>
            <w:shd w:val="clear" w:color="auto" w:fill="auto"/>
            <w:vAlign w:val="center"/>
          </w:tcPr>
          <w:p w14:paraId="4F5BAADF">
            <w:pPr>
              <w:spacing w:line="240" w:lineRule="auto"/>
              <w:ind w:firstLine="0" w:firstLineChars="0"/>
              <w:jc w:val="center"/>
              <w:rPr>
                <w:rFonts w:cs="Times New Roman"/>
                <w:color w:val="000000"/>
                <w:sz w:val="21"/>
                <w:szCs w:val="21"/>
              </w:rPr>
            </w:pPr>
            <w:r>
              <w:rPr>
                <w:rFonts w:cs="Times New Roman"/>
                <w:color w:val="000000"/>
                <w:sz w:val="21"/>
                <w:szCs w:val="21"/>
              </w:rPr>
              <w:t>100</w:t>
            </w:r>
          </w:p>
        </w:tc>
        <w:tc>
          <w:tcPr>
            <w:tcW w:w="303" w:type="pct"/>
            <w:tcBorders>
              <w:top w:val="nil"/>
              <w:left w:val="nil"/>
              <w:bottom w:val="single" w:color="auto" w:sz="4" w:space="0"/>
              <w:right w:val="single" w:color="auto" w:sz="4" w:space="0"/>
            </w:tcBorders>
            <w:shd w:val="clear" w:color="auto" w:fill="auto"/>
            <w:vAlign w:val="center"/>
          </w:tcPr>
          <w:p w14:paraId="33A9FFF7">
            <w:pPr>
              <w:spacing w:line="240" w:lineRule="auto"/>
              <w:ind w:firstLine="0" w:firstLineChars="0"/>
              <w:jc w:val="center"/>
              <w:rPr>
                <w:rFonts w:cs="Times New Roman"/>
                <w:color w:val="000000"/>
                <w:sz w:val="21"/>
                <w:szCs w:val="21"/>
              </w:rPr>
            </w:pPr>
            <w:r>
              <w:rPr>
                <w:rFonts w:cs="Times New Roman"/>
                <w:color w:val="000000"/>
                <w:sz w:val="21"/>
                <w:szCs w:val="21"/>
              </w:rPr>
              <w:t>100</w:t>
            </w:r>
          </w:p>
        </w:tc>
        <w:tc>
          <w:tcPr>
            <w:tcW w:w="334" w:type="pct"/>
            <w:gridSpan w:val="2"/>
            <w:tcBorders>
              <w:top w:val="nil"/>
              <w:left w:val="nil"/>
              <w:bottom w:val="single" w:color="auto" w:sz="4" w:space="0"/>
              <w:right w:val="single" w:color="auto" w:sz="4" w:space="0"/>
            </w:tcBorders>
            <w:shd w:val="clear" w:color="auto" w:fill="auto"/>
            <w:vAlign w:val="center"/>
          </w:tcPr>
          <w:p w14:paraId="278E1ACB">
            <w:pPr>
              <w:spacing w:line="240" w:lineRule="auto"/>
              <w:ind w:firstLine="0" w:firstLineChars="0"/>
              <w:jc w:val="center"/>
              <w:rPr>
                <w:rFonts w:cs="Times New Roman"/>
                <w:color w:val="000000"/>
                <w:sz w:val="21"/>
                <w:szCs w:val="21"/>
              </w:rPr>
            </w:pPr>
            <w:r>
              <w:rPr>
                <w:rFonts w:cs="Times New Roman"/>
                <w:color w:val="000000"/>
                <w:sz w:val="21"/>
                <w:szCs w:val="21"/>
              </w:rPr>
              <w:t>100</w:t>
            </w:r>
          </w:p>
        </w:tc>
        <w:tc>
          <w:tcPr>
            <w:tcW w:w="303" w:type="pct"/>
            <w:tcBorders>
              <w:top w:val="nil"/>
              <w:left w:val="nil"/>
              <w:bottom w:val="single" w:color="auto" w:sz="4" w:space="0"/>
              <w:right w:val="single" w:color="auto" w:sz="4" w:space="0"/>
            </w:tcBorders>
            <w:shd w:val="clear" w:color="auto" w:fill="auto"/>
            <w:vAlign w:val="center"/>
          </w:tcPr>
          <w:p w14:paraId="5E6FF0E1">
            <w:pPr>
              <w:spacing w:line="240" w:lineRule="auto"/>
              <w:ind w:firstLine="0" w:firstLineChars="0"/>
              <w:jc w:val="center"/>
              <w:rPr>
                <w:rFonts w:cs="Times New Roman"/>
                <w:color w:val="000000"/>
                <w:sz w:val="21"/>
                <w:szCs w:val="21"/>
              </w:rPr>
            </w:pPr>
            <w:r>
              <w:rPr>
                <w:rFonts w:cs="Times New Roman"/>
                <w:color w:val="000000"/>
                <w:sz w:val="21"/>
                <w:szCs w:val="21"/>
              </w:rPr>
              <w:t>100</w:t>
            </w:r>
          </w:p>
        </w:tc>
        <w:tc>
          <w:tcPr>
            <w:tcW w:w="301" w:type="pct"/>
            <w:tcBorders>
              <w:top w:val="nil"/>
              <w:left w:val="nil"/>
              <w:bottom w:val="single" w:color="auto" w:sz="4" w:space="0"/>
              <w:right w:val="single" w:color="auto" w:sz="4" w:space="0"/>
            </w:tcBorders>
            <w:shd w:val="clear" w:color="auto" w:fill="auto"/>
            <w:vAlign w:val="center"/>
          </w:tcPr>
          <w:p w14:paraId="4A315C00">
            <w:pPr>
              <w:spacing w:line="240" w:lineRule="auto"/>
              <w:ind w:firstLine="0" w:firstLineChars="0"/>
              <w:jc w:val="center"/>
              <w:rPr>
                <w:rFonts w:cs="Times New Roman"/>
                <w:color w:val="000000"/>
                <w:sz w:val="21"/>
                <w:szCs w:val="21"/>
              </w:rPr>
            </w:pPr>
            <w:r>
              <w:rPr>
                <w:rFonts w:cs="Times New Roman"/>
                <w:color w:val="000000"/>
                <w:sz w:val="21"/>
                <w:szCs w:val="21"/>
              </w:rPr>
              <w:t>100</w:t>
            </w:r>
          </w:p>
        </w:tc>
      </w:tr>
      <w:tr w14:paraId="27CF4D92">
        <w:tblPrEx>
          <w:tblCellMar>
            <w:top w:w="0" w:type="dxa"/>
            <w:left w:w="108" w:type="dxa"/>
            <w:bottom w:w="0" w:type="dxa"/>
            <w:right w:w="108" w:type="dxa"/>
          </w:tblCellMar>
        </w:tblPrEx>
        <w:trPr>
          <w:cantSplit/>
          <w:trHeight w:val="425"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2AE7B31C">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1337A087">
            <w:pPr>
              <w:spacing w:line="240" w:lineRule="auto"/>
              <w:ind w:firstLine="0" w:firstLineChars="0"/>
              <w:jc w:val="center"/>
              <w:rPr>
                <w:rFonts w:cs="Times New Roman"/>
                <w:color w:val="000000"/>
                <w:sz w:val="21"/>
                <w:szCs w:val="21"/>
              </w:rPr>
            </w:pPr>
            <w:r>
              <w:rPr>
                <w:rFonts w:cs="Times New Roman"/>
                <w:color w:val="000000"/>
                <w:sz w:val="21"/>
                <w:szCs w:val="21"/>
              </w:rPr>
              <w:t>坡长指数</w:t>
            </w:r>
          </w:p>
        </w:tc>
        <w:tc>
          <w:tcPr>
            <w:tcW w:w="223" w:type="pct"/>
            <w:tcBorders>
              <w:top w:val="nil"/>
              <w:left w:val="nil"/>
              <w:bottom w:val="single" w:color="auto" w:sz="4" w:space="0"/>
              <w:right w:val="single" w:color="auto" w:sz="4" w:space="0"/>
            </w:tcBorders>
            <w:shd w:val="clear" w:color="auto" w:fill="auto"/>
            <w:vAlign w:val="center"/>
          </w:tcPr>
          <w:p w14:paraId="26A07C1C">
            <w:pPr>
              <w:spacing w:line="240" w:lineRule="auto"/>
              <w:ind w:firstLine="0" w:firstLineChars="0"/>
              <w:jc w:val="center"/>
              <w:rPr>
                <w:rFonts w:cs="Times New Roman"/>
                <w:color w:val="000000"/>
                <w:sz w:val="21"/>
                <w:szCs w:val="21"/>
              </w:rPr>
            </w:pPr>
            <w:r>
              <w:rPr>
                <w:rFonts w:cs="Times New Roman"/>
                <w:color w:val="000000"/>
                <w:sz w:val="21"/>
                <w:szCs w:val="21"/>
              </w:rPr>
              <w:t>m</w:t>
            </w:r>
          </w:p>
        </w:tc>
        <w:tc>
          <w:tcPr>
            <w:tcW w:w="865" w:type="pct"/>
            <w:tcBorders>
              <w:top w:val="nil"/>
              <w:left w:val="nil"/>
              <w:bottom w:val="single" w:color="auto" w:sz="4" w:space="0"/>
              <w:right w:val="single" w:color="auto" w:sz="4" w:space="0"/>
            </w:tcBorders>
            <w:shd w:val="clear" w:color="auto" w:fill="auto"/>
            <w:vAlign w:val="center"/>
          </w:tcPr>
          <w:p w14:paraId="7066454B">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516751E0">
            <w:pPr>
              <w:spacing w:line="240" w:lineRule="auto"/>
              <w:ind w:firstLine="0" w:firstLineChars="0"/>
              <w:jc w:val="center"/>
              <w:rPr>
                <w:rFonts w:cs="Times New Roman"/>
                <w:color w:val="000000"/>
                <w:sz w:val="21"/>
                <w:szCs w:val="21"/>
              </w:rPr>
            </w:pPr>
            <w:r>
              <w:rPr>
                <w:rFonts w:cs="Times New Roman"/>
                <w:color w:val="000000"/>
                <w:sz w:val="21"/>
                <w:szCs w:val="21"/>
              </w:rPr>
              <w:t>0.4</w:t>
            </w:r>
          </w:p>
        </w:tc>
        <w:tc>
          <w:tcPr>
            <w:tcW w:w="333" w:type="pct"/>
            <w:gridSpan w:val="2"/>
            <w:tcBorders>
              <w:top w:val="nil"/>
              <w:left w:val="nil"/>
              <w:bottom w:val="single" w:color="auto" w:sz="4" w:space="0"/>
              <w:right w:val="single" w:color="auto" w:sz="4" w:space="0"/>
            </w:tcBorders>
            <w:shd w:val="clear" w:color="auto" w:fill="auto"/>
            <w:vAlign w:val="center"/>
          </w:tcPr>
          <w:p w14:paraId="5557D784">
            <w:pPr>
              <w:spacing w:line="240" w:lineRule="auto"/>
              <w:ind w:firstLine="0" w:firstLineChars="0"/>
              <w:jc w:val="center"/>
              <w:rPr>
                <w:rFonts w:cs="Times New Roman"/>
                <w:color w:val="000000"/>
                <w:sz w:val="21"/>
                <w:szCs w:val="21"/>
              </w:rPr>
            </w:pPr>
            <w:r>
              <w:rPr>
                <w:rFonts w:cs="Times New Roman"/>
                <w:color w:val="000000"/>
                <w:sz w:val="21"/>
                <w:szCs w:val="21"/>
              </w:rPr>
              <w:t>0.4</w:t>
            </w:r>
          </w:p>
        </w:tc>
        <w:tc>
          <w:tcPr>
            <w:tcW w:w="302" w:type="pct"/>
            <w:tcBorders>
              <w:top w:val="nil"/>
              <w:left w:val="nil"/>
              <w:bottom w:val="single" w:color="auto" w:sz="4" w:space="0"/>
              <w:right w:val="single" w:color="auto" w:sz="4" w:space="0"/>
            </w:tcBorders>
            <w:shd w:val="clear" w:color="auto" w:fill="auto"/>
            <w:vAlign w:val="center"/>
          </w:tcPr>
          <w:p w14:paraId="75DDA940">
            <w:pPr>
              <w:spacing w:line="240" w:lineRule="auto"/>
              <w:ind w:firstLine="0" w:firstLineChars="0"/>
              <w:jc w:val="center"/>
              <w:rPr>
                <w:rFonts w:cs="Times New Roman"/>
                <w:color w:val="000000"/>
                <w:sz w:val="21"/>
                <w:szCs w:val="21"/>
              </w:rPr>
            </w:pPr>
            <w:r>
              <w:rPr>
                <w:rFonts w:cs="Times New Roman"/>
                <w:color w:val="000000"/>
                <w:sz w:val="21"/>
                <w:szCs w:val="21"/>
              </w:rPr>
              <w:t>0.4</w:t>
            </w:r>
          </w:p>
        </w:tc>
        <w:tc>
          <w:tcPr>
            <w:tcW w:w="333" w:type="pct"/>
            <w:gridSpan w:val="2"/>
            <w:tcBorders>
              <w:top w:val="nil"/>
              <w:left w:val="nil"/>
              <w:bottom w:val="single" w:color="auto" w:sz="4" w:space="0"/>
              <w:right w:val="single" w:color="auto" w:sz="4" w:space="0"/>
            </w:tcBorders>
            <w:shd w:val="clear" w:color="auto" w:fill="auto"/>
            <w:vAlign w:val="center"/>
          </w:tcPr>
          <w:p w14:paraId="6828ED4D">
            <w:pPr>
              <w:spacing w:line="240" w:lineRule="auto"/>
              <w:ind w:firstLine="0" w:firstLineChars="0"/>
              <w:jc w:val="center"/>
              <w:rPr>
                <w:rFonts w:cs="Times New Roman"/>
                <w:color w:val="000000"/>
                <w:sz w:val="21"/>
                <w:szCs w:val="21"/>
              </w:rPr>
            </w:pPr>
            <w:r>
              <w:rPr>
                <w:rFonts w:cs="Times New Roman"/>
                <w:color w:val="000000"/>
                <w:sz w:val="21"/>
                <w:szCs w:val="21"/>
              </w:rPr>
              <w:t>0.4</w:t>
            </w:r>
          </w:p>
        </w:tc>
        <w:tc>
          <w:tcPr>
            <w:tcW w:w="302" w:type="pct"/>
            <w:tcBorders>
              <w:top w:val="nil"/>
              <w:left w:val="nil"/>
              <w:bottom w:val="single" w:color="auto" w:sz="4" w:space="0"/>
              <w:right w:val="single" w:color="auto" w:sz="4" w:space="0"/>
            </w:tcBorders>
            <w:shd w:val="clear" w:color="auto" w:fill="auto"/>
            <w:vAlign w:val="center"/>
          </w:tcPr>
          <w:p w14:paraId="0C2F2FFC">
            <w:pPr>
              <w:spacing w:line="240" w:lineRule="auto"/>
              <w:ind w:firstLine="0" w:firstLineChars="0"/>
              <w:jc w:val="center"/>
              <w:rPr>
                <w:rFonts w:cs="Times New Roman"/>
                <w:color w:val="000000"/>
                <w:sz w:val="21"/>
                <w:szCs w:val="21"/>
              </w:rPr>
            </w:pPr>
            <w:r>
              <w:rPr>
                <w:rFonts w:cs="Times New Roman"/>
                <w:color w:val="000000"/>
                <w:sz w:val="21"/>
                <w:szCs w:val="21"/>
              </w:rPr>
              <w:t>0.4</w:t>
            </w:r>
          </w:p>
        </w:tc>
        <w:tc>
          <w:tcPr>
            <w:tcW w:w="333" w:type="pct"/>
            <w:gridSpan w:val="2"/>
            <w:tcBorders>
              <w:top w:val="nil"/>
              <w:left w:val="nil"/>
              <w:bottom w:val="single" w:color="auto" w:sz="4" w:space="0"/>
              <w:right w:val="single" w:color="auto" w:sz="4" w:space="0"/>
            </w:tcBorders>
            <w:shd w:val="clear" w:color="auto" w:fill="auto"/>
            <w:vAlign w:val="center"/>
          </w:tcPr>
          <w:p w14:paraId="7B1F8876">
            <w:pPr>
              <w:spacing w:line="240" w:lineRule="auto"/>
              <w:ind w:firstLine="0" w:firstLineChars="0"/>
              <w:jc w:val="center"/>
              <w:rPr>
                <w:rFonts w:cs="Times New Roman"/>
                <w:color w:val="000000"/>
                <w:sz w:val="21"/>
                <w:szCs w:val="21"/>
              </w:rPr>
            </w:pPr>
            <w:r>
              <w:rPr>
                <w:rFonts w:cs="Times New Roman"/>
                <w:color w:val="000000"/>
                <w:sz w:val="21"/>
                <w:szCs w:val="21"/>
              </w:rPr>
              <w:t>0.4</w:t>
            </w:r>
          </w:p>
        </w:tc>
        <w:tc>
          <w:tcPr>
            <w:tcW w:w="303" w:type="pct"/>
            <w:tcBorders>
              <w:top w:val="nil"/>
              <w:left w:val="nil"/>
              <w:bottom w:val="single" w:color="auto" w:sz="4" w:space="0"/>
              <w:right w:val="single" w:color="auto" w:sz="4" w:space="0"/>
            </w:tcBorders>
            <w:shd w:val="clear" w:color="auto" w:fill="auto"/>
            <w:vAlign w:val="center"/>
          </w:tcPr>
          <w:p w14:paraId="31AA4D9E">
            <w:pPr>
              <w:spacing w:line="240" w:lineRule="auto"/>
              <w:ind w:firstLine="0" w:firstLineChars="0"/>
              <w:jc w:val="center"/>
              <w:rPr>
                <w:rFonts w:cs="Times New Roman"/>
                <w:color w:val="000000"/>
                <w:sz w:val="21"/>
                <w:szCs w:val="21"/>
              </w:rPr>
            </w:pPr>
            <w:r>
              <w:rPr>
                <w:rFonts w:cs="Times New Roman"/>
                <w:color w:val="000000"/>
                <w:sz w:val="21"/>
                <w:szCs w:val="21"/>
              </w:rPr>
              <w:t>0.4</w:t>
            </w:r>
          </w:p>
        </w:tc>
        <w:tc>
          <w:tcPr>
            <w:tcW w:w="334" w:type="pct"/>
            <w:gridSpan w:val="2"/>
            <w:tcBorders>
              <w:top w:val="nil"/>
              <w:left w:val="nil"/>
              <w:bottom w:val="single" w:color="auto" w:sz="4" w:space="0"/>
              <w:right w:val="single" w:color="auto" w:sz="4" w:space="0"/>
            </w:tcBorders>
            <w:shd w:val="clear" w:color="auto" w:fill="auto"/>
            <w:vAlign w:val="center"/>
          </w:tcPr>
          <w:p w14:paraId="18E7AC33">
            <w:pPr>
              <w:spacing w:line="240" w:lineRule="auto"/>
              <w:ind w:firstLine="0" w:firstLineChars="0"/>
              <w:jc w:val="center"/>
              <w:rPr>
                <w:rFonts w:cs="Times New Roman"/>
                <w:color w:val="000000"/>
                <w:sz w:val="21"/>
                <w:szCs w:val="21"/>
              </w:rPr>
            </w:pPr>
            <w:r>
              <w:rPr>
                <w:rFonts w:cs="Times New Roman"/>
                <w:color w:val="000000"/>
                <w:sz w:val="21"/>
                <w:szCs w:val="21"/>
              </w:rPr>
              <w:t>0.4</w:t>
            </w:r>
          </w:p>
        </w:tc>
        <w:tc>
          <w:tcPr>
            <w:tcW w:w="303" w:type="pct"/>
            <w:tcBorders>
              <w:top w:val="nil"/>
              <w:left w:val="nil"/>
              <w:bottom w:val="single" w:color="auto" w:sz="4" w:space="0"/>
              <w:right w:val="single" w:color="auto" w:sz="4" w:space="0"/>
            </w:tcBorders>
            <w:shd w:val="clear" w:color="auto" w:fill="auto"/>
            <w:vAlign w:val="center"/>
          </w:tcPr>
          <w:p w14:paraId="03A4E267">
            <w:pPr>
              <w:spacing w:line="240" w:lineRule="auto"/>
              <w:ind w:firstLine="0" w:firstLineChars="0"/>
              <w:jc w:val="center"/>
              <w:rPr>
                <w:rFonts w:cs="Times New Roman"/>
                <w:color w:val="000000"/>
                <w:sz w:val="21"/>
                <w:szCs w:val="21"/>
              </w:rPr>
            </w:pPr>
            <w:r>
              <w:rPr>
                <w:rFonts w:cs="Times New Roman"/>
                <w:color w:val="000000"/>
                <w:sz w:val="21"/>
                <w:szCs w:val="21"/>
              </w:rPr>
              <w:t>0.4</w:t>
            </w:r>
          </w:p>
        </w:tc>
        <w:tc>
          <w:tcPr>
            <w:tcW w:w="301" w:type="pct"/>
            <w:tcBorders>
              <w:top w:val="nil"/>
              <w:left w:val="nil"/>
              <w:bottom w:val="single" w:color="auto" w:sz="4" w:space="0"/>
              <w:right w:val="single" w:color="auto" w:sz="4" w:space="0"/>
            </w:tcBorders>
            <w:shd w:val="clear" w:color="auto" w:fill="auto"/>
            <w:vAlign w:val="center"/>
          </w:tcPr>
          <w:p w14:paraId="3450EFA8">
            <w:pPr>
              <w:spacing w:line="240" w:lineRule="auto"/>
              <w:ind w:firstLine="0" w:firstLineChars="0"/>
              <w:jc w:val="center"/>
              <w:rPr>
                <w:rFonts w:cs="Times New Roman"/>
                <w:color w:val="000000"/>
                <w:sz w:val="21"/>
                <w:szCs w:val="21"/>
              </w:rPr>
            </w:pPr>
            <w:r>
              <w:rPr>
                <w:rFonts w:cs="Times New Roman"/>
                <w:color w:val="000000"/>
                <w:sz w:val="21"/>
                <w:szCs w:val="21"/>
              </w:rPr>
              <w:t>0.4</w:t>
            </w:r>
          </w:p>
        </w:tc>
      </w:tr>
      <w:tr w14:paraId="4A385D17">
        <w:tblPrEx>
          <w:tblCellMar>
            <w:top w:w="0" w:type="dxa"/>
            <w:left w:w="108" w:type="dxa"/>
            <w:bottom w:w="0" w:type="dxa"/>
            <w:right w:w="108" w:type="dxa"/>
          </w:tblCellMar>
        </w:tblPrEx>
        <w:trPr>
          <w:cantSplit/>
          <w:trHeight w:val="425"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42FD2B32">
            <w:pPr>
              <w:spacing w:line="240" w:lineRule="auto"/>
              <w:ind w:firstLine="0" w:firstLineChars="0"/>
              <w:jc w:val="center"/>
              <w:rPr>
                <w:rFonts w:cs="Times New Roman"/>
                <w:color w:val="000000"/>
                <w:sz w:val="21"/>
                <w:szCs w:val="21"/>
              </w:rPr>
            </w:pPr>
            <w:r>
              <w:rPr>
                <w:rFonts w:cs="Times New Roman"/>
                <w:color w:val="000000"/>
                <w:sz w:val="21"/>
                <w:szCs w:val="21"/>
              </w:rPr>
              <w:t>5</w:t>
            </w:r>
          </w:p>
        </w:tc>
        <w:tc>
          <w:tcPr>
            <w:tcW w:w="589" w:type="pct"/>
            <w:tcBorders>
              <w:top w:val="nil"/>
              <w:left w:val="nil"/>
              <w:bottom w:val="single" w:color="auto" w:sz="4" w:space="0"/>
              <w:right w:val="single" w:color="auto" w:sz="4" w:space="0"/>
            </w:tcBorders>
            <w:shd w:val="clear" w:color="auto" w:fill="auto"/>
            <w:vAlign w:val="center"/>
          </w:tcPr>
          <w:p w14:paraId="5ED37F31">
            <w:pPr>
              <w:spacing w:line="240" w:lineRule="auto"/>
              <w:ind w:firstLine="0" w:firstLineChars="0"/>
              <w:jc w:val="center"/>
              <w:rPr>
                <w:rFonts w:cs="Times New Roman"/>
                <w:color w:val="000000"/>
                <w:sz w:val="21"/>
                <w:szCs w:val="21"/>
              </w:rPr>
            </w:pPr>
            <w:r>
              <w:rPr>
                <w:rFonts w:cs="Times New Roman"/>
                <w:color w:val="000000"/>
                <w:sz w:val="21"/>
                <w:szCs w:val="21"/>
              </w:rPr>
              <w:t>坡度因子</w:t>
            </w:r>
          </w:p>
        </w:tc>
        <w:tc>
          <w:tcPr>
            <w:tcW w:w="223" w:type="pct"/>
            <w:tcBorders>
              <w:top w:val="nil"/>
              <w:left w:val="nil"/>
              <w:bottom w:val="single" w:color="auto" w:sz="4" w:space="0"/>
              <w:right w:val="single" w:color="auto" w:sz="4" w:space="0"/>
            </w:tcBorders>
            <w:shd w:val="clear" w:color="auto" w:fill="auto"/>
            <w:vAlign w:val="center"/>
          </w:tcPr>
          <w:p w14:paraId="619165E8">
            <w:pPr>
              <w:spacing w:line="240" w:lineRule="auto"/>
              <w:ind w:firstLine="0" w:firstLineChars="0"/>
              <w:jc w:val="center"/>
              <w:rPr>
                <w:rFonts w:cs="Times New Roman"/>
                <w:color w:val="000000"/>
                <w:sz w:val="21"/>
                <w:szCs w:val="21"/>
              </w:rPr>
            </w:pPr>
            <w:r>
              <w:rPr>
                <w:rFonts w:cs="Times New Roman"/>
                <w:color w:val="000000"/>
                <w:sz w:val="21"/>
                <w:szCs w:val="21"/>
              </w:rPr>
              <w:t>Sy</w:t>
            </w:r>
          </w:p>
        </w:tc>
        <w:tc>
          <w:tcPr>
            <w:tcW w:w="865" w:type="pct"/>
            <w:tcBorders>
              <w:top w:val="nil"/>
              <w:left w:val="nil"/>
              <w:bottom w:val="single" w:color="auto" w:sz="4" w:space="0"/>
              <w:right w:val="single" w:color="auto" w:sz="4" w:space="0"/>
            </w:tcBorders>
            <w:shd w:val="clear" w:color="auto" w:fill="auto"/>
            <w:vAlign w:val="center"/>
          </w:tcPr>
          <w:p w14:paraId="359FB6BF">
            <w:pPr>
              <w:spacing w:line="240" w:lineRule="auto"/>
              <w:ind w:firstLine="0" w:firstLineChars="0"/>
              <w:jc w:val="center"/>
              <w:rPr>
                <w:rFonts w:cs="Times New Roman"/>
                <w:color w:val="000000"/>
                <w:sz w:val="21"/>
                <w:szCs w:val="21"/>
              </w:rPr>
            </w:pPr>
            <w:r>
              <w:rPr>
                <w:rFonts w:cs="Times New Roman"/>
                <w:color w:val="000000"/>
                <w:sz w:val="21"/>
                <w:szCs w:val="21"/>
              </w:rPr>
              <w:t>Sy=-1.5+17/[1+e</w:t>
            </w:r>
            <w:r>
              <w:rPr>
                <w:rFonts w:cs="Times New Roman"/>
                <w:color w:val="000000"/>
                <w:sz w:val="21"/>
                <w:szCs w:val="21"/>
                <w:vertAlign w:val="superscript"/>
              </w:rPr>
              <w:t>(2.3-6.1sinθ)</w:t>
            </w:r>
            <w:r>
              <w:rPr>
                <w:rFonts w:cs="Times New Roman"/>
                <w:color w:val="000000"/>
                <w:sz w:val="21"/>
                <w:szCs w:val="21"/>
              </w:rPr>
              <w:t>]</w:t>
            </w:r>
          </w:p>
        </w:tc>
        <w:tc>
          <w:tcPr>
            <w:tcW w:w="302" w:type="pct"/>
            <w:tcBorders>
              <w:top w:val="nil"/>
              <w:left w:val="nil"/>
              <w:bottom w:val="single" w:color="auto" w:sz="4" w:space="0"/>
              <w:right w:val="single" w:color="auto" w:sz="4" w:space="0"/>
            </w:tcBorders>
            <w:shd w:val="clear" w:color="auto" w:fill="auto"/>
            <w:vAlign w:val="center"/>
          </w:tcPr>
          <w:p w14:paraId="21917C7C">
            <w:pPr>
              <w:spacing w:line="240" w:lineRule="auto"/>
              <w:ind w:firstLine="0" w:firstLineChars="0"/>
              <w:jc w:val="center"/>
              <w:rPr>
                <w:rFonts w:cs="Times New Roman"/>
                <w:color w:val="000000"/>
                <w:sz w:val="21"/>
                <w:szCs w:val="21"/>
              </w:rPr>
            </w:pPr>
            <w:r>
              <w:rPr>
                <w:rFonts w:cs="Times New Roman"/>
                <w:color w:val="000000"/>
                <w:sz w:val="21"/>
                <w:szCs w:val="21"/>
              </w:rPr>
              <w:t xml:space="preserve">1.21 </w:t>
            </w:r>
          </w:p>
        </w:tc>
        <w:tc>
          <w:tcPr>
            <w:tcW w:w="333" w:type="pct"/>
            <w:gridSpan w:val="2"/>
            <w:tcBorders>
              <w:top w:val="nil"/>
              <w:left w:val="nil"/>
              <w:bottom w:val="single" w:color="auto" w:sz="4" w:space="0"/>
              <w:right w:val="single" w:color="auto" w:sz="4" w:space="0"/>
            </w:tcBorders>
            <w:shd w:val="clear" w:color="auto" w:fill="auto"/>
            <w:vAlign w:val="center"/>
          </w:tcPr>
          <w:p w14:paraId="0B560C36">
            <w:pPr>
              <w:spacing w:line="240" w:lineRule="auto"/>
              <w:ind w:firstLine="0" w:firstLineChars="0"/>
              <w:jc w:val="center"/>
              <w:rPr>
                <w:rFonts w:cs="Times New Roman"/>
                <w:color w:val="000000"/>
                <w:sz w:val="21"/>
                <w:szCs w:val="21"/>
              </w:rPr>
            </w:pPr>
            <w:r>
              <w:rPr>
                <w:rFonts w:cs="Times New Roman"/>
                <w:color w:val="000000"/>
                <w:sz w:val="21"/>
                <w:szCs w:val="21"/>
              </w:rPr>
              <w:t xml:space="preserve">1.21 </w:t>
            </w:r>
          </w:p>
        </w:tc>
        <w:tc>
          <w:tcPr>
            <w:tcW w:w="302" w:type="pct"/>
            <w:tcBorders>
              <w:top w:val="nil"/>
              <w:left w:val="nil"/>
              <w:bottom w:val="single" w:color="auto" w:sz="4" w:space="0"/>
              <w:right w:val="single" w:color="auto" w:sz="4" w:space="0"/>
            </w:tcBorders>
            <w:shd w:val="clear" w:color="auto" w:fill="auto"/>
            <w:vAlign w:val="center"/>
          </w:tcPr>
          <w:p w14:paraId="6BB5E8D8">
            <w:pPr>
              <w:spacing w:line="240" w:lineRule="auto"/>
              <w:ind w:firstLine="0" w:firstLineChars="0"/>
              <w:jc w:val="center"/>
              <w:rPr>
                <w:rFonts w:cs="Times New Roman"/>
                <w:color w:val="000000"/>
                <w:sz w:val="21"/>
                <w:szCs w:val="21"/>
              </w:rPr>
            </w:pPr>
            <w:r>
              <w:rPr>
                <w:rFonts w:cs="Times New Roman"/>
                <w:color w:val="000000"/>
                <w:sz w:val="21"/>
                <w:szCs w:val="21"/>
              </w:rPr>
              <w:t xml:space="preserve">1.21 </w:t>
            </w:r>
          </w:p>
        </w:tc>
        <w:tc>
          <w:tcPr>
            <w:tcW w:w="333" w:type="pct"/>
            <w:gridSpan w:val="2"/>
            <w:tcBorders>
              <w:top w:val="nil"/>
              <w:left w:val="nil"/>
              <w:bottom w:val="single" w:color="auto" w:sz="4" w:space="0"/>
              <w:right w:val="single" w:color="auto" w:sz="4" w:space="0"/>
            </w:tcBorders>
            <w:shd w:val="clear" w:color="auto" w:fill="auto"/>
            <w:vAlign w:val="center"/>
          </w:tcPr>
          <w:p w14:paraId="47445EF3">
            <w:pPr>
              <w:spacing w:line="240" w:lineRule="auto"/>
              <w:ind w:firstLine="0" w:firstLineChars="0"/>
              <w:jc w:val="center"/>
              <w:rPr>
                <w:rFonts w:cs="Times New Roman"/>
                <w:color w:val="000000"/>
                <w:sz w:val="21"/>
                <w:szCs w:val="21"/>
              </w:rPr>
            </w:pPr>
            <w:r>
              <w:rPr>
                <w:rFonts w:cs="Times New Roman"/>
                <w:color w:val="000000"/>
                <w:sz w:val="21"/>
                <w:szCs w:val="21"/>
              </w:rPr>
              <w:t xml:space="preserve">1.21 </w:t>
            </w:r>
          </w:p>
        </w:tc>
        <w:tc>
          <w:tcPr>
            <w:tcW w:w="302" w:type="pct"/>
            <w:tcBorders>
              <w:top w:val="nil"/>
              <w:left w:val="nil"/>
              <w:bottom w:val="single" w:color="auto" w:sz="4" w:space="0"/>
              <w:right w:val="single" w:color="auto" w:sz="4" w:space="0"/>
            </w:tcBorders>
            <w:shd w:val="clear" w:color="auto" w:fill="auto"/>
            <w:vAlign w:val="center"/>
          </w:tcPr>
          <w:p w14:paraId="0AD33A38">
            <w:pPr>
              <w:spacing w:line="240" w:lineRule="auto"/>
              <w:ind w:firstLine="0" w:firstLineChars="0"/>
              <w:jc w:val="center"/>
              <w:rPr>
                <w:rFonts w:cs="Times New Roman"/>
                <w:color w:val="000000"/>
                <w:sz w:val="21"/>
                <w:szCs w:val="21"/>
              </w:rPr>
            </w:pPr>
            <w:r>
              <w:rPr>
                <w:rFonts w:cs="Times New Roman"/>
                <w:color w:val="000000"/>
                <w:sz w:val="21"/>
                <w:szCs w:val="21"/>
              </w:rPr>
              <w:t xml:space="preserve">1.21 </w:t>
            </w:r>
          </w:p>
        </w:tc>
        <w:tc>
          <w:tcPr>
            <w:tcW w:w="333" w:type="pct"/>
            <w:gridSpan w:val="2"/>
            <w:tcBorders>
              <w:top w:val="nil"/>
              <w:left w:val="nil"/>
              <w:bottom w:val="single" w:color="auto" w:sz="4" w:space="0"/>
              <w:right w:val="single" w:color="auto" w:sz="4" w:space="0"/>
            </w:tcBorders>
            <w:shd w:val="clear" w:color="auto" w:fill="auto"/>
            <w:vAlign w:val="center"/>
          </w:tcPr>
          <w:p w14:paraId="17FA7EE0">
            <w:pPr>
              <w:spacing w:line="240" w:lineRule="auto"/>
              <w:ind w:firstLine="0" w:firstLineChars="0"/>
              <w:jc w:val="center"/>
              <w:rPr>
                <w:rFonts w:cs="Times New Roman"/>
                <w:color w:val="000000"/>
                <w:sz w:val="21"/>
                <w:szCs w:val="21"/>
              </w:rPr>
            </w:pPr>
            <w:r>
              <w:rPr>
                <w:rFonts w:cs="Times New Roman"/>
                <w:color w:val="000000"/>
                <w:sz w:val="21"/>
                <w:szCs w:val="21"/>
              </w:rPr>
              <w:t xml:space="preserve">1.21 </w:t>
            </w:r>
          </w:p>
        </w:tc>
        <w:tc>
          <w:tcPr>
            <w:tcW w:w="303" w:type="pct"/>
            <w:tcBorders>
              <w:top w:val="nil"/>
              <w:left w:val="nil"/>
              <w:bottom w:val="single" w:color="auto" w:sz="4" w:space="0"/>
              <w:right w:val="single" w:color="auto" w:sz="4" w:space="0"/>
            </w:tcBorders>
            <w:shd w:val="clear" w:color="auto" w:fill="auto"/>
            <w:vAlign w:val="center"/>
          </w:tcPr>
          <w:p w14:paraId="3D4AE067">
            <w:pPr>
              <w:spacing w:line="240" w:lineRule="auto"/>
              <w:ind w:firstLine="0" w:firstLineChars="0"/>
              <w:jc w:val="center"/>
              <w:rPr>
                <w:rFonts w:cs="Times New Roman"/>
                <w:color w:val="000000"/>
                <w:sz w:val="21"/>
                <w:szCs w:val="21"/>
              </w:rPr>
            </w:pPr>
            <w:r>
              <w:rPr>
                <w:rFonts w:cs="Times New Roman"/>
                <w:color w:val="000000"/>
                <w:sz w:val="21"/>
                <w:szCs w:val="21"/>
              </w:rPr>
              <w:t xml:space="preserve">1.21 </w:t>
            </w:r>
          </w:p>
        </w:tc>
        <w:tc>
          <w:tcPr>
            <w:tcW w:w="334" w:type="pct"/>
            <w:gridSpan w:val="2"/>
            <w:tcBorders>
              <w:top w:val="nil"/>
              <w:left w:val="nil"/>
              <w:bottom w:val="single" w:color="auto" w:sz="4" w:space="0"/>
              <w:right w:val="single" w:color="auto" w:sz="4" w:space="0"/>
            </w:tcBorders>
            <w:shd w:val="clear" w:color="auto" w:fill="auto"/>
            <w:vAlign w:val="center"/>
          </w:tcPr>
          <w:p w14:paraId="707242A6">
            <w:pPr>
              <w:spacing w:line="240" w:lineRule="auto"/>
              <w:ind w:firstLine="0" w:firstLineChars="0"/>
              <w:jc w:val="center"/>
              <w:rPr>
                <w:rFonts w:cs="Times New Roman"/>
                <w:color w:val="000000"/>
                <w:sz w:val="21"/>
                <w:szCs w:val="21"/>
              </w:rPr>
            </w:pPr>
            <w:r>
              <w:rPr>
                <w:rFonts w:cs="Times New Roman"/>
                <w:color w:val="000000"/>
                <w:sz w:val="21"/>
                <w:szCs w:val="21"/>
              </w:rPr>
              <w:t xml:space="preserve">1.21 </w:t>
            </w:r>
          </w:p>
        </w:tc>
        <w:tc>
          <w:tcPr>
            <w:tcW w:w="303" w:type="pct"/>
            <w:tcBorders>
              <w:top w:val="nil"/>
              <w:left w:val="nil"/>
              <w:bottom w:val="single" w:color="auto" w:sz="4" w:space="0"/>
              <w:right w:val="single" w:color="auto" w:sz="4" w:space="0"/>
            </w:tcBorders>
            <w:shd w:val="clear" w:color="auto" w:fill="auto"/>
            <w:vAlign w:val="center"/>
          </w:tcPr>
          <w:p w14:paraId="2E37FB0F">
            <w:pPr>
              <w:spacing w:line="240" w:lineRule="auto"/>
              <w:ind w:firstLine="0" w:firstLineChars="0"/>
              <w:jc w:val="center"/>
              <w:rPr>
                <w:rFonts w:cs="Times New Roman"/>
                <w:color w:val="000000"/>
                <w:sz w:val="21"/>
                <w:szCs w:val="21"/>
              </w:rPr>
            </w:pPr>
            <w:r>
              <w:rPr>
                <w:rFonts w:cs="Times New Roman"/>
                <w:color w:val="000000"/>
                <w:sz w:val="21"/>
                <w:szCs w:val="21"/>
              </w:rPr>
              <w:t xml:space="preserve">1.21 </w:t>
            </w:r>
          </w:p>
        </w:tc>
        <w:tc>
          <w:tcPr>
            <w:tcW w:w="301" w:type="pct"/>
            <w:tcBorders>
              <w:top w:val="nil"/>
              <w:left w:val="nil"/>
              <w:bottom w:val="single" w:color="auto" w:sz="4" w:space="0"/>
              <w:right w:val="single" w:color="auto" w:sz="4" w:space="0"/>
            </w:tcBorders>
            <w:shd w:val="clear" w:color="auto" w:fill="auto"/>
            <w:vAlign w:val="center"/>
          </w:tcPr>
          <w:p w14:paraId="7411B66B">
            <w:pPr>
              <w:spacing w:line="240" w:lineRule="auto"/>
              <w:ind w:firstLine="0" w:firstLineChars="0"/>
              <w:jc w:val="center"/>
              <w:rPr>
                <w:rFonts w:cs="Times New Roman"/>
                <w:color w:val="000000"/>
                <w:sz w:val="21"/>
                <w:szCs w:val="21"/>
              </w:rPr>
            </w:pPr>
            <w:r>
              <w:rPr>
                <w:rFonts w:cs="Times New Roman"/>
                <w:color w:val="000000"/>
                <w:sz w:val="21"/>
                <w:szCs w:val="21"/>
              </w:rPr>
              <w:t xml:space="preserve">1.21 </w:t>
            </w:r>
          </w:p>
        </w:tc>
      </w:tr>
      <w:tr w14:paraId="5BA8D3FA">
        <w:tblPrEx>
          <w:tblCellMar>
            <w:top w:w="0" w:type="dxa"/>
            <w:left w:w="108" w:type="dxa"/>
            <w:bottom w:w="0" w:type="dxa"/>
            <w:right w:w="108" w:type="dxa"/>
          </w:tblCellMar>
        </w:tblPrEx>
        <w:trPr>
          <w:cantSplit/>
          <w:trHeight w:val="425"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19CF77E0">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5DA880CB">
            <w:pPr>
              <w:spacing w:line="240" w:lineRule="auto"/>
              <w:ind w:firstLine="0" w:firstLineChars="0"/>
              <w:jc w:val="center"/>
              <w:rPr>
                <w:rFonts w:cs="Times New Roman"/>
                <w:color w:val="000000"/>
                <w:sz w:val="21"/>
                <w:szCs w:val="21"/>
              </w:rPr>
            </w:pPr>
            <w:r>
              <w:rPr>
                <w:rFonts w:cs="Times New Roman"/>
                <w:color w:val="000000"/>
                <w:sz w:val="21"/>
                <w:szCs w:val="21"/>
              </w:rPr>
              <w:t>坡度（°）</w:t>
            </w:r>
          </w:p>
        </w:tc>
        <w:tc>
          <w:tcPr>
            <w:tcW w:w="223" w:type="pct"/>
            <w:tcBorders>
              <w:top w:val="nil"/>
              <w:left w:val="nil"/>
              <w:bottom w:val="single" w:color="auto" w:sz="4" w:space="0"/>
              <w:right w:val="single" w:color="auto" w:sz="4" w:space="0"/>
            </w:tcBorders>
            <w:shd w:val="clear" w:color="auto" w:fill="auto"/>
            <w:vAlign w:val="center"/>
          </w:tcPr>
          <w:p w14:paraId="69E6A715">
            <w:pPr>
              <w:spacing w:line="240" w:lineRule="auto"/>
              <w:ind w:firstLine="0" w:firstLineChars="0"/>
              <w:jc w:val="center"/>
              <w:rPr>
                <w:rFonts w:cs="Times New Roman"/>
                <w:color w:val="000000"/>
                <w:sz w:val="21"/>
                <w:szCs w:val="21"/>
              </w:rPr>
            </w:pPr>
            <w:r>
              <w:rPr>
                <w:rFonts w:cs="Times New Roman"/>
                <w:color w:val="000000"/>
                <w:sz w:val="21"/>
                <w:szCs w:val="21"/>
              </w:rPr>
              <w:t>θ</w:t>
            </w:r>
          </w:p>
        </w:tc>
        <w:tc>
          <w:tcPr>
            <w:tcW w:w="865" w:type="pct"/>
            <w:tcBorders>
              <w:top w:val="nil"/>
              <w:left w:val="nil"/>
              <w:bottom w:val="single" w:color="auto" w:sz="4" w:space="0"/>
              <w:right w:val="single" w:color="auto" w:sz="4" w:space="0"/>
            </w:tcBorders>
            <w:shd w:val="clear" w:color="auto" w:fill="auto"/>
            <w:vAlign w:val="center"/>
          </w:tcPr>
          <w:p w14:paraId="1054222D">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07E0E321">
            <w:pPr>
              <w:spacing w:line="240" w:lineRule="auto"/>
              <w:ind w:firstLine="0" w:firstLineChars="0"/>
              <w:jc w:val="center"/>
              <w:rPr>
                <w:rFonts w:cs="Times New Roman"/>
                <w:color w:val="000000"/>
                <w:sz w:val="21"/>
                <w:szCs w:val="21"/>
              </w:rPr>
            </w:pPr>
            <w:r>
              <w:rPr>
                <w:rFonts w:cs="Times New Roman"/>
                <w:color w:val="000000"/>
                <w:sz w:val="21"/>
                <w:szCs w:val="21"/>
              </w:rPr>
              <w:t>6</w:t>
            </w:r>
          </w:p>
        </w:tc>
        <w:tc>
          <w:tcPr>
            <w:tcW w:w="333" w:type="pct"/>
            <w:gridSpan w:val="2"/>
            <w:tcBorders>
              <w:top w:val="nil"/>
              <w:left w:val="nil"/>
              <w:bottom w:val="single" w:color="auto" w:sz="4" w:space="0"/>
              <w:right w:val="single" w:color="auto" w:sz="4" w:space="0"/>
            </w:tcBorders>
            <w:shd w:val="clear" w:color="auto" w:fill="auto"/>
            <w:vAlign w:val="center"/>
          </w:tcPr>
          <w:p w14:paraId="5DD29FA4">
            <w:pPr>
              <w:spacing w:line="240" w:lineRule="auto"/>
              <w:ind w:firstLine="0" w:firstLineChars="0"/>
              <w:jc w:val="center"/>
              <w:rPr>
                <w:rFonts w:cs="Times New Roman"/>
                <w:color w:val="000000"/>
                <w:sz w:val="21"/>
                <w:szCs w:val="21"/>
              </w:rPr>
            </w:pPr>
            <w:r>
              <w:rPr>
                <w:rFonts w:cs="Times New Roman"/>
                <w:color w:val="000000"/>
                <w:sz w:val="21"/>
                <w:szCs w:val="21"/>
              </w:rPr>
              <w:t>6</w:t>
            </w:r>
          </w:p>
        </w:tc>
        <w:tc>
          <w:tcPr>
            <w:tcW w:w="302" w:type="pct"/>
            <w:tcBorders>
              <w:top w:val="nil"/>
              <w:left w:val="nil"/>
              <w:bottom w:val="single" w:color="auto" w:sz="4" w:space="0"/>
              <w:right w:val="single" w:color="auto" w:sz="4" w:space="0"/>
            </w:tcBorders>
            <w:shd w:val="clear" w:color="auto" w:fill="auto"/>
            <w:vAlign w:val="center"/>
          </w:tcPr>
          <w:p w14:paraId="163F3059">
            <w:pPr>
              <w:spacing w:line="240" w:lineRule="auto"/>
              <w:ind w:firstLine="0" w:firstLineChars="0"/>
              <w:jc w:val="center"/>
              <w:rPr>
                <w:rFonts w:cs="Times New Roman"/>
                <w:color w:val="000000"/>
                <w:sz w:val="21"/>
                <w:szCs w:val="21"/>
              </w:rPr>
            </w:pPr>
            <w:r>
              <w:rPr>
                <w:rFonts w:cs="Times New Roman"/>
                <w:color w:val="000000"/>
                <w:sz w:val="21"/>
                <w:szCs w:val="21"/>
              </w:rPr>
              <w:t>6</w:t>
            </w:r>
          </w:p>
        </w:tc>
        <w:tc>
          <w:tcPr>
            <w:tcW w:w="333" w:type="pct"/>
            <w:gridSpan w:val="2"/>
            <w:tcBorders>
              <w:top w:val="nil"/>
              <w:left w:val="nil"/>
              <w:bottom w:val="single" w:color="auto" w:sz="4" w:space="0"/>
              <w:right w:val="single" w:color="auto" w:sz="4" w:space="0"/>
            </w:tcBorders>
            <w:shd w:val="clear" w:color="auto" w:fill="auto"/>
            <w:vAlign w:val="center"/>
          </w:tcPr>
          <w:p w14:paraId="2A325EFB">
            <w:pPr>
              <w:spacing w:line="240" w:lineRule="auto"/>
              <w:ind w:firstLine="0" w:firstLineChars="0"/>
              <w:jc w:val="center"/>
              <w:rPr>
                <w:rFonts w:cs="Times New Roman"/>
                <w:color w:val="000000"/>
                <w:sz w:val="21"/>
                <w:szCs w:val="21"/>
              </w:rPr>
            </w:pPr>
            <w:r>
              <w:rPr>
                <w:rFonts w:cs="Times New Roman"/>
                <w:color w:val="000000"/>
                <w:sz w:val="21"/>
                <w:szCs w:val="21"/>
              </w:rPr>
              <w:t>6</w:t>
            </w:r>
          </w:p>
        </w:tc>
        <w:tc>
          <w:tcPr>
            <w:tcW w:w="302" w:type="pct"/>
            <w:tcBorders>
              <w:top w:val="nil"/>
              <w:left w:val="nil"/>
              <w:bottom w:val="single" w:color="auto" w:sz="4" w:space="0"/>
              <w:right w:val="single" w:color="auto" w:sz="4" w:space="0"/>
            </w:tcBorders>
            <w:shd w:val="clear" w:color="auto" w:fill="auto"/>
            <w:vAlign w:val="center"/>
          </w:tcPr>
          <w:p w14:paraId="3DCDC9C0">
            <w:pPr>
              <w:spacing w:line="240" w:lineRule="auto"/>
              <w:ind w:firstLine="0" w:firstLineChars="0"/>
              <w:jc w:val="center"/>
              <w:rPr>
                <w:rFonts w:cs="Times New Roman"/>
                <w:color w:val="000000"/>
                <w:sz w:val="21"/>
                <w:szCs w:val="21"/>
              </w:rPr>
            </w:pPr>
            <w:r>
              <w:rPr>
                <w:rFonts w:cs="Times New Roman"/>
                <w:color w:val="000000"/>
                <w:sz w:val="21"/>
                <w:szCs w:val="21"/>
              </w:rPr>
              <w:t>6</w:t>
            </w:r>
          </w:p>
        </w:tc>
        <w:tc>
          <w:tcPr>
            <w:tcW w:w="333" w:type="pct"/>
            <w:gridSpan w:val="2"/>
            <w:tcBorders>
              <w:top w:val="nil"/>
              <w:left w:val="nil"/>
              <w:bottom w:val="single" w:color="auto" w:sz="4" w:space="0"/>
              <w:right w:val="single" w:color="auto" w:sz="4" w:space="0"/>
            </w:tcBorders>
            <w:shd w:val="clear" w:color="auto" w:fill="auto"/>
            <w:vAlign w:val="center"/>
          </w:tcPr>
          <w:p w14:paraId="1A1B720E">
            <w:pPr>
              <w:spacing w:line="240" w:lineRule="auto"/>
              <w:ind w:firstLine="0" w:firstLineChars="0"/>
              <w:jc w:val="center"/>
              <w:rPr>
                <w:rFonts w:cs="Times New Roman"/>
                <w:color w:val="000000"/>
                <w:sz w:val="21"/>
                <w:szCs w:val="21"/>
              </w:rPr>
            </w:pPr>
            <w:r>
              <w:rPr>
                <w:rFonts w:cs="Times New Roman"/>
                <w:color w:val="000000"/>
                <w:sz w:val="21"/>
                <w:szCs w:val="21"/>
              </w:rPr>
              <w:t>6</w:t>
            </w:r>
          </w:p>
        </w:tc>
        <w:tc>
          <w:tcPr>
            <w:tcW w:w="303" w:type="pct"/>
            <w:tcBorders>
              <w:top w:val="nil"/>
              <w:left w:val="nil"/>
              <w:bottom w:val="single" w:color="auto" w:sz="4" w:space="0"/>
              <w:right w:val="single" w:color="auto" w:sz="4" w:space="0"/>
            </w:tcBorders>
            <w:shd w:val="clear" w:color="auto" w:fill="auto"/>
            <w:vAlign w:val="center"/>
          </w:tcPr>
          <w:p w14:paraId="48393DB7">
            <w:pPr>
              <w:spacing w:line="240" w:lineRule="auto"/>
              <w:ind w:firstLine="0" w:firstLineChars="0"/>
              <w:jc w:val="center"/>
              <w:rPr>
                <w:rFonts w:cs="Times New Roman"/>
                <w:color w:val="000000"/>
                <w:sz w:val="21"/>
                <w:szCs w:val="21"/>
              </w:rPr>
            </w:pPr>
            <w:r>
              <w:rPr>
                <w:rFonts w:cs="Times New Roman"/>
                <w:color w:val="000000"/>
                <w:sz w:val="21"/>
                <w:szCs w:val="21"/>
              </w:rPr>
              <w:t>6</w:t>
            </w:r>
          </w:p>
        </w:tc>
        <w:tc>
          <w:tcPr>
            <w:tcW w:w="334" w:type="pct"/>
            <w:gridSpan w:val="2"/>
            <w:tcBorders>
              <w:top w:val="nil"/>
              <w:left w:val="nil"/>
              <w:bottom w:val="single" w:color="auto" w:sz="4" w:space="0"/>
              <w:right w:val="single" w:color="auto" w:sz="4" w:space="0"/>
            </w:tcBorders>
            <w:shd w:val="clear" w:color="auto" w:fill="auto"/>
            <w:vAlign w:val="center"/>
          </w:tcPr>
          <w:p w14:paraId="35A23F2A">
            <w:pPr>
              <w:spacing w:line="240" w:lineRule="auto"/>
              <w:ind w:firstLine="0" w:firstLineChars="0"/>
              <w:jc w:val="center"/>
              <w:rPr>
                <w:rFonts w:cs="Times New Roman"/>
                <w:color w:val="000000"/>
                <w:sz w:val="21"/>
                <w:szCs w:val="21"/>
              </w:rPr>
            </w:pPr>
            <w:r>
              <w:rPr>
                <w:rFonts w:cs="Times New Roman"/>
                <w:color w:val="000000"/>
                <w:sz w:val="21"/>
                <w:szCs w:val="21"/>
              </w:rPr>
              <w:t>6</w:t>
            </w:r>
          </w:p>
        </w:tc>
        <w:tc>
          <w:tcPr>
            <w:tcW w:w="303" w:type="pct"/>
            <w:tcBorders>
              <w:top w:val="nil"/>
              <w:left w:val="nil"/>
              <w:bottom w:val="single" w:color="auto" w:sz="4" w:space="0"/>
              <w:right w:val="single" w:color="auto" w:sz="4" w:space="0"/>
            </w:tcBorders>
            <w:shd w:val="clear" w:color="auto" w:fill="auto"/>
            <w:vAlign w:val="center"/>
          </w:tcPr>
          <w:p w14:paraId="0D580860">
            <w:pPr>
              <w:spacing w:line="240" w:lineRule="auto"/>
              <w:ind w:firstLine="0" w:firstLineChars="0"/>
              <w:jc w:val="center"/>
              <w:rPr>
                <w:rFonts w:cs="Times New Roman"/>
                <w:color w:val="000000"/>
                <w:sz w:val="21"/>
                <w:szCs w:val="21"/>
              </w:rPr>
            </w:pPr>
            <w:r>
              <w:rPr>
                <w:rFonts w:cs="Times New Roman"/>
                <w:color w:val="000000"/>
                <w:sz w:val="21"/>
                <w:szCs w:val="21"/>
              </w:rPr>
              <w:t>6</w:t>
            </w:r>
          </w:p>
        </w:tc>
        <w:tc>
          <w:tcPr>
            <w:tcW w:w="301" w:type="pct"/>
            <w:tcBorders>
              <w:top w:val="nil"/>
              <w:left w:val="nil"/>
              <w:bottom w:val="single" w:color="auto" w:sz="4" w:space="0"/>
              <w:right w:val="single" w:color="auto" w:sz="4" w:space="0"/>
            </w:tcBorders>
            <w:shd w:val="clear" w:color="auto" w:fill="auto"/>
            <w:vAlign w:val="center"/>
          </w:tcPr>
          <w:p w14:paraId="2032951A">
            <w:pPr>
              <w:spacing w:line="240" w:lineRule="auto"/>
              <w:ind w:firstLine="0" w:firstLineChars="0"/>
              <w:jc w:val="center"/>
              <w:rPr>
                <w:rFonts w:cs="Times New Roman"/>
                <w:color w:val="000000"/>
                <w:sz w:val="21"/>
                <w:szCs w:val="21"/>
              </w:rPr>
            </w:pPr>
            <w:r>
              <w:rPr>
                <w:rFonts w:cs="Times New Roman"/>
                <w:color w:val="000000"/>
                <w:sz w:val="21"/>
                <w:szCs w:val="21"/>
              </w:rPr>
              <w:t>6</w:t>
            </w:r>
          </w:p>
        </w:tc>
      </w:tr>
      <w:tr w14:paraId="099EEC9B">
        <w:tblPrEx>
          <w:tblCellMar>
            <w:top w:w="0" w:type="dxa"/>
            <w:left w:w="108" w:type="dxa"/>
            <w:bottom w:w="0" w:type="dxa"/>
            <w:right w:w="108" w:type="dxa"/>
          </w:tblCellMar>
        </w:tblPrEx>
        <w:trPr>
          <w:cantSplit/>
          <w:trHeight w:val="425"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458D3FB5">
            <w:pPr>
              <w:spacing w:line="240" w:lineRule="auto"/>
              <w:ind w:firstLine="0" w:firstLineChars="0"/>
              <w:jc w:val="center"/>
              <w:rPr>
                <w:rFonts w:cs="Times New Roman"/>
                <w:color w:val="000000"/>
                <w:sz w:val="21"/>
                <w:szCs w:val="21"/>
              </w:rPr>
            </w:pPr>
            <w:r>
              <w:rPr>
                <w:rFonts w:cs="Times New Roman"/>
                <w:color w:val="000000"/>
                <w:sz w:val="21"/>
                <w:szCs w:val="21"/>
              </w:rPr>
              <w:t>6</w:t>
            </w:r>
          </w:p>
        </w:tc>
        <w:tc>
          <w:tcPr>
            <w:tcW w:w="589" w:type="pct"/>
            <w:tcBorders>
              <w:top w:val="nil"/>
              <w:left w:val="nil"/>
              <w:bottom w:val="single" w:color="auto" w:sz="4" w:space="0"/>
              <w:right w:val="single" w:color="auto" w:sz="4" w:space="0"/>
            </w:tcBorders>
            <w:shd w:val="clear" w:color="auto" w:fill="auto"/>
            <w:vAlign w:val="center"/>
          </w:tcPr>
          <w:p w14:paraId="0D130D2B">
            <w:pPr>
              <w:spacing w:line="240" w:lineRule="auto"/>
              <w:ind w:firstLine="0" w:firstLineChars="0"/>
              <w:jc w:val="center"/>
              <w:rPr>
                <w:rFonts w:cs="Times New Roman"/>
                <w:color w:val="000000"/>
                <w:sz w:val="21"/>
                <w:szCs w:val="21"/>
              </w:rPr>
            </w:pPr>
            <w:r>
              <w:rPr>
                <w:rFonts w:cs="Times New Roman"/>
                <w:color w:val="000000"/>
                <w:sz w:val="21"/>
                <w:szCs w:val="21"/>
              </w:rPr>
              <w:t>植被覆盖因子</w:t>
            </w:r>
          </w:p>
        </w:tc>
        <w:tc>
          <w:tcPr>
            <w:tcW w:w="223" w:type="pct"/>
            <w:tcBorders>
              <w:top w:val="nil"/>
              <w:left w:val="nil"/>
              <w:bottom w:val="single" w:color="auto" w:sz="4" w:space="0"/>
              <w:right w:val="single" w:color="auto" w:sz="4" w:space="0"/>
            </w:tcBorders>
            <w:shd w:val="clear" w:color="auto" w:fill="auto"/>
            <w:vAlign w:val="center"/>
          </w:tcPr>
          <w:p w14:paraId="72986A36">
            <w:pPr>
              <w:spacing w:line="240" w:lineRule="auto"/>
              <w:ind w:firstLine="0" w:firstLineChars="0"/>
              <w:jc w:val="center"/>
              <w:rPr>
                <w:rFonts w:cs="Times New Roman"/>
                <w:color w:val="000000"/>
                <w:sz w:val="21"/>
                <w:szCs w:val="21"/>
              </w:rPr>
            </w:pPr>
            <w:r>
              <w:rPr>
                <w:rFonts w:cs="Times New Roman"/>
                <w:color w:val="000000"/>
                <w:sz w:val="21"/>
                <w:szCs w:val="21"/>
              </w:rPr>
              <w:t>B</w:t>
            </w:r>
          </w:p>
        </w:tc>
        <w:tc>
          <w:tcPr>
            <w:tcW w:w="865" w:type="pct"/>
            <w:tcBorders>
              <w:top w:val="nil"/>
              <w:left w:val="nil"/>
              <w:bottom w:val="single" w:color="auto" w:sz="4" w:space="0"/>
              <w:right w:val="single" w:color="auto" w:sz="4" w:space="0"/>
            </w:tcBorders>
            <w:shd w:val="clear" w:color="auto" w:fill="auto"/>
            <w:vAlign w:val="center"/>
          </w:tcPr>
          <w:p w14:paraId="20115ECA">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7AF17B6A">
            <w:pPr>
              <w:spacing w:line="240" w:lineRule="auto"/>
              <w:ind w:firstLine="0" w:firstLineChars="0"/>
              <w:jc w:val="center"/>
              <w:rPr>
                <w:rFonts w:cs="Times New Roman"/>
                <w:color w:val="000000"/>
                <w:sz w:val="21"/>
                <w:szCs w:val="21"/>
              </w:rPr>
            </w:pPr>
            <w:r>
              <w:rPr>
                <w:rFonts w:cs="Times New Roman"/>
                <w:color w:val="000000"/>
                <w:sz w:val="21"/>
                <w:szCs w:val="21"/>
              </w:rPr>
              <w:t>0.418</w:t>
            </w:r>
          </w:p>
        </w:tc>
        <w:tc>
          <w:tcPr>
            <w:tcW w:w="333" w:type="pct"/>
            <w:gridSpan w:val="2"/>
            <w:tcBorders>
              <w:top w:val="nil"/>
              <w:left w:val="nil"/>
              <w:bottom w:val="single" w:color="auto" w:sz="4" w:space="0"/>
              <w:right w:val="single" w:color="auto" w:sz="4" w:space="0"/>
            </w:tcBorders>
            <w:shd w:val="clear" w:color="auto" w:fill="auto"/>
            <w:vAlign w:val="center"/>
          </w:tcPr>
          <w:p w14:paraId="7A5B5A62">
            <w:pPr>
              <w:spacing w:line="240" w:lineRule="auto"/>
              <w:ind w:firstLine="0" w:firstLineChars="0"/>
              <w:jc w:val="center"/>
              <w:rPr>
                <w:rFonts w:cs="Times New Roman"/>
                <w:color w:val="000000"/>
                <w:sz w:val="21"/>
                <w:szCs w:val="21"/>
              </w:rPr>
            </w:pPr>
            <w:r>
              <w:rPr>
                <w:rFonts w:cs="Times New Roman"/>
                <w:color w:val="000000"/>
                <w:sz w:val="21"/>
                <w:szCs w:val="21"/>
              </w:rPr>
              <w:t>0.345</w:t>
            </w:r>
          </w:p>
        </w:tc>
        <w:tc>
          <w:tcPr>
            <w:tcW w:w="302" w:type="pct"/>
            <w:tcBorders>
              <w:top w:val="nil"/>
              <w:left w:val="nil"/>
              <w:bottom w:val="single" w:color="auto" w:sz="4" w:space="0"/>
              <w:right w:val="single" w:color="auto" w:sz="4" w:space="0"/>
            </w:tcBorders>
            <w:shd w:val="clear" w:color="auto" w:fill="auto"/>
            <w:vAlign w:val="center"/>
          </w:tcPr>
          <w:p w14:paraId="1BCFAF19">
            <w:pPr>
              <w:spacing w:line="240" w:lineRule="auto"/>
              <w:ind w:firstLine="0" w:firstLineChars="0"/>
              <w:jc w:val="center"/>
              <w:rPr>
                <w:rFonts w:cs="Times New Roman"/>
                <w:color w:val="000000"/>
                <w:sz w:val="21"/>
                <w:szCs w:val="21"/>
              </w:rPr>
            </w:pPr>
            <w:r>
              <w:rPr>
                <w:rFonts w:cs="Times New Roman"/>
                <w:color w:val="000000"/>
                <w:sz w:val="21"/>
                <w:szCs w:val="21"/>
              </w:rPr>
              <w:t>0.267</w:t>
            </w:r>
          </w:p>
        </w:tc>
        <w:tc>
          <w:tcPr>
            <w:tcW w:w="333" w:type="pct"/>
            <w:gridSpan w:val="2"/>
            <w:tcBorders>
              <w:top w:val="nil"/>
              <w:left w:val="nil"/>
              <w:bottom w:val="single" w:color="auto" w:sz="4" w:space="0"/>
              <w:right w:val="single" w:color="auto" w:sz="4" w:space="0"/>
            </w:tcBorders>
            <w:shd w:val="clear" w:color="auto" w:fill="auto"/>
            <w:vAlign w:val="center"/>
          </w:tcPr>
          <w:p w14:paraId="1F6C9872">
            <w:pPr>
              <w:spacing w:line="240" w:lineRule="auto"/>
              <w:ind w:firstLine="0" w:firstLineChars="0"/>
              <w:jc w:val="center"/>
              <w:rPr>
                <w:rFonts w:cs="Times New Roman"/>
                <w:color w:val="000000"/>
                <w:sz w:val="21"/>
                <w:szCs w:val="21"/>
              </w:rPr>
            </w:pPr>
            <w:r>
              <w:rPr>
                <w:rFonts w:cs="Times New Roman"/>
                <w:color w:val="000000"/>
                <w:sz w:val="21"/>
                <w:szCs w:val="21"/>
              </w:rPr>
              <w:t>0.242</w:t>
            </w:r>
          </w:p>
        </w:tc>
        <w:tc>
          <w:tcPr>
            <w:tcW w:w="302" w:type="pct"/>
            <w:tcBorders>
              <w:top w:val="nil"/>
              <w:left w:val="nil"/>
              <w:bottom w:val="single" w:color="auto" w:sz="4" w:space="0"/>
              <w:right w:val="single" w:color="auto" w:sz="4" w:space="0"/>
            </w:tcBorders>
            <w:shd w:val="clear" w:color="auto" w:fill="auto"/>
            <w:vAlign w:val="center"/>
          </w:tcPr>
          <w:p w14:paraId="0F68CA44">
            <w:pPr>
              <w:spacing w:line="240" w:lineRule="auto"/>
              <w:ind w:firstLine="0" w:firstLineChars="0"/>
              <w:jc w:val="center"/>
              <w:rPr>
                <w:rFonts w:cs="Times New Roman"/>
                <w:color w:val="000000"/>
                <w:sz w:val="21"/>
                <w:szCs w:val="21"/>
              </w:rPr>
            </w:pPr>
            <w:r>
              <w:rPr>
                <w:rFonts w:cs="Times New Roman"/>
                <w:color w:val="000000"/>
                <w:sz w:val="21"/>
                <w:szCs w:val="21"/>
              </w:rPr>
              <w:t>0.2</w:t>
            </w:r>
          </w:p>
        </w:tc>
        <w:tc>
          <w:tcPr>
            <w:tcW w:w="333" w:type="pct"/>
            <w:gridSpan w:val="2"/>
            <w:tcBorders>
              <w:top w:val="nil"/>
              <w:left w:val="nil"/>
              <w:bottom w:val="single" w:color="auto" w:sz="4" w:space="0"/>
              <w:right w:val="single" w:color="auto" w:sz="4" w:space="0"/>
            </w:tcBorders>
            <w:shd w:val="clear" w:color="auto" w:fill="auto"/>
            <w:vAlign w:val="center"/>
          </w:tcPr>
          <w:p w14:paraId="3134E03A">
            <w:pPr>
              <w:spacing w:line="240" w:lineRule="auto"/>
              <w:ind w:firstLine="0" w:firstLineChars="0"/>
              <w:jc w:val="center"/>
              <w:rPr>
                <w:rFonts w:cs="Times New Roman"/>
                <w:color w:val="000000"/>
                <w:sz w:val="21"/>
                <w:szCs w:val="21"/>
              </w:rPr>
            </w:pPr>
            <w:r>
              <w:rPr>
                <w:rFonts w:cs="Times New Roman"/>
                <w:color w:val="000000"/>
                <w:sz w:val="21"/>
                <w:szCs w:val="21"/>
              </w:rPr>
              <w:t>0.418</w:t>
            </w:r>
          </w:p>
        </w:tc>
        <w:tc>
          <w:tcPr>
            <w:tcW w:w="303" w:type="pct"/>
            <w:tcBorders>
              <w:top w:val="nil"/>
              <w:left w:val="nil"/>
              <w:bottom w:val="single" w:color="auto" w:sz="4" w:space="0"/>
              <w:right w:val="single" w:color="auto" w:sz="4" w:space="0"/>
            </w:tcBorders>
            <w:shd w:val="clear" w:color="auto" w:fill="auto"/>
            <w:vAlign w:val="center"/>
          </w:tcPr>
          <w:p w14:paraId="62672FE6">
            <w:pPr>
              <w:spacing w:line="240" w:lineRule="auto"/>
              <w:ind w:firstLine="0" w:firstLineChars="0"/>
              <w:jc w:val="center"/>
              <w:rPr>
                <w:rFonts w:cs="Times New Roman"/>
                <w:color w:val="000000"/>
                <w:sz w:val="21"/>
                <w:szCs w:val="21"/>
              </w:rPr>
            </w:pPr>
            <w:r>
              <w:rPr>
                <w:rFonts w:cs="Times New Roman"/>
                <w:color w:val="000000"/>
                <w:sz w:val="21"/>
                <w:szCs w:val="21"/>
              </w:rPr>
              <w:t>0.345</w:t>
            </w:r>
          </w:p>
        </w:tc>
        <w:tc>
          <w:tcPr>
            <w:tcW w:w="334" w:type="pct"/>
            <w:gridSpan w:val="2"/>
            <w:tcBorders>
              <w:top w:val="nil"/>
              <w:left w:val="nil"/>
              <w:bottom w:val="single" w:color="auto" w:sz="4" w:space="0"/>
              <w:right w:val="single" w:color="auto" w:sz="4" w:space="0"/>
            </w:tcBorders>
            <w:shd w:val="clear" w:color="auto" w:fill="auto"/>
            <w:vAlign w:val="center"/>
          </w:tcPr>
          <w:p w14:paraId="510CAC35">
            <w:pPr>
              <w:spacing w:line="240" w:lineRule="auto"/>
              <w:ind w:firstLine="0" w:firstLineChars="0"/>
              <w:jc w:val="center"/>
              <w:rPr>
                <w:rFonts w:cs="Times New Roman"/>
                <w:color w:val="000000"/>
                <w:sz w:val="21"/>
                <w:szCs w:val="21"/>
              </w:rPr>
            </w:pPr>
            <w:r>
              <w:rPr>
                <w:rFonts w:cs="Times New Roman"/>
                <w:color w:val="000000"/>
                <w:sz w:val="21"/>
                <w:szCs w:val="21"/>
              </w:rPr>
              <w:t>0.267</w:t>
            </w:r>
          </w:p>
        </w:tc>
        <w:tc>
          <w:tcPr>
            <w:tcW w:w="303" w:type="pct"/>
            <w:tcBorders>
              <w:top w:val="nil"/>
              <w:left w:val="nil"/>
              <w:bottom w:val="single" w:color="auto" w:sz="4" w:space="0"/>
              <w:right w:val="single" w:color="auto" w:sz="4" w:space="0"/>
            </w:tcBorders>
            <w:shd w:val="clear" w:color="auto" w:fill="auto"/>
            <w:vAlign w:val="center"/>
          </w:tcPr>
          <w:p w14:paraId="3E6FF7E3">
            <w:pPr>
              <w:spacing w:line="240" w:lineRule="auto"/>
              <w:ind w:firstLine="0" w:firstLineChars="0"/>
              <w:jc w:val="center"/>
              <w:rPr>
                <w:rFonts w:cs="Times New Roman"/>
                <w:color w:val="000000"/>
                <w:sz w:val="21"/>
                <w:szCs w:val="21"/>
              </w:rPr>
            </w:pPr>
            <w:r>
              <w:rPr>
                <w:rFonts w:cs="Times New Roman"/>
                <w:color w:val="000000"/>
                <w:sz w:val="21"/>
                <w:szCs w:val="21"/>
              </w:rPr>
              <w:t>0.242</w:t>
            </w:r>
          </w:p>
        </w:tc>
        <w:tc>
          <w:tcPr>
            <w:tcW w:w="301" w:type="pct"/>
            <w:tcBorders>
              <w:top w:val="nil"/>
              <w:left w:val="nil"/>
              <w:bottom w:val="single" w:color="auto" w:sz="4" w:space="0"/>
              <w:right w:val="single" w:color="auto" w:sz="4" w:space="0"/>
            </w:tcBorders>
            <w:shd w:val="clear" w:color="auto" w:fill="auto"/>
            <w:vAlign w:val="center"/>
          </w:tcPr>
          <w:p w14:paraId="74A1320D">
            <w:pPr>
              <w:spacing w:line="240" w:lineRule="auto"/>
              <w:ind w:firstLine="0" w:firstLineChars="0"/>
              <w:jc w:val="center"/>
              <w:rPr>
                <w:rFonts w:cs="Times New Roman"/>
                <w:color w:val="000000"/>
                <w:sz w:val="21"/>
                <w:szCs w:val="21"/>
              </w:rPr>
            </w:pPr>
            <w:r>
              <w:rPr>
                <w:rFonts w:cs="Times New Roman"/>
                <w:color w:val="000000"/>
                <w:sz w:val="21"/>
                <w:szCs w:val="21"/>
              </w:rPr>
              <w:t>0.2</w:t>
            </w:r>
          </w:p>
        </w:tc>
      </w:tr>
      <w:tr w14:paraId="6F6A7498">
        <w:tblPrEx>
          <w:tblCellMar>
            <w:top w:w="0" w:type="dxa"/>
            <w:left w:w="108" w:type="dxa"/>
            <w:bottom w:w="0" w:type="dxa"/>
            <w:right w:w="108" w:type="dxa"/>
          </w:tblCellMar>
        </w:tblPrEx>
        <w:trPr>
          <w:cantSplit/>
          <w:trHeight w:val="425"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6CC9E652">
            <w:pPr>
              <w:spacing w:line="240" w:lineRule="auto"/>
              <w:ind w:firstLine="0" w:firstLineChars="0"/>
              <w:jc w:val="center"/>
              <w:rPr>
                <w:rFonts w:cs="Times New Roman"/>
                <w:color w:val="000000"/>
                <w:sz w:val="21"/>
                <w:szCs w:val="21"/>
              </w:rPr>
            </w:pPr>
            <w:r>
              <w:rPr>
                <w:rFonts w:cs="Times New Roman"/>
                <w:color w:val="000000"/>
                <w:sz w:val="21"/>
                <w:szCs w:val="21"/>
              </w:rPr>
              <w:t>7</w:t>
            </w:r>
          </w:p>
        </w:tc>
        <w:tc>
          <w:tcPr>
            <w:tcW w:w="589" w:type="pct"/>
            <w:tcBorders>
              <w:top w:val="nil"/>
              <w:left w:val="nil"/>
              <w:bottom w:val="single" w:color="auto" w:sz="4" w:space="0"/>
              <w:right w:val="single" w:color="auto" w:sz="4" w:space="0"/>
            </w:tcBorders>
            <w:shd w:val="clear" w:color="auto" w:fill="auto"/>
            <w:vAlign w:val="center"/>
          </w:tcPr>
          <w:p w14:paraId="716ED636">
            <w:pPr>
              <w:spacing w:line="240" w:lineRule="auto"/>
              <w:ind w:firstLine="0" w:firstLineChars="0"/>
              <w:jc w:val="center"/>
              <w:rPr>
                <w:rFonts w:cs="Times New Roman"/>
                <w:color w:val="000000"/>
                <w:sz w:val="21"/>
                <w:szCs w:val="21"/>
              </w:rPr>
            </w:pPr>
            <w:r>
              <w:rPr>
                <w:rFonts w:cs="Times New Roman"/>
                <w:color w:val="000000"/>
                <w:sz w:val="21"/>
                <w:szCs w:val="21"/>
              </w:rPr>
              <w:t>工程措施因子</w:t>
            </w:r>
          </w:p>
        </w:tc>
        <w:tc>
          <w:tcPr>
            <w:tcW w:w="223" w:type="pct"/>
            <w:tcBorders>
              <w:top w:val="nil"/>
              <w:left w:val="nil"/>
              <w:bottom w:val="single" w:color="auto" w:sz="4" w:space="0"/>
              <w:right w:val="single" w:color="auto" w:sz="4" w:space="0"/>
            </w:tcBorders>
            <w:shd w:val="clear" w:color="auto" w:fill="auto"/>
            <w:vAlign w:val="center"/>
          </w:tcPr>
          <w:p w14:paraId="69034B1E">
            <w:pPr>
              <w:spacing w:line="240" w:lineRule="auto"/>
              <w:ind w:firstLine="0" w:firstLineChars="0"/>
              <w:jc w:val="center"/>
              <w:rPr>
                <w:rFonts w:cs="Times New Roman"/>
                <w:color w:val="000000"/>
                <w:sz w:val="21"/>
                <w:szCs w:val="21"/>
              </w:rPr>
            </w:pPr>
            <w:r>
              <w:rPr>
                <w:rFonts w:cs="Times New Roman"/>
                <w:color w:val="000000"/>
                <w:sz w:val="21"/>
                <w:szCs w:val="21"/>
              </w:rPr>
              <w:t>E</w:t>
            </w:r>
          </w:p>
        </w:tc>
        <w:tc>
          <w:tcPr>
            <w:tcW w:w="865" w:type="pct"/>
            <w:tcBorders>
              <w:top w:val="nil"/>
              <w:left w:val="nil"/>
              <w:bottom w:val="single" w:color="auto" w:sz="4" w:space="0"/>
              <w:right w:val="single" w:color="auto" w:sz="4" w:space="0"/>
            </w:tcBorders>
            <w:shd w:val="clear" w:color="auto" w:fill="auto"/>
            <w:vAlign w:val="center"/>
          </w:tcPr>
          <w:p w14:paraId="762AD34E">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38F9B300">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333" w:type="pct"/>
            <w:gridSpan w:val="2"/>
            <w:tcBorders>
              <w:top w:val="nil"/>
              <w:left w:val="nil"/>
              <w:bottom w:val="single" w:color="auto" w:sz="4" w:space="0"/>
              <w:right w:val="single" w:color="auto" w:sz="4" w:space="0"/>
            </w:tcBorders>
            <w:shd w:val="clear" w:color="auto" w:fill="auto"/>
            <w:vAlign w:val="center"/>
          </w:tcPr>
          <w:p w14:paraId="79E53B09">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302" w:type="pct"/>
            <w:tcBorders>
              <w:top w:val="nil"/>
              <w:left w:val="nil"/>
              <w:bottom w:val="single" w:color="auto" w:sz="4" w:space="0"/>
              <w:right w:val="single" w:color="auto" w:sz="4" w:space="0"/>
            </w:tcBorders>
            <w:shd w:val="clear" w:color="auto" w:fill="auto"/>
            <w:vAlign w:val="center"/>
          </w:tcPr>
          <w:p w14:paraId="0FB8C875">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333" w:type="pct"/>
            <w:gridSpan w:val="2"/>
            <w:tcBorders>
              <w:top w:val="nil"/>
              <w:left w:val="nil"/>
              <w:bottom w:val="single" w:color="auto" w:sz="4" w:space="0"/>
              <w:right w:val="single" w:color="auto" w:sz="4" w:space="0"/>
            </w:tcBorders>
            <w:shd w:val="clear" w:color="auto" w:fill="auto"/>
            <w:vAlign w:val="center"/>
          </w:tcPr>
          <w:p w14:paraId="046ADD08">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302" w:type="pct"/>
            <w:tcBorders>
              <w:top w:val="nil"/>
              <w:left w:val="nil"/>
              <w:bottom w:val="single" w:color="auto" w:sz="4" w:space="0"/>
              <w:right w:val="single" w:color="auto" w:sz="4" w:space="0"/>
            </w:tcBorders>
            <w:shd w:val="clear" w:color="auto" w:fill="auto"/>
            <w:vAlign w:val="center"/>
          </w:tcPr>
          <w:p w14:paraId="794DC37A">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333" w:type="pct"/>
            <w:gridSpan w:val="2"/>
            <w:tcBorders>
              <w:top w:val="nil"/>
              <w:left w:val="nil"/>
              <w:bottom w:val="single" w:color="auto" w:sz="4" w:space="0"/>
              <w:right w:val="single" w:color="auto" w:sz="4" w:space="0"/>
            </w:tcBorders>
            <w:shd w:val="clear" w:color="auto" w:fill="auto"/>
            <w:vAlign w:val="center"/>
          </w:tcPr>
          <w:p w14:paraId="27B567EF">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303" w:type="pct"/>
            <w:tcBorders>
              <w:top w:val="nil"/>
              <w:left w:val="nil"/>
              <w:bottom w:val="single" w:color="auto" w:sz="4" w:space="0"/>
              <w:right w:val="single" w:color="auto" w:sz="4" w:space="0"/>
            </w:tcBorders>
            <w:shd w:val="clear" w:color="auto" w:fill="auto"/>
            <w:vAlign w:val="center"/>
          </w:tcPr>
          <w:p w14:paraId="235215A3">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334" w:type="pct"/>
            <w:gridSpan w:val="2"/>
            <w:tcBorders>
              <w:top w:val="nil"/>
              <w:left w:val="nil"/>
              <w:bottom w:val="single" w:color="auto" w:sz="4" w:space="0"/>
              <w:right w:val="single" w:color="auto" w:sz="4" w:space="0"/>
            </w:tcBorders>
            <w:shd w:val="clear" w:color="auto" w:fill="auto"/>
            <w:vAlign w:val="center"/>
          </w:tcPr>
          <w:p w14:paraId="5755A3D9">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303" w:type="pct"/>
            <w:tcBorders>
              <w:top w:val="nil"/>
              <w:left w:val="nil"/>
              <w:bottom w:val="single" w:color="auto" w:sz="4" w:space="0"/>
              <w:right w:val="single" w:color="auto" w:sz="4" w:space="0"/>
            </w:tcBorders>
            <w:shd w:val="clear" w:color="auto" w:fill="auto"/>
            <w:vAlign w:val="center"/>
          </w:tcPr>
          <w:p w14:paraId="4371627E">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301" w:type="pct"/>
            <w:tcBorders>
              <w:top w:val="nil"/>
              <w:left w:val="nil"/>
              <w:bottom w:val="single" w:color="auto" w:sz="4" w:space="0"/>
              <w:right w:val="single" w:color="auto" w:sz="4" w:space="0"/>
            </w:tcBorders>
            <w:shd w:val="clear" w:color="auto" w:fill="auto"/>
            <w:vAlign w:val="center"/>
          </w:tcPr>
          <w:p w14:paraId="7D76DFDB">
            <w:pPr>
              <w:spacing w:line="240" w:lineRule="auto"/>
              <w:ind w:firstLine="0" w:firstLineChars="0"/>
              <w:jc w:val="center"/>
              <w:rPr>
                <w:rFonts w:cs="Times New Roman"/>
                <w:color w:val="000000"/>
                <w:sz w:val="21"/>
                <w:szCs w:val="21"/>
              </w:rPr>
            </w:pPr>
            <w:r>
              <w:rPr>
                <w:rFonts w:cs="Times New Roman"/>
                <w:color w:val="000000"/>
                <w:sz w:val="21"/>
                <w:szCs w:val="21"/>
              </w:rPr>
              <w:t>1</w:t>
            </w:r>
          </w:p>
        </w:tc>
      </w:tr>
      <w:tr w14:paraId="3D36D859">
        <w:tblPrEx>
          <w:tblCellMar>
            <w:top w:w="0" w:type="dxa"/>
            <w:left w:w="108" w:type="dxa"/>
            <w:bottom w:w="0" w:type="dxa"/>
            <w:right w:w="108" w:type="dxa"/>
          </w:tblCellMar>
        </w:tblPrEx>
        <w:trPr>
          <w:cantSplit/>
          <w:trHeight w:val="425"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19E8DA90">
            <w:pPr>
              <w:spacing w:line="240" w:lineRule="auto"/>
              <w:ind w:firstLine="0" w:firstLineChars="0"/>
              <w:jc w:val="center"/>
              <w:rPr>
                <w:rFonts w:cs="Times New Roman"/>
                <w:color w:val="000000"/>
                <w:sz w:val="21"/>
                <w:szCs w:val="21"/>
              </w:rPr>
            </w:pPr>
            <w:r>
              <w:rPr>
                <w:rFonts w:cs="Times New Roman"/>
                <w:color w:val="000000"/>
                <w:sz w:val="21"/>
                <w:szCs w:val="21"/>
              </w:rPr>
              <w:t>8</w:t>
            </w:r>
          </w:p>
        </w:tc>
        <w:tc>
          <w:tcPr>
            <w:tcW w:w="589" w:type="pct"/>
            <w:tcBorders>
              <w:top w:val="nil"/>
              <w:left w:val="nil"/>
              <w:bottom w:val="single" w:color="auto" w:sz="4" w:space="0"/>
              <w:right w:val="single" w:color="auto" w:sz="4" w:space="0"/>
            </w:tcBorders>
            <w:shd w:val="clear" w:color="auto" w:fill="auto"/>
            <w:vAlign w:val="center"/>
          </w:tcPr>
          <w:p w14:paraId="47C8FA29">
            <w:pPr>
              <w:spacing w:line="240" w:lineRule="auto"/>
              <w:ind w:firstLine="0" w:firstLineChars="0"/>
              <w:jc w:val="center"/>
              <w:rPr>
                <w:rFonts w:cs="Times New Roman"/>
                <w:color w:val="000000"/>
                <w:sz w:val="21"/>
                <w:szCs w:val="21"/>
              </w:rPr>
            </w:pPr>
            <w:r>
              <w:rPr>
                <w:rFonts w:cs="Times New Roman"/>
                <w:color w:val="000000"/>
                <w:sz w:val="21"/>
                <w:szCs w:val="21"/>
              </w:rPr>
              <w:t>耕作措施因子</w:t>
            </w:r>
          </w:p>
        </w:tc>
        <w:tc>
          <w:tcPr>
            <w:tcW w:w="223" w:type="pct"/>
            <w:tcBorders>
              <w:top w:val="nil"/>
              <w:left w:val="nil"/>
              <w:bottom w:val="single" w:color="auto" w:sz="4" w:space="0"/>
              <w:right w:val="single" w:color="auto" w:sz="4" w:space="0"/>
            </w:tcBorders>
            <w:shd w:val="clear" w:color="auto" w:fill="auto"/>
            <w:vAlign w:val="center"/>
          </w:tcPr>
          <w:p w14:paraId="6517A0FF">
            <w:pPr>
              <w:spacing w:line="240" w:lineRule="auto"/>
              <w:ind w:firstLine="0" w:firstLineChars="0"/>
              <w:jc w:val="center"/>
              <w:rPr>
                <w:rFonts w:cs="Times New Roman"/>
                <w:color w:val="000000"/>
                <w:sz w:val="21"/>
                <w:szCs w:val="21"/>
              </w:rPr>
            </w:pPr>
            <w:r>
              <w:rPr>
                <w:rFonts w:cs="Times New Roman"/>
                <w:color w:val="000000"/>
                <w:sz w:val="21"/>
                <w:szCs w:val="21"/>
              </w:rPr>
              <w:t>T</w:t>
            </w:r>
          </w:p>
        </w:tc>
        <w:tc>
          <w:tcPr>
            <w:tcW w:w="865" w:type="pct"/>
            <w:tcBorders>
              <w:top w:val="nil"/>
              <w:left w:val="nil"/>
              <w:bottom w:val="single" w:color="auto" w:sz="4" w:space="0"/>
              <w:right w:val="single" w:color="auto" w:sz="4" w:space="0"/>
            </w:tcBorders>
            <w:shd w:val="clear" w:color="auto" w:fill="auto"/>
            <w:vAlign w:val="center"/>
          </w:tcPr>
          <w:p w14:paraId="60B88150">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728E534B">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333" w:type="pct"/>
            <w:gridSpan w:val="2"/>
            <w:tcBorders>
              <w:top w:val="nil"/>
              <w:left w:val="nil"/>
              <w:bottom w:val="single" w:color="auto" w:sz="4" w:space="0"/>
              <w:right w:val="single" w:color="auto" w:sz="4" w:space="0"/>
            </w:tcBorders>
            <w:shd w:val="clear" w:color="auto" w:fill="auto"/>
            <w:vAlign w:val="center"/>
          </w:tcPr>
          <w:p w14:paraId="654B6C83">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302" w:type="pct"/>
            <w:tcBorders>
              <w:top w:val="nil"/>
              <w:left w:val="nil"/>
              <w:bottom w:val="single" w:color="auto" w:sz="4" w:space="0"/>
              <w:right w:val="single" w:color="auto" w:sz="4" w:space="0"/>
            </w:tcBorders>
            <w:shd w:val="clear" w:color="auto" w:fill="auto"/>
            <w:vAlign w:val="center"/>
          </w:tcPr>
          <w:p w14:paraId="0C8A7365">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333" w:type="pct"/>
            <w:gridSpan w:val="2"/>
            <w:tcBorders>
              <w:top w:val="nil"/>
              <w:left w:val="nil"/>
              <w:bottom w:val="single" w:color="auto" w:sz="4" w:space="0"/>
              <w:right w:val="single" w:color="auto" w:sz="4" w:space="0"/>
            </w:tcBorders>
            <w:shd w:val="clear" w:color="auto" w:fill="auto"/>
            <w:vAlign w:val="center"/>
          </w:tcPr>
          <w:p w14:paraId="756D32EA">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302" w:type="pct"/>
            <w:tcBorders>
              <w:top w:val="nil"/>
              <w:left w:val="nil"/>
              <w:bottom w:val="single" w:color="auto" w:sz="4" w:space="0"/>
              <w:right w:val="single" w:color="auto" w:sz="4" w:space="0"/>
            </w:tcBorders>
            <w:shd w:val="clear" w:color="auto" w:fill="auto"/>
            <w:vAlign w:val="center"/>
          </w:tcPr>
          <w:p w14:paraId="30E31B3B">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333" w:type="pct"/>
            <w:gridSpan w:val="2"/>
            <w:tcBorders>
              <w:top w:val="nil"/>
              <w:left w:val="nil"/>
              <w:bottom w:val="single" w:color="auto" w:sz="4" w:space="0"/>
              <w:right w:val="single" w:color="auto" w:sz="4" w:space="0"/>
            </w:tcBorders>
            <w:shd w:val="clear" w:color="auto" w:fill="auto"/>
            <w:vAlign w:val="center"/>
          </w:tcPr>
          <w:p w14:paraId="453730E9">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303" w:type="pct"/>
            <w:tcBorders>
              <w:top w:val="nil"/>
              <w:left w:val="nil"/>
              <w:bottom w:val="single" w:color="auto" w:sz="4" w:space="0"/>
              <w:right w:val="single" w:color="auto" w:sz="4" w:space="0"/>
            </w:tcBorders>
            <w:shd w:val="clear" w:color="auto" w:fill="auto"/>
            <w:vAlign w:val="center"/>
          </w:tcPr>
          <w:p w14:paraId="60A95B0C">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334" w:type="pct"/>
            <w:gridSpan w:val="2"/>
            <w:tcBorders>
              <w:top w:val="nil"/>
              <w:left w:val="nil"/>
              <w:bottom w:val="single" w:color="auto" w:sz="4" w:space="0"/>
              <w:right w:val="single" w:color="auto" w:sz="4" w:space="0"/>
            </w:tcBorders>
            <w:shd w:val="clear" w:color="auto" w:fill="auto"/>
            <w:vAlign w:val="center"/>
          </w:tcPr>
          <w:p w14:paraId="24FBC24C">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303" w:type="pct"/>
            <w:tcBorders>
              <w:top w:val="nil"/>
              <w:left w:val="nil"/>
              <w:bottom w:val="single" w:color="auto" w:sz="4" w:space="0"/>
              <w:right w:val="single" w:color="auto" w:sz="4" w:space="0"/>
            </w:tcBorders>
            <w:shd w:val="clear" w:color="auto" w:fill="auto"/>
            <w:vAlign w:val="center"/>
          </w:tcPr>
          <w:p w14:paraId="6B03E898">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301" w:type="pct"/>
            <w:tcBorders>
              <w:top w:val="nil"/>
              <w:left w:val="nil"/>
              <w:bottom w:val="single" w:color="auto" w:sz="4" w:space="0"/>
              <w:right w:val="single" w:color="auto" w:sz="4" w:space="0"/>
            </w:tcBorders>
            <w:shd w:val="clear" w:color="auto" w:fill="auto"/>
            <w:vAlign w:val="center"/>
          </w:tcPr>
          <w:p w14:paraId="499C4142">
            <w:pPr>
              <w:spacing w:line="240" w:lineRule="auto"/>
              <w:ind w:firstLine="0" w:firstLineChars="0"/>
              <w:jc w:val="center"/>
              <w:rPr>
                <w:rFonts w:cs="Times New Roman"/>
                <w:color w:val="000000"/>
                <w:sz w:val="21"/>
                <w:szCs w:val="21"/>
              </w:rPr>
            </w:pPr>
            <w:r>
              <w:rPr>
                <w:rFonts w:cs="Times New Roman"/>
                <w:color w:val="000000"/>
                <w:sz w:val="21"/>
                <w:szCs w:val="21"/>
              </w:rPr>
              <w:t>1</w:t>
            </w:r>
          </w:p>
        </w:tc>
      </w:tr>
      <w:tr w14:paraId="68B2F632">
        <w:tblPrEx>
          <w:tblCellMar>
            <w:top w:w="0" w:type="dxa"/>
            <w:left w:w="108" w:type="dxa"/>
            <w:bottom w:w="0" w:type="dxa"/>
            <w:right w:w="108" w:type="dxa"/>
          </w:tblCellMar>
        </w:tblPrEx>
        <w:trPr>
          <w:cantSplit/>
          <w:trHeight w:val="454" w:hRule="atLeast"/>
        </w:trPr>
        <w:tc>
          <w:tcPr>
            <w:tcW w:w="176" w:type="pct"/>
            <w:vMerge w:val="restart"/>
            <w:tcBorders>
              <w:top w:val="nil"/>
              <w:left w:val="single" w:color="auto" w:sz="4" w:space="0"/>
              <w:bottom w:val="single" w:color="auto" w:sz="4" w:space="0"/>
              <w:right w:val="single" w:color="auto" w:sz="4" w:space="0"/>
            </w:tcBorders>
            <w:shd w:val="clear" w:color="auto" w:fill="auto"/>
            <w:vAlign w:val="center"/>
          </w:tcPr>
          <w:p w14:paraId="039E8562">
            <w:pPr>
              <w:spacing w:line="240" w:lineRule="auto"/>
              <w:ind w:firstLine="0" w:firstLineChars="0"/>
              <w:jc w:val="center"/>
              <w:rPr>
                <w:rFonts w:cs="Times New Roman"/>
                <w:color w:val="000000"/>
                <w:sz w:val="21"/>
                <w:szCs w:val="21"/>
              </w:rPr>
            </w:pPr>
            <w:r>
              <w:rPr>
                <w:rFonts w:cs="Times New Roman"/>
                <w:color w:val="000000"/>
                <w:sz w:val="21"/>
                <w:szCs w:val="21"/>
              </w:rPr>
              <w:t>序号</w:t>
            </w:r>
          </w:p>
        </w:tc>
        <w:tc>
          <w:tcPr>
            <w:tcW w:w="589" w:type="pct"/>
            <w:vMerge w:val="restart"/>
            <w:tcBorders>
              <w:top w:val="nil"/>
              <w:left w:val="single" w:color="auto" w:sz="4" w:space="0"/>
              <w:bottom w:val="single" w:color="auto" w:sz="4" w:space="0"/>
              <w:right w:val="single" w:color="auto" w:sz="4" w:space="0"/>
            </w:tcBorders>
            <w:shd w:val="clear" w:color="auto" w:fill="auto"/>
            <w:vAlign w:val="center"/>
          </w:tcPr>
          <w:p w14:paraId="61828ACF">
            <w:pPr>
              <w:spacing w:line="240" w:lineRule="auto"/>
              <w:ind w:firstLine="0" w:firstLineChars="0"/>
              <w:jc w:val="center"/>
              <w:rPr>
                <w:rFonts w:cs="Times New Roman"/>
                <w:color w:val="000000"/>
                <w:sz w:val="21"/>
                <w:szCs w:val="21"/>
              </w:rPr>
            </w:pPr>
            <w:r>
              <w:rPr>
                <w:rFonts w:cs="Times New Roman"/>
                <w:color w:val="000000"/>
                <w:sz w:val="21"/>
                <w:szCs w:val="21"/>
              </w:rPr>
              <w:t>项目</w:t>
            </w:r>
          </w:p>
        </w:tc>
        <w:tc>
          <w:tcPr>
            <w:tcW w:w="223" w:type="pct"/>
            <w:vMerge w:val="restart"/>
            <w:tcBorders>
              <w:top w:val="nil"/>
              <w:left w:val="single" w:color="auto" w:sz="4" w:space="0"/>
              <w:bottom w:val="single" w:color="auto" w:sz="4" w:space="0"/>
              <w:right w:val="single" w:color="auto" w:sz="4" w:space="0"/>
            </w:tcBorders>
            <w:shd w:val="clear" w:color="auto" w:fill="auto"/>
            <w:vAlign w:val="center"/>
          </w:tcPr>
          <w:p w14:paraId="72B55518">
            <w:pPr>
              <w:spacing w:line="240" w:lineRule="auto"/>
              <w:ind w:firstLine="0" w:firstLineChars="0"/>
              <w:jc w:val="center"/>
              <w:rPr>
                <w:rFonts w:cs="Times New Roman"/>
                <w:color w:val="000000"/>
                <w:sz w:val="21"/>
                <w:szCs w:val="21"/>
              </w:rPr>
            </w:pPr>
            <w:r>
              <w:rPr>
                <w:rFonts w:cs="Times New Roman"/>
                <w:color w:val="000000"/>
                <w:sz w:val="21"/>
                <w:szCs w:val="21"/>
              </w:rPr>
              <w:t>因子</w:t>
            </w:r>
          </w:p>
        </w:tc>
        <w:tc>
          <w:tcPr>
            <w:tcW w:w="865" w:type="pct"/>
            <w:vMerge w:val="restart"/>
            <w:tcBorders>
              <w:top w:val="nil"/>
              <w:left w:val="single" w:color="auto" w:sz="4" w:space="0"/>
              <w:bottom w:val="single" w:color="auto" w:sz="4" w:space="0"/>
              <w:right w:val="single" w:color="auto" w:sz="4" w:space="0"/>
            </w:tcBorders>
            <w:shd w:val="clear" w:color="auto" w:fill="auto"/>
            <w:vAlign w:val="center"/>
          </w:tcPr>
          <w:p w14:paraId="667B87D6">
            <w:pPr>
              <w:spacing w:line="240" w:lineRule="auto"/>
              <w:ind w:firstLine="0" w:firstLineChars="0"/>
              <w:jc w:val="center"/>
              <w:rPr>
                <w:rFonts w:cs="Times New Roman"/>
                <w:color w:val="000000"/>
                <w:sz w:val="21"/>
                <w:szCs w:val="21"/>
              </w:rPr>
            </w:pPr>
            <w:r>
              <w:rPr>
                <w:rFonts w:cs="Times New Roman"/>
                <w:color w:val="000000"/>
                <w:sz w:val="21"/>
                <w:szCs w:val="21"/>
              </w:rPr>
              <w:t>公式</w:t>
            </w:r>
          </w:p>
        </w:tc>
        <w:tc>
          <w:tcPr>
            <w:tcW w:w="1572" w:type="pct"/>
            <w:gridSpan w:val="7"/>
            <w:tcBorders>
              <w:top w:val="single" w:color="auto" w:sz="4" w:space="0"/>
              <w:left w:val="nil"/>
              <w:bottom w:val="single" w:color="auto" w:sz="4" w:space="0"/>
              <w:right w:val="single" w:color="auto" w:sz="4" w:space="0"/>
            </w:tcBorders>
            <w:shd w:val="clear" w:color="auto" w:fill="auto"/>
            <w:vAlign w:val="center"/>
          </w:tcPr>
          <w:p w14:paraId="3F4A0937">
            <w:pPr>
              <w:spacing w:line="240" w:lineRule="auto"/>
              <w:ind w:firstLine="630" w:firstLineChars="300"/>
              <w:jc w:val="center"/>
              <w:rPr>
                <w:rFonts w:cs="Times New Roman"/>
                <w:color w:val="000000"/>
                <w:sz w:val="21"/>
                <w:szCs w:val="21"/>
              </w:rPr>
            </w:pPr>
            <w:r>
              <w:rPr>
                <w:rFonts w:cs="Times New Roman"/>
                <w:color w:val="000000"/>
                <w:sz w:val="21"/>
                <w:szCs w:val="21"/>
              </w:rPr>
              <w:t>工矿用地</w:t>
            </w:r>
          </w:p>
        </w:tc>
        <w:tc>
          <w:tcPr>
            <w:tcW w:w="1574" w:type="pct"/>
            <w:gridSpan w:val="7"/>
            <w:tcBorders>
              <w:top w:val="single" w:color="auto" w:sz="4" w:space="0"/>
              <w:left w:val="nil"/>
              <w:bottom w:val="single" w:color="auto" w:sz="4" w:space="0"/>
              <w:right w:val="single" w:color="auto" w:sz="4" w:space="0"/>
            </w:tcBorders>
            <w:shd w:val="clear" w:color="auto" w:fill="auto"/>
            <w:vAlign w:val="center"/>
          </w:tcPr>
          <w:p w14:paraId="3615CF2D">
            <w:pPr>
              <w:spacing w:line="240" w:lineRule="auto"/>
              <w:ind w:firstLine="420"/>
              <w:jc w:val="center"/>
              <w:rPr>
                <w:rFonts w:cs="Times New Roman"/>
                <w:color w:val="000000"/>
                <w:sz w:val="21"/>
                <w:szCs w:val="21"/>
              </w:rPr>
            </w:pPr>
            <w:r>
              <w:rPr>
                <w:rFonts w:cs="Times New Roman"/>
                <w:color w:val="000000"/>
                <w:sz w:val="21"/>
                <w:szCs w:val="21"/>
              </w:rPr>
              <w:t>交通运输用地</w:t>
            </w:r>
          </w:p>
        </w:tc>
      </w:tr>
      <w:tr w14:paraId="641ACF3E">
        <w:tblPrEx>
          <w:tblCellMar>
            <w:top w:w="0" w:type="dxa"/>
            <w:left w:w="108" w:type="dxa"/>
            <w:bottom w:w="0" w:type="dxa"/>
            <w:right w:w="108" w:type="dxa"/>
          </w:tblCellMar>
        </w:tblPrEx>
        <w:trPr>
          <w:cantSplit/>
          <w:trHeight w:val="454" w:hRule="atLeast"/>
        </w:trPr>
        <w:tc>
          <w:tcPr>
            <w:tcW w:w="176" w:type="pct"/>
            <w:vMerge w:val="continue"/>
            <w:tcBorders>
              <w:top w:val="nil"/>
              <w:left w:val="single" w:color="auto" w:sz="4" w:space="0"/>
              <w:bottom w:val="single" w:color="auto" w:sz="4" w:space="0"/>
              <w:right w:val="single" w:color="auto" w:sz="4" w:space="0"/>
            </w:tcBorders>
            <w:shd w:val="clear" w:color="auto" w:fill="auto"/>
            <w:vAlign w:val="center"/>
          </w:tcPr>
          <w:p w14:paraId="1B335409">
            <w:pPr>
              <w:spacing w:line="240" w:lineRule="auto"/>
              <w:ind w:firstLine="0" w:firstLineChars="0"/>
              <w:jc w:val="center"/>
              <w:rPr>
                <w:rFonts w:cs="Times New Roman"/>
                <w:color w:val="000000"/>
                <w:sz w:val="21"/>
                <w:szCs w:val="21"/>
              </w:rPr>
            </w:pPr>
          </w:p>
        </w:tc>
        <w:tc>
          <w:tcPr>
            <w:tcW w:w="589" w:type="pct"/>
            <w:vMerge w:val="continue"/>
            <w:tcBorders>
              <w:top w:val="nil"/>
              <w:left w:val="single" w:color="auto" w:sz="4" w:space="0"/>
              <w:bottom w:val="single" w:color="auto" w:sz="4" w:space="0"/>
              <w:right w:val="single" w:color="auto" w:sz="4" w:space="0"/>
            </w:tcBorders>
            <w:shd w:val="clear" w:color="auto" w:fill="auto"/>
            <w:vAlign w:val="center"/>
          </w:tcPr>
          <w:p w14:paraId="71536301">
            <w:pPr>
              <w:spacing w:line="240" w:lineRule="auto"/>
              <w:ind w:firstLine="0" w:firstLineChars="0"/>
              <w:jc w:val="center"/>
              <w:rPr>
                <w:rFonts w:cs="Times New Roman"/>
                <w:color w:val="000000"/>
                <w:sz w:val="21"/>
                <w:szCs w:val="21"/>
              </w:rPr>
            </w:pPr>
          </w:p>
        </w:tc>
        <w:tc>
          <w:tcPr>
            <w:tcW w:w="223" w:type="pct"/>
            <w:vMerge w:val="continue"/>
            <w:tcBorders>
              <w:top w:val="nil"/>
              <w:left w:val="single" w:color="auto" w:sz="4" w:space="0"/>
              <w:bottom w:val="single" w:color="auto" w:sz="4" w:space="0"/>
              <w:right w:val="single" w:color="auto" w:sz="4" w:space="0"/>
            </w:tcBorders>
            <w:shd w:val="clear" w:color="auto" w:fill="auto"/>
            <w:vAlign w:val="center"/>
          </w:tcPr>
          <w:p w14:paraId="12EB2B1E">
            <w:pPr>
              <w:spacing w:line="240" w:lineRule="auto"/>
              <w:ind w:firstLine="0" w:firstLineChars="0"/>
              <w:jc w:val="center"/>
              <w:rPr>
                <w:rFonts w:cs="Times New Roman"/>
                <w:color w:val="000000"/>
                <w:sz w:val="21"/>
                <w:szCs w:val="21"/>
              </w:rPr>
            </w:pPr>
          </w:p>
        </w:tc>
        <w:tc>
          <w:tcPr>
            <w:tcW w:w="865" w:type="pct"/>
            <w:vMerge w:val="continue"/>
            <w:tcBorders>
              <w:top w:val="nil"/>
              <w:left w:val="single" w:color="auto" w:sz="4" w:space="0"/>
              <w:bottom w:val="single" w:color="auto" w:sz="4" w:space="0"/>
              <w:right w:val="single" w:color="auto" w:sz="4" w:space="0"/>
            </w:tcBorders>
            <w:shd w:val="clear" w:color="auto" w:fill="auto"/>
            <w:vAlign w:val="center"/>
          </w:tcPr>
          <w:p w14:paraId="1249750A">
            <w:pPr>
              <w:spacing w:line="240" w:lineRule="auto"/>
              <w:ind w:firstLine="0" w:firstLineChars="0"/>
              <w:jc w:val="center"/>
              <w:rPr>
                <w:rFonts w:cs="Times New Roman"/>
                <w:color w:val="000000"/>
                <w:sz w:val="21"/>
                <w:szCs w:val="21"/>
              </w:rPr>
            </w:pPr>
          </w:p>
        </w:tc>
        <w:tc>
          <w:tcPr>
            <w:tcW w:w="302" w:type="pct"/>
            <w:tcBorders>
              <w:top w:val="nil"/>
              <w:left w:val="nil"/>
              <w:bottom w:val="single" w:color="auto" w:sz="4" w:space="0"/>
              <w:right w:val="single" w:color="auto" w:sz="4" w:space="0"/>
            </w:tcBorders>
            <w:shd w:val="clear" w:color="auto" w:fill="auto"/>
            <w:vAlign w:val="center"/>
          </w:tcPr>
          <w:p w14:paraId="334FFF4F">
            <w:pPr>
              <w:spacing w:line="240" w:lineRule="auto"/>
              <w:ind w:firstLine="0" w:firstLineChars="0"/>
              <w:jc w:val="center"/>
              <w:rPr>
                <w:rFonts w:cs="Times New Roman"/>
                <w:color w:val="000000"/>
                <w:sz w:val="21"/>
                <w:szCs w:val="21"/>
              </w:rPr>
            </w:pPr>
            <w:r>
              <w:rPr>
                <w:rFonts w:cs="Times New Roman"/>
                <w:color w:val="000000"/>
                <w:sz w:val="21"/>
                <w:szCs w:val="21"/>
              </w:rPr>
              <w:t>第 1 年</w:t>
            </w:r>
          </w:p>
        </w:tc>
        <w:tc>
          <w:tcPr>
            <w:tcW w:w="333" w:type="pct"/>
            <w:gridSpan w:val="2"/>
            <w:tcBorders>
              <w:top w:val="nil"/>
              <w:left w:val="nil"/>
              <w:bottom w:val="single" w:color="auto" w:sz="4" w:space="0"/>
              <w:right w:val="single" w:color="auto" w:sz="4" w:space="0"/>
            </w:tcBorders>
            <w:shd w:val="clear" w:color="auto" w:fill="auto"/>
            <w:vAlign w:val="center"/>
          </w:tcPr>
          <w:p w14:paraId="71F50F2B">
            <w:pPr>
              <w:spacing w:line="240" w:lineRule="auto"/>
              <w:ind w:firstLine="0" w:firstLineChars="0"/>
              <w:jc w:val="center"/>
              <w:rPr>
                <w:rFonts w:cs="Times New Roman"/>
                <w:color w:val="000000"/>
                <w:sz w:val="21"/>
                <w:szCs w:val="21"/>
              </w:rPr>
            </w:pPr>
            <w:r>
              <w:rPr>
                <w:rFonts w:cs="Times New Roman"/>
                <w:color w:val="000000"/>
                <w:sz w:val="21"/>
                <w:szCs w:val="21"/>
              </w:rPr>
              <w:t>第 2 年</w:t>
            </w:r>
          </w:p>
        </w:tc>
        <w:tc>
          <w:tcPr>
            <w:tcW w:w="302" w:type="pct"/>
            <w:tcBorders>
              <w:top w:val="nil"/>
              <w:left w:val="nil"/>
              <w:bottom w:val="single" w:color="auto" w:sz="4" w:space="0"/>
              <w:right w:val="single" w:color="auto" w:sz="4" w:space="0"/>
            </w:tcBorders>
            <w:shd w:val="clear" w:color="auto" w:fill="auto"/>
            <w:vAlign w:val="center"/>
          </w:tcPr>
          <w:p w14:paraId="080CBCFC">
            <w:pPr>
              <w:spacing w:line="240" w:lineRule="auto"/>
              <w:ind w:firstLine="0" w:firstLineChars="0"/>
              <w:jc w:val="center"/>
              <w:rPr>
                <w:rFonts w:cs="Times New Roman"/>
                <w:color w:val="000000"/>
                <w:sz w:val="21"/>
                <w:szCs w:val="21"/>
              </w:rPr>
            </w:pPr>
            <w:r>
              <w:rPr>
                <w:rFonts w:cs="Times New Roman"/>
                <w:color w:val="000000"/>
                <w:sz w:val="21"/>
                <w:szCs w:val="21"/>
              </w:rPr>
              <w:t>第 3 年</w:t>
            </w:r>
          </w:p>
        </w:tc>
        <w:tc>
          <w:tcPr>
            <w:tcW w:w="333" w:type="pct"/>
            <w:gridSpan w:val="2"/>
            <w:tcBorders>
              <w:top w:val="nil"/>
              <w:left w:val="nil"/>
              <w:bottom w:val="single" w:color="auto" w:sz="4" w:space="0"/>
              <w:right w:val="single" w:color="auto" w:sz="4" w:space="0"/>
            </w:tcBorders>
            <w:shd w:val="clear" w:color="auto" w:fill="auto"/>
            <w:vAlign w:val="center"/>
          </w:tcPr>
          <w:p w14:paraId="675AF7F6">
            <w:pPr>
              <w:spacing w:line="240" w:lineRule="auto"/>
              <w:ind w:firstLine="0" w:firstLineChars="0"/>
              <w:jc w:val="center"/>
              <w:rPr>
                <w:rFonts w:cs="Times New Roman"/>
                <w:color w:val="000000"/>
                <w:sz w:val="21"/>
                <w:szCs w:val="21"/>
              </w:rPr>
            </w:pPr>
            <w:r>
              <w:rPr>
                <w:rFonts w:cs="Times New Roman"/>
                <w:color w:val="000000"/>
                <w:sz w:val="21"/>
                <w:szCs w:val="21"/>
              </w:rPr>
              <w:t>第 4 年</w:t>
            </w:r>
          </w:p>
        </w:tc>
        <w:tc>
          <w:tcPr>
            <w:tcW w:w="302" w:type="pct"/>
            <w:tcBorders>
              <w:top w:val="nil"/>
              <w:left w:val="nil"/>
              <w:bottom w:val="single" w:color="auto" w:sz="4" w:space="0"/>
              <w:right w:val="single" w:color="auto" w:sz="4" w:space="0"/>
            </w:tcBorders>
            <w:shd w:val="clear" w:color="auto" w:fill="auto"/>
            <w:vAlign w:val="center"/>
          </w:tcPr>
          <w:p w14:paraId="3D118E57">
            <w:pPr>
              <w:spacing w:line="240" w:lineRule="auto"/>
              <w:ind w:firstLine="0" w:firstLineChars="0"/>
              <w:jc w:val="center"/>
              <w:rPr>
                <w:rFonts w:cs="Times New Roman"/>
                <w:color w:val="000000"/>
                <w:sz w:val="21"/>
                <w:szCs w:val="21"/>
              </w:rPr>
            </w:pPr>
            <w:r>
              <w:rPr>
                <w:rFonts w:cs="Times New Roman"/>
                <w:color w:val="000000"/>
                <w:sz w:val="21"/>
                <w:szCs w:val="21"/>
              </w:rPr>
              <w:t>第 5 年</w:t>
            </w:r>
          </w:p>
        </w:tc>
        <w:tc>
          <w:tcPr>
            <w:tcW w:w="333" w:type="pct"/>
            <w:gridSpan w:val="2"/>
            <w:tcBorders>
              <w:top w:val="nil"/>
              <w:left w:val="nil"/>
              <w:bottom w:val="single" w:color="auto" w:sz="4" w:space="0"/>
              <w:right w:val="single" w:color="auto" w:sz="4" w:space="0"/>
            </w:tcBorders>
            <w:shd w:val="clear" w:color="auto" w:fill="auto"/>
            <w:vAlign w:val="center"/>
          </w:tcPr>
          <w:p w14:paraId="00D66CC9">
            <w:pPr>
              <w:spacing w:line="240" w:lineRule="auto"/>
              <w:ind w:firstLine="0" w:firstLineChars="0"/>
              <w:jc w:val="center"/>
              <w:rPr>
                <w:rFonts w:cs="Times New Roman"/>
                <w:color w:val="000000"/>
                <w:sz w:val="21"/>
                <w:szCs w:val="21"/>
              </w:rPr>
            </w:pPr>
            <w:r>
              <w:rPr>
                <w:rFonts w:cs="Times New Roman"/>
                <w:color w:val="000000"/>
                <w:sz w:val="21"/>
                <w:szCs w:val="21"/>
              </w:rPr>
              <w:t>第 1 年</w:t>
            </w:r>
          </w:p>
        </w:tc>
        <w:tc>
          <w:tcPr>
            <w:tcW w:w="303" w:type="pct"/>
            <w:tcBorders>
              <w:top w:val="nil"/>
              <w:left w:val="nil"/>
              <w:bottom w:val="single" w:color="auto" w:sz="4" w:space="0"/>
              <w:right w:val="single" w:color="auto" w:sz="4" w:space="0"/>
            </w:tcBorders>
            <w:shd w:val="clear" w:color="auto" w:fill="auto"/>
            <w:vAlign w:val="center"/>
          </w:tcPr>
          <w:p w14:paraId="158B4785">
            <w:pPr>
              <w:spacing w:line="240" w:lineRule="auto"/>
              <w:ind w:firstLine="0" w:firstLineChars="0"/>
              <w:jc w:val="center"/>
              <w:rPr>
                <w:rFonts w:cs="Times New Roman"/>
                <w:color w:val="000000"/>
                <w:sz w:val="21"/>
                <w:szCs w:val="21"/>
              </w:rPr>
            </w:pPr>
            <w:r>
              <w:rPr>
                <w:rFonts w:cs="Times New Roman"/>
                <w:color w:val="000000"/>
                <w:sz w:val="21"/>
                <w:szCs w:val="21"/>
              </w:rPr>
              <w:t>第 2 年</w:t>
            </w:r>
          </w:p>
        </w:tc>
        <w:tc>
          <w:tcPr>
            <w:tcW w:w="334" w:type="pct"/>
            <w:gridSpan w:val="2"/>
            <w:tcBorders>
              <w:top w:val="nil"/>
              <w:left w:val="nil"/>
              <w:bottom w:val="single" w:color="auto" w:sz="4" w:space="0"/>
              <w:right w:val="single" w:color="auto" w:sz="4" w:space="0"/>
            </w:tcBorders>
            <w:shd w:val="clear" w:color="auto" w:fill="auto"/>
            <w:vAlign w:val="center"/>
          </w:tcPr>
          <w:p w14:paraId="2CA77C38">
            <w:pPr>
              <w:spacing w:line="240" w:lineRule="auto"/>
              <w:ind w:firstLine="0" w:firstLineChars="0"/>
              <w:jc w:val="center"/>
              <w:rPr>
                <w:rFonts w:cs="Times New Roman"/>
                <w:color w:val="000000"/>
                <w:sz w:val="21"/>
                <w:szCs w:val="21"/>
              </w:rPr>
            </w:pPr>
            <w:r>
              <w:rPr>
                <w:rFonts w:cs="Times New Roman"/>
                <w:color w:val="000000"/>
                <w:sz w:val="21"/>
                <w:szCs w:val="21"/>
              </w:rPr>
              <w:t>第 3 年</w:t>
            </w:r>
          </w:p>
        </w:tc>
        <w:tc>
          <w:tcPr>
            <w:tcW w:w="303" w:type="pct"/>
            <w:tcBorders>
              <w:top w:val="nil"/>
              <w:left w:val="nil"/>
              <w:bottom w:val="single" w:color="auto" w:sz="4" w:space="0"/>
              <w:right w:val="single" w:color="auto" w:sz="4" w:space="0"/>
            </w:tcBorders>
            <w:shd w:val="clear" w:color="auto" w:fill="auto"/>
            <w:vAlign w:val="center"/>
          </w:tcPr>
          <w:p w14:paraId="6B6DEDFB">
            <w:pPr>
              <w:spacing w:line="240" w:lineRule="auto"/>
              <w:ind w:firstLine="0" w:firstLineChars="0"/>
              <w:jc w:val="center"/>
              <w:rPr>
                <w:rFonts w:cs="Times New Roman"/>
                <w:color w:val="000000"/>
                <w:sz w:val="21"/>
                <w:szCs w:val="21"/>
              </w:rPr>
            </w:pPr>
            <w:r>
              <w:rPr>
                <w:rFonts w:cs="Times New Roman"/>
                <w:color w:val="000000"/>
                <w:sz w:val="21"/>
                <w:szCs w:val="21"/>
              </w:rPr>
              <w:t>第 4 年</w:t>
            </w:r>
          </w:p>
        </w:tc>
        <w:tc>
          <w:tcPr>
            <w:tcW w:w="301" w:type="pct"/>
            <w:tcBorders>
              <w:top w:val="nil"/>
              <w:left w:val="nil"/>
              <w:bottom w:val="single" w:color="auto" w:sz="4" w:space="0"/>
              <w:right w:val="single" w:color="auto" w:sz="4" w:space="0"/>
            </w:tcBorders>
            <w:shd w:val="clear" w:color="auto" w:fill="auto"/>
            <w:vAlign w:val="center"/>
          </w:tcPr>
          <w:p w14:paraId="3216A6FB">
            <w:pPr>
              <w:spacing w:line="240" w:lineRule="auto"/>
              <w:ind w:firstLine="0" w:firstLineChars="0"/>
              <w:jc w:val="center"/>
              <w:rPr>
                <w:rFonts w:cs="Times New Roman"/>
                <w:color w:val="000000"/>
                <w:sz w:val="21"/>
                <w:szCs w:val="21"/>
              </w:rPr>
            </w:pPr>
            <w:r>
              <w:rPr>
                <w:rFonts w:cs="Times New Roman"/>
                <w:color w:val="000000"/>
                <w:sz w:val="21"/>
                <w:szCs w:val="21"/>
              </w:rPr>
              <w:t>第 5 年</w:t>
            </w:r>
          </w:p>
        </w:tc>
      </w:tr>
      <w:tr w14:paraId="3D3F7811">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28769E42">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589" w:type="pct"/>
            <w:tcBorders>
              <w:top w:val="nil"/>
              <w:left w:val="nil"/>
              <w:bottom w:val="single" w:color="auto" w:sz="4" w:space="0"/>
              <w:right w:val="single" w:color="auto" w:sz="4" w:space="0"/>
            </w:tcBorders>
            <w:shd w:val="clear" w:color="auto" w:fill="auto"/>
            <w:vAlign w:val="center"/>
          </w:tcPr>
          <w:p w14:paraId="39C3BCAD">
            <w:pPr>
              <w:spacing w:line="240" w:lineRule="auto"/>
              <w:ind w:firstLine="0" w:firstLineChars="0"/>
              <w:jc w:val="center"/>
              <w:rPr>
                <w:rFonts w:cs="Times New Roman"/>
                <w:color w:val="000000"/>
                <w:sz w:val="21"/>
                <w:szCs w:val="21"/>
              </w:rPr>
            </w:pPr>
            <w:r>
              <w:rPr>
                <w:rFonts w:cs="Times New Roman"/>
                <w:color w:val="000000"/>
                <w:sz w:val="21"/>
                <w:szCs w:val="21"/>
              </w:rPr>
              <w:t>地表翻扰型</w:t>
            </w:r>
          </w:p>
        </w:tc>
        <w:tc>
          <w:tcPr>
            <w:tcW w:w="223" w:type="pct"/>
            <w:tcBorders>
              <w:top w:val="nil"/>
              <w:left w:val="nil"/>
              <w:bottom w:val="single" w:color="auto" w:sz="4" w:space="0"/>
              <w:right w:val="single" w:color="auto" w:sz="4" w:space="0"/>
            </w:tcBorders>
            <w:shd w:val="clear" w:color="auto" w:fill="auto"/>
            <w:vAlign w:val="center"/>
          </w:tcPr>
          <w:p w14:paraId="0DF14DC4">
            <w:pPr>
              <w:spacing w:line="240" w:lineRule="auto"/>
              <w:ind w:firstLine="0" w:firstLineChars="0"/>
              <w:jc w:val="center"/>
              <w:rPr>
                <w:rFonts w:cs="Times New Roman"/>
                <w:color w:val="000000"/>
                <w:sz w:val="21"/>
                <w:szCs w:val="21"/>
              </w:rPr>
            </w:pPr>
            <w:r>
              <w:rPr>
                <w:rFonts w:cs="Times New Roman"/>
                <w:color w:val="000000"/>
                <w:sz w:val="21"/>
                <w:szCs w:val="21"/>
              </w:rPr>
              <w:t>Myd</w:t>
            </w:r>
          </w:p>
        </w:tc>
        <w:tc>
          <w:tcPr>
            <w:tcW w:w="865" w:type="pct"/>
            <w:tcBorders>
              <w:top w:val="nil"/>
              <w:left w:val="nil"/>
              <w:bottom w:val="single" w:color="auto" w:sz="4" w:space="0"/>
              <w:right w:val="single" w:color="auto" w:sz="4" w:space="0"/>
            </w:tcBorders>
            <w:shd w:val="clear" w:color="auto" w:fill="auto"/>
            <w:vAlign w:val="center"/>
          </w:tcPr>
          <w:p w14:paraId="2F57B421">
            <w:pPr>
              <w:spacing w:line="240" w:lineRule="auto"/>
              <w:ind w:firstLine="0" w:firstLineChars="0"/>
              <w:jc w:val="center"/>
              <w:rPr>
                <w:rFonts w:cs="Times New Roman"/>
                <w:color w:val="000000"/>
                <w:sz w:val="21"/>
                <w:szCs w:val="21"/>
              </w:rPr>
            </w:pPr>
            <w:r>
              <w:rPr>
                <w:rFonts w:cs="Times New Roman"/>
                <w:color w:val="000000"/>
                <w:sz w:val="21"/>
                <w:szCs w:val="21"/>
              </w:rPr>
              <w:t>Myd=RKLydSyBET*100</w:t>
            </w:r>
          </w:p>
        </w:tc>
        <w:tc>
          <w:tcPr>
            <w:tcW w:w="302" w:type="pct"/>
            <w:tcBorders>
              <w:top w:val="nil"/>
              <w:left w:val="nil"/>
              <w:bottom w:val="single" w:color="auto" w:sz="4" w:space="0"/>
              <w:right w:val="single" w:color="auto" w:sz="4" w:space="0"/>
            </w:tcBorders>
            <w:shd w:val="clear" w:color="auto" w:fill="auto"/>
            <w:vAlign w:val="center"/>
          </w:tcPr>
          <w:p w14:paraId="13535D84">
            <w:pPr>
              <w:spacing w:line="240" w:lineRule="auto"/>
              <w:ind w:firstLine="0" w:firstLineChars="0"/>
              <w:jc w:val="center"/>
              <w:rPr>
                <w:rFonts w:cs="Times New Roman"/>
                <w:color w:val="000000"/>
                <w:sz w:val="21"/>
                <w:szCs w:val="21"/>
              </w:rPr>
            </w:pPr>
            <w:r>
              <w:rPr>
                <w:rFonts w:cs="Times New Roman"/>
                <w:color w:val="000000"/>
                <w:sz w:val="20"/>
                <w:szCs w:val="20"/>
              </w:rPr>
              <w:t xml:space="preserve">2713 </w:t>
            </w:r>
          </w:p>
        </w:tc>
        <w:tc>
          <w:tcPr>
            <w:tcW w:w="333" w:type="pct"/>
            <w:gridSpan w:val="2"/>
            <w:tcBorders>
              <w:top w:val="nil"/>
              <w:left w:val="nil"/>
              <w:bottom w:val="single" w:color="auto" w:sz="4" w:space="0"/>
              <w:right w:val="single" w:color="auto" w:sz="4" w:space="0"/>
            </w:tcBorders>
            <w:shd w:val="clear" w:color="auto" w:fill="auto"/>
            <w:vAlign w:val="center"/>
          </w:tcPr>
          <w:p w14:paraId="78E502D8">
            <w:pPr>
              <w:spacing w:line="240" w:lineRule="auto"/>
              <w:ind w:firstLine="0" w:firstLineChars="0"/>
              <w:jc w:val="center"/>
              <w:rPr>
                <w:rFonts w:cs="Times New Roman"/>
                <w:color w:val="000000"/>
                <w:sz w:val="21"/>
                <w:szCs w:val="21"/>
              </w:rPr>
            </w:pPr>
            <w:r>
              <w:rPr>
                <w:rFonts w:cs="Times New Roman"/>
                <w:color w:val="000000"/>
                <w:sz w:val="20"/>
                <w:szCs w:val="20"/>
              </w:rPr>
              <w:t xml:space="preserve">1853 </w:t>
            </w:r>
          </w:p>
        </w:tc>
        <w:tc>
          <w:tcPr>
            <w:tcW w:w="302" w:type="pct"/>
            <w:tcBorders>
              <w:top w:val="nil"/>
              <w:left w:val="nil"/>
              <w:bottom w:val="single" w:color="auto" w:sz="4" w:space="0"/>
              <w:right w:val="single" w:color="auto" w:sz="4" w:space="0"/>
            </w:tcBorders>
            <w:shd w:val="clear" w:color="auto" w:fill="auto"/>
            <w:vAlign w:val="center"/>
          </w:tcPr>
          <w:p w14:paraId="2D8D198D">
            <w:pPr>
              <w:spacing w:line="240" w:lineRule="auto"/>
              <w:ind w:firstLine="0" w:firstLineChars="0"/>
              <w:jc w:val="center"/>
              <w:rPr>
                <w:rFonts w:cs="Times New Roman"/>
                <w:color w:val="000000"/>
                <w:sz w:val="21"/>
                <w:szCs w:val="21"/>
              </w:rPr>
            </w:pPr>
            <w:r>
              <w:rPr>
                <w:rFonts w:cs="Times New Roman"/>
                <w:color w:val="000000"/>
                <w:sz w:val="20"/>
                <w:szCs w:val="20"/>
              </w:rPr>
              <w:t xml:space="preserve">1187 </w:t>
            </w:r>
          </w:p>
        </w:tc>
        <w:tc>
          <w:tcPr>
            <w:tcW w:w="333" w:type="pct"/>
            <w:gridSpan w:val="2"/>
            <w:tcBorders>
              <w:top w:val="nil"/>
              <w:left w:val="nil"/>
              <w:bottom w:val="single" w:color="auto" w:sz="4" w:space="0"/>
              <w:right w:val="single" w:color="auto" w:sz="4" w:space="0"/>
            </w:tcBorders>
            <w:shd w:val="clear" w:color="auto" w:fill="auto"/>
            <w:vAlign w:val="center"/>
          </w:tcPr>
          <w:p w14:paraId="2D8CB6D7">
            <w:pPr>
              <w:spacing w:line="240" w:lineRule="auto"/>
              <w:ind w:firstLine="0" w:firstLineChars="0"/>
              <w:jc w:val="center"/>
              <w:rPr>
                <w:rFonts w:cs="Times New Roman"/>
                <w:color w:val="000000"/>
                <w:sz w:val="21"/>
                <w:szCs w:val="21"/>
              </w:rPr>
            </w:pPr>
            <w:r>
              <w:rPr>
                <w:rFonts w:cs="Times New Roman"/>
                <w:color w:val="000000"/>
                <w:sz w:val="20"/>
                <w:szCs w:val="20"/>
              </w:rPr>
              <w:t xml:space="preserve">891 </w:t>
            </w:r>
          </w:p>
        </w:tc>
        <w:tc>
          <w:tcPr>
            <w:tcW w:w="302" w:type="pct"/>
            <w:tcBorders>
              <w:top w:val="nil"/>
              <w:left w:val="nil"/>
              <w:bottom w:val="single" w:color="auto" w:sz="4" w:space="0"/>
              <w:right w:val="single" w:color="auto" w:sz="4" w:space="0"/>
            </w:tcBorders>
            <w:shd w:val="clear" w:color="auto" w:fill="auto"/>
            <w:vAlign w:val="center"/>
          </w:tcPr>
          <w:p w14:paraId="0A45CA3A">
            <w:pPr>
              <w:spacing w:line="240" w:lineRule="auto"/>
              <w:ind w:firstLine="0" w:firstLineChars="0"/>
              <w:jc w:val="center"/>
              <w:rPr>
                <w:rFonts w:cs="Times New Roman"/>
                <w:color w:val="000000"/>
                <w:sz w:val="21"/>
                <w:szCs w:val="21"/>
              </w:rPr>
            </w:pPr>
            <w:r>
              <w:rPr>
                <w:rFonts w:cs="Times New Roman"/>
                <w:color w:val="000000"/>
                <w:sz w:val="20"/>
                <w:szCs w:val="20"/>
              </w:rPr>
              <w:t xml:space="preserve">609 </w:t>
            </w:r>
          </w:p>
        </w:tc>
        <w:tc>
          <w:tcPr>
            <w:tcW w:w="333" w:type="pct"/>
            <w:gridSpan w:val="2"/>
            <w:tcBorders>
              <w:top w:val="nil"/>
              <w:left w:val="nil"/>
              <w:bottom w:val="single" w:color="auto" w:sz="4" w:space="0"/>
              <w:right w:val="single" w:color="auto" w:sz="4" w:space="0"/>
            </w:tcBorders>
            <w:shd w:val="clear" w:color="auto" w:fill="auto"/>
            <w:vAlign w:val="center"/>
          </w:tcPr>
          <w:p w14:paraId="556F15C4">
            <w:pPr>
              <w:spacing w:line="240" w:lineRule="auto"/>
              <w:ind w:firstLine="0" w:firstLineChars="0"/>
              <w:jc w:val="center"/>
              <w:rPr>
                <w:rFonts w:cs="Times New Roman"/>
                <w:color w:val="000000"/>
                <w:sz w:val="21"/>
                <w:szCs w:val="21"/>
              </w:rPr>
            </w:pPr>
            <w:r>
              <w:rPr>
                <w:rFonts w:cs="Times New Roman"/>
                <w:color w:val="000000"/>
                <w:sz w:val="20"/>
                <w:szCs w:val="20"/>
              </w:rPr>
              <w:t xml:space="preserve">2190 </w:t>
            </w:r>
          </w:p>
        </w:tc>
        <w:tc>
          <w:tcPr>
            <w:tcW w:w="303" w:type="pct"/>
            <w:tcBorders>
              <w:top w:val="nil"/>
              <w:left w:val="nil"/>
              <w:bottom w:val="single" w:color="auto" w:sz="4" w:space="0"/>
              <w:right w:val="single" w:color="auto" w:sz="4" w:space="0"/>
            </w:tcBorders>
            <w:shd w:val="clear" w:color="auto" w:fill="auto"/>
            <w:vAlign w:val="center"/>
          </w:tcPr>
          <w:p w14:paraId="30BCFD81">
            <w:pPr>
              <w:spacing w:line="240" w:lineRule="auto"/>
              <w:ind w:firstLine="0" w:firstLineChars="0"/>
              <w:jc w:val="center"/>
              <w:rPr>
                <w:rFonts w:cs="Times New Roman"/>
                <w:color w:val="000000"/>
                <w:sz w:val="21"/>
                <w:szCs w:val="21"/>
              </w:rPr>
            </w:pPr>
            <w:r>
              <w:rPr>
                <w:rFonts w:cs="Times New Roman"/>
                <w:color w:val="000000"/>
                <w:sz w:val="20"/>
                <w:szCs w:val="20"/>
              </w:rPr>
              <w:t xml:space="preserve">1496 </w:t>
            </w:r>
          </w:p>
        </w:tc>
        <w:tc>
          <w:tcPr>
            <w:tcW w:w="334" w:type="pct"/>
            <w:gridSpan w:val="2"/>
            <w:tcBorders>
              <w:top w:val="nil"/>
              <w:left w:val="nil"/>
              <w:bottom w:val="single" w:color="auto" w:sz="4" w:space="0"/>
              <w:right w:val="single" w:color="auto" w:sz="4" w:space="0"/>
            </w:tcBorders>
            <w:shd w:val="clear" w:color="auto" w:fill="auto"/>
            <w:vAlign w:val="center"/>
          </w:tcPr>
          <w:p w14:paraId="54FAAB8B">
            <w:pPr>
              <w:spacing w:line="240" w:lineRule="auto"/>
              <w:ind w:firstLine="0" w:firstLineChars="0"/>
              <w:jc w:val="center"/>
              <w:rPr>
                <w:rFonts w:cs="Times New Roman"/>
                <w:color w:val="000000"/>
                <w:sz w:val="21"/>
                <w:szCs w:val="21"/>
              </w:rPr>
            </w:pPr>
            <w:r>
              <w:rPr>
                <w:rFonts w:cs="Times New Roman"/>
                <w:color w:val="000000"/>
                <w:sz w:val="20"/>
                <w:szCs w:val="20"/>
              </w:rPr>
              <w:t xml:space="preserve">958 </w:t>
            </w:r>
          </w:p>
        </w:tc>
        <w:tc>
          <w:tcPr>
            <w:tcW w:w="303" w:type="pct"/>
            <w:tcBorders>
              <w:top w:val="nil"/>
              <w:left w:val="nil"/>
              <w:bottom w:val="single" w:color="auto" w:sz="4" w:space="0"/>
              <w:right w:val="single" w:color="auto" w:sz="4" w:space="0"/>
            </w:tcBorders>
            <w:shd w:val="clear" w:color="auto" w:fill="auto"/>
            <w:vAlign w:val="center"/>
          </w:tcPr>
          <w:p w14:paraId="3165B594">
            <w:pPr>
              <w:spacing w:line="240" w:lineRule="auto"/>
              <w:ind w:firstLine="0" w:firstLineChars="0"/>
              <w:jc w:val="center"/>
              <w:rPr>
                <w:rFonts w:cs="Times New Roman"/>
                <w:color w:val="000000"/>
                <w:sz w:val="21"/>
                <w:szCs w:val="21"/>
              </w:rPr>
            </w:pPr>
            <w:r>
              <w:rPr>
                <w:rFonts w:cs="Times New Roman"/>
                <w:color w:val="000000"/>
                <w:sz w:val="20"/>
                <w:szCs w:val="20"/>
              </w:rPr>
              <w:t xml:space="preserve">719 </w:t>
            </w:r>
          </w:p>
        </w:tc>
        <w:tc>
          <w:tcPr>
            <w:tcW w:w="301" w:type="pct"/>
            <w:tcBorders>
              <w:top w:val="nil"/>
              <w:left w:val="nil"/>
              <w:bottom w:val="single" w:color="auto" w:sz="4" w:space="0"/>
              <w:right w:val="single" w:color="auto" w:sz="4" w:space="0"/>
            </w:tcBorders>
            <w:shd w:val="clear" w:color="auto" w:fill="auto"/>
            <w:vAlign w:val="center"/>
          </w:tcPr>
          <w:p w14:paraId="6BFC1248">
            <w:pPr>
              <w:spacing w:line="240" w:lineRule="auto"/>
              <w:ind w:firstLine="0" w:firstLineChars="0"/>
              <w:jc w:val="center"/>
              <w:rPr>
                <w:rFonts w:cs="Times New Roman"/>
                <w:color w:val="000000"/>
                <w:sz w:val="21"/>
                <w:szCs w:val="21"/>
              </w:rPr>
            </w:pPr>
            <w:r>
              <w:rPr>
                <w:rFonts w:cs="Times New Roman"/>
                <w:color w:val="000000"/>
                <w:sz w:val="20"/>
                <w:szCs w:val="20"/>
              </w:rPr>
              <w:t xml:space="preserve">492 </w:t>
            </w:r>
          </w:p>
        </w:tc>
      </w:tr>
      <w:tr w14:paraId="2E1BB82B">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66A12ED5">
            <w:pPr>
              <w:spacing w:line="240" w:lineRule="auto"/>
              <w:ind w:firstLine="0" w:firstLineChars="0"/>
              <w:jc w:val="center"/>
              <w:rPr>
                <w:rFonts w:cs="Times New Roman"/>
                <w:color w:val="000000"/>
                <w:sz w:val="21"/>
                <w:szCs w:val="21"/>
              </w:rPr>
            </w:pPr>
            <w:r>
              <w:rPr>
                <w:rFonts w:cs="Times New Roman"/>
                <w:color w:val="000000"/>
                <w:sz w:val="21"/>
                <w:szCs w:val="21"/>
              </w:rPr>
              <w:t>2</w:t>
            </w:r>
          </w:p>
        </w:tc>
        <w:tc>
          <w:tcPr>
            <w:tcW w:w="589" w:type="pct"/>
            <w:tcBorders>
              <w:top w:val="nil"/>
              <w:left w:val="nil"/>
              <w:bottom w:val="single" w:color="auto" w:sz="4" w:space="0"/>
              <w:right w:val="single" w:color="auto" w:sz="4" w:space="0"/>
            </w:tcBorders>
            <w:shd w:val="clear" w:color="auto" w:fill="auto"/>
            <w:vAlign w:val="center"/>
          </w:tcPr>
          <w:p w14:paraId="0AB289C0">
            <w:pPr>
              <w:spacing w:line="240" w:lineRule="auto"/>
              <w:ind w:firstLine="0" w:firstLineChars="0"/>
              <w:jc w:val="center"/>
              <w:rPr>
                <w:rFonts w:cs="Times New Roman"/>
                <w:color w:val="000000"/>
                <w:sz w:val="21"/>
                <w:szCs w:val="21"/>
              </w:rPr>
            </w:pPr>
            <w:r>
              <w:rPr>
                <w:rFonts w:cs="Times New Roman"/>
                <w:color w:val="000000"/>
                <w:sz w:val="21"/>
                <w:szCs w:val="21"/>
              </w:rPr>
              <w:t>降雨侵蚀力因子</w:t>
            </w:r>
          </w:p>
        </w:tc>
        <w:tc>
          <w:tcPr>
            <w:tcW w:w="223" w:type="pct"/>
            <w:tcBorders>
              <w:top w:val="nil"/>
              <w:left w:val="nil"/>
              <w:bottom w:val="single" w:color="auto" w:sz="4" w:space="0"/>
              <w:right w:val="single" w:color="auto" w:sz="4" w:space="0"/>
            </w:tcBorders>
            <w:shd w:val="clear" w:color="auto" w:fill="auto"/>
            <w:vAlign w:val="center"/>
          </w:tcPr>
          <w:p w14:paraId="0AA07658">
            <w:pPr>
              <w:spacing w:line="240" w:lineRule="auto"/>
              <w:ind w:firstLine="0" w:firstLineChars="0"/>
              <w:jc w:val="center"/>
              <w:rPr>
                <w:rFonts w:cs="Times New Roman"/>
                <w:color w:val="000000"/>
                <w:sz w:val="21"/>
                <w:szCs w:val="21"/>
              </w:rPr>
            </w:pPr>
            <w:r>
              <w:rPr>
                <w:rFonts w:cs="Times New Roman"/>
                <w:color w:val="000000"/>
                <w:sz w:val="21"/>
                <w:szCs w:val="21"/>
              </w:rPr>
              <w:t>R</w:t>
            </w:r>
          </w:p>
        </w:tc>
        <w:tc>
          <w:tcPr>
            <w:tcW w:w="865" w:type="pct"/>
            <w:tcBorders>
              <w:top w:val="nil"/>
              <w:left w:val="nil"/>
              <w:bottom w:val="single" w:color="auto" w:sz="4" w:space="0"/>
              <w:right w:val="single" w:color="auto" w:sz="4" w:space="0"/>
            </w:tcBorders>
            <w:shd w:val="clear" w:color="auto" w:fill="auto"/>
            <w:vAlign w:val="center"/>
          </w:tcPr>
          <w:p w14:paraId="0ADC788D">
            <w:pPr>
              <w:spacing w:line="240" w:lineRule="auto"/>
              <w:ind w:firstLine="0" w:firstLineChars="0"/>
              <w:jc w:val="center"/>
              <w:rPr>
                <w:rFonts w:cs="Times New Roman"/>
                <w:color w:val="000000"/>
                <w:sz w:val="21"/>
                <w:szCs w:val="21"/>
              </w:rPr>
            </w:pPr>
            <w:r>
              <w:rPr>
                <w:rFonts w:cs="Times New Roman"/>
                <w:color w:val="000000"/>
                <w:sz w:val="21"/>
                <w:szCs w:val="21"/>
              </w:rPr>
              <w:t>R=0.067pd1.627</w:t>
            </w:r>
          </w:p>
        </w:tc>
        <w:tc>
          <w:tcPr>
            <w:tcW w:w="302" w:type="pct"/>
            <w:tcBorders>
              <w:top w:val="nil"/>
              <w:left w:val="nil"/>
              <w:bottom w:val="single" w:color="auto" w:sz="4" w:space="0"/>
              <w:right w:val="single" w:color="auto" w:sz="4" w:space="0"/>
            </w:tcBorders>
            <w:shd w:val="clear" w:color="auto" w:fill="auto"/>
            <w:vAlign w:val="center"/>
          </w:tcPr>
          <w:p w14:paraId="6FA7C6EA">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333" w:type="pct"/>
            <w:gridSpan w:val="2"/>
            <w:tcBorders>
              <w:top w:val="nil"/>
              <w:left w:val="nil"/>
              <w:bottom w:val="single" w:color="auto" w:sz="4" w:space="0"/>
              <w:right w:val="single" w:color="auto" w:sz="4" w:space="0"/>
            </w:tcBorders>
            <w:shd w:val="clear" w:color="auto" w:fill="auto"/>
            <w:vAlign w:val="center"/>
          </w:tcPr>
          <w:p w14:paraId="3CE50A79">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302" w:type="pct"/>
            <w:tcBorders>
              <w:top w:val="nil"/>
              <w:left w:val="nil"/>
              <w:bottom w:val="single" w:color="auto" w:sz="4" w:space="0"/>
              <w:right w:val="single" w:color="auto" w:sz="4" w:space="0"/>
            </w:tcBorders>
            <w:shd w:val="clear" w:color="auto" w:fill="auto"/>
            <w:vAlign w:val="center"/>
          </w:tcPr>
          <w:p w14:paraId="1B91C370">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333" w:type="pct"/>
            <w:gridSpan w:val="2"/>
            <w:tcBorders>
              <w:top w:val="nil"/>
              <w:left w:val="nil"/>
              <w:bottom w:val="single" w:color="auto" w:sz="4" w:space="0"/>
              <w:right w:val="single" w:color="auto" w:sz="4" w:space="0"/>
            </w:tcBorders>
            <w:shd w:val="clear" w:color="auto" w:fill="auto"/>
            <w:vAlign w:val="center"/>
          </w:tcPr>
          <w:p w14:paraId="04CE6A19">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302" w:type="pct"/>
            <w:tcBorders>
              <w:top w:val="nil"/>
              <w:left w:val="nil"/>
              <w:bottom w:val="single" w:color="auto" w:sz="4" w:space="0"/>
              <w:right w:val="single" w:color="auto" w:sz="4" w:space="0"/>
            </w:tcBorders>
            <w:shd w:val="clear" w:color="auto" w:fill="auto"/>
            <w:vAlign w:val="center"/>
          </w:tcPr>
          <w:p w14:paraId="3FDAF4D5">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333" w:type="pct"/>
            <w:gridSpan w:val="2"/>
            <w:tcBorders>
              <w:top w:val="nil"/>
              <w:left w:val="nil"/>
              <w:bottom w:val="single" w:color="auto" w:sz="4" w:space="0"/>
              <w:right w:val="single" w:color="auto" w:sz="4" w:space="0"/>
            </w:tcBorders>
            <w:shd w:val="clear" w:color="auto" w:fill="auto"/>
            <w:vAlign w:val="center"/>
          </w:tcPr>
          <w:p w14:paraId="206C26B1">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303" w:type="pct"/>
            <w:tcBorders>
              <w:top w:val="nil"/>
              <w:left w:val="nil"/>
              <w:bottom w:val="single" w:color="auto" w:sz="4" w:space="0"/>
              <w:right w:val="single" w:color="auto" w:sz="4" w:space="0"/>
            </w:tcBorders>
            <w:shd w:val="clear" w:color="auto" w:fill="auto"/>
            <w:vAlign w:val="center"/>
          </w:tcPr>
          <w:p w14:paraId="35D13890">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334" w:type="pct"/>
            <w:gridSpan w:val="2"/>
            <w:tcBorders>
              <w:top w:val="nil"/>
              <w:left w:val="nil"/>
              <w:bottom w:val="single" w:color="auto" w:sz="4" w:space="0"/>
              <w:right w:val="single" w:color="auto" w:sz="4" w:space="0"/>
            </w:tcBorders>
            <w:shd w:val="clear" w:color="auto" w:fill="auto"/>
            <w:vAlign w:val="center"/>
          </w:tcPr>
          <w:p w14:paraId="391CF069">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303" w:type="pct"/>
            <w:tcBorders>
              <w:top w:val="nil"/>
              <w:left w:val="nil"/>
              <w:bottom w:val="single" w:color="auto" w:sz="4" w:space="0"/>
              <w:right w:val="single" w:color="auto" w:sz="4" w:space="0"/>
            </w:tcBorders>
            <w:shd w:val="clear" w:color="auto" w:fill="auto"/>
            <w:vAlign w:val="center"/>
          </w:tcPr>
          <w:p w14:paraId="055976B9">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301" w:type="pct"/>
            <w:tcBorders>
              <w:top w:val="nil"/>
              <w:left w:val="nil"/>
              <w:bottom w:val="single" w:color="auto" w:sz="4" w:space="0"/>
              <w:right w:val="single" w:color="auto" w:sz="4" w:space="0"/>
            </w:tcBorders>
            <w:shd w:val="clear" w:color="auto" w:fill="auto"/>
            <w:vAlign w:val="center"/>
          </w:tcPr>
          <w:p w14:paraId="270950CE">
            <w:pPr>
              <w:spacing w:line="240" w:lineRule="auto"/>
              <w:ind w:firstLine="0" w:firstLineChars="0"/>
              <w:jc w:val="center"/>
              <w:rPr>
                <w:rFonts w:cs="Times New Roman"/>
                <w:color w:val="000000"/>
                <w:sz w:val="21"/>
                <w:szCs w:val="21"/>
              </w:rPr>
            </w:pPr>
            <w:r>
              <w:rPr>
                <w:rFonts w:cs="Times New Roman"/>
                <w:color w:val="000000"/>
                <w:sz w:val="20"/>
                <w:szCs w:val="20"/>
              </w:rPr>
              <w:t>757</w:t>
            </w:r>
          </w:p>
        </w:tc>
      </w:tr>
      <w:tr w14:paraId="68BAD5A7">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6A2E6150">
            <w:pPr>
              <w:spacing w:line="240" w:lineRule="auto"/>
              <w:ind w:firstLine="0" w:firstLineChars="0"/>
              <w:jc w:val="center"/>
              <w:rPr>
                <w:rFonts w:cs="Times New Roman"/>
                <w:color w:val="000000"/>
                <w:sz w:val="21"/>
                <w:szCs w:val="21"/>
              </w:rPr>
            </w:pPr>
            <w:r>
              <w:rPr>
                <w:rFonts w:cs="Times New Roman"/>
                <w:color w:val="000000"/>
                <w:sz w:val="21"/>
                <w:szCs w:val="21"/>
              </w:rPr>
              <w:t>3</w:t>
            </w:r>
          </w:p>
        </w:tc>
        <w:tc>
          <w:tcPr>
            <w:tcW w:w="589" w:type="pct"/>
            <w:tcBorders>
              <w:top w:val="nil"/>
              <w:left w:val="nil"/>
              <w:bottom w:val="single" w:color="auto" w:sz="4" w:space="0"/>
              <w:right w:val="single" w:color="auto" w:sz="4" w:space="0"/>
            </w:tcBorders>
            <w:shd w:val="clear" w:color="auto" w:fill="auto"/>
            <w:vAlign w:val="center"/>
          </w:tcPr>
          <w:p w14:paraId="224F179A">
            <w:pPr>
              <w:spacing w:line="240" w:lineRule="auto"/>
              <w:ind w:firstLine="0" w:firstLineChars="0"/>
              <w:jc w:val="center"/>
              <w:rPr>
                <w:rFonts w:cs="Times New Roman"/>
                <w:color w:val="000000"/>
                <w:sz w:val="21"/>
                <w:szCs w:val="21"/>
              </w:rPr>
            </w:pPr>
            <w:r>
              <w:rPr>
                <w:rFonts w:cs="Times New Roman"/>
                <w:color w:val="000000"/>
                <w:sz w:val="21"/>
                <w:szCs w:val="21"/>
              </w:rPr>
              <w:t>地表翻扰后土壤可蚀性因子</w:t>
            </w:r>
          </w:p>
        </w:tc>
        <w:tc>
          <w:tcPr>
            <w:tcW w:w="223" w:type="pct"/>
            <w:tcBorders>
              <w:top w:val="nil"/>
              <w:left w:val="nil"/>
              <w:bottom w:val="single" w:color="auto" w:sz="4" w:space="0"/>
              <w:right w:val="single" w:color="auto" w:sz="4" w:space="0"/>
            </w:tcBorders>
            <w:shd w:val="clear" w:color="auto" w:fill="auto"/>
            <w:vAlign w:val="center"/>
          </w:tcPr>
          <w:p w14:paraId="3A4F62C0">
            <w:pPr>
              <w:spacing w:line="240" w:lineRule="auto"/>
              <w:ind w:firstLine="0" w:firstLineChars="0"/>
              <w:jc w:val="center"/>
              <w:rPr>
                <w:rFonts w:cs="Times New Roman"/>
                <w:color w:val="000000"/>
                <w:sz w:val="21"/>
                <w:szCs w:val="21"/>
              </w:rPr>
            </w:pPr>
            <w:r>
              <w:rPr>
                <w:rFonts w:cs="Times New Roman"/>
                <w:color w:val="000000"/>
                <w:sz w:val="21"/>
                <w:szCs w:val="21"/>
              </w:rPr>
              <w:t>Kyd</w:t>
            </w:r>
          </w:p>
        </w:tc>
        <w:tc>
          <w:tcPr>
            <w:tcW w:w="865" w:type="pct"/>
            <w:tcBorders>
              <w:top w:val="nil"/>
              <w:left w:val="nil"/>
              <w:bottom w:val="single" w:color="auto" w:sz="4" w:space="0"/>
              <w:right w:val="single" w:color="auto" w:sz="4" w:space="0"/>
            </w:tcBorders>
            <w:shd w:val="clear" w:color="auto" w:fill="auto"/>
            <w:vAlign w:val="center"/>
          </w:tcPr>
          <w:p w14:paraId="285511A5">
            <w:pPr>
              <w:spacing w:line="240" w:lineRule="auto"/>
              <w:ind w:firstLine="0" w:firstLineChars="0"/>
              <w:jc w:val="center"/>
              <w:rPr>
                <w:rFonts w:cs="Times New Roman"/>
                <w:color w:val="000000"/>
                <w:sz w:val="21"/>
                <w:szCs w:val="21"/>
              </w:rPr>
            </w:pPr>
            <w:r>
              <w:rPr>
                <w:rFonts w:cs="Times New Roman"/>
                <w:color w:val="000000"/>
                <w:sz w:val="21"/>
                <w:szCs w:val="21"/>
              </w:rPr>
              <w:t>Kyd=NK</w:t>
            </w:r>
          </w:p>
        </w:tc>
        <w:tc>
          <w:tcPr>
            <w:tcW w:w="302" w:type="pct"/>
            <w:tcBorders>
              <w:top w:val="nil"/>
              <w:left w:val="nil"/>
              <w:bottom w:val="single" w:color="auto" w:sz="4" w:space="0"/>
              <w:right w:val="single" w:color="auto" w:sz="4" w:space="0"/>
            </w:tcBorders>
            <w:shd w:val="clear" w:color="auto" w:fill="auto"/>
            <w:vAlign w:val="center"/>
          </w:tcPr>
          <w:p w14:paraId="17D0A9ED">
            <w:pPr>
              <w:spacing w:line="240" w:lineRule="auto"/>
              <w:ind w:firstLine="0" w:firstLineChars="0"/>
              <w:jc w:val="center"/>
              <w:rPr>
                <w:rFonts w:cs="Times New Roman"/>
                <w:color w:val="000000"/>
                <w:sz w:val="21"/>
                <w:szCs w:val="21"/>
              </w:rPr>
            </w:pPr>
            <w:r>
              <w:rPr>
                <w:rFonts w:cs="Times New Roman"/>
                <w:color w:val="000000"/>
                <w:sz w:val="20"/>
                <w:szCs w:val="20"/>
              </w:rPr>
              <w:t xml:space="preserve">0.037 </w:t>
            </w:r>
          </w:p>
        </w:tc>
        <w:tc>
          <w:tcPr>
            <w:tcW w:w="333" w:type="pct"/>
            <w:gridSpan w:val="2"/>
            <w:tcBorders>
              <w:top w:val="nil"/>
              <w:left w:val="nil"/>
              <w:bottom w:val="single" w:color="auto" w:sz="4" w:space="0"/>
              <w:right w:val="single" w:color="auto" w:sz="4" w:space="0"/>
            </w:tcBorders>
            <w:shd w:val="clear" w:color="auto" w:fill="auto"/>
            <w:vAlign w:val="center"/>
          </w:tcPr>
          <w:p w14:paraId="51627EE7">
            <w:pPr>
              <w:spacing w:line="240" w:lineRule="auto"/>
              <w:ind w:firstLine="0" w:firstLineChars="0"/>
              <w:jc w:val="center"/>
              <w:rPr>
                <w:rFonts w:cs="Times New Roman"/>
                <w:color w:val="000000"/>
                <w:sz w:val="21"/>
                <w:szCs w:val="21"/>
              </w:rPr>
            </w:pPr>
            <w:r>
              <w:rPr>
                <w:rFonts w:cs="Times New Roman"/>
                <w:color w:val="000000"/>
                <w:sz w:val="20"/>
                <w:szCs w:val="20"/>
              </w:rPr>
              <w:t xml:space="preserve">0.031 </w:t>
            </w:r>
          </w:p>
        </w:tc>
        <w:tc>
          <w:tcPr>
            <w:tcW w:w="302" w:type="pct"/>
            <w:tcBorders>
              <w:top w:val="nil"/>
              <w:left w:val="nil"/>
              <w:bottom w:val="single" w:color="auto" w:sz="4" w:space="0"/>
              <w:right w:val="single" w:color="auto" w:sz="4" w:space="0"/>
            </w:tcBorders>
            <w:shd w:val="clear" w:color="auto" w:fill="auto"/>
            <w:vAlign w:val="center"/>
          </w:tcPr>
          <w:p w14:paraId="54462492">
            <w:pPr>
              <w:spacing w:line="240" w:lineRule="auto"/>
              <w:ind w:firstLine="0" w:firstLineChars="0"/>
              <w:jc w:val="center"/>
              <w:rPr>
                <w:rFonts w:cs="Times New Roman"/>
                <w:color w:val="000000"/>
                <w:sz w:val="21"/>
                <w:szCs w:val="21"/>
              </w:rPr>
            </w:pPr>
            <w:r>
              <w:rPr>
                <w:rFonts w:cs="Times New Roman"/>
                <w:color w:val="000000"/>
                <w:sz w:val="20"/>
                <w:szCs w:val="20"/>
              </w:rPr>
              <w:t xml:space="preserve">0.026 </w:t>
            </w:r>
          </w:p>
        </w:tc>
        <w:tc>
          <w:tcPr>
            <w:tcW w:w="333" w:type="pct"/>
            <w:gridSpan w:val="2"/>
            <w:tcBorders>
              <w:top w:val="nil"/>
              <w:left w:val="nil"/>
              <w:bottom w:val="single" w:color="auto" w:sz="4" w:space="0"/>
              <w:right w:val="single" w:color="auto" w:sz="4" w:space="0"/>
            </w:tcBorders>
            <w:shd w:val="clear" w:color="auto" w:fill="auto"/>
            <w:vAlign w:val="center"/>
          </w:tcPr>
          <w:p w14:paraId="415D487B">
            <w:pPr>
              <w:spacing w:line="240" w:lineRule="auto"/>
              <w:ind w:firstLine="0" w:firstLineChars="0"/>
              <w:jc w:val="center"/>
              <w:rPr>
                <w:rFonts w:cs="Times New Roman"/>
                <w:color w:val="000000"/>
                <w:sz w:val="21"/>
                <w:szCs w:val="21"/>
              </w:rPr>
            </w:pPr>
            <w:r>
              <w:rPr>
                <w:rFonts w:cs="Times New Roman"/>
                <w:color w:val="000000"/>
                <w:sz w:val="20"/>
                <w:szCs w:val="20"/>
              </w:rPr>
              <w:t xml:space="preserve">0.021 </w:t>
            </w:r>
          </w:p>
        </w:tc>
        <w:tc>
          <w:tcPr>
            <w:tcW w:w="302" w:type="pct"/>
            <w:tcBorders>
              <w:top w:val="nil"/>
              <w:left w:val="nil"/>
              <w:bottom w:val="single" w:color="auto" w:sz="4" w:space="0"/>
              <w:right w:val="single" w:color="auto" w:sz="4" w:space="0"/>
            </w:tcBorders>
            <w:shd w:val="clear" w:color="auto" w:fill="auto"/>
            <w:vAlign w:val="center"/>
          </w:tcPr>
          <w:p w14:paraId="4D7D2412">
            <w:pPr>
              <w:spacing w:line="240" w:lineRule="auto"/>
              <w:ind w:firstLine="0" w:firstLineChars="0"/>
              <w:jc w:val="center"/>
              <w:rPr>
                <w:rFonts w:cs="Times New Roman"/>
                <w:color w:val="000000"/>
                <w:sz w:val="21"/>
                <w:szCs w:val="21"/>
              </w:rPr>
            </w:pPr>
            <w:r>
              <w:rPr>
                <w:rFonts w:cs="Times New Roman"/>
                <w:color w:val="000000"/>
                <w:sz w:val="20"/>
                <w:szCs w:val="20"/>
              </w:rPr>
              <w:t xml:space="preserve">0.018 </w:t>
            </w:r>
          </w:p>
        </w:tc>
        <w:tc>
          <w:tcPr>
            <w:tcW w:w="333" w:type="pct"/>
            <w:gridSpan w:val="2"/>
            <w:tcBorders>
              <w:top w:val="nil"/>
              <w:left w:val="nil"/>
              <w:bottom w:val="single" w:color="auto" w:sz="4" w:space="0"/>
              <w:right w:val="single" w:color="auto" w:sz="4" w:space="0"/>
            </w:tcBorders>
            <w:shd w:val="clear" w:color="auto" w:fill="auto"/>
            <w:vAlign w:val="center"/>
          </w:tcPr>
          <w:p w14:paraId="3B7137A1">
            <w:pPr>
              <w:spacing w:line="240" w:lineRule="auto"/>
              <w:ind w:firstLine="0" w:firstLineChars="0"/>
              <w:jc w:val="center"/>
              <w:rPr>
                <w:rFonts w:cs="Times New Roman"/>
                <w:color w:val="000000"/>
                <w:sz w:val="21"/>
                <w:szCs w:val="21"/>
              </w:rPr>
            </w:pPr>
            <w:r>
              <w:rPr>
                <w:rFonts w:cs="Times New Roman"/>
                <w:color w:val="000000"/>
                <w:sz w:val="20"/>
                <w:szCs w:val="20"/>
              </w:rPr>
              <w:t xml:space="preserve">0.037 </w:t>
            </w:r>
          </w:p>
        </w:tc>
        <w:tc>
          <w:tcPr>
            <w:tcW w:w="303" w:type="pct"/>
            <w:tcBorders>
              <w:top w:val="nil"/>
              <w:left w:val="nil"/>
              <w:bottom w:val="single" w:color="auto" w:sz="4" w:space="0"/>
              <w:right w:val="single" w:color="auto" w:sz="4" w:space="0"/>
            </w:tcBorders>
            <w:shd w:val="clear" w:color="auto" w:fill="auto"/>
            <w:vAlign w:val="center"/>
          </w:tcPr>
          <w:p w14:paraId="36BCDB7D">
            <w:pPr>
              <w:spacing w:line="240" w:lineRule="auto"/>
              <w:ind w:firstLine="0" w:firstLineChars="0"/>
              <w:jc w:val="center"/>
              <w:rPr>
                <w:rFonts w:cs="Times New Roman"/>
                <w:color w:val="000000"/>
                <w:sz w:val="21"/>
                <w:szCs w:val="21"/>
              </w:rPr>
            </w:pPr>
            <w:r>
              <w:rPr>
                <w:rFonts w:cs="Times New Roman"/>
                <w:color w:val="000000"/>
                <w:sz w:val="20"/>
                <w:szCs w:val="20"/>
              </w:rPr>
              <w:t xml:space="preserve">0.031 </w:t>
            </w:r>
          </w:p>
        </w:tc>
        <w:tc>
          <w:tcPr>
            <w:tcW w:w="334" w:type="pct"/>
            <w:gridSpan w:val="2"/>
            <w:tcBorders>
              <w:top w:val="nil"/>
              <w:left w:val="nil"/>
              <w:bottom w:val="single" w:color="auto" w:sz="4" w:space="0"/>
              <w:right w:val="single" w:color="auto" w:sz="4" w:space="0"/>
            </w:tcBorders>
            <w:shd w:val="clear" w:color="auto" w:fill="auto"/>
            <w:vAlign w:val="center"/>
          </w:tcPr>
          <w:p w14:paraId="758FA080">
            <w:pPr>
              <w:spacing w:line="240" w:lineRule="auto"/>
              <w:ind w:firstLine="0" w:firstLineChars="0"/>
              <w:jc w:val="center"/>
              <w:rPr>
                <w:rFonts w:cs="Times New Roman"/>
                <w:color w:val="000000"/>
                <w:sz w:val="21"/>
                <w:szCs w:val="21"/>
              </w:rPr>
            </w:pPr>
            <w:r>
              <w:rPr>
                <w:rFonts w:cs="Times New Roman"/>
                <w:color w:val="000000"/>
                <w:sz w:val="20"/>
                <w:szCs w:val="20"/>
              </w:rPr>
              <w:t xml:space="preserve">0.026 </w:t>
            </w:r>
          </w:p>
        </w:tc>
        <w:tc>
          <w:tcPr>
            <w:tcW w:w="303" w:type="pct"/>
            <w:tcBorders>
              <w:top w:val="nil"/>
              <w:left w:val="nil"/>
              <w:bottom w:val="single" w:color="auto" w:sz="4" w:space="0"/>
              <w:right w:val="single" w:color="auto" w:sz="4" w:space="0"/>
            </w:tcBorders>
            <w:shd w:val="clear" w:color="auto" w:fill="auto"/>
            <w:vAlign w:val="center"/>
          </w:tcPr>
          <w:p w14:paraId="28086370">
            <w:pPr>
              <w:spacing w:line="240" w:lineRule="auto"/>
              <w:ind w:firstLine="0" w:firstLineChars="0"/>
              <w:jc w:val="center"/>
              <w:rPr>
                <w:rFonts w:cs="Times New Roman"/>
                <w:color w:val="000000"/>
                <w:sz w:val="21"/>
                <w:szCs w:val="21"/>
              </w:rPr>
            </w:pPr>
            <w:r>
              <w:rPr>
                <w:rFonts w:cs="Times New Roman"/>
                <w:color w:val="000000"/>
                <w:sz w:val="20"/>
                <w:szCs w:val="20"/>
              </w:rPr>
              <w:t xml:space="preserve">0.021 </w:t>
            </w:r>
          </w:p>
        </w:tc>
        <w:tc>
          <w:tcPr>
            <w:tcW w:w="301" w:type="pct"/>
            <w:tcBorders>
              <w:top w:val="nil"/>
              <w:left w:val="nil"/>
              <w:bottom w:val="single" w:color="auto" w:sz="4" w:space="0"/>
              <w:right w:val="single" w:color="auto" w:sz="4" w:space="0"/>
            </w:tcBorders>
            <w:shd w:val="clear" w:color="auto" w:fill="auto"/>
            <w:vAlign w:val="center"/>
          </w:tcPr>
          <w:p w14:paraId="3E441FEA">
            <w:pPr>
              <w:spacing w:line="240" w:lineRule="auto"/>
              <w:ind w:firstLine="0" w:firstLineChars="0"/>
              <w:jc w:val="center"/>
              <w:rPr>
                <w:rFonts w:cs="Times New Roman"/>
                <w:color w:val="000000"/>
                <w:sz w:val="21"/>
                <w:szCs w:val="21"/>
              </w:rPr>
            </w:pPr>
            <w:r>
              <w:rPr>
                <w:rFonts w:cs="Times New Roman"/>
                <w:color w:val="000000"/>
                <w:sz w:val="20"/>
                <w:szCs w:val="20"/>
              </w:rPr>
              <w:t xml:space="preserve">0.018 </w:t>
            </w:r>
          </w:p>
        </w:tc>
      </w:tr>
      <w:tr w14:paraId="45FFCDA2">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21ADCEC6">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2C5FC204">
            <w:pPr>
              <w:spacing w:line="240" w:lineRule="auto"/>
              <w:ind w:firstLine="0" w:firstLineChars="0"/>
              <w:jc w:val="center"/>
              <w:rPr>
                <w:rFonts w:cs="Times New Roman"/>
                <w:color w:val="000000"/>
                <w:sz w:val="21"/>
                <w:szCs w:val="21"/>
              </w:rPr>
            </w:pPr>
            <w:r>
              <w:rPr>
                <w:rFonts w:cs="Times New Roman"/>
                <w:color w:val="000000"/>
                <w:sz w:val="21"/>
                <w:szCs w:val="21"/>
              </w:rPr>
              <w:t>可蚀性因子增大系数</w:t>
            </w:r>
          </w:p>
        </w:tc>
        <w:tc>
          <w:tcPr>
            <w:tcW w:w="223" w:type="pct"/>
            <w:tcBorders>
              <w:top w:val="nil"/>
              <w:left w:val="nil"/>
              <w:bottom w:val="single" w:color="auto" w:sz="4" w:space="0"/>
              <w:right w:val="single" w:color="auto" w:sz="4" w:space="0"/>
            </w:tcBorders>
            <w:shd w:val="clear" w:color="auto" w:fill="auto"/>
            <w:vAlign w:val="center"/>
          </w:tcPr>
          <w:p w14:paraId="27357CF0">
            <w:pPr>
              <w:spacing w:line="240" w:lineRule="auto"/>
              <w:ind w:firstLine="0" w:firstLineChars="0"/>
              <w:jc w:val="center"/>
              <w:rPr>
                <w:rFonts w:cs="Times New Roman"/>
                <w:color w:val="000000"/>
                <w:sz w:val="21"/>
                <w:szCs w:val="21"/>
              </w:rPr>
            </w:pPr>
            <w:r>
              <w:rPr>
                <w:rFonts w:cs="Times New Roman"/>
                <w:color w:val="000000"/>
                <w:sz w:val="21"/>
                <w:szCs w:val="21"/>
              </w:rPr>
              <w:t>N</w:t>
            </w:r>
          </w:p>
        </w:tc>
        <w:tc>
          <w:tcPr>
            <w:tcW w:w="865" w:type="pct"/>
            <w:tcBorders>
              <w:top w:val="nil"/>
              <w:left w:val="nil"/>
              <w:bottom w:val="single" w:color="auto" w:sz="4" w:space="0"/>
              <w:right w:val="single" w:color="auto" w:sz="4" w:space="0"/>
            </w:tcBorders>
            <w:shd w:val="clear" w:color="auto" w:fill="auto"/>
            <w:vAlign w:val="center"/>
          </w:tcPr>
          <w:p w14:paraId="2E6B644F">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5CF9963A">
            <w:pPr>
              <w:spacing w:line="240" w:lineRule="auto"/>
              <w:ind w:firstLine="0" w:firstLineChars="0"/>
              <w:jc w:val="center"/>
              <w:rPr>
                <w:rFonts w:cs="Times New Roman"/>
                <w:color w:val="000000"/>
                <w:sz w:val="21"/>
                <w:szCs w:val="21"/>
              </w:rPr>
            </w:pPr>
            <w:r>
              <w:rPr>
                <w:rFonts w:cs="Times New Roman"/>
                <w:color w:val="000000"/>
                <w:sz w:val="20"/>
                <w:szCs w:val="20"/>
              </w:rPr>
              <w:t>2.13</w:t>
            </w:r>
          </w:p>
        </w:tc>
        <w:tc>
          <w:tcPr>
            <w:tcW w:w="333" w:type="pct"/>
            <w:gridSpan w:val="2"/>
            <w:tcBorders>
              <w:top w:val="nil"/>
              <w:left w:val="nil"/>
              <w:bottom w:val="single" w:color="auto" w:sz="4" w:space="0"/>
              <w:right w:val="single" w:color="auto" w:sz="4" w:space="0"/>
            </w:tcBorders>
            <w:shd w:val="clear" w:color="auto" w:fill="auto"/>
            <w:vAlign w:val="center"/>
          </w:tcPr>
          <w:p w14:paraId="2D7C1F49">
            <w:pPr>
              <w:spacing w:line="240" w:lineRule="auto"/>
              <w:ind w:firstLine="0" w:firstLineChars="0"/>
              <w:jc w:val="center"/>
              <w:rPr>
                <w:rFonts w:cs="Times New Roman"/>
                <w:color w:val="000000"/>
                <w:sz w:val="21"/>
                <w:szCs w:val="21"/>
              </w:rPr>
            </w:pPr>
            <w:r>
              <w:rPr>
                <w:rFonts w:cs="Times New Roman"/>
                <w:color w:val="000000"/>
                <w:sz w:val="20"/>
                <w:szCs w:val="20"/>
              </w:rPr>
              <w:t xml:space="preserve">1.76 </w:t>
            </w:r>
          </w:p>
        </w:tc>
        <w:tc>
          <w:tcPr>
            <w:tcW w:w="302" w:type="pct"/>
            <w:tcBorders>
              <w:top w:val="nil"/>
              <w:left w:val="nil"/>
              <w:bottom w:val="single" w:color="auto" w:sz="4" w:space="0"/>
              <w:right w:val="single" w:color="auto" w:sz="4" w:space="0"/>
            </w:tcBorders>
            <w:shd w:val="clear" w:color="auto" w:fill="auto"/>
            <w:vAlign w:val="center"/>
          </w:tcPr>
          <w:p w14:paraId="3E8A6397">
            <w:pPr>
              <w:spacing w:line="240" w:lineRule="auto"/>
              <w:ind w:firstLine="0" w:firstLineChars="0"/>
              <w:jc w:val="center"/>
              <w:rPr>
                <w:rFonts w:cs="Times New Roman"/>
                <w:color w:val="000000"/>
                <w:sz w:val="21"/>
                <w:szCs w:val="21"/>
              </w:rPr>
            </w:pPr>
            <w:r>
              <w:rPr>
                <w:rFonts w:cs="Times New Roman"/>
                <w:color w:val="000000"/>
                <w:sz w:val="20"/>
                <w:szCs w:val="20"/>
              </w:rPr>
              <w:t xml:space="preserve">1.46 </w:t>
            </w:r>
          </w:p>
        </w:tc>
        <w:tc>
          <w:tcPr>
            <w:tcW w:w="333" w:type="pct"/>
            <w:gridSpan w:val="2"/>
            <w:tcBorders>
              <w:top w:val="nil"/>
              <w:left w:val="nil"/>
              <w:bottom w:val="single" w:color="auto" w:sz="4" w:space="0"/>
              <w:right w:val="single" w:color="auto" w:sz="4" w:space="0"/>
            </w:tcBorders>
            <w:shd w:val="clear" w:color="auto" w:fill="auto"/>
            <w:vAlign w:val="center"/>
          </w:tcPr>
          <w:p w14:paraId="3BB872D7">
            <w:pPr>
              <w:spacing w:line="240" w:lineRule="auto"/>
              <w:ind w:firstLine="0" w:firstLineChars="0"/>
              <w:jc w:val="center"/>
              <w:rPr>
                <w:rFonts w:cs="Times New Roman"/>
                <w:color w:val="000000"/>
                <w:sz w:val="21"/>
                <w:szCs w:val="21"/>
              </w:rPr>
            </w:pPr>
            <w:r>
              <w:rPr>
                <w:rFonts w:cs="Times New Roman"/>
                <w:color w:val="000000"/>
                <w:sz w:val="20"/>
                <w:szCs w:val="20"/>
              </w:rPr>
              <w:t xml:space="preserve">1.21 </w:t>
            </w:r>
          </w:p>
        </w:tc>
        <w:tc>
          <w:tcPr>
            <w:tcW w:w="302" w:type="pct"/>
            <w:tcBorders>
              <w:top w:val="nil"/>
              <w:left w:val="nil"/>
              <w:bottom w:val="single" w:color="auto" w:sz="4" w:space="0"/>
              <w:right w:val="single" w:color="auto" w:sz="4" w:space="0"/>
            </w:tcBorders>
            <w:shd w:val="clear" w:color="auto" w:fill="auto"/>
            <w:vAlign w:val="center"/>
          </w:tcPr>
          <w:p w14:paraId="7F92258C">
            <w:pPr>
              <w:spacing w:line="240" w:lineRule="auto"/>
              <w:ind w:firstLine="0" w:firstLineChars="0"/>
              <w:jc w:val="center"/>
              <w:rPr>
                <w:rFonts w:cs="Times New Roman"/>
                <w:color w:val="000000"/>
                <w:sz w:val="21"/>
                <w:szCs w:val="21"/>
              </w:rPr>
            </w:pPr>
            <w:r>
              <w:rPr>
                <w:rFonts w:cs="Times New Roman"/>
                <w:color w:val="000000"/>
                <w:sz w:val="20"/>
                <w:szCs w:val="20"/>
              </w:rPr>
              <w:t xml:space="preserve">1.00 </w:t>
            </w:r>
          </w:p>
        </w:tc>
        <w:tc>
          <w:tcPr>
            <w:tcW w:w="333" w:type="pct"/>
            <w:gridSpan w:val="2"/>
            <w:tcBorders>
              <w:top w:val="nil"/>
              <w:left w:val="nil"/>
              <w:bottom w:val="single" w:color="auto" w:sz="4" w:space="0"/>
              <w:right w:val="single" w:color="auto" w:sz="4" w:space="0"/>
            </w:tcBorders>
            <w:shd w:val="clear" w:color="auto" w:fill="auto"/>
            <w:vAlign w:val="center"/>
          </w:tcPr>
          <w:p w14:paraId="094FA9C1">
            <w:pPr>
              <w:spacing w:line="240" w:lineRule="auto"/>
              <w:ind w:firstLine="0" w:firstLineChars="0"/>
              <w:jc w:val="center"/>
              <w:rPr>
                <w:rFonts w:cs="Times New Roman"/>
                <w:color w:val="000000"/>
                <w:sz w:val="21"/>
                <w:szCs w:val="21"/>
              </w:rPr>
            </w:pPr>
            <w:r>
              <w:rPr>
                <w:rFonts w:cs="Times New Roman"/>
                <w:color w:val="000000"/>
                <w:sz w:val="20"/>
                <w:szCs w:val="20"/>
              </w:rPr>
              <w:t xml:space="preserve">2.13 </w:t>
            </w:r>
          </w:p>
        </w:tc>
        <w:tc>
          <w:tcPr>
            <w:tcW w:w="303" w:type="pct"/>
            <w:tcBorders>
              <w:top w:val="nil"/>
              <w:left w:val="nil"/>
              <w:bottom w:val="single" w:color="auto" w:sz="4" w:space="0"/>
              <w:right w:val="single" w:color="auto" w:sz="4" w:space="0"/>
            </w:tcBorders>
            <w:shd w:val="clear" w:color="auto" w:fill="auto"/>
            <w:vAlign w:val="center"/>
          </w:tcPr>
          <w:p w14:paraId="0E1A0E73">
            <w:pPr>
              <w:spacing w:line="240" w:lineRule="auto"/>
              <w:ind w:firstLine="0" w:firstLineChars="0"/>
              <w:jc w:val="center"/>
              <w:rPr>
                <w:rFonts w:cs="Times New Roman"/>
                <w:color w:val="000000"/>
                <w:sz w:val="21"/>
                <w:szCs w:val="21"/>
              </w:rPr>
            </w:pPr>
            <w:r>
              <w:rPr>
                <w:rFonts w:cs="Times New Roman"/>
                <w:color w:val="000000"/>
                <w:sz w:val="20"/>
                <w:szCs w:val="20"/>
              </w:rPr>
              <w:t xml:space="preserve">1.76 </w:t>
            </w:r>
          </w:p>
        </w:tc>
        <w:tc>
          <w:tcPr>
            <w:tcW w:w="334" w:type="pct"/>
            <w:gridSpan w:val="2"/>
            <w:tcBorders>
              <w:top w:val="nil"/>
              <w:left w:val="nil"/>
              <w:bottom w:val="single" w:color="auto" w:sz="4" w:space="0"/>
              <w:right w:val="single" w:color="auto" w:sz="4" w:space="0"/>
            </w:tcBorders>
            <w:shd w:val="clear" w:color="auto" w:fill="auto"/>
            <w:vAlign w:val="center"/>
          </w:tcPr>
          <w:p w14:paraId="3788BAD0">
            <w:pPr>
              <w:spacing w:line="240" w:lineRule="auto"/>
              <w:ind w:firstLine="0" w:firstLineChars="0"/>
              <w:jc w:val="center"/>
              <w:rPr>
                <w:rFonts w:cs="Times New Roman"/>
                <w:color w:val="000000"/>
                <w:sz w:val="21"/>
                <w:szCs w:val="21"/>
              </w:rPr>
            </w:pPr>
            <w:r>
              <w:rPr>
                <w:rFonts w:cs="Times New Roman"/>
                <w:color w:val="000000"/>
                <w:sz w:val="20"/>
                <w:szCs w:val="20"/>
              </w:rPr>
              <w:t xml:space="preserve">1.46 </w:t>
            </w:r>
          </w:p>
        </w:tc>
        <w:tc>
          <w:tcPr>
            <w:tcW w:w="303" w:type="pct"/>
            <w:tcBorders>
              <w:top w:val="nil"/>
              <w:left w:val="nil"/>
              <w:bottom w:val="single" w:color="auto" w:sz="4" w:space="0"/>
              <w:right w:val="single" w:color="auto" w:sz="4" w:space="0"/>
            </w:tcBorders>
            <w:shd w:val="clear" w:color="auto" w:fill="auto"/>
            <w:vAlign w:val="center"/>
          </w:tcPr>
          <w:p w14:paraId="58B78179">
            <w:pPr>
              <w:spacing w:line="240" w:lineRule="auto"/>
              <w:ind w:firstLine="0" w:firstLineChars="0"/>
              <w:jc w:val="center"/>
              <w:rPr>
                <w:rFonts w:cs="Times New Roman"/>
                <w:color w:val="000000"/>
                <w:sz w:val="21"/>
                <w:szCs w:val="21"/>
              </w:rPr>
            </w:pPr>
            <w:r>
              <w:rPr>
                <w:rFonts w:cs="Times New Roman"/>
                <w:color w:val="000000"/>
                <w:sz w:val="20"/>
                <w:szCs w:val="20"/>
              </w:rPr>
              <w:t xml:space="preserve">1.21 </w:t>
            </w:r>
          </w:p>
        </w:tc>
        <w:tc>
          <w:tcPr>
            <w:tcW w:w="301" w:type="pct"/>
            <w:tcBorders>
              <w:top w:val="nil"/>
              <w:left w:val="nil"/>
              <w:bottom w:val="single" w:color="auto" w:sz="4" w:space="0"/>
              <w:right w:val="single" w:color="auto" w:sz="4" w:space="0"/>
            </w:tcBorders>
            <w:shd w:val="clear" w:color="auto" w:fill="auto"/>
            <w:vAlign w:val="center"/>
          </w:tcPr>
          <w:p w14:paraId="2FECD990">
            <w:pPr>
              <w:spacing w:line="240" w:lineRule="auto"/>
              <w:ind w:firstLine="0" w:firstLineChars="0"/>
              <w:jc w:val="center"/>
              <w:rPr>
                <w:rFonts w:cs="Times New Roman"/>
                <w:color w:val="000000"/>
                <w:sz w:val="21"/>
                <w:szCs w:val="21"/>
              </w:rPr>
            </w:pPr>
            <w:r>
              <w:rPr>
                <w:rFonts w:cs="Times New Roman"/>
                <w:color w:val="000000"/>
                <w:sz w:val="20"/>
                <w:szCs w:val="20"/>
              </w:rPr>
              <w:t xml:space="preserve">1.00 </w:t>
            </w:r>
          </w:p>
        </w:tc>
      </w:tr>
      <w:tr w14:paraId="1F3D305D">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3B910103">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02085E41">
            <w:pPr>
              <w:spacing w:line="240" w:lineRule="auto"/>
              <w:ind w:firstLine="0" w:firstLineChars="0"/>
              <w:jc w:val="center"/>
              <w:rPr>
                <w:rFonts w:cs="Times New Roman"/>
                <w:color w:val="000000"/>
                <w:sz w:val="21"/>
                <w:szCs w:val="21"/>
              </w:rPr>
            </w:pPr>
            <w:r>
              <w:rPr>
                <w:rFonts w:cs="Times New Roman"/>
                <w:color w:val="000000"/>
                <w:sz w:val="21"/>
                <w:szCs w:val="21"/>
              </w:rPr>
              <w:t>土壤可蚀性因子</w:t>
            </w:r>
          </w:p>
        </w:tc>
        <w:tc>
          <w:tcPr>
            <w:tcW w:w="223" w:type="pct"/>
            <w:tcBorders>
              <w:top w:val="nil"/>
              <w:left w:val="nil"/>
              <w:bottom w:val="single" w:color="auto" w:sz="4" w:space="0"/>
              <w:right w:val="single" w:color="auto" w:sz="4" w:space="0"/>
            </w:tcBorders>
            <w:shd w:val="clear" w:color="auto" w:fill="auto"/>
            <w:vAlign w:val="center"/>
          </w:tcPr>
          <w:p w14:paraId="48A308EE">
            <w:pPr>
              <w:spacing w:line="240" w:lineRule="auto"/>
              <w:ind w:firstLine="0" w:firstLineChars="0"/>
              <w:jc w:val="center"/>
              <w:rPr>
                <w:rFonts w:cs="Times New Roman"/>
                <w:color w:val="000000"/>
                <w:sz w:val="21"/>
                <w:szCs w:val="21"/>
              </w:rPr>
            </w:pPr>
            <w:r>
              <w:rPr>
                <w:rFonts w:cs="Times New Roman"/>
                <w:color w:val="000000"/>
                <w:sz w:val="21"/>
                <w:szCs w:val="21"/>
              </w:rPr>
              <w:t>K</w:t>
            </w:r>
          </w:p>
        </w:tc>
        <w:tc>
          <w:tcPr>
            <w:tcW w:w="865" w:type="pct"/>
            <w:tcBorders>
              <w:top w:val="nil"/>
              <w:left w:val="nil"/>
              <w:bottom w:val="single" w:color="auto" w:sz="4" w:space="0"/>
              <w:right w:val="single" w:color="auto" w:sz="4" w:space="0"/>
            </w:tcBorders>
            <w:shd w:val="clear" w:color="auto" w:fill="auto"/>
            <w:vAlign w:val="center"/>
          </w:tcPr>
          <w:p w14:paraId="4A26A624">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771FCB3F">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333" w:type="pct"/>
            <w:gridSpan w:val="2"/>
            <w:tcBorders>
              <w:top w:val="nil"/>
              <w:left w:val="nil"/>
              <w:bottom w:val="single" w:color="auto" w:sz="4" w:space="0"/>
              <w:right w:val="single" w:color="auto" w:sz="4" w:space="0"/>
            </w:tcBorders>
            <w:shd w:val="clear" w:color="auto" w:fill="auto"/>
            <w:vAlign w:val="center"/>
          </w:tcPr>
          <w:p w14:paraId="7A396466">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302" w:type="pct"/>
            <w:tcBorders>
              <w:top w:val="nil"/>
              <w:left w:val="nil"/>
              <w:bottom w:val="single" w:color="auto" w:sz="4" w:space="0"/>
              <w:right w:val="single" w:color="auto" w:sz="4" w:space="0"/>
            </w:tcBorders>
            <w:shd w:val="clear" w:color="auto" w:fill="auto"/>
            <w:vAlign w:val="center"/>
          </w:tcPr>
          <w:p w14:paraId="6668109C">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333" w:type="pct"/>
            <w:gridSpan w:val="2"/>
            <w:tcBorders>
              <w:top w:val="nil"/>
              <w:left w:val="nil"/>
              <w:bottom w:val="single" w:color="auto" w:sz="4" w:space="0"/>
              <w:right w:val="single" w:color="auto" w:sz="4" w:space="0"/>
            </w:tcBorders>
            <w:shd w:val="clear" w:color="auto" w:fill="auto"/>
            <w:vAlign w:val="center"/>
          </w:tcPr>
          <w:p w14:paraId="13E544C6">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302" w:type="pct"/>
            <w:tcBorders>
              <w:top w:val="nil"/>
              <w:left w:val="nil"/>
              <w:bottom w:val="single" w:color="auto" w:sz="4" w:space="0"/>
              <w:right w:val="single" w:color="auto" w:sz="4" w:space="0"/>
            </w:tcBorders>
            <w:shd w:val="clear" w:color="auto" w:fill="auto"/>
            <w:vAlign w:val="center"/>
          </w:tcPr>
          <w:p w14:paraId="4CBD87AB">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333" w:type="pct"/>
            <w:gridSpan w:val="2"/>
            <w:tcBorders>
              <w:top w:val="nil"/>
              <w:left w:val="nil"/>
              <w:bottom w:val="single" w:color="auto" w:sz="4" w:space="0"/>
              <w:right w:val="single" w:color="auto" w:sz="4" w:space="0"/>
            </w:tcBorders>
            <w:shd w:val="clear" w:color="auto" w:fill="auto"/>
            <w:vAlign w:val="center"/>
          </w:tcPr>
          <w:p w14:paraId="4D2FA7DF">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303" w:type="pct"/>
            <w:tcBorders>
              <w:top w:val="nil"/>
              <w:left w:val="nil"/>
              <w:bottom w:val="single" w:color="auto" w:sz="4" w:space="0"/>
              <w:right w:val="single" w:color="auto" w:sz="4" w:space="0"/>
            </w:tcBorders>
            <w:shd w:val="clear" w:color="auto" w:fill="auto"/>
            <w:vAlign w:val="center"/>
          </w:tcPr>
          <w:p w14:paraId="61C1CACE">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334" w:type="pct"/>
            <w:gridSpan w:val="2"/>
            <w:tcBorders>
              <w:top w:val="nil"/>
              <w:left w:val="nil"/>
              <w:bottom w:val="single" w:color="auto" w:sz="4" w:space="0"/>
              <w:right w:val="single" w:color="auto" w:sz="4" w:space="0"/>
            </w:tcBorders>
            <w:shd w:val="clear" w:color="auto" w:fill="auto"/>
            <w:vAlign w:val="center"/>
          </w:tcPr>
          <w:p w14:paraId="4CF4623B">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303" w:type="pct"/>
            <w:tcBorders>
              <w:top w:val="nil"/>
              <w:left w:val="nil"/>
              <w:bottom w:val="single" w:color="auto" w:sz="4" w:space="0"/>
              <w:right w:val="single" w:color="auto" w:sz="4" w:space="0"/>
            </w:tcBorders>
            <w:shd w:val="clear" w:color="auto" w:fill="auto"/>
            <w:vAlign w:val="center"/>
          </w:tcPr>
          <w:p w14:paraId="326113DB">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301" w:type="pct"/>
            <w:tcBorders>
              <w:top w:val="nil"/>
              <w:left w:val="nil"/>
              <w:bottom w:val="single" w:color="auto" w:sz="4" w:space="0"/>
              <w:right w:val="single" w:color="auto" w:sz="4" w:space="0"/>
            </w:tcBorders>
            <w:shd w:val="clear" w:color="auto" w:fill="auto"/>
            <w:vAlign w:val="center"/>
          </w:tcPr>
          <w:p w14:paraId="6964ACF7">
            <w:pPr>
              <w:spacing w:line="240" w:lineRule="auto"/>
              <w:ind w:firstLine="0" w:firstLineChars="0"/>
              <w:jc w:val="center"/>
              <w:rPr>
                <w:rFonts w:cs="Times New Roman"/>
                <w:color w:val="000000"/>
                <w:sz w:val="21"/>
                <w:szCs w:val="21"/>
              </w:rPr>
            </w:pPr>
            <w:r>
              <w:rPr>
                <w:rFonts w:cs="Times New Roman"/>
                <w:color w:val="000000"/>
                <w:sz w:val="20"/>
                <w:szCs w:val="20"/>
              </w:rPr>
              <w:t>0.0175</w:t>
            </w:r>
          </w:p>
        </w:tc>
      </w:tr>
      <w:tr w14:paraId="0634AEED">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3FE28C41">
            <w:pPr>
              <w:spacing w:line="240" w:lineRule="auto"/>
              <w:ind w:firstLine="0" w:firstLineChars="0"/>
              <w:jc w:val="center"/>
              <w:rPr>
                <w:rFonts w:cs="Times New Roman"/>
                <w:color w:val="000000"/>
                <w:sz w:val="21"/>
                <w:szCs w:val="21"/>
              </w:rPr>
            </w:pPr>
            <w:r>
              <w:rPr>
                <w:rFonts w:cs="Times New Roman"/>
                <w:color w:val="000000"/>
                <w:sz w:val="21"/>
                <w:szCs w:val="21"/>
              </w:rPr>
              <w:t>4</w:t>
            </w:r>
          </w:p>
        </w:tc>
        <w:tc>
          <w:tcPr>
            <w:tcW w:w="589" w:type="pct"/>
            <w:tcBorders>
              <w:top w:val="nil"/>
              <w:left w:val="nil"/>
              <w:bottom w:val="single" w:color="auto" w:sz="4" w:space="0"/>
              <w:right w:val="single" w:color="auto" w:sz="4" w:space="0"/>
            </w:tcBorders>
            <w:shd w:val="clear" w:color="auto" w:fill="auto"/>
            <w:vAlign w:val="center"/>
          </w:tcPr>
          <w:p w14:paraId="4F3A8295">
            <w:pPr>
              <w:spacing w:line="240" w:lineRule="auto"/>
              <w:ind w:firstLine="0" w:firstLineChars="0"/>
              <w:jc w:val="center"/>
              <w:rPr>
                <w:rFonts w:cs="Times New Roman"/>
                <w:color w:val="000000"/>
                <w:sz w:val="21"/>
                <w:szCs w:val="21"/>
              </w:rPr>
            </w:pPr>
            <w:r>
              <w:rPr>
                <w:rFonts w:cs="Times New Roman"/>
                <w:color w:val="000000"/>
                <w:sz w:val="21"/>
                <w:szCs w:val="21"/>
              </w:rPr>
              <w:t>坡长因子</w:t>
            </w:r>
          </w:p>
        </w:tc>
        <w:tc>
          <w:tcPr>
            <w:tcW w:w="223" w:type="pct"/>
            <w:tcBorders>
              <w:top w:val="nil"/>
              <w:left w:val="nil"/>
              <w:bottom w:val="single" w:color="auto" w:sz="4" w:space="0"/>
              <w:right w:val="single" w:color="auto" w:sz="4" w:space="0"/>
            </w:tcBorders>
            <w:shd w:val="clear" w:color="auto" w:fill="auto"/>
            <w:vAlign w:val="center"/>
          </w:tcPr>
          <w:p w14:paraId="6E46A6AA">
            <w:pPr>
              <w:spacing w:line="240" w:lineRule="auto"/>
              <w:ind w:firstLine="0" w:firstLineChars="0"/>
              <w:jc w:val="center"/>
              <w:rPr>
                <w:rFonts w:cs="Times New Roman"/>
                <w:color w:val="000000"/>
                <w:sz w:val="21"/>
                <w:szCs w:val="21"/>
              </w:rPr>
            </w:pPr>
            <w:r>
              <w:rPr>
                <w:rFonts w:cs="Times New Roman"/>
                <w:color w:val="000000"/>
                <w:sz w:val="21"/>
                <w:szCs w:val="21"/>
              </w:rPr>
              <w:t>Ly</w:t>
            </w:r>
          </w:p>
        </w:tc>
        <w:tc>
          <w:tcPr>
            <w:tcW w:w="865" w:type="pct"/>
            <w:tcBorders>
              <w:top w:val="nil"/>
              <w:left w:val="nil"/>
              <w:bottom w:val="single" w:color="auto" w:sz="4" w:space="0"/>
              <w:right w:val="single" w:color="auto" w:sz="4" w:space="0"/>
            </w:tcBorders>
            <w:shd w:val="clear" w:color="auto" w:fill="auto"/>
            <w:vAlign w:val="center"/>
          </w:tcPr>
          <w:p w14:paraId="339D7513">
            <w:pPr>
              <w:spacing w:line="240" w:lineRule="auto"/>
              <w:ind w:firstLine="0" w:firstLineChars="0"/>
              <w:jc w:val="center"/>
              <w:rPr>
                <w:rFonts w:cs="Times New Roman"/>
                <w:color w:val="000000"/>
                <w:sz w:val="21"/>
                <w:szCs w:val="21"/>
              </w:rPr>
            </w:pPr>
            <w:r>
              <w:rPr>
                <w:rFonts w:cs="Times New Roman"/>
                <w:color w:val="000000"/>
                <w:sz w:val="21"/>
                <w:szCs w:val="21"/>
              </w:rPr>
              <w:t>Ly=(λ/20）</w:t>
            </w:r>
            <w:r>
              <w:rPr>
                <w:rFonts w:cs="Times New Roman"/>
                <w:color w:val="000000"/>
                <w:sz w:val="21"/>
                <w:szCs w:val="21"/>
                <w:vertAlign w:val="superscript"/>
              </w:rPr>
              <w:t>m</w:t>
            </w:r>
          </w:p>
        </w:tc>
        <w:tc>
          <w:tcPr>
            <w:tcW w:w="302" w:type="pct"/>
            <w:tcBorders>
              <w:top w:val="nil"/>
              <w:left w:val="nil"/>
              <w:bottom w:val="single" w:color="auto" w:sz="4" w:space="0"/>
              <w:right w:val="single" w:color="auto" w:sz="4" w:space="0"/>
            </w:tcBorders>
            <w:shd w:val="clear" w:color="auto" w:fill="auto"/>
            <w:vAlign w:val="center"/>
          </w:tcPr>
          <w:p w14:paraId="2CD47572">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333" w:type="pct"/>
            <w:gridSpan w:val="2"/>
            <w:tcBorders>
              <w:top w:val="nil"/>
              <w:left w:val="nil"/>
              <w:bottom w:val="single" w:color="auto" w:sz="4" w:space="0"/>
              <w:right w:val="single" w:color="auto" w:sz="4" w:space="0"/>
            </w:tcBorders>
            <w:shd w:val="clear" w:color="auto" w:fill="auto"/>
            <w:vAlign w:val="center"/>
          </w:tcPr>
          <w:p w14:paraId="0627B479">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302" w:type="pct"/>
            <w:tcBorders>
              <w:top w:val="nil"/>
              <w:left w:val="nil"/>
              <w:bottom w:val="single" w:color="auto" w:sz="4" w:space="0"/>
              <w:right w:val="single" w:color="auto" w:sz="4" w:space="0"/>
            </w:tcBorders>
            <w:shd w:val="clear" w:color="auto" w:fill="auto"/>
            <w:vAlign w:val="center"/>
          </w:tcPr>
          <w:p w14:paraId="14EF098F">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333" w:type="pct"/>
            <w:gridSpan w:val="2"/>
            <w:tcBorders>
              <w:top w:val="nil"/>
              <w:left w:val="nil"/>
              <w:bottom w:val="single" w:color="auto" w:sz="4" w:space="0"/>
              <w:right w:val="single" w:color="auto" w:sz="4" w:space="0"/>
            </w:tcBorders>
            <w:shd w:val="clear" w:color="auto" w:fill="auto"/>
            <w:vAlign w:val="center"/>
          </w:tcPr>
          <w:p w14:paraId="6092DE3A">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302" w:type="pct"/>
            <w:tcBorders>
              <w:top w:val="nil"/>
              <w:left w:val="nil"/>
              <w:bottom w:val="single" w:color="auto" w:sz="4" w:space="0"/>
              <w:right w:val="single" w:color="auto" w:sz="4" w:space="0"/>
            </w:tcBorders>
            <w:shd w:val="clear" w:color="auto" w:fill="auto"/>
            <w:vAlign w:val="center"/>
          </w:tcPr>
          <w:p w14:paraId="5851E3B3">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333" w:type="pct"/>
            <w:gridSpan w:val="2"/>
            <w:tcBorders>
              <w:top w:val="nil"/>
              <w:left w:val="nil"/>
              <w:bottom w:val="single" w:color="auto" w:sz="4" w:space="0"/>
              <w:right w:val="single" w:color="auto" w:sz="4" w:space="0"/>
            </w:tcBorders>
            <w:shd w:val="clear" w:color="auto" w:fill="auto"/>
            <w:vAlign w:val="center"/>
          </w:tcPr>
          <w:p w14:paraId="10928E0D">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303" w:type="pct"/>
            <w:tcBorders>
              <w:top w:val="nil"/>
              <w:left w:val="nil"/>
              <w:bottom w:val="single" w:color="auto" w:sz="4" w:space="0"/>
              <w:right w:val="single" w:color="auto" w:sz="4" w:space="0"/>
            </w:tcBorders>
            <w:shd w:val="clear" w:color="auto" w:fill="auto"/>
            <w:vAlign w:val="center"/>
          </w:tcPr>
          <w:p w14:paraId="68F387F2">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334" w:type="pct"/>
            <w:gridSpan w:val="2"/>
            <w:tcBorders>
              <w:top w:val="nil"/>
              <w:left w:val="nil"/>
              <w:bottom w:val="single" w:color="auto" w:sz="4" w:space="0"/>
              <w:right w:val="single" w:color="auto" w:sz="4" w:space="0"/>
            </w:tcBorders>
            <w:shd w:val="clear" w:color="auto" w:fill="auto"/>
            <w:vAlign w:val="center"/>
          </w:tcPr>
          <w:p w14:paraId="301E9B6C">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303" w:type="pct"/>
            <w:tcBorders>
              <w:top w:val="nil"/>
              <w:left w:val="nil"/>
              <w:bottom w:val="single" w:color="auto" w:sz="4" w:space="0"/>
              <w:right w:val="single" w:color="auto" w:sz="4" w:space="0"/>
            </w:tcBorders>
            <w:shd w:val="clear" w:color="auto" w:fill="auto"/>
            <w:vAlign w:val="center"/>
          </w:tcPr>
          <w:p w14:paraId="098F8933">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301" w:type="pct"/>
            <w:tcBorders>
              <w:top w:val="nil"/>
              <w:left w:val="nil"/>
              <w:bottom w:val="single" w:color="auto" w:sz="4" w:space="0"/>
              <w:right w:val="single" w:color="auto" w:sz="4" w:space="0"/>
            </w:tcBorders>
            <w:shd w:val="clear" w:color="auto" w:fill="auto"/>
            <w:vAlign w:val="center"/>
          </w:tcPr>
          <w:p w14:paraId="4657A688">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r>
      <w:tr w14:paraId="23003F08">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35B531A6">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33B7B87F">
            <w:pPr>
              <w:spacing w:line="240" w:lineRule="auto"/>
              <w:ind w:firstLine="0" w:firstLineChars="0"/>
              <w:jc w:val="center"/>
              <w:rPr>
                <w:rFonts w:cs="Times New Roman"/>
                <w:color w:val="000000"/>
                <w:sz w:val="21"/>
                <w:szCs w:val="21"/>
              </w:rPr>
            </w:pPr>
            <w:r>
              <w:rPr>
                <w:rFonts w:cs="Times New Roman"/>
                <w:color w:val="000000"/>
                <w:sz w:val="21"/>
                <w:szCs w:val="21"/>
              </w:rPr>
              <w:t>水平投影坡坡长（m）</w:t>
            </w:r>
          </w:p>
        </w:tc>
        <w:tc>
          <w:tcPr>
            <w:tcW w:w="223" w:type="pct"/>
            <w:tcBorders>
              <w:top w:val="nil"/>
              <w:left w:val="nil"/>
              <w:bottom w:val="single" w:color="auto" w:sz="4" w:space="0"/>
              <w:right w:val="single" w:color="auto" w:sz="4" w:space="0"/>
            </w:tcBorders>
            <w:shd w:val="clear" w:color="auto" w:fill="auto"/>
            <w:vAlign w:val="center"/>
          </w:tcPr>
          <w:p w14:paraId="1708C8E6">
            <w:pPr>
              <w:spacing w:line="240" w:lineRule="auto"/>
              <w:ind w:firstLine="0" w:firstLineChars="0"/>
              <w:jc w:val="center"/>
              <w:rPr>
                <w:rFonts w:cs="Times New Roman"/>
                <w:color w:val="000000"/>
                <w:sz w:val="21"/>
                <w:szCs w:val="21"/>
              </w:rPr>
            </w:pPr>
            <w:r>
              <w:rPr>
                <w:rFonts w:cs="Times New Roman"/>
                <w:color w:val="000000"/>
                <w:sz w:val="21"/>
                <w:szCs w:val="21"/>
              </w:rPr>
              <w:t>λ</w:t>
            </w:r>
          </w:p>
        </w:tc>
        <w:tc>
          <w:tcPr>
            <w:tcW w:w="865" w:type="pct"/>
            <w:tcBorders>
              <w:top w:val="nil"/>
              <w:left w:val="nil"/>
              <w:bottom w:val="single" w:color="auto" w:sz="4" w:space="0"/>
              <w:right w:val="single" w:color="auto" w:sz="4" w:space="0"/>
            </w:tcBorders>
            <w:shd w:val="clear" w:color="auto" w:fill="auto"/>
            <w:vAlign w:val="center"/>
          </w:tcPr>
          <w:p w14:paraId="21247FE1">
            <w:pPr>
              <w:spacing w:line="240" w:lineRule="auto"/>
              <w:ind w:firstLine="0" w:firstLineChars="0"/>
              <w:jc w:val="center"/>
              <w:rPr>
                <w:rFonts w:cs="Times New Roman"/>
                <w:color w:val="000000"/>
                <w:sz w:val="21"/>
                <w:szCs w:val="21"/>
              </w:rPr>
            </w:pPr>
            <w:r>
              <w:rPr>
                <w:rFonts w:cs="Times New Roman"/>
                <w:color w:val="000000"/>
                <w:sz w:val="21"/>
                <w:szCs w:val="21"/>
              </w:rPr>
              <w:t>λ=λxcosθ</w:t>
            </w:r>
          </w:p>
        </w:tc>
        <w:tc>
          <w:tcPr>
            <w:tcW w:w="302" w:type="pct"/>
            <w:tcBorders>
              <w:top w:val="nil"/>
              <w:left w:val="nil"/>
              <w:bottom w:val="single" w:color="auto" w:sz="4" w:space="0"/>
              <w:right w:val="single" w:color="auto" w:sz="4" w:space="0"/>
            </w:tcBorders>
            <w:shd w:val="clear" w:color="auto" w:fill="auto"/>
            <w:vAlign w:val="center"/>
          </w:tcPr>
          <w:p w14:paraId="221688FE">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333" w:type="pct"/>
            <w:gridSpan w:val="2"/>
            <w:tcBorders>
              <w:top w:val="nil"/>
              <w:left w:val="nil"/>
              <w:bottom w:val="single" w:color="auto" w:sz="4" w:space="0"/>
              <w:right w:val="single" w:color="auto" w:sz="4" w:space="0"/>
            </w:tcBorders>
            <w:shd w:val="clear" w:color="auto" w:fill="auto"/>
            <w:vAlign w:val="center"/>
          </w:tcPr>
          <w:p w14:paraId="6221ED5F">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302" w:type="pct"/>
            <w:tcBorders>
              <w:top w:val="nil"/>
              <w:left w:val="nil"/>
              <w:bottom w:val="single" w:color="auto" w:sz="4" w:space="0"/>
              <w:right w:val="single" w:color="auto" w:sz="4" w:space="0"/>
            </w:tcBorders>
            <w:shd w:val="clear" w:color="auto" w:fill="auto"/>
            <w:vAlign w:val="center"/>
          </w:tcPr>
          <w:p w14:paraId="1C9CF34E">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333" w:type="pct"/>
            <w:gridSpan w:val="2"/>
            <w:tcBorders>
              <w:top w:val="nil"/>
              <w:left w:val="nil"/>
              <w:bottom w:val="single" w:color="auto" w:sz="4" w:space="0"/>
              <w:right w:val="single" w:color="auto" w:sz="4" w:space="0"/>
            </w:tcBorders>
            <w:shd w:val="clear" w:color="auto" w:fill="auto"/>
            <w:vAlign w:val="center"/>
          </w:tcPr>
          <w:p w14:paraId="4CF28985">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302" w:type="pct"/>
            <w:tcBorders>
              <w:top w:val="nil"/>
              <w:left w:val="nil"/>
              <w:bottom w:val="single" w:color="auto" w:sz="4" w:space="0"/>
              <w:right w:val="single" w:color="auto" w:sz="4" w:space="0"/>
            </w:tcBorders>
            <w:shd w:val="clear" w:color="auto" w:fill="auto"/>
            <w:vAlign w:val="center"/>
          </w:tcPr>
          <w:p w14:paraId="4DFA52D5">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333" w:type="pct"/>
            <w:gridSpan w:val="2"/>
            <w:tcBorders>
              <w:top w:val="nil"/>
              <w:left w:val="nil"/>
              <w:bottom w:val="single" w:color="auto" w:sz="4" w:space="0"/>
              <w:right w:val="single" w:color="auto" w:sz="4" w:space="0"/>
            </w:tcBorders>
            <w:shd w:val="clear" w:color="auto" w:fill="auto"/>
            <w:vAlign w:val="center"/>
          </w:tcPr>
          <w:p w14:paraId="5F47B76E">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303" w:type="pct"/>
            <w:tcBorders>
              <w:top w:val="nil"/>
              <w:left w:val="nil"/>
              <w:bottom w:val="single" w:color="auto" w:sz="4" w:space="0"/>
              <w:right w:val="single" w:color="auto" w:sz="4" w:space="0"/>
            </w:tcBorders>
            <w:shd w:val="clear" w:color="auto" w:fill="auto"/>
            <w:vAlign w:val="center"/>
          </w:tcPr>
          <w:p w14:paraId="4A91D26E">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334" w:type="pct"/>
            <w:gridSpan w:val="2"/>
            <w:tcBorders>
              <w:top w:val="nil"/>
              <w:left w:val="nil"/>
              <w:bottom w:val="single" w:color="auto" w:sz="4" w:space="0"/>
              <w:right w:val="single" w:color="auto" w:sz="4" w:space="0"/>
            </w:tcBorders>
            <w:shd w:val="clear" w:color="auto" w:fill="auto"/>
            <w:vAlign w:val="center"/>
          </w:tcPr>
          <w:p w14:paraId="07E127EC">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303" w:type="pct"/>
            <w:tcBorders>
              <w:top w:val="nil"/>
              <w:left w:val="nil"/>
              <w:bottom w:val="single" w:color="auto" w:sz="4" w:space="0"/>
              <w:right w:val="single" w:color="auto" w:sz="4" w:space="0"/>
            </w:tcBorders>
            <w:shd w:val="clear" w:color="auto" w:fill="auto"/>
            <w:vAlign w:val="center"/>
          </w:tcPr>
          <w:p w14:paraId="4305E308">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301" w:type="pct"/>
            <w:tcBorders>
              <w:top w:val="nil"/>
              <w:left w:val="nil"/>
              <w:bottom w:val="single" w:color="auto" w:sz="4" w:space="0"/>
              <w:right w:val="single" w:color="auto" w:sz="4" w:space="0"/>
            </w:tcBorders>
            <w:shd w:val="clear" w:color="auto" w:fill="auto"/>
            <w:vAlign w:val="center"/>
          </w:tcPr>
          <w:p w14:paraId="6AAD80E0">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r>
      <w:tr w14:paraId="48227429">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22218FBA">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795A17B2">
            <w:pPr>
              <w:spacing w:line="240" w:lineRule="auto"/>
              <w:ind w:firstLine="0" w:firstLineChars="0"/>
              <w:jc w:val="center"/>
              <w:rPr>
                <w:rFonts w:cs="Times New Roman"/>
                <w:color w:val="000000"/>
                <w:sz w:val="21"/>
                <w:szCs w:val="21"/>
              </w:rPr>
            </w:pPr>
            <w:r>
              <w:rPr>
                <w:rFonts w:cs="Times New Roman"/>
                <w:color w:val="000000"/>
                <w:sz w:val="21"/>
                <w:szCs w:val="21"/>
              </w:rPr>
              <w:t>斜坡长度（m）</w:t>
            </w:r>
          </w:p>
        </w:tc>
        <w:tc>
          <w:tcPr>
            <w:tcW w:w="223" w:type="pct"/>
            <w:tcBorders>
              <w:top w:val="nil"/>
              <w:left w:val="nil"/>
              <w:bottom w:val="single" w:color="auto" w:sz="4" w:space="0"/>
              <w:right w:val="single" w:color="auto" w:sz="4" w:space="0"/>
            </w:tcBorders>
            <w:shd w:val="clear" w:color="auto" w:fill="auto"/>
            <w:vAlign w:val="center"/>
          </w:tcPr>
          <w:p w14:paraId="51F27710">
            <w:pPr>
              <w:spacing w:line="240" w:lineRule="auto"/>
              <w:ind w:firstLine="0" w:firstLineChars="0"/>
              <w:jc w:val="center"/>
              <w:rPr>
                <w:rFonts w:cs="Times New Roman"/>
                <w:color w:val="000000"/>
                <w:sz w:val="21"/>
                <w:szCs w:val="21"/>
              </w:rPr>
            </w:pPr>
            <w:r>
              <w:rPr>
                <w:rFonts w:cs="Times New Roman"/>
                <w:color w:val="000000"/>
                <w:sz w:val="21"/>
                <w:szCs w:val="21"/>
              </w:rPr>
              <w:t>λx</w:t>
            </w:r>
          </w:p>
        </w:tc>
        <w:tc>
          <w:tcPr>
            <w:tcW w:w="865" w:type="pct"/>
            <w:tcBorders>
              <w:top w:val="nil"/>
              <w:left w:val="nil"/>
              <w:bottom w:val="single" w:color="auto" w:sz="4" w:space="0"/>
              <w:right w:val="single" w:color="auto" w:sz="4" w:space="0"/>
            </w:tcBorders>
            <w:shd w:val="clear" w:color="auto" w:fill="auto"/>
            <w:vAlign w:val="center"/>
          </w:tcPr>
          <w:p w14:paraId="70AF1AF7">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25C802B8">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333" w:type="pct"/>
            <w:gridSpan w:val="2"/>
            <w:tcBorders>
              <w:top w:val="nil"/>
              <w:left w:val="nil"/>
              <w:bottom w:val="single" w:color="auto" w:sz="4" w:space="0"/>
              <w:right w:val="single" w:color="auto" w:sz="4" w:space="0"/>
            </w:tcBorders>
            <w:shd w:val="clear" w:color="auto" w:fill="auto"/>
            <w:vAlign w:val="center"/>
          </w:tcPr>
          <w:p w14:paraId="092D616D">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302" w:type="pct"/>
            <w:tcBorders>
              <w:top w:val="nil"/>
              <w:left w:val="nil"/>
              <w:bottom w:val="single" w:color="auto" w:sz="4" w:space="0"/>
              <w:right w:val="single" w:color="auto" w:sz="4" w:space="0"/>
            </w:tcBorders>
            <w:shd w:val="clear" w:color="auto" w:fill="auto"/>
            <w:vAlign w:val="center"/>
          </w:tcPr>
          <w:p w14:paraId="36A02630">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333" w:type="pct"/>
            <w:gridSpan w:val="2"/>
            <w:tcBorders>
              <w:top w:val="nil"/>
              <w:left w:val="nil"/>
              <w:bottom w:val="single" w:color="auto" w:sz="4" w:space="0"/>
              <w:right w:val="single" w:color="auto" w:sz="4" w:space="0"/>
            </w:tcBorders>
            <w:shd w:val="clear" w:color="auto" w:fill="auto"/>
            <w:vAlign w:val="center"/>
          </w:tcPr>
          <w:p w14:paraId="0CFF7EB5">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302" w:type="pct"/>
            <w:tcBorders>
              <w:top w:val="nil"/>
              <w:left w:val="nil"/>
              <w:bottom w:val="single" w:color="auto" w:sz="4" w:space="0"/>
              <w:right w:val="single" w:color="auto" w:sz="4" w:space="0"/>
            </w:tcBorders>
            <w:shd w:val="clear" w:color="auto" w:fill="auto"/>
            <w:vAlign w:val="center"/>
          </w:tcPr>
          <w:p w14:paraId="5AC37E88">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333" w:type="pct"/>
            <w:gridSpan w:val="2"/>
            <w:tcBorders>
              <w:top w:val="nil"/>
              <w:left w:val="nil"/>
              <w:bottom w:val="single" w:color="auto" w:sz="4" w:space="0"/>
              <w:right w:val="single" w:color="auto" w:sz="4" w:space="0"/>
            </w:tcBorders>
            <w:shd w:val="clear" w:color="auto" w:fill="auto"/>
            <w:vAlign w:val="center"/>
          </w:tcPr>
          <w:p w14:paraId="7A47D67B">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303" w:type="pct"/>
            <w:tcBorders>
              <w:top w:val="nil"/>
              <w:left w:val="nil"/>
              <w:bottom w:val="single" w:color="auto" w:sz="4" w:space="0"/>
              <w:right w:val="single" w:color="auto" w:sz="4" w:space="0"/>
            </w:tcBorders>
            <w:shd w:val="clear" w:color="auto" w:fill="auto"/>
            <w:vAlign w:val="center"/>
          </w:tcPr>
          <w:p w14:paraId="576870AE">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334" w:type="pct"/>
            <w:gridSpan w:val="2"/>
            <w:tcBorders>
              <w:top w:val="nil"/>
              <w:left w:val="nil"/>
              <w:bottom w:val="single" w:color="auto" w:sz="4" w:space="0"/>
              <w:right w:val="single" w:color="auto" w:sz="4" w:space="0"/>
            </w:tcBorders>
            <w:shd w:val="clear" w:color="auto" w:fill="auto"/>
            <w:vAlign w:val="center"/>
          </w:tcPr>
          <w:p w14:paraId="03040948">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303" w:type="pct"/>
            <w:tcBorders>
              <w:top w:val="nil"/>
              <w:left w:val="nil"/>
              <w:bottom w:val="single" w:color="auto" w:sz="4" w:space="0"/>
              <w:right w:val="single" w:color="auto" w:sz="4" w:space="0"/>
            </w:tcBorders>
            <w:shd w:val="clear" w:color="auto" w:fill="auto"/>
            <w:vAlign w:val="center"/>
          </w:tcPr>
          <w:p w14:paraId="2FCF3E3D">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301" w:type="pct"/>
            <w:tcBorders>
              <w:top w:val="nil"/>
              <w:left w:val="nil"/>
              <w:bottom w:val="single" w:color="auto" w:sz="4" w:space="0"/>
              <w:right w:val="single" w:color="auto" w:sz="4" w:space="0"/>
            </w:tcBorders>
            <w:shd w:val="clear" w:color="auto" w:fill="auto"/>
            <w:vAlign w:val="center"/>
          </w:tcPr>
          <w:p w14:paraId="26FD8D6B">
            <w:pPr>
              <w:spacing w:line="240" w:lineRule="auto"/>
              <w:ind w:firstLine="0" w:firstLineChars="0"/>
              <w:jc w:val="center"/>
              <w:rPr>
                <w:rFonts w:cs="Times New Roman"/>
                <w:color w:val="000000"/>
                <w:sz w:val="21"/>
                <w:szCs w:val="21"/>
              </w:rPr>
            </w:pPr>
            <w:r>
              <w:rPr>
                <w:rFonts w:cs="Times New Roman"/>
                <w:color w:val="000000"/>
                <w:sz w:val="20"/>
                <w:szCs w:val="20"/>
              </w:rPr>
              <w:t>100</w:t>
            </w:r>
          </w:p>
        </w:tc>
      </w:tr>
      <w:tr w14:paraId="58DCFD33">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6C83CBAF">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493D20A7">
            <w:pPr>
              <w:spacing w:line="240" w:lineRule="auto"/>
              <w:ind w:firstLine="0" w:firstLineChars="0"/>
              <w:jc w:val="center"/>
              <w:rPr>
                <w:rFonts w:cs="Times New Roman"/>
                <w:color w:val="000000"/>
                <w:sz w:val="21"/>
                <w:szCs w:val="21"/>
              </w:rPr>
            </w:pPr>
            <w:r>
              <w:rPr>
                <w:rFonts w:cs="Times New Roman"/>
                <w:color w:val="000000"/>
                <w:sz w:val="21"/>
                <w:szCs w:val="21"/>
              </w:rPr>
              <w:t>坡长指数</w:t>
            </w:r>
          </w:p>
        </w:tc>
        <w:tc>
          <w:tcPr>
            <w:tcW w:w="223" w:type="pct"/>
            <w:tcBorders>
              <w:top w:val="nil"/>
              <w:left w:val="nil"/>
              <w:bottom w:val="single" w:color="auto" w:sz="4" w:space="0"/>
              <w:right w:val="single" w:color="auto" w:sz="4" w:space="0"/>
            </w:tcBorders>
            <w:shd w:val="clear" w:color="auto" w:fill="auto"/>
            <w:vAlign w:val="center"/>
          </w:tcPr>
          <w:p w14:paraId="64DF05B3">
            <w:pPr>
              <w:spacing w:line="240" w:lineRule="auto"/>
              <w:ind w:firstLine="0" w:firstLineChars="0"/>
              <w:jc w:val="center"/>
              <w:rPr>
                <w:rFonts w:cs="Times New Roman"/>
                <w:color w:val="000000"/>
                <w:sz w:val="21"/>
                <w:szCs w:val="21"/>
              </w:rPr>
            </w:pPr>
            <w:r>
              <w:rPr>
                <w:rFonts w:cs="Times New Roman"/>
                <w:color w:val="000000"/>
                <w:sz w:val="21"/>
                <w:szCs w:val="21"/>
              </w:rPr>
              <w:t>m</w:t>
            </w:r>
          </w:p>
        </w:tc>
        <w:tc>
          <w:tcPr>
            <w:tcW w:w="865" w:type="pct"/>
            <w:tcBorders>
              <w:top w:val="nil"/>
              <w:left w:val="nil"/>
              <w:bottom w:val="single" w:color="auto" w:sz="4" w:space="0"/>
              <w:right w:val="single" w:color="auto" w:sz="4" w:space="0"/>
            </w:tcBorders>
            <w:shd w:val="clear" w:color="auto" w:fill="auto"/>
            <w:vAlign w:val="center"/>
          </w:tcPr>
          <w:p w14:paraId="41CF2319">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7F2BF8CC">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333" w:type="pct"/>
            <w:gridSpan w:val="2"/>
            <w:tcBorders>
              <w:top w:val="nil"/>
              <w:left w:val="nil"/>
              <w:bottom w:val="single" w:color="auto" w:sz="4" w:space="0"/>
              <w:right w:val="single" w:color="auto" w:sz="4" w:space="0"/>
            </w:tcBorders>
            <w:shd w:val="clear" w:color="auto" w:fill="auto"/>
            <w:vAlign w:val="center"/>
          </w:tcPr>
          <w:p w14:paraId="4654FDA4">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302" w:type="pct"/>
            <w:tcBorders>
              <w:top w:val="nil"/>
              <w:left w:val="nil"/>
              <w:bottom w:val="single" w:color="auto" w:sz="4" w:space="0"/>
              <w:right w:val="single" w:color="auto" w:sz="4" w:space="0"/>
            </w:tcBorders>
            <w:shd w:val="clear" w:color="auto" w:fill="auto"/>
            <w:vAlign w:val="center"/>
          </w:tcPr>
          <w:p w14:paraId="404D28A8">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333" w:type="pct"/>
            <w:gridSpan w:val="2"/>
            <w:tcBorders>
              <w:top w:val="nil"/>
              <w:left w:val="nil"/>
              <w:bottom w:val="single" w:color="auto" w:sz="4" w:space="0"/>
              <w:right w:val="single" w:color="auto" w:sz="4" w:space="0"/>
            </w:tcBorders>
            <w:shd w:val="clear" w:color="auto" w:fill="auto"/>
            <w:vAlign w:val="center"/>
          </w:tcPr>
          <w:p w14:paraId="2CA28110">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302" w:type="pct"/>
            <w:tcBorders>
              <w:top w:val="nil"/>
              <w:left w:val="nil"/>
              <w:bottom w:val="single" w:color="auto" w:sz="4" w:space="0"/>
              <w:right w:val="single" w:color="auto" w:sz="4" w:space="0"/>
            </w:tcBorders>
            <w:shd w:val="clear" w:color="auto" w:fill="auto"/>
            <w:vAlign w:val="center"/>
          </w:tcPr>
          <w:p w14:paraId="10DAE860">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333" w:type="pct"/>
            <w:gridSpan w:val="2"/>
            <w:tcBorders>
              <w:top w:val="nil"/>
              <w:left w:val="nil"/>
              <w:bottom w:val="single" w:color="auto" w:sz="4" w:space="0"/>
              <w:right w:val="single" w:color="auto" w:sz="4" w:space="0"/>
            </w:tcBorders>
            <w:shd w:val="clear" w:color="auto" w:fill="auto"/>
            <w:vAlign w:val="center"/>
          </w:tcPr>
          <w:p w14:paraId="3287591B">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303" w:type="pct"/>
            <w:tcBorders>
              <w:top w:val="nil"/>
              <w:left w:val="nil"/>
              <w:bottom w:val="single" w:color="auto" w:sz="4" w:space="0"/>
              <w:right w:val="single" w:color="auto" w:sz="4" w:space="0"/>
            </w:tcBorders>
            <w:shd w:val="clear" w:color="auto" w:fill="auto"/>
            <w:vAlign w:val="center"/>
          </w:tcPr>
          <w:p w14:paraId="62797C95">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334" w:type="pct"/>
            <w:gridSpan w:val="2"/>
            <w:tcBorders>
              <w:top w:val="nil"/>
              <w:left w:val="nil"/>
              <w:bottom w:val="single" w:color="auto" w:sz="4" w:space="0"/>
              <w:right w:val="single" w:color="auto" w:sz="4" w:space="0"/>
            </w:tcBorders>
            <w:shd w:val="clear" w:color="auto" w:fill="auto"/>
            <w:vAlign w:val="center"/>
          </w:tcPr>
          <w:p w14:paraId="431956E9">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303" w:type="pct"/>
            <w:tcBorders>
              <w:top w:val="nil"/>
              <w:left w:val="nil"/>
              <w:bottom w:val="single" w:color="auto" w:sz="4" w:space="0"/>
              <w:right w:val="single" w:color="auto" w:sz="4" w:space="0"/>
            </w:tcBorders>
            <w:shd w:val="clear" w:color="auto" w:fill="auto"/>
            <w:vAlign w:val="center"/>
          </w:tcPr>
          <w:p w14:paraId="2B79743A">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301" w:type="pct"/>
            <w:tcBorders>
              <w:top w:val="nil"/>
              <w:left w:val="nil"/>
              <w:bottom w:val="single" w:color="auto" w:sz="4" w:space="0"/>
              <w:right w:val="single" w:color="auto" w:sz="4" w:space="0"/>
            </w:tcBorders>
            <w:shd w:val="clear" w:color="auto" w:fill="auto"/>
            <w:vAlign w:val="center"/>
          </w:tcPr>
          <w:p w14:paraId="1E48018E">
            <w:pPr>
              <w:spacing w:line="240" w:lineRule="auto"/>
              <w:ind w:firstLine="0" w:firstLineChars="0"/>
              <w:jc w:val="center"/>
              <w:rPr>
                <w:rFonts w:cs="Times New Roman"/>
                <w:color w:val="000000"/>
                <w:sz w:val="21"/>
                <w:szCs w:val="21"/>
              </w:rPr>
            </w:pPr>
            <w:r>
              <w:rPr>
                <w:rFonts w:cs="Times New Roman"/>
                <w:color w:val="000000"/>
                <w:sz w:val="20"/>
                <w:szCs w:val="20"/>
              </w:rPr>
              <w:t>0.4</w:t>
            </w:r>
          </w:p>
        </w:tc>
      </w:tr>
      <w:tr w14:paraId="0DB0FD77">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428FDD7D">
            <w:pPr>
              <w:spacing w:line="240" w:lineRule="auto"/>
              <w:ind w:firstLine="0" w:firstLineChars="0"/>
              <w:jc w:val="center"/>
              <w:rPr>
                <w:rFonts w:cs="Times New Roman"/>
                <w:color w:val="000000"/>
                <w:sz w:val="21"/>
                <w:szCs w:val="21"/>
              </w:rPr>
            </w:pPr>
            <w:r>
              <w:rPr>
                <w:rFonts w:cs="Times New Roman"/>
                <w:color w:val="000000"/>
                <w:sz w:val="21"/>
                <w:szCs w:val="21"/>
              </w:rPr>
              <w:t>5</w:t>
            </w:r>
          </w:p>
        </w:tc>
        <w:tc>
          <w:tcPr>
            <w:tcW w:w="589" w:type="pct"/>
            <w:tcBorders>
              <w:top w:val="nil"/>
              <w:left w:val="nil"/>
              <w:bottom w:val="single" w:color="auto" w:sz="4" w:space="0"/>
              <w:right w:val="single" w:color="auto" w:sz="4" w:space="0"/>
            </w:tcBorders>
            <w:shd w:val="clear" w:color="auto" w:fill="auto"/>
            <w:vAlign w:val="center"/>
          </w:tcPr>
          <w:p w14:paraId="10CFDD5D">
            <w:pPr>
              <w:spacing w:line="240" w:lineRule="auto"/>
              <w:ind w:firstLine="0" w:firstLineChars="0"/>
              <w:jc w:val="center"/>
              <w:rPr>
                <w:rFonts w:cs="Times New Roman"/>
                <w:color w:val="000000"/>
                <w:sz w:val="21"/>
                <w:szCs w:val="21"/>
              </w:rPr>
            </w:pPr>
            <w:r>
              <w:rPr>
                <w:rFonts w:cs="Times New Roman"/>
                <w:color w:val="000000"/>
                <w:sz w:val="21"/>
                <w:szCs w:val="21"/>
              </w:rPr>
              <w:t>坡度因子</w:t>
            </w:r>
          </w:p>
        </w:tc>
        <w:tc>
          <w:tcPr>
            <w:tcW w:w="223" w:type="pct"/>
            <w:tcBorders>
              <w:top w:val="nil"/>
              <w:left w:val="nil"/>
              <w:bottom w:val="single" w:color="auto" w:sz="4" w:space="0"/>
              <w:right w:val="single" w:color="auto" w:sz="4" w:space="0"/>
            </w:tcBorders>
            <w:shd w:val="clear" w:color="auto" w:fill="auto"/>
            <w:vAlign w:val="center"/>
          </w:tcPr>
          <w:p w14:paraId="0A0205C0">
            <w:pPr>
              <w:spacing w:line="240" w:lineRule="auto"/>
              <w:ind w:firstLine="0" w:firstLineChars="0"/>
              <w:jc w:val="center"/>
              <w:rPr>
                <w:rFonts w:cs="Times New Roman"/>
                <w:color w:val="000000"/>
                <w:sz w:val="21"/>
                <w:szCs w:val="21"/>
              </w:rPr>
            </w:pPr>
            <w:r>
              <w:rPr>
                <w:rFonts w:cs="Times New Roman"/>
                <w:color w:val="000000"/>
                <w:sz w:val="21"/>
                <w:szCs w:val="21"/>
              </w:rPr>
              <w:t>Sy</w:t>
            </w:r>
          </w:p>
        </w:tc>
        <w:tc>
          <w:tcPr>
            <w:tcW w:w="865" w:type="pct"/>
            <w:tcBorders>
              <w:top w:val="nil"/>
              <w:left w:val="nil"/>
              <w:bottom w:val="single" w:color="auto" w:sz="4" w:space="0"/>
              <w:right w:val="single" w:color="auto" w:sz="4" w:space="0"/>
            </w:tcBorders>
            <w:shd w:val="clear" w:color="auto" w:fill="auto"/>
            <w:vAlign w:val="center"/>
          </w:tcPr>
          <w:p w14:paraId="2978B2F0">
            <w:pPr>
              <w:spacing w:line="240" w:lineRule="auto"/>
              <w:ind w:firstLine="0" w:firstLineChars="0"/>
              <w:jc w:val="center"/>
              <w:rPr>
                <w:rFonts w:cs="Times New Roman"/>
                <w:color w:val="000000"/>
                <w:sz w:val="21"/>
                <w:szCs w:val="21"/>
              </w:rPr>
            </w:pPr>
            <w:r>
              <w:rPr>
                <w:rFonts w:cs="Times New Roman"/>
                <w:color w:val="000000"/>
                <w:sz w:val="21"/>
                <w:szCs w:val="21"/>
              </w:rPr>
              <w:t>Sy=-1.5+17/[1+e</w:t>
            </w:r>
            <w:r>
              <w:rPr>
                <w:rFonts w:cs="Times New Roman"/>
                <w:color w:val="000000"/>
                <w:sz w:val="21"/>
                <w:szCs w:val="21"/>
                <w:vertAlign w:val="superscript"/>
              </w:rPr>
              <w:t>(2.3-6.1sinθ)</w:t>
            </w:r>
            <w:r>
              <w:rPr>
                <w:rFonts w:cs="Times New Roman"/>
                <w:color w:val="000000"/>
                <w:sz w:val="21"/>
                <w:szCs w:val="21"/>
              </w:rPr>
              <w:t>]</w:t>
            </w:r>
          </w:p>
        </w:tc>
        <w:tc>
          <w:tcPr>
            <w:tcW w:w="302" w:type="pct"/>
            <w:tcBorders>
              <w:top w:val="nil"/>
              <w:left w:val="nil"/>
              <w:bottom w:val="single" w:color="auto" w:sz="4" w:space="0"/>
              <w:right w:val="single" w:color="auto" w:sz="4" w:space="0"/>
            </w:tcBorders>
            <w:shd w:val="clear" w:color="auto" w:fill="auto"/>
            <w:vAlign w:val="center"/>
          </w:tcPr>
          <w:p w14:paraId="64039B82">
            <w:pPr>
              <w:spacing w:line="240" w:lineRule="auto"/>
              <w:ind w:firstLine="0" w:firstLineChars="0"/>
              <w:jc w:val="center"/>
              <w:rPr>
                <w:rFonts w:cs="Times New Roman"/>
                <w:color w:val="000000"/>
                <w:sz w:val="21"/>
                <w:szCs w:val="21"/>
              </w:rPr>
            </w:pPr>
            <w:r>
              <w:rPr>
                <w:rFonts w:cs="Times New Roman"/>
                <w:color w:val="000000"/>
                <w:sz w:val="20"/>
                <w:szCs w:val="20"/>
              </w:rPr>
              <w:t xml:space="preserve">1.21 </w:t>
            </w:r>
          </w:p>
        </w:tc>
        <w:tc>
          <w:tcPr>
            <w:tcW w:w="333" w:type="pct"/>
            <w:gridSpan w:val="2"/>
            <w:tcBorders>
              <w:top w:val="nil"/>
              <w:left w:val="nil"/>
              <w:bottom w:val="single" w:color="auto" w:sz="4" w:space="0"/>
              <w:right w:val="single" w:color="auto" w:sz="4" w:space="0"/>
            </w:tcBorders>
            <w:shd w:val="clear" w:color="auto" w:fill="auto"/>
            <w:vAlign w:val="center"/>
          </w:tcPr>
          <w:p w14:paraId="73CA3F85">
            <w:pPr>
              <w:spacing w:line="240" w:lineRule="auto"/>
              <w:ind w:firstLine="0" w:firstLineChars="0"/>
              <w:jc w:val="center"/>
              <w:rPr>
                <w:rFonts w:cs="Times New Roman"/>
                <w:color w:val="000000"/>
                <w:sz w:val="21"/>
                <w:szCs w:val="21"/>
              </w:rPr>
            </w:pPr>
            <w:r>
              <w:rPr>
                <w:rFonts w:cs="Times New Roman"/>
                <w:color w:val="000000"/>
                <w:sz w:val="20"/>
                <w:szCs w:val="20"/>
              </w:rPr>
              <w:t xml:space="preserve">1.21 </w:t>
            </w:r>
          </w:p>
        </w:tc>
        <w:tc>
          <w:tcPr>
            <w:tcW w:w="302" w:type="pct"/>
            <w:tcBorders>
              <w:top w:val="nil"/>
              <w:left w:val="nil"/>
              <w:bottom w:val="single" w:color="auto" w:sz="4" w:space="0"/>
              <w:right w:val="single" w:color="auto" w:sz="4" w:space="0"/>
            </w:tcBorders>
            <w:shd w:val="clear" w:color="auto" w:fill="auto"/>
            <w:vAlign w:val="center"/>
          </w:tcPr>
          <w:p w14:paraId="5A0909CF">
            <w:pPr>
              <w:spacing w:line="240" w:lineRule="auto"/>
              <w:ind w:firstLine="0" w:firstLineChars="0"/>
              <w:jc w:val="center"/>
              <w:rPr>
                <w:rFonts w:cs="Times New Roman"/>
                <w:color w:val="000000"/>
                <w:sz w:val="21"/>
                <w:szCs w:val="21"/>
              </w:rPr>
            </w:pPr>
            <w:r>
              <w:rPr>
                <w:rFonts w:cs="Times New Roman"/>
                <w:color w:val="000000"/>
                <w:sz w:val="20"/>
                <w:szCs w:val="20"/>
              </w:rPr>
              <w:t xml:space="preserve">1.21 </w:t>
            </w:r>
          </w:p>
        </w:tc>
        <w:tc>
          <w:tcPr>
            <w:tcW w:w="333" w:type="pct"/>
            <w:gridSpan w:val="2"/>
            <w:tcBorders>
              <w:top w:val="nil"/>
              <w:left w:val="nil"/>
              <w:bottom w:val="single" w:color="auto" w:sz="4" w:space="0"/>
              <w:right w:val="single" w:color="auto" w:sz="4" w:space="0"/>
            </w:tcBorders>
            <w:shd w:val="clear" w:color="auto" w:fill="auto"/>
            <w:vAlign w:val="center"/>
          </w:tcPr>
          <w:p w14:paraId="5FB01B95">
            <w:pPr>
              <w:spacing w:line="240" w:lineRule="auto"/>
              <w:ind w:firstLine="0" w:firstLineChars="0"/>
              <w:jc w:val="center"/>
              <w:rPr>
                <w:rFonts w:cs="Times New Roman"/>
                <w:color w:val="000000"/>
                <w:sz w:val="21"/>
                <w:szCs w:val="21"/>
              </w:rPr>
            </w:pPr>
            <w:r>
              <w:rPr>
                <w:rFonts w:cs="Times New Roman"/>
                <w:color w:val="000000"/>
                <w:sz w:val="20"/>
                <w:szCs w:val="20"/>
              </w:rPr>
              <w:t xml:space="preserve">1.21 </w:t>
            </w:r>
          </w:p>
        </w:tc>
        <w:tc>
          <w:tcPr>
            <w:tcW w:w="302" w:type="pct"/>
            <w:tcBorders>
              <w:top w:val="nil"/>
              <w:left w:val="nil"/>
              <w:bottom w:val="single" w:color="auto" w:sz="4" w:space="0"/>
              <w:right w:val="single" w:color="auto" w:sz="4" w:space="0"/>
            </w:tcBorders>
            <w:shd w:val="clear" w:color="auto" w:fill="auto"/>
            <w:vAlign w:val="center"/>
          </w:tcPr>
          <w:p w14:paraId="0905064F">
            <w:pPr>
              <w:spacing w:line="240" w:lineRule="auto"/>
              <w:ind w:firstLine="0" w:firstLineChars="0"/>
              <w:jc w:val="center"/>
              <w:rPr>
                <w:rFonts w:cs="Times New Roman"/>
                <w:color w:val="000000"/>
                <w:sz w:val="21"/>
                <w:szCs w:val="21"/>
              </w:rPr>
            </w:pPr>
            <w:r>
              <w:rPr>
                <w:rFonts w:cs="Times New Roman"/>
                <w:color w:val="000000"/>
                <w:sz w:val="20"/>
                <w:szCs w:val="20"/>
              </w:rPr>
              <w:t xml:space="preserve">1.21 </w:t>
            </w:r>
          </w:p>
        </w:tc>
        <w:tc>
          <w:tcPr>
            <w:tcW w:w="333" w:type="pct"/>
            <w:gridSpan w:val="2"/>
            <w:tcBorders>
              <w:top w:val="nil"/>
              <w:left w:val="nil"/>
              <w:bottom w:val="single" w:color="auto" w:sz="4" w:space="0"/>
              <w:right w:val="single" w:color="auto" w:sz="4" w:space="0"/>
            </w:tcBorders>
            <w:shd w:val="clear" w:color="auto" w:fill="auto"/>
            <w:vAlign w:val="center"/>
          </w:tcPr>
          <w:p w14:paraId="16C8AA3E">
            <w:pPr>
              <w:spacing w:line="240" w:lineRule="auto"/>
              <w:ind w:firstLine="0" w:firstLineChars="0"/>
              <w:jc w:val="center"/>
              <w:rPr>
                <w:rFonts w:cs="Times New Roman"/>
                <w:color w:val="000000"/>
                <w:sz w:val="21"/>
                <w:szCs w:val="21"/>
              </w:rPr>
            </w:pPr>
            <w:r>
              <w:rPr>
                <w:rFonts w:cs="Times New Roman"/>
                <w:color w:val="000000"/>
                <w:sz w:val="20"/>
                <w:szCs w:val="20"/>
              </w:rPr>
              <w:t xml:space="preserve">0.98 </w:t>
            </w:r>
          </w:p>
        </w:tc>
        <w:tc>
          <w:tcPr>
            <w:tcW w:w="303" w:type="pct"/>
            <w:tcBorders>
              <w:top w:val="nil"/>
              <w:left w:val="nil"/>
              <w:bottom w:val="single" w:color="auto" w:sz="4" w:space="0"/>
              <w:right w:val="single" w:color="auto" w:sz="4" w:space="0"/>
            </w:tcBorders>
            <w:shd w:val="clear" w:color="auto" w:fill="auto"/>
            <w:vAlign w:val="center"/>
          </w:tcPr>
          <w:p w14:paraId="15E93691">
            <w:pPr>
              <w:spacing w:line="240" w:lineRule="auto"/>
              <w:ind w:firstLine="0" w:firstLineChars="0"/>
              <w:jc w:val="center"/>
              <w:rPr>
                <w:rFonts w:cs="Times New Roman"/>
                <w:color w:val="000000"/>
                <w:sz w:val="21"/>
                <w:szCs w:val="21"/>
              </w:rPr>
            </w:pPr>
            <w:r>
              <w:rPr>
                <w:rFonts w:cs="Times New Roman"/>
                <w:color w:val="000000"/>
                <w:sz w:val="20"/>
                <w:szCs w:val="20"/>
              </w:rPr>
              <w:t xml:space="preserve">0.98 </w:t>
            </w:r>
          </w:p>
        </w:tc>
        <w:tc>
          <w:tcPr>
            <w:tcW w:w="334" w:type="pct"/>
            <w:gridSpan w:val="2"/>
            <w:tcBorders>
              <w:top w:val="nil"/>
              <w:left w:val="nil"/>
              <w:bottom w:val="single" w:color="auto" w:sz="4" w:space="0"/>
              <w:right w:val="single" w:color="auto" w:sz="4" w:space="0"/>
            </w:tcBorders>
            <w:shd w:val="clear" w:color="auto" w:fill="auto"/>
            <w:vAlign w:val="center"/>
          </w:tcPr>
          <w:p w14:paraId="5D4239D3">
            <w:pPr>
              <w:spacing w:line="240" w:lineRule="auto"/>
              <w:ind w:firstLine="0" w:firstLineChars="0"/>
              <w:jc w:val="center"/>
              <w:rPr>
                <w:rFonts w:cs="Times New Roman"/>
                <w:color w:val="000000"/>
                <w:sz w:val="21"/>
                <w:szCs w:val="21"/>
              </w:rPr>
            </w:pPr>
            <w:r>
              <w:rPr>
                <w:rFonts w:cs="Times New Roman"/>
                <w:color w:val="000000"/>
                <w:sz w:val="20"/>
                <w:szCs w:val="20"/>
              </w:rPr>
              <w:t xml:space="preserve">0.98 </w:t>
            </w:r>
          </w:p>
        </w:tc>
        <w:tc>
          <w:tcPr>
            <w:tcW w:w="303" w:type="pct"/>
            <w:tcBorders>
              <w:top w:val="nil"/>
              <w:left w:val="nil"/>
              <w:bottom w:val="single" w:color="auto" w:sz="4" w:space="0"/>
              <w:right w:val="single" w:color="auto" w:sz="4" w:space="0"/>
            </w:tcBorders>
            <w:shd w:val="clear" w:color="auto" w:fill="auto"/>
            <w:vAlign w:val="center"/>
          </w:tcPr>
          <w:p w14:paraId="08FE212F">
            <w:pPr>
              <w:spacing w:line="240" w:lineRule="auto"/>
              <w:ind w:firstLine="0" w:firstLineChars="0"/>
              <w:jc w:val="center"/>
              <w:rPr>
                <w:rFonts w:cs="Times New Roman"/>
                <w:color w:val="000000"/>
                <w:sz w:val="21"/>
                <w:szCs w:val="21"/>
              </w:rPr>
            </w:pPr>
            <w:r>
              <w:rPr>
                <w:rFonts w:cs="Times New Roman"/>
                <w:color w:val="000000"/>
                <w:sz w:val="20"/>
                <w:szCs w:val="20"/>
              </w:rPr>
              <w:t xml:space="preserve">0.98 </w:t>
            </w:r>
          </w:p>
        </w:tc>
        <w:tc>
          <w:tcPr>
            <w:tcW w:w="301" w:type="pct"/>
            <w:tcBorders>
              <w:top w:val="nil"/>
              <w:left w:val="nil"/>
              <w:bottom w:val="single" w:color="auto" w:sz="4" w:space="0"/>
              <w:right w:val="single" w:color="auto" w:sz="4" w:space="0"/>
            </w:tcBorders>
            <w:shd w:val="clear" w:color="auto" w:fill="auto"/>
            <w:vAlign w:val="center"/>
          </w:tcPr>
          <w:p w14:paraId="4C2E08AA">
            <w:pPr>
              <w:spacing w:line="240" w:lineRule="auto"/>
              <w:ind w:firstLine="0" w:firstLineChars="0"/>
              <w:jc w:val="center"/>
              <w:rPr>
                <w:rFonts w:cs="Times New Roman"/>
                <w:color w:val="000000"/>
                <w:sz w:val="21"/>
                <w:szCs w:val="21"/>
              </w:rPr>
            </w:pPr>
            <w:r>
              <w:rPr>
                <w:rFonts w:cs="Times New Roman"/>
                <w:color w:val="000000"/>
                <w:sz w:val="20"/>
                <w:szCs w:val="20"/>
              </w:rPr>
              <w:t xml:space="preserve">0.98 </w:t>
            </w:r>
          </w:p>
        </w:tc>
      </w:tr>
      <w:tr w14:paraId="2F2DD638">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50A1B254">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7E378412">
            <w:pPr>
              <w:spacing w:line="240" w:lineRule="auto"/>
              <w:ind w:firstLine="0" w:firstLineChars="0"/>
              <w:jc w:val="center"/>
              <w:rPr>
                <w:rFonts w:cs="Times New Roman"/>
                <w:color w:val="000000"/>
                <w:sz w:val="21"/>
                <w:szCs w:val="21"/>
              </w:rPr>
            </w:pPr>
            <w:r>
              <w:rPr>
                <w:rFonts w:cs="Times New Roman"/>
                <w:color w:val="000000"/>
                <w:sz w:val="21"/>
                <w:szCs w:val="21"/>
              </w:rPr>
              <w:t>坡度（°）</w:t>
            </w:r>
          </w:p>
        </w:tc>
        <w:tc>
          <w:tcPr>
            <w:tcW w:w="223" w:type="pct"/>
            <w:tcBorders>
              <w:top w:val="nil"/>
              <w:left w:val="nil"/>
              <w:bottom w:val="single" w:color="auto" w:sz="4" w:space="0"/>
              <w:right w:val="single" w:color="auto" w:sz="4" w:space="0"/>
            </w:tcBorders>
            <w:shd w:val="clear" w:color="auto" w:fill="auto"/>
            <w:vAlign w:val="center"/>
          </w:tcPr>
          <w:p w14:paraId="2F9E55E7">
            <w:pPr>
              <w:spacing w:line="240" w:lineRule="auto"/>
              <w:ind w:firstLine="0" w:firstLineChars="0"/>
              <w:jc w:val="center"/>
              <w:rPr>
                <w:rFonts w:cs="Times New Roman"/>
                <w:color w:val="000000"/>
                <w:sz w:val="21"/>
                <w:szCs w:val="21"/>
              </w:rPr>
            </w:pPr>
            <w:r>
              <w:rPr>
                <w:rFonts w:cs="Times New Roman"/>
                <w:color w:val="000000"/>
                <w:sz w:val="21"/>
                <w:szCs w:val="21"/>
              </w:rPr>
              <w:t>θ</w:t>
            </w:r>
          </w:p>
        </w:tc>
        <w:tc>
          <w:tcPr>
            <w:tcW w:w="865" w:type="pct"/>
            <w:tcBorders>
              <w:top w:val="nil"/>
              <w:left w:val="nil"/>
              <w:bottom w:val="single" w:color="auto" w:sz="4" w:space="0"/>
              <w:right w:val="single" w:color="auto" w:sz="4" w:space="0"/>
            </w:tcBorders>
            <w:shd w:val="clear" w:color="auto" w:fill="auto"/>
            <w:vAlign w:val="center"/>
          </w:tcPr>
          <w:p w14:paraId="0DFF4865">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18D8D3E8">
            <w:pPr>
              <w:spacing w:line="240" w:lineRule="auto"/>
              <w:ind w:firstLine="0" w:firstLineChars="0"/>
              <w:jc w:val="center"/>
              <w:rPr>
                <w:rFonts w:cs="Times New Roman"/>
                <w:color w:val="000000"/>
                <w:sz w:val="21"/>
                <w:szCs w:val="21"/>
              </w:rPr>
            </w:pPr>
            <w:r>
              <w:rPr>
                <w:rFonts w:cs="Times New Roman"/>
                <w:color w:val="000000"/>
                <w:sz w:val="20"/>
                <w:szCs w:val="20"/>
              </w:rPr>
              <w:t>6</w:t>
            </w:r>
          </w:p>
        </w:tc>
        <w:tc>
          <w:tcPr>
            <w:tcW w:w="333" w:type="pct"/>
            <w:gridSpan w:val="2"/>
            <w:tcBorders>
              <w:top w:val="nil"/>
              <w:left w:val="nil"/>
              <w:bottom w:val="single" w:color="auto" w:sz="4" w:space="0"/>
              <w:right w:val="single" w:color="auto" w:sz="4" w:space="0"/>
            </w:tcBorders>
            <w:shd w:val="clear" w:color="auto" w:fill="auto"/>
            <w:vAlign w:val="center"/>
          </w:tcPr>
          <w:p w14:paraId="14174456">
            <w:pPr>
              <w:spacing w:line="240" w:lineRule="auto"/>
              <w:ind w:firstLine="0" w:firstLineChars="0"/>
              <w:jc w:val="center"/>
              <w:rPr>
                <w:rFonts w:cs="Times New Roman"/>
                <w:color w:val="000000"/>
                <w:sz w:val="21"/>
                <w:szCs w:val="21"/>
              </w:rPr>
            </w:pPr>
            <w:r>
              <w:rPr>
                <w:rFonts w:cs="Times New Roman"/>
                <w:color w:val="000000"/>
                <w:sz w:val="20"/>
                <w:szCs w:val="20"/>
              </w:rPr>
              <w:t>6</w:t>
            </w:r>
          </w:p>
        </w:tc>
        <w:tc>
          <w:tcPr>
            <w:tcW w:w="302" w:type="pct"/>
            <w:tcBorders>
              <w:top w:val="nil"/>
              <w:left w:val="nil"/>
              <w:bottom w:val="single" w:color="auto" w:sz="4" w:space="0"/>
              <w:right w:val="single" w:color="auto" w:sz="4" w:space="0"/>
            </w:tcBorders>
            <w:shd w:val="clear" w:color="auto" w:fill="auto"/>
            <w:vAlign w:val="center"/>
          </w:tcPr>
          <w:p w14:paraId="2D0C4713">
            <w:pPr>
              <w:spacing w:line="240" w:lineRule="auto"/>
              <w:ind w:firstLine="0" w:firstLineChars="0"/>
              <w:jc w:val="center"/>
              <w:rPr>
                <w:rFonts w:cs="Times New Roman"/>
                <w:color w:val="000000"/>
                <w:sz w:val="21"/>
                <w:szCs w:val="21"/>
              </w:rPr>
            </w:pPr>
            <w:r>
              <w:rPr>
                <w:rFonts w:cs="Times New Roman"/>
                <w:color w:val="000000"/>
                <w:sz w:val="20"/>
                <w:szCs w:val="20"/>
              </w:rPr>
              <w:t>6</w:t>
            </w:r>
          </w:p>
        </w:tc>
        <w:tc>
          <w:tcPr>
            <w:tcW w:w="333" w:type="pct"/>
            <w:gridSpan w:val="2"/>
            <w:tcBorders>
              <w:top w:val="nil"/>
              <w:left w:val="nil"/>
              <w:bottom w:val="single" w:color="auto" w:sz="4" w:space="0"/>
              <w:right w:val="single" w:color="auto" w:sz="4" w:space="0"/>
            </w:tcBorders>
            <w:shd w:val="clear" w:color="auto" w:fill="auto"/>
            <w:vAlign w:val="center"/>
          </w:tcPr>
          <w:p w14:paraId="2E091A48">
            <w:pPr>
              <w:spacing w:line="240" w:lineRule="auto"/>
              <w:ind w:firstLine="0" w:firstLineChars="0"/>
              <w:jc w:val="center"/>
              <w:rPr>
                <w:rFonts w:cs="Times New Roman"/>
                <w:color w:val="000000"/>
                <w:sz w:val="21"/>
                <w:szCs w:val="21"/>
              </w:rPr>
            </w:pPr>
            <w:r>
              <w:rPr>
                <w:rFonts w:cs="Times New Roman"/>
                <w:color w:val="000000"/>
                <w:sz w:val="20"/>
                <w:szCs w:val="20"/>
              </w:rPr>
              <w:t>6</w:t>
            </w:r>
          </w:p>
        </w:tc>
        <w:tc>
          <w:tcPr>
            <w:tcW w:w="302" w:type="pct"/>
            <w:tcBorders>
              <w:top w:val="nil"/>
              <w:left w:val="nil"/>
              <w:bottom w:val="single" w:color="auto" w:sz="4" w:space="0"/>
              <w:right w:val="single" w:color="auto" w:sz="4" w:space="0"/>
            </w:tcBorders>
            <w:shd w:val="clear" w:color="auto" w:fill="auto"/>
            <w:vAlign w:val="center"/>
          </w:tcPr>
          <w:p w14:paraId="2F8AA524">
            <w:pPr>
              <w:spacing w:line="240" w:lineRule="auto"/>
              <w:ind w:firstLine="0" w:firstLineChars="0"/>
              <w:jc w:val="center"/>
              <w:rPr>
                <w:rFonts w:cs="Times New Roman"/>
                <w:color w:val="000000"/>
                <w:sz w:val="21"/>
                <w:szCs w:val="21"/>
              </w:rPr>
            </w:pPr>
            <w:r>
              <w:rPr>
                <w:rFonts w:cs="Times New Roman"/>
                <w:color w:val="000000"/>
                <w:sz w:val="20"/>
                <w:szCs w:val="20"/>
              </w:rPr>
              <w:t>6</w:t>
            </w:r>
          </w:p>
        </w:tc>
        <w:tc>
          <w:tcPr>
            <w:tcW w:w="333" w:type="pct"/>
            <w:gridSpan w:val="2"/>
            <w:tcBorders>
              <w:top w:val="nil"/>
              <w:left w:val="nil"/>
              <w:bottom w:val="single" w:color="auto" w:sz="4" w:space="0"/>
              <w:right w:val="single" w:color="auto" w:sz="4" w:space="0"/>
            </w:tcBorders>
            <w:shd w:val="clear" w:color="auto" w:fill="auto"/>
            <w:vAlign w:val="center"/>
          </w:tcPr>
          <w:p w14:paraId="4374D9BF">
            <w:pPr>
              <w:spacing w:line="240" w:lineRule="auto"/>
              <w:ind w:firstLine="0" w:firstLineChars="0"/>
              <w:jc w:val="center"/>
              <w:rPr>
                <w:rFonts w:cs="Times New Roman"/>
                <w:color w:val="000000"/>
                <w:sz w:val="21"/>
                <w:szCs w:val="21"/>
              </w:rPr>
            </w:pPr>
            <w:r>
              <w:rPr>
                <w:rFonts w:cs="Times New Roman"/>
                <w:color w:val="000000"/>
                <w:sz w:val="20"/>
                <w:szCs w:val="20"/>
              </w:rPr>
              <w:t>5</w:t>
            </w:r>
          </w:p>
        </w:tc>
        <w:tc>
          <w:tcPr>
            <w:tcW w:w="303" w:type="pct"/>
            <w:tcBorders>
              <w:top w:val="nil"/>
              <w:left w:val="nil"/>
              <w:bottom w:val="single" w:color="auto" w:sz="4" w:space="0"/>
              <w:right w:val="single" w:color="auto" w:sz="4" w:space="0"/>
            </w:tcBorders>
            <w:shd w:val="clear" w:color="auto" w:fill="auto"/>
            <w:vAlign w:val="center"/>
          </w:tcPr>
          <w:p w14:paraId="078B58A9">
            <w:pPr>
              <w:spacing w:line="240" w:lineRule="auto"/>
              <w:ind w:firstLine="0" w:firstLineChars="0"/>
              <w:jc w:val="center"/>
              <w:rPr>
                <w:rFonts w:cs="Times New Roman"/>
                <w:color w:val="000000"/>
                <w:sz w:val="21"/>
                <w:szCs w:val="21"/>
              </w:rPr>
            </w:pPr>
            <w:r>
              <w:rPr>
                <w:rFonts w:cs="Times New Roman"/>
                <w:color w:val="000000"/>
                <w:sz w:val="20"/>
                <w:szCs w:val="20"/>
              </w:rPr>
              <w:t>5</w:t>
            </w:r>
          </w:p>
        </w:tc>
        <w:tc>
          <w:tcPr>
            <w:tcW w:w="334" w:type="pct"/>
            <w:gridSpan w:val="2"/>
            <w:tcBorders>
              <w:top w:val="nil"/>
              <w:left w:val="nil"/>
              <w:bottom w:val="single" w:color="auto" w:sz="4" w:space="0"/>
              <w:right w:val="single" w:color="auto" w:sz="4" w:space="0"/>
            </w:tcBorders>
            <w:shd w:val="clear" w:color="auto" w:fill="auto"/>
            <w:vAlign w:val="center"/>
          </w:tcPr>
          <w:p w14:paraId="25A6AB52">
            <w:pPr>
              <w:spacing w:line="240" w:lineRule="auto"/>
              <w:ind w:firstLine="0" w:firstLineChars="0"/>
              <w:jc w:val="center"/>
              <w:rPr>
                <w:rFonts w:cs="Times New Roman"/>
                <w:color w:val="000000"/>
                <w:sz w:val="21"/>
                <w:szCs w:val="21"/>
              </w:rPr>
            </w:pPr>
            <w:r>
              <w:rPr>
                <w:rFonts w:cs="Times New Roman"/>
                <w:color w:val="000000"/>
                <w:sz w:val="20"/>
                <w:szCs w:val="20"/>
              </w:rPr>
              <w:t>5</w:t>
            </w:r>
          </w:p>
        </w:tc>
        <w:tc>
          <w:tcPr>
            <w:tcW w:w="303" w:type="pct"/>
            <w:tcBorders>
              <w:top w:val="nil"/>
              <w:left w:val="nil"/>
              <w:bottom w:val="single" w:color="auto" w:sz="4" w:space="0"/>
              <w:right w:val="single" w:color="auto" w:sz="4" w:space="0"/>
            </w:tcBorders>
            <w:shd w:val="clear" w:color="auto" w:fill="auto"/>
            <w:vAlign w:val="center"/>
          </w:tcPr>
          <w:p w14:paraId="07D49999">
            <w:pPr>
              <w:spacing w:line="240" w:lineRule="auto"/>
              <w:ind w:firstLine="0" w:firstLineChars="0"/>
              <w:jc w:val="center"/>
              <w:rPr>
                <w:rFonts w:cs="Times New Roman"/>
                <w:color w:val="000000"/>
                <w:sz w:val="21"/>
                <w:szCs w:val="21"/>
              </w:rPr>
            </w:pPr>
            <w:r>
              <w:rPr>
                <w:rFonts w:cs="Times New Roman"/>
                <w:color w:val="000000"/>
                <w:sz w:val="20"/>
                <w:szCs w:val="20"/>
              </w:rPr>
              <w:t>5</w:t>
            </w:r>
          </w:p>
        </w:tc>
        <w:tc>
          <w:tcPr>
            <w:tcW w:w="301" w:type="pct"/>
            <w:tcBorders>
              <w:top w:val="nil"/>
              <w:left w:val="nil"/>
              <w:bottom w:val="single" w:color="auto" w:sz="4" w:space="0"/>
              <w:right w:val="single" w:color="auto" w:sz="4" w:space="0"/>
            </w:tcBorders>
            <w:shd w:val="clear" w:color="auto" w:fill="auto"/>
            <w:vAlign w:val="center"/>
          </w:tcPr>
          <w:p w14:paraId="7480D852">
            <w:pPr>
              <w:spacing w:line="240" w:lineRule="auto"/>
              <w:ind w:firstLine="0" w:firstLineChars="0"/>
              <w:jc w:val="center"/>
              <w:rPr>
                <w:rFonts w:cs="Times New Roman"/>
                <w:color w:val="000000"/>
                <w:sz w:val="21"/>
                <w:szCs w:val="21"/>
              </w:rPr>
            </w:pPr>
            <w:r>
              <w:rPr>
                <w:rFonts w:cs="Times New Roman"/>
                <w:color w:val="000000"/>
                <w:sz w:val="20"/>
                <w:szCs w:val="20"/>
              </w:rPr>
              <w:t>5</w:t>
            </w:r>
          </w:p>
        </w:tc>
      </w:tr>
      <w:tr w14:paraId="363F2F1D">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076FBA56">
            <w:pPr>
              <w:spacing w:line="240" w:lineRule="auto"/>
              <w:ind w:firstLine="0" w:firstLineChars="0"/>
              <w:jc w:val="center"/>
              <w:rPr>
                <w:rFonts w:cs="Times New Roman"/>
                <w:color w:val="000000"/>
                <w:sz w:val="21"/>
                <w:szCs w:val="21"/>
              </w:rPr>
            </w:pPr>
            <w:r>
              <w:rPr>
                <w:rFonts w:cs="Times New Roman"/>
                <w:color w:val="000000"/>
                <w:sz w:val="21"/>
                <w:szCs w:val="21"/>
              </w:rPr>
              <w:t>6</w:t>
            </w:r>
          </w:p>
        </w:tc>
        <w:tc>
          <w:tcPr>
            <w:tcW w:w="589" w:type="pct"/>
            <w:tcBorders>
              <w:top w:val="nil"/>
              <w:left w:val="nil"/>
              <w:bottom w:val="single" w:color="auto" w:sz="4" w:space="0"/>
              <w:right w:val="single" w:color="auto" w:sz="4" w:space="0"/>
            </w:tcBorders>
            <w:shd w:val="clear" w:color="auto" w:fill="auto"/>
            <w:vAlign w:val="center"/>
          </w:tcPr>
          <w:p w14:paraId="350A7735">
            <w:pPr>
              <w:spacing w:line="240" w:lineRule="auto"/>
              <w:ind w:firstLine="0" w:firstLineChars="0"/>
              <w:jc w:val="center"/>
              <w:rPr>
                <w:rFonts w:cs="Times New Roman"/>
                <w:color w:val="000000"/>
                <w:sz w:val="21"/>
                <w:szCs w:val="21"/>
              </w:rPr>
            </w:pPr>
            <w:r>
              <w:rPr>
                <w:rFonts w:cs="Times New Roman"/>
                <w:color w:val="000000"/>
                <w:sz w:val="21"/>
                <w:szCs w:val="21"/>
              </w:rPr>
              <w:t>植被覆盖因子</w:t>
            </w:r>
          </w:p>
        </w:tc>
        <w:tc>
          <w:tcPr>
            <w:tcW w:w="223" w:type="pct"/>
            <w:tcBorders>
              <w:top w:val="nil"/>
              <w:left w:val="nil"/>
              <w:bottom w:val="single" w:color="auto" w:sz="4" w:space="0"/>
              <w:right w:val="single" w:color="auto" w:sz="4" w:space="0"/>
            </w:tcBorders>
            <w:shd w:val="clear" w:color="auto" w:fill="auto"/>
            <w:vAlign w:val="center"/>
          </w:tcPr>
          <w:p w14:paraId="357488F2">
            <w:pPr>
              <w:spacing w:line="240" w:lineRule="auto"/>
              <w:ind w:firstLine="0" w:firstLineChars="0"/>
              <w:jc w:val="center"/>
              <w:rPr>
                <w:rFonts w:cs="Times New Roman"/>
                <w:color w:val="000000"/>
                <w:sz w:val="21"/>
                <w:szCs w:val="21"/>
              </w:rPr>
            </w:pPr>
            <w:r>
              <w:rPr>
                <w:rFonts w:cs="Times New Roman"/>
                <w:color w:val="000000"/>
                <w:sz w:val="21"/>
                <w:szCs w:val="21"/>
              </w:rPr>
              <w:t>B</w:t>
            </w:r>
          </w:p>
        </w:tc>
        <w:tc>
          <w:tcPr>
            <w:tcW w:w="865" w:type="pct"/>
            <w:tcBorders>
              <w:top w:val="nil"/>
              <w:left w:val="nil"/>
              <w:bottom w:val="single" w:color="auto" w:sz="4" w:space="0"/>
              <w:right w:val="single" w:color="auto" w:sz="4" w:space="0"/>
            </w:tcBorders>
            <w:shd w:val="clear" w:color="auto" w:fill="auto"/>
            <w:vAlign w:val="center"/>
          </w:tcPr>
          <w:p w14:paraId="75B168EC">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79673331">
            <w:pPr>
              <w:spacing w:line="240" w:lineRule="auto"/>
              <w:ind w:firstLine="0" w:firstLineChars="0"/>
              <w:jc w:val="center"/>
              <w:rPr>
                <w:rFonts w:cs="Times New Roman"/>
                <w:color w:val="000000"/>
                <w:sz w:val="21"/>
                <w:szCs w:val="21"/>
              </w:rPr>
            </w:pPr>
            <w:r>
              <w:rPr>
                <w:rFonts w:cs="Times New Roman"/>
                <w:color w:val="000000"/>
                <w:sz w:val="20"/>
                <w:szCs w:val="20"/>
              </w:rPr>
              <w:t>0.418</w:t>
            </w:r>
          </w:p>
        </w:tc>
        <w:tc>
          <w:tcPr>
            <w:tcW w:w="333" w:type="pct"/>
            <w:gridSpan w:val="2"/>
            <w:tcBorders>
              <w:top w:val="nil"/>
              <w:left w:val="nil"/>
              <w:bottom w:val="single" w:color="auto" w:sz="4" w:space="0"/>
              <w:right w:val="single" w:color="auto" w:sz="4" w:space="0"/>
            </w:tcBorders>
            <w:shd w:val="clear" w:color="auto" w:fill="auto"/>
            <w:vAlign w:val="center"/>
          </w:tcPr>
          <w:p w14:paraId="7036F2FB">
            <w:pPr>
              <w:spacing w:line="240" w:lineRule="auto"/>
              <w:ind w:firstLine="0" w:firstLineChars="0"/>
              <w:jc w:val="center"/>
              <w:rPr>
                <w:rFonts w:cs="Times New Roman"/>
                <w:color w:val="000000"/>
                <w:sz w:val="21"/>
                <w:szCs w:val="21"/>
              </w:rPr>
            </w:pPr>
            <w:r>
              <w:rPr>
                <w:rFonts w:cs="Times New Roman"/>
                <w:color w:val="000000"/>
                <w:sz w:val="20"/>
                <w:szCs w:val="20"/>
              </w:rPr>
              <w:t>0.345</w:t>
            </w:r>
          </w:p>
        </w:tc>
        <w:tc>
          <w:tcPr>
            <w:tcW w:w="302" w:type="pct"/>
            <w:tcBorders>
              <w:top w:val="nil"/>
              <w:left w:val="nil"/>
              <w:bottom w:val="single" w:color="auto" w:sz="4" w:space="0"/>
              <w:right w:val="single" w:color="auto" w:sz="4" w:space="0"/>
            </w:tcBorders>
            <w:shd w:val="clear" w:color="auto" w:fill="auto"/>
            <w:vAlign w:val="center"/>
          </w:tcPr>
          <w:p w14:paraId="1E61622B">
            <w:pPr>
              <w:spacing w:line="240" w:lineRule="auto"/>
              <w:ind w:firstLine="0" w:firstLineChars="0"/>
              <w:jc w:val="center"/>
              <w:rPr>
                <w:rFonts w:cs="Times New Roman"/>
                <w:color w:val="000000"/>
                <w:sz w:val="21"/>
                <w:szCs w:val="21"/>
              </w:rPr>
            </w:pPr>
            <w:r>
              <w:rPr>
                <w:rFonts w:cs="Times New Roman"/>
                <w:color w:val="000000"/>
                <w:sz w:val="20"/>
                <w:szCs w:val="20"/>
              </w:rPr>
              <w:t>0.267</w:t>
            </w:r>
          </w:p>
        </w:tc>
        <w:tc>
          <w:tcPr>
            <w:tcW w:w="333" w:type="pct"/>
            <w:gridSpan w:val="2"/>
            <w:tcBorders>
              <w:top w:val="nil"/>
              <w:left w:val="nil"/>
              <w:bottom w:val="single" w:color="auto" w:sz="4" w:space="0"/>
              <w:right w:val="single" w:color="auto" w:sz="4" w:space="0"/>
            </w:tcBorders>
            <w:shd w:val="clear" w:color="auto" w:fill="auto"/>
            <w:vAlign w:val="center"/>
          </w:tcPr>
          <w:p w14:paraId="3875E7B2">
            <w:pPr>
              <w:spacing w:line="240" w:lineRule="auto"/>
              <w:ind w:firstLine="0" w:firstLineChars="0"/>
              <w:jc w:val="center"/>
              <w:rPr>
                <w:rFonts w:cs="Times New Roman"/>
                <w:color w:val="000000"/>
                <w:sz w:val="21"/>
                <w:szCs w:val="21"/>
              </w:rPr>
            </w:pPr>
            <w:r>
              <w:rPr>
                <w:rFonts w:cs="Times New Roman"/>
                <w:color w:val="000000"/>
                <w:sz w:val="20"/>
                <w:szCs w:val="20"/>
              </w:rPr>
              <w:t>0.242</w:t>
            </w:r>
          </w:p>
        </w:tc>
        <w:tc>
          <w:tcPr>
            <w:tcW w:w="302" w:type="pct"/>
            <w:tcBorders>
              <w:top w:val="nil"/>
              <w:left w:val="nil"/>
              <w:bottom w:val="single" w:color="auto" w:sz="4" w:space="0"/>
              <w:right w:val="single" w:color="auto" w:sz="4" w:space="0"/>
            </w:tcBorders>
            <w:shd w:val="clear" w:color="auto" w:fill="auto"/>
            <w:vAlign w:val="center"/>
          </w:tcPr>
          <w:p w14:paraId="1F6D0CB6">
            <w:pPr>
              <w:spacing w:line="240" w:lineRule="auto"/>
              <w:ind w:firstLine="0" w:firstLineChars="0"/>
              <w:jc w:val="center"/>
              <w:rPr>
                <w:rFonts w:cs="Times New Roman"/>
                <w:color w:val="000000"/>
                <w:sz w:val="21"/>
                <w:szCs w:val="21"/>
              </w:rPr>
            </w:pPr>
            <w:r>
              <w:rPr>
                <w:rFonts w:cs="Times New Roman"/>
                <w:color w:val="000000"/>
                <w:sz w:val="20"/>
                <w:szCs w:val="20"/>
              </w:rPr>
              <w:t>0.2</w:t>
            </w:r>
          </w:p>
        </w:tc>
        <w:tc>
          <w:tcPr>
            <w:tcW w:w="333" w:type="pct"/>
            <w:gridSpan w:val="2"/>
            <w:tcBorders>
              <w:top w:val="nil"/>
              <w:left w:val="nil"/>
              <w:bottom w:val="single" w:color="auto" w:sz="4" w:space="0"/>
              <w:right w:val="single" w:color="auto" w:sz="4" w:space="0"/>
            </w:tcBorders>
            <w:shd w:val="clear" w:color="auto" w:fill="auto"/>
            <w:vAlign w:val="center"/>
          </w:tcPr>
          <w:p w14:paraId="2D4C8ED3">
            <w:pPr>
              <w:spacing w:line="240" w:lineRule="auto"/>
              <w:ind w:firstLine="0" w:firstLineChars="0"/>
              <w:jc w:val="center"/>
              <w:rPr>
                <w:rFonts w:cs="Times New Roman"/>
                <w:color w:val="000000"/>
                <w:sz w:val="21"/>
                <w:szCs w:val="21"/>
              </w:rPr>
            </w:pPr>
            <w:r>
              <w:rPr>
                <w:rFonts w:cs="Times New Roman"/>
                <w:color w:val="000000"/>
                <w:sz w:val="20"/>
                <w:szCs w:val="20"/>
              </w:rPr>
              <w:t>0.418</w:t>
            </w:r>
          </w:p>
        </w:tc>
        <w:tc>
          <w:tcPr>
            <w:tcW w:w="303" w:type="pct"/>
            <w:tcBorders>
              <w:top w:val="nil"/>
              <w:left w:val="nil"/>
              <w:bottom w:val="single" w:color="auto" w:sz="4" w:space="0"/>
              <w:right w:val="single" w:color="auto" w:sz="4" w:space="0"/>
            </w:tcBorders>
            <w:shd w:val="clear" w:color="auto" w:fill="auto"/>
            <w:vAlign w:val="center"/>
          </w:tcPr>
          <w:p w14:paraId="3DF9984E">
            <w:pPr>
              <w:spacing w:line="240" w:lineRule="auto"/>
              <w:ind w:firstLine="0" w:firstLineChars="0"/>
              <w:jc w:val="center"/>
              <w:rPr>
                <w:rFonts w:cs="Times New Roman"/>
                <w:color w:val="000000"/>
                <w:sz w:val="21"/>
                <w:szCs w:val="21"/>
              </w:rPr>
            </w:pPr>
            <w:r>
              <w:rPr>
                <w:rFonts w:cs="Times New Roman"/>
                <w:color w:val="000000"/>
                <w:sz w:val="20"/>
                <w:szCs w:val="20"/>
              </w:rPr>
              <w:t>0.345</w:t>
            </w:r>
          </w:p>
        </w:tc>
        <w:tc>
          <w:tcPr>
            <w:tcW w:w="334" w:type="pct"/>
            <w:gridSpan w:val="2"/>
            <w:tcBorders>
              <w:top w:val="nil"/>
              <w:left w:val="nil"/>
              <w:bottom w:val="single" w:color="auto" w:sz="4" w:space="0"/>
              <w:right w:val="single" w:color="auto" w:sz="4" w:space="0"/>
            </w:tcBorders>
            <w:shd w:val="clear" w:color="auto" w:fill="auto"/>
            <w:vAlign w:val="center"/>
          </w:tcPr>
          <w:p w14:paraId="574722DC">
            <w:pPr>
              <w:spacing w:line="240" w:lineRule="auto"/>
              <w:ind w:firstLine="0" w:firstLineChars="0"/>
              <w:jc w:val="center"/>
              <w:rPr>
                <w:rFonts w:cs="Times New Roman"/>
                <w:color w:val="000000"/>
                <w:sz w:val="21"/>
                <w:szCs w:val="21"/>
              </w:rPr>
            </w:pPr>
            <w:r>
              <w:rPr>
                <w:rFonts w:cs="Times New Roman"/>
                <w:color w:val="000000"/>
                <w:sz w:val="20"/>
                <w:szCs w:val="20"/>
              </w:rPr>
              <w:t>0.267</w:t>
            </w:r>
          </w:p>
        </w:tc>
        <w:tc>
          <w:tcPr>
            <w:tcW w:w="303" w:type="pct"/>
            <w:tcBorders>
              <w:top w:val="nil"/>
              <w:left w:val="nil"/>
              <w:bottom w:val="single" w:color="auto" w:sz="4" w:space="0"/>
              <w:right w:val="single" w:color="auto" w:sz="4" w:space="0"/>
            </w:tcBorders>
            <w:shd w:val="clear" w:color="auto" w:fill="auto"/>
            <w:vAlign w:val="center"/>
          </w:tcPr>
          <w:p w14:paraId="5AC927BF">
            <w:pPr>
              <w:spacing w:line="240" w:lineRule="auto"/>
              <w:ind w:firstLine="0" w:firstLineChars="0"/>
              <w:jc w:val="center"/>
              <w:rPr>
                <w:rFonts w:cs="Times New Roman"/>
                <w:color w:val="000000"/>
                <w:sz w:val="21"/>
                <w:szCs w:val="21"/>
              </w:rPr>
            </w:pPr>
            <w:r>
              <w:rPr>
                <w:rFonts w:cs="Times New Roman"/>
                <w:color w:val="000000"/>
                <w:sz w:val="20"/>
                <w:szCs w:val="20"/>
              </w:rPr>
              <w:t>0.242</w:t>
            </w:r>
          </w:p>
        </w:tc>
        <w:tc>
          <w:tcPr>
            <w:tcW w:w="301" w:type="pct"/>
            <w:tcBorders>
              <w:top w:val="nil"/>
              <w:left w:val="nil"/>
              <w:bottom w:val="single" w:color="auto" w:sz="4" w:space="0"/>
              <w:right w:val="single" w:color="auto" w:sz="4" w:space="0"/>
            </w:tcBorders>
            <w:shd w:val="clear" w:color="auto" w:fill="auto"/>
            <w:vAlign w:val="center"/>
          </w:tcPr>
          <w:p w14:paraId="42A7DEFA">
            <w:pPr>
              <w:spacing w:line="240" w:lineRule="auto"/>
              <w:ind w:firstLine="0" w:firstLineChars="0"/>
              <w:jc w:val="center"/>
              <w:rPr>
                <w:rFonts w:cs="Times New Roman"/>
                <w:color w:val="000000"/>
                <w:sz w:val="21"/>
                <w:szCs w:val="21"/>
              </w:rPr>
            </w:pPr>
            <w:r>
              <w:rPr>
                <w:rFonts w:cs="Times New Roman"/>
                <w:color w:val="000000"/>
                <w:sz w:val="20"/>
                <w:szCs w:val="20"/>
              </w:rPr>
              <w:t>0.2</w:t>
            </w:r>
          </w:p>
        </w:tc>
      </w:tr>
      <w:tr w14:paraId="205A977E">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4F92A01E">
            <w:pPr>
              <w:spacing w:line="240" w:lineRule="auto"/>
              <w:ind w:firstLine="0" w:firstLineChars="0"/>
              <w:jc w:val="center"/>
              <w:rPr>
                <w:rFonts w:cs="Times New Roman"/>
                <w:color w:val="000000"/>
                <w:sz w:val="21"/>
                <w:szCs w:val="21"/>
              </w:rPr>
            </w:pPr>
            <w:r>
              <w:rPr>
                <w:rFonts w:cs="Times New Roman"/>
                <w:color w:val="000000"/>
                <w:sz w:val="21"/>
                <w:szCs w:val="21"/>
              </w:rPr>
              <w:t>7</w:t>
            </w:r>
          </w:p>
        </w:tc>
        <w:tc>
          <w:tcPr>
            <w:tcW w:w="589" w:type="pct"/>
            <w:tcBorders>
              <w:top w:val="nil"/>
              <w:left w:val="nil"/>
              <w:bottom w:val="single" w:color="auto" w:sz="4" w:space="0"/>
              <w:right w:val="single" w:color="auto" w:sz="4" w:space="0"/>
            </w:tcBorders>
            <w:shd w:val="clear" w:color="auto" w:fill="auto"/>
            <w:vAlign w:val="center"/>
          </w:tcPr>
          <w:p w14:paraId="3BC515C3">
            <w:pPr>
              <w:spacing w:line="240" w:lineRule="auto"/>
              <w:ind w:firstLine="0" w:firstLineChars="0"/>
              <w:jc w:val="center"/>
              <w:rPr>
                <w:rFonts w:cs="Times New Roman"/>
                <w:color w:val="000000"/>
                <w:sz w:val="21"/>
                <w:szCs w:val="21"/>
              </w:rPr>
            </w:pPr>
            <w:r>
              <w:rPr>
                <w:rFonts w:cs="Times New Roman"/>
                <w:color w:val="000000"/>
                <w:sz w:val="21"/>
                <w:szCs w:val="21"/>
              </w:rPr>
              <w:t>工程措施因子</w:t>
            </w:r>
          </w:p>
        </w:tc>
        <w:tc>
          <w:tcPr>
            <w:tcW w:w="223" w:type="pct"/>
            <w:tcBorders>
              <w:top w:val="nil"/>
              <w:left w:val="nil"/>
              <w:bottom w:val="single" w:color="auto" w:sz="4" w:space="0"/>
              <w:right w:val="single" w:color="auto" w:sz="4" w:space="0"/>
            </w:tcBorders>
            <w:shd w:val="clear" w:color="auto" w:fill="auto"/>
            <w:vAlign w:val="center"/>
          </w:tcPr>
          <w:p w14:paraId="58023162">
            <w:pPr>
              <w:spacing w:line="240" w:lineRule="auto"/>
              <w:ind w:firstLine="0" w:firstLineChars="0"/>
              <w:jc w:val="center"/>
              <w:rPr>
                <w:rFonts w:cs="Times New Roman"/>
                <w:color w:val="000000"/>
                <w:sz w:val="21"/>
                <w:szCs w:val="21"/>
              </w:rPr>
            </w:pPr>
            <w:r>
              <w:rPr>
                <w:rFonts w:cs="Times New Roman"/>
                <w:color w:val="000000"/>
                <w:sz w:val="21"/>
                <w:szCs w:val="21"/>
              </w:rPr>
              <w:t>E</w:t>
            </w:r>
          </w:p>
        </w:tc>
        <w:tc>
          <w:tcPr>
            <w:tcW w:w="865" w:type="pct"/>
            <w:tcBorders>
              <w:top w:val="nil"/>
              <w:left w:val="nil"/>
              <w:bottom w:val="single" w:color="auto" w:sz="4" w:space="0"/>
              <w:right w:val="single" w:color="auto" w:sz="4" w:space="0"/>
            </w:tcBorders>
            <w:shd w:val="clear" w:color="auto" w:fill="auto"/>
            <w:vAlign w:val="center"/>
          </w:tcPr>
          <w:p w14:paraId="51DF4793">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2A334D07">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33" w:type="pct"/>
            <w:gridSpan w:val="2"/>
            <w:tcBorders>
              <w:top w:val="nil"/>
              <w:left w:val="nil"/>
              <w:bottom w:val="single" w:color="auto" w:sz="4" w:space="0"/>
              <w:right w:val="single" w:color="auto" w:sz="4" w:space="0"/>
            </w:tcBorders>
            <w:shd w:val="clear" w:color="auto" w:fill="auto"/>
            <w:vAlign w:val="center"/>
          </w:tcPr>
          <w:p w14:paraId="47844576">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02" w:type="pct"/>
            <w:tcBorders>
              <w:top w:val="nil"/>
              <w:left w:val="nil"/>
              <w:bottom w:val="single" w:color="auto" w:sz="4" w:space="0"/>
              <w:right w:val="single" w:color="auto" w:sz="4" w:space="0"/>
            </w:tcBorders>
            <w:shd w:val="clear" w:color="auto" w:fill="auto"/>
            <w:vAlign w:val="center"/>
          </w:tcPr>
          <w:p w14:paraId="549A78DF">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33" w:type="pct"/>
            <w:gridSpan w:val="2"/>
            <w:tcBorders>
              <w:top w:val="nil"/>
              <w:left w:val="nil"/>
              <w:bottom w:val="single" w:color="auto" w:sz="4" w:space="0"/>
              <w:right w:val="single" w:color="auto" w:sz="4" w:space="0"/>
            </w:tcBorders>
            <w:shd w:val="clear" w:color="auto" w:fill="auto"/>
            <w:vAlign w:val="center"/>
          </w:tcPr>
          <w:p w14:paraId="28356DEC">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02" w:type="pct"/>
            <w:tcBorders>
              <w:top w:val="nil"/>
              <w:left w:val="nil"/>
              <w:bottom w:val="single" w:color="auto" w:sz="4" w:space="0"/>
              <w:right w:val="single" w:color="auto" w:sz="4" w:space="0"/>
            </w:tcBorders>
            <w:shd w:val="clear" w:color="auto" w:fill="auto"/>
            <w:vAlign w:val="center"/>
          </w:tcPr>
          <w:p w14:paraId="05321DB3">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33" w:type="pct"/>
            <w:gridSpan w:val="2"/>
            <w:tcBorders>
              <w:top w:val="nil"/>
              <w:left w:val="nil"/>
              <w:bottom w:val="single" w:color="auto" w:sz="4" w:space="0"/>
              <w:right w:val="single" w:color="auto" w:sz="4" w:space="0"/>
            </w:tcBorders>
            <w:shd w:val="clear" w:color="auto" w:fill="auto"/>
            <w:vAlign w:val="center"/>
          </w:tcPr>
          <w:p w14:paraId="04E6989A">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03" w:type="pct"/>
            <w:tcBorders>
              <w:top w:val="nil"/>
              <w:left w:val="nil"/>
              <w:bottom w:val="single" w:color="auto" w:sz="4" w:space="0"/>
              <w:right w:val="single" w:color="auto" w:sz="4" w:space="0"/>
            </w:tcBorders>
            <w:shd w:val="clear" w:color="auto" w:fill="auto"/>
            <w:vAlign w:val="center"/>
          </w:tcPr>
          <w:p w14:paraId="498544C1">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34" w:type="pct"/>
            <w:gridSpan w:val="2"/>
            <w:tcBorders>
              <w:top w:val="nil"/>
              <w:left w:val="nil"/>
              <w:bottom w:val="single" w:color="auto" w:sz="4" w:space="0"/>
              <w:right w:val="single" w:color="auto" w:sz="4" w:space="0"/>
            </w:tcBorders>
            <w:shd w:val="clear" w:color="auto" w:fill="auto"/>
            <w:vAlign w:val="center"/>
          </w:tcPr>
          <w:p w14:paraId="5A142978">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03" w:type="pct"/>
            <w:tcBorders>
              <w:top w:val="nil"/>
              <w:left w:val="nil"/>
              <w:bottom w:val="single" w:color="auto" w:sz="4" w:space="0"/>
              <w:right w:val="single" w:color="auto" w:sz="4" w:space="0"/>
            </w:tcBorders>
            <w:shd w:val="clear" w:color="auto" w:fill="auto"/>
            <w:vAlign w:val="center"/>
          </w:tcPr>
          <w:p w14:paraId="69AC41C8">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01" w:type="pct"/>
            <w:tcBorders>
              <w:top w:val="nil"/>
              <w:left w:val="nil"/>
              <w:bottom w:val="single" w:color="auto" w:sz="4" w:space="0"/>
              <w:right w:val="single" w:color="auto" w:sz="4" w:space="0"/>
            </w:tcBorders>
            <w:shd w:val="clear" w:color="auto" w:fill="auto"/>
            <w:vAlign w:val="center"/>
          </w:tcPr>
          <w:p w14:paraId="56846F1C">
            <w:pPr>
              <w:spacing w:line="240" w:lineRule="auto"/>
              <w:ind w:firstLine="0" w:firstLineChars="0"/>
              <w:jc w:val="center"/>
              <w:rPr>
                <w:rFonts w:cs="Times New Roman"/>
                <w:color w:val="000000"/>
                <w:sz w:val="21"/>
                <w:szCs w:val="21"/>
              </w:rPr>
            </w:pPr>
            <w:r>
              <w:rPr>
                <w:rFonts w:cs="Times New Roman"/>
                <w:color w:val="000000"/>
                <w:sz w:val="20"/>
                <w:szCs w:val="20"/>
              </w:rPr>
              <w:t>1</w:t>
            </w:r>
          </w:p>
        </w:tc>
      </w:tr>
      <w:tr w14:paraId="30CFE183">
        <w:tblPrEx>
          <w:tblCellMar>
            <w:top w:w="0" w:type="dxa"/>
            <w:left w:w="108" w:type="dxa"/>
            <w:bottom w:w="0" w:type="dxa"/>
            <w:right w:w="108" w:type="dxa"/>
          </w:tblCellMar>
        </w:tblPrEx>
        <w:trPr>
          <w:cantSplit/>
          <w:trHeight w:val="605"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0658B0D9">
            <w:pPr>
              <w:spacing w:line="240" w:lineRule="auto"/>
              <w:ind w:firstLine="0" w:firstLineChars="0"/>
              <w:jc w:val="center"/>
              <w:rPr>
                <w:rFonts w:cs="Times New Roman"/>
                <w:color w:val="000000"/>
                <w:sz w:val="21"/>
                <w:szCs w:val="21"/>
              </w:rPr>
            </w:pPr>
            <w:r>
              <w:rPr>
                <w:rFonts w:cs="Times New Roman"/>
                <w:color w:val="000000"/>
                <w:sz w:val="21"/>
                <w:szCs w:val="21"/>
              </w:rPr>
              <w:t>8</w:t>
            </w:r>
          </w:p>
        </w:tc>
        <w:tc>
          <w:tcPr>
            <w:tcW w:w="589" w:type="pct"/>
            <w:tcBorders>
              <w:top w:val="nil"/>
              <w:left w:val="nil"/>
              <w:bottom w:val="single" w:color="auto" w:sz="4" w:space="0"/>
              <w:right w:val="single" w:color="auto" w:sz="4" w:space="0"/>
            </w:tcBorders>
            <w:shd w:val="clear" w:color="auto" w:fill="auto"/>
            <w:vAlign w:val="center"/>
          </w:tcPr>
          <w:p w14:paraId="487E9F14">
            <w:pPr>
              <w:spacing w:line="240" w:lineRule="auto"/>
              <w:ind w:firstLine="0" w:firstLineChars="0"/>
              <w:jc w:val="center"/>
              <w:rPr>
                <w:rFonts w:cs="Times New Roman"/>
                <w:color w:val="000000"/>
                <w:sz w:val="21"/>
                <w:szCs w:val="21"/>
              </w:rPr>
            </w:pPr>
            <w:r>
              <w:rPr>
                <w:rFonts w:cs="Times New Roman"/>
                <w:color w:val="000000"/>
                <w:sz w:val="21"/>
                <w:szCs w:val="21"/>
              </w:rPr>
              <w:t>耕作措施因子</w:t>
            </w:r>
          </w:p>
        </w:tc>
        <w:tc>
          <w:tcPr>
            <w:tcW w:w="223" w:type="pct"/>
            <w:tcBorders>
              <w:top w:val="nil"/>
              <w:left w:val="nil"/>
              <w:bottom w:val="single" w:color="auto" w:sz="4" w:space="0"/>
              <w:right w:val="single" w:color="auto" w:sz="4" w:space="0"/>
            </w:tcBorders>
            <w:shd w:val="clear" w:color="auto" w:fill="auto"/>
            <w:vAlign w:val="center"/>
          </w:tcPr>
          <w:p w14:paraId="1F66549E">
            <w:pPr>
              <w:spacing w:line="240" w:lineRule="auto"/>
              <w:ind w:firstLine="0" w:firstLineChars="0"/>
              <w:jc w:val="center"/>
              <w:rPr>
                <w:rFonts w:cs="Times New Roman"/>
                <w:color w:val="000000"/>
                <w:sz w:val="21"/>
                <w:szCs w:val="21"/>
              </w:rPr>
            </w:pPr>
            <w:r>
              <w:rPr>
                <w:rFonts w:cs="Times New Roman"/>
                <w:color w:val="000000"/>
                <w:sz w:val="21"/>
                <w:szCs w:val="21"/>
              </w:rPr>
              <w:t>T</w:t>
            </w:r>
          </w:p>
        </w:tc>
        <w:tc>
          <w:tcPr>
            <w:tcW w:w="865" w:type="pct"/>
            <w:tcBorders>
              <w:top w:val="nil"/>
              <w:left w:val="nil"/>
              <w:bottom w:val="single" w:color="auto" w:sz="4" w:space="0"/>
              <w:right w:val="single" w:color="auto" w:sz="4" w:space="0"/>
            </w:tcBorders>
            <w:shd w:val="clear" w:color="auto" w:fill="auto"/>
            <w:vAlign w:val="center"/>
          </w:tcPr>
          <w:p w14:paraId="7832ED44">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0107DB72">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33" w:type="pct"/>
            <w:gridSpan w:val="2"/>
            <w:tcBorders>
              <w:top w:val="nil"/>
              <w:left w:val="nil"/>
              <w:bottom w:val="single" w:color="auto" w:sz="4" w:space="0"/>
              <w:right w:val="single" w:color="auto" w:sz="4" w:space="0"/>
            </w:tcBorders>
            <w:shd w:val="clear" w:color="auto" w:fill="auto"/>
            <w:vAlign w:val="center"/>
          </w:tcPr>
          <w:p w14:paraId="1D53FFA5">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02" w:type="pct"/>
            <w:tcBorders>
              <w:top w:val="nil"/>
              <w:left w:val="nil"/>
              <w:bottom w:val="single" w:color="auto" w:sz="4" w:space="0"/>
              <w:right w:val="single" w:color="auto" w:sz="4" w:space="0"/>
            </w:tcBorders>
            <w:shd w:val="clear" w:color="auto" w:fill="auto"/>
            <w:vAlign w:val="center"/>
          </w:tcPr>
          <w:p w14:paraId="3A8A8957">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33" w:type="pct"/>
            <w:gridSpan w:val="2"/>
            <w:tcBorders>
              <w:top w:val="nil"/>
              <w:left w:val="nil"/>
              <w:bottom w:val="single" w:color="auto" w:sz="4" w:space="0"/>
              <w:right w:val="single" w:color="auto" w:sz="4" w:space="0"/>
            </w:tcBorders>
            <w:shd w:val="clear" w:color="auto" w:fill="auto"/>
            <w:vAlign w:val="center"/>
          </w:tcPr>
          <w:p w14:paraId="246F67B0">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02" w:type="pct"/>
            <w:tcBorders>
              <w:top w:val="nil"/>
              <w:left w:val="nil"/>
              <w:bottom w:val="single" w:color="auto" w:sz="4" w:space="0"/>
              <w:right w:val="single" w:color="auto" w:sz="4" w:space="0"/>
            </w:tcBorders>
            <w:shd w:val="clear" w:color="auto" w:fill="auto"/>
            <w:vAlign w:val="center"/>
          </w:tcPr>
          <w:p w14:paraId="28D86C23">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33" w:type="pct"/>
            <w:gridSpan w:val="2"/>
            <w:tcBorders>
              <w:top w:val="nil"/>
              <w:left w:val="nil"/>
              <w:bottom w:val="single" w:color="auto" w:sz="4" w:space="0"/>
              <w:right w:val="single" w:color="auto" w:sz="4" w:space="0"/>
            </w:tcBorders>
            <w:shd w:val="clear" w:color="auto" w:fill="auto"/>
            <w:vAlign w:val="center"/>
          </w:tcPr>
          <w:p w14:paraId="25639E4F">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03" w:type="pct"/>
            <w:tcBorders>
              <w:top w:val="nil"/>
              <w:left w:val="nil"/>
              <w:bottom w:val="single" w:color="auto" w:sz="4" w:space="0"/>
              <w:right w:val="single" w:color="auto" w:sz="4" w:space="0"/>
            </w:tcBorders>
            <w:shd w:val="clear" w:color="auto" w:fill="auto"/>
            <w:vAlign w:val="center"/>
          </w:tcPr>
          <w:p w14:paraId="4C01A3EE">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34" w:type="pct"/>
            <w:gridSpan w:val="2"/>
            <w:tcBorders>
              <w:top w:val="nil"/>
              <w:left w:val="nil"/>
              <w:bottom w:val="single" w:color="auto" w:sz="4" w:space="0"/>
              <w:right w:val="single" w:color="auto" w:sz="4" w:space="0"/>
            </w:tcBorders>
            <w:shd w:val="clear" w:color="auto" w:fill="auto"/>
            <w:vAlign w:val="center"/>
          </w:tcPr>
          <w:p w14:paraId="276CBEC7">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03" w:type="pct"/>
            <w:tcBorders>
              <w:top w:val="nil"/>
              <w:left w:val="nil"/>
              <w:bottom w:val="single" w:color="auto" w:sz="4" w:space="0"/>
              <w:right w:val="single" w:color="auto" w:sz="4" w:space="0"/>
            </w:tcBorders>
            <w:shd w:val="clear" w:color="auto" w:fill="auto"/>
            <w:vAlign w:val="center"/>
          </w:tcPr>
          <w:p w14:paraId="5981B89C">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01" w:type="pct"/>
            <w:tcBorders>
              <w:top w:val="nil"/>
              <w:left w:val="nil"/>
              <w:bottom w:val="single" w:color="auto" w:sz="4" w:space="0"/>
              <w:right w:val="single" w:color="auto" w:sz="4" w:space="0"/>
            </w:tcBorders>
            <w:shd w:val="clear" w:color="auto" w:fill="auto"/>
            <w:vAlign w:val="center"/>
          </w:tcPr>
          <w:p w14:paraId="21FE7942">
            <w:pPr>
              <w:spacing w:line="240" w:lineRule="auto"/>
              <w:ind w:firstLine="0" w:firstLineChars="0"/>
              <w:jc w:val="center"/>
              <w:rPr>
                <w:rFonts w:cs="Times New Roman"/>
                <w:color w:val="000000"/>
                <w:sz w:val="21"/>
                <w:szCs w:val="21"/>
              </w:rPr>
            </w:pPr>
            <w:r>
              <w:rPr>
                <w:rFonts w:cs="Times New Roman"/>
                <w:color w:val="000000"/>
                <w:sz w:val="20"/>
                <w:szCs w:val="20"/>
              </w:rPr>
              <w:t>1</w:t>
            </w:r>
          </w:p>
        </w:tc>
      </w:tr>
      <w:tr w14:paraId="7B097577">
        <w:tblPrEx>
          <w:tblCellMar>
            <w:top w:w="0" w:type="dxa"/>
            <w:left w:w="108" w:type="dxa"/>
            <w:bottom w:w="0" w:type="dxa"/>
            <w:right w:w="108" w:type="dxa"/>
          </w:tblCellMar>
        </w:tblPrEx>
        <w:trPr>
          <w:cantSplit/>
          <w:trHeight w:val="454" w:hRule="atLeast"/>
        </w:trPr>
        <w:tc>
          <w:tcPr>
            <w:tcW w:w="176" w:type="pct"/>
            <w:vMerge w:val="restart"/>
            <w:tcBorders>
              <w:top w:val="nil"/>
              <w:left w:val="single" w:color="auto" w:sz="4" w:space="0"/>
              <w:bottom w:val="single" w:color="auto" w:sz="4" w:space="0"/>
              <w:right w:val="single" w:color="auto" w:sz="4" w:space="0"/>
            </w:tcBorders>
            <w:shd w:val="clear" w:color="auto" w:fill="auto"/>
            <w:vAlign w:val="center"/>
          </w:tcPr>
          <w:p w14:paraId="7795E1BC">
            <w:pPr>
              <w:spacing w:line="240" w:lineRule="auto"/>
              <w:ind w:firstLine="0" w:firstLineChars="0"/>
              <w:jc w:val="center"/>
              <w:rPr>
                <w:rFonts w:cs="Times New Roman"/>
                <w:color w:val="000000"/>
                <w:sz w:val="21"/>
                <w:szCs w:val="21"/>
              </w:rPr>
            </w:pPr>
            <w:r>
              <w:rPr>
                <w:rFonts w:cs="Times New Roman"/>
                <w:color w:val="000000"/>
                <w:sz w:val="21"/>
                <w:szCs w:val="21"/>
              </w:rPr>
              <w:t>序号</w:t>
            </w:r>
          </w:p>
        </w:tc>
        <w:tc>
          <w:tcPr>
            <w:tcW w:w="589" w:type="pct"/>
            <w:vMerge w:val="restart"/>
            <w:tcBorders>
              <w:top w:val="nil"/>
              <w:left w:val="single" w:color="auto" w:sz="4" w:space="0"/>
              <w:bottom w:val="single" w:color="auto" w:sz="4" w:space="0"/>
              <w:right w:val="single" w:color="auto" w:sz="4" w:space="0"/>
            </w:tcBorders>
            <w:shd w:val="clear" w:color="auto" w:fill="auto"/>
            <w:vAlign w:val="center"/>
          </w:tcPr>
          <w:p w14:paraId="3F8AE936">
            <w:pPr>
              <w:spacing w:line="240" w:lineRule="auto"/>
              <w:ind w:firstLine="0" w:firstLineChars="0"/>
              <w:jc w:val="center"/>
              <w:rPr>
                <w:rFonts w:cs="Times New Roman"/>
                <w:color w:val="000000"/>
                <w:sz w:val="21"/>
                <w:szCs w:val="21"/>
              </w:rPr>
            </w:pPr>
            <w:r>
              <w:rPr>
                <w:rFonts w:cs="Times New Roman"/>
                <w:color w:val="000000"/>
                <w:sz w:val="21"/>
                <w:szCs w:val="21"/>
              </w:rPr>
              <w:t>项目</w:t>
            </w:r>
          </w:p>
        </w:tc>
        <w:tc>
          <w:tcPr>
            <w:tcW w:w="223" w:type="pct"/>
            <w:vMerge w:val="restart"/>
            <w:tcBorders>
              <w:top w:val="nil"/>
              <w:left w:val="single" w:color="auto" w:sz="4" w:space="0"/>
              <w:bottom w:val="single" w:color="auto" w:sz="4" w:space="0"/>
              <w:right w:val="single" w:color="auto" w:sz="4" w:space="0"/>
            </w:tcBorders>
            <w:shd w:val="clear" w:color="auto" w:fill="auto"/>
            <w:vAlign w:val="center"/>
          </w:tcPr>
          <w:p w14:paraId="109F49EA">
            <w:pPr>
              <w:spacing w:line="240" w:lineRule="auto"/>
              <w:ind w:firstLine="0" w:firstLineChars="0"/>
              <w:jc w:val="center"/>
              <w:rPr>
                <w:rFonts w:cs="Times New Roman"/>
                <w:color w:val="000000"/>
                <w:sz w:val="21"/>
                <w:szCs w:val="21"/>
              </w:rPr>
            </w:pPr>
            <w:r>
              <w:rPr>
                <w:rFonts w:cs="Times New Roman"/>
                <w:color w:val="000000"/>
                <w:sz w:val="21"/>
                <w:szCs w:val="21"/>
              </w:rPr>
              <w:t>因子</w:t>
            </w:r>
          </w:p>
        </w:tc>
        <w:tc>
          <w:tcPr>
            <w:tcW w:w="865" w:type="pct"/>
            <w:vMerge w:val="restart"/>
            <w:tcBorders>
              <w:top w:val="nil"/>
              <w:left w:val="single" w:color="auto" w:sz="4" w:space="0"/>
              <w:bottom w:val="single" w:color="auto" w:sz="4" w:space="0"/>
              <w:right w:val="single" w:color="auto" w:sz="4" w:space="0"/>
            </w:tcBorders>
            <w:shd w:val="clear" w:color="auto" w:fill="auto"/>
            <w:vAlign w:val="center"/>
          </w:tcPr>
          <w:p w14:paraId="3745F326">
            <w:pPr>
              <w:spacing w:line="240" w:lineRule="auto"/>
              <w:ind w:firstLine="0" w:firstLineChars="0"/>
              <w:jc w:val="center"/>
              <w:rPr>
                <w:rFonts w:cs="Times New Roman"/>
                <w:color w:val="000000"/>
                <w:sz w:val="21"/>
                <w:szCs w:val="21"/>
              </w:rPr>
            </w:pPr>
            <w:r>
              <w:rPr>
                <w:rFonts w:cs="Times New Roman"/>
                <w:color w:val="000000"/>
                <w:sz w:val="21"/>
                <w:szCs w:val="21"/>
              </w:rPr>
              <w:t>公式</w:t>
            </w:r>
          </w:p>
        </w:tc>
        <w:tc>
          <w:tcPr>
            <w:tcW w:w="1572" w:type="pct"/>
            <w:gridSpan w:val="7"/>
            <w:tcBorders>
              <w:top w:val="single" w:color="auto" w:sz="4" w:space="0"/>
              <w:left w:val="nil"/>
              <w:bottom w:val="single" w:color="auto" w:sz="4" w:space="0"/>
              <w:right w:val="single" w:color="auto" w:sz="4" w:space="0"/>
            </w:tcBorders>
            <w:shd w:val="clear" w:color="auto" w:fill="auto"/>
            <w:vAlign w:val="center"/>
          </w:tcPr>
          <w:p w14:paraId="340AF4AE">
            <w:pPr>
              <w:spacing w:line="240" w:lineRule="auto"/>
              <w:ind w:firstLine="0" w:firstLineChars="0"/>
              <w:jc w:val="center"/>
              <w:rPr>
                <w:rFonts w:cs="Times New Roman"/>
                <w:color w:val="000000"/>
                <w:sz w:val="21"/>
                <w:szCs w:val="21"/>
              </w:rPr>
            </w:pPr>
            <w:r>
              <w:rPr>
                <w:rFonts w:cs="Times New Roman"/>
                <w:color w:val="000000"/>
                <w:sz w:val="21"/>
                <w:szCs w:val="21"/>
              </w:rPr>
              <w:t>公用设施用地</w:t>
            </w:r>
          </w:p>
        </w:tc>
        <w:tc>
          <w:tcPr>
            <w:tcW w:w="1574" w:type="pct"/>
            <w:gridSpan w:val="7"/>
            <w:tcBorders>
              <w:top w:val="single" w:color="auto" w:sz="4" w:space="0"/>
              <w:left w:val="nil"/>
              <w:bottom w:val="single" w:color="auto" w:sz="4" w:space="0"/>
              <w:right w:val="single" w:color="auto" w:sz="4" w:space="0"/>
            </w:tcBorders>
            <w:shd w:val="clear" w:color="auto" w:fill="auto"/>
            <w:vAlign w:val="center"/>
          </w:tcPr>
          <w:p w14:paraId="3698C077">
            <w:pPr>
              <w:spacing w:line="240" w:lineRule="auto"/>
              <w:ind w:firstLine="0" w:firstLineChars="0"/>
              <w:jc w:val="center"/>
              <w:rPr>
                <w:rFonts w:cs="Times New Roman"/>
                <w:color w:val="000000"/>
                <w:sz w:val="21"/>
                <w:szCs w:val="21"/>
              </w:rPr>
            </w:pPr>
            <w:r>
              <w:rPr>
                <w:rFonts w:cs="Times New Roman"/>
                <w:color w:val="000000"/>
                <w:sz w:val="21"/>
                <w:szCs w:val="21"/>
              </w:rPr>
              <w:t>绿地与开敞空间用地</w:t>
            </w:r>
          </w:p>
        </w:tc>
      </w:tr>
      <w:tr w14:paraId="012AE6D5">
        <w:tblPrEx>
          <w:tblCellMar>
            <w:top w:w="0" w:type="dxa"/>
            <w:left w:w="108" w:type="dxa"/>
            <w:bottom w:w="0" w:type="dxa"/>
            <w:right w:w="108" w:type="dxa"/>
          </w:tblCellMar>
        </w:tblPrEx>
        <w:trPr>
          <w:cantSplit/>
          <w:trHeight w:val="454" w:hRule="atLeast"/>
        </w:trPr>
        <w:tc>
          <w:tcPr>
            <w:tcW w:w="176" w:type="pct"/>
            <w:vMerge w:val="continue"/>
            <w:tcBorders>
              <w:top w:val="nil"/>
              <w:left w:val="single" w:color="auto" w:sz="4" w:space="0"/>
              <w:bottom w:val="single" w:color="auto" w:sz="4" w:space="0"/>
              <w:right w:val="single" w:color="auto" w:sz="4" w:space="0"/>
            </w:tcBorders>
            <w:shd w:val="clear" w:color="auto" w:fill="auto"/>
            <w:vAlign w:val="center"/>
          </w:tcPr>
          <w:p w14:paraId="774B05A6">
            <w:pPr>
              <w:spacing w:line="240" w:lineRule="auto"/>
              <w:ind w:firstLine="0" w:firstLineChars="0"/>
              <w:jc w:val="center"/>
              <w:rPr>
                <w:rFonts w:cs="Times New Roman"/>
                <w:color w:val="000000"/>
                <w:sz w:val="21"/>
                <w:szCs w:val="21"/>
              </w:rPr>
            </w:pPr>
          </w:p>
        </w:tc>
        <w:tc>
          <w:tcPr>
            <w:tcW w:w="589" w:type="pct"/>
            <w:vMerge w:val="continue"/>
            <w:tcBorders>
              <w:top w:val="nil"/>
              <w:left w:val="single" w:color="auto" w:sz="4" w:space="0"/>
              <w:bottom w:val="single" w:color="auto" w:sz="4" w:space="0"/>
              <w:right w:val="single" w:color="auto" w:sz="4" w:space="0"/>
            </w:tcBorders>
            <w:shd w:val="clear" w:color="auto" w:fill="auto"/>
            <w:vAlign w:val="center"/>
          </w:tcPr>
          <w:p w14:paraId="2EB677A5">
            <w:pPr>
              <w:spacing w:line="240" w:lineRule="auto"/>
              <w:ind w:firstLine="0" w:firstLineChars="0"/>
              <w:jc w:val="center"/>
              <w:rPr>
                <w:rFonts w:cs="Times New Roman"/>
                <w:color w:val="000000"/>
                <w:sz w:val="21"/>
                <w:szCs w:val="21"/>
              </w:rPr>
            </w:pPr>
          </w:p>
        </w:tc>
        <w:tc>
          <w:tcPr>
            <w:tcW w:w="223" w:type="pct"/>
            <w:vMerge w:val="continue"/>
            <w:tcBorders>
              <w:top w:val="nil"/>
              <w:left w:val="single" w:color="auto" w:sz="4" w:space="0"/>
              <w:bottom w:val="single" w:color="auto" w:sz="4" w:space="0"/>
              <w:right w:val="single" w:color="auto" w:sz="4" w:space="0"/>
            </w:tcBorders>
            <w:shd w:val="clear" w:color="auto" w:fill="auto"/>
            <w:vAlign w:val="center"/>
          </w:tcPr>
          <w:p w14:paraId="22C526B0">
            <w:pPr>
              <w:spacing w:line="240" w:lineRule="auto"/>
              <w:ind w:firstLine="0" w:firstLineChars="0"/>
              <w:jc w:val="center"/>
              <w:rPr>
                <w:rFonts w:cs="Times New Roman"/>
                <w:color w:val="000000"/>
                <w:sz w:val="21"/>
                <w:szCs w:val="21"/>
              </w:rPr>
            </w:pPr>
          </w:p>
        </w:tc>
        <w:tc>
          <w:tcPr>
            <w:tcW w:w="865" w:type="pct"/>
            <w:vMerge w:val="continue"/>
            <w:tcBorders>
              <w:top w:val="nil"/>
              <w:left w:val="single" w:color="auto" w:sz="4" w:space="0"/>
              <w:bottom w:val="single" w:color="auto" w:sz="4" w:space="0"/>
              <w:right w:val="single" w:color="auto" w:sz="4" w:space="0"/>
            </w:tcBorders>
            <w:shd w:val="clear" w:color="auto" w:fill="auto"/>
            <w:vAlign w:val="center"/>
          </w:tcPr>
          <w:p w14:paraId="062BD734">
            <w:pPr>
              <w:spacing w:line="240" w:lineRule="auto"/>
              <w:ind w:firstLine="0" w:firstLineChars="0"/>
              <w:jc w:val="center"/>
              <w:rPr>
                <w:rFonts w:cs="Times New Roman"/>
                <w:color w:val="000000"/>
                <w:sz w:val="21"/>
                <w:szCs w:val="21"/>
              </w:rPr>
            </w:pPr>
          </w:p>
        </w:tc>
        <w:tc>
          <w:tcPr>
            <w:tcW w:w="302" w:type="pct"/>
            <w:tcBorders>
              <w:top w:val="nil"/>
              <w:left w:val="nil"/>
              <w:bottom w:val="single" w:color="auto" w:sz="4" w:space="0"/>
              <w:right w:val="single" w:color="auto" w:sz="4" w:space="0"/>
            </w:tcBorders>
            <w:shd w:val="clear" w:color="auto" w:fill="auto"/>
            <w:vAlign w:val="center"/>
          </w:tcPr>
          <w:p w14:paraId="6FC3662B">
            <w:pPr>
              <w:spacing w:line="240" w:lineRule="auto"/>
              <w:ind w:firstLine="0" w:firstLineChars="0"/>
              <w:jc w:val="center"/>
              <w:rPr>
                <w:rFonts w:cs="Times New Roman"/>
                <w:color w:val="000000"/>
                <w:sz w:val="21"/>
                <w:szCs w:val="21"/>
              </w:rPr>
            </w:pPr>
            <w:r>
              <w:rPr>
                <w:rFonts w:cs="Times New Roman"/>
                <w:color w:val="000000"/>
                <w:sz w:val="21"/>
                <w:szCs w:val="21"/>
              </w:rPr>
              <w:t>第 1 年</w:t>
            </w:r>
          </w:p>
        </w:tc>
        <w:tc>
          <w:tcPr>
            <w:tcW w:w="333" w:type="pct"/>
            <w:gridSpan w:val="2"/>
            <w:tcBorders>
              <w:top w:val="nil"/>
              <w:left w:val="nil"/>
              <w:bottom w:val="single" w:color="auto" w:sz="4" w:space="0"/>
              <w:right w:val="single" w:color="auto" w:sz="4" w:space="0"/>
            </w:tcBorders>
            <w:shd w:val="clear" w:color="auto" w:fill="auto"/>
            <w:vAlign w:val="center"/>
          </w:tcPr>
          <w:p w14:paraId="21223223">
            <w:pPr>
              <w:spacing w:line="240" w:lineRule="auto"/>
              <w:ind w:firstLine="0" w:firstLineChars="0"/>
              <w:jc w:val="center"/>
              <w:rPr>
                <w:rFonts w:cs="Times New Roman"/>
                <w:color w:val="000000"/>
                <w:sz w:val="21"/>
                <w:szCs w:val="21"/>
              </w:rPr>
            </w:pPr>
            <w:r>
              <w:rPr>
                <w:rFonts w:cs="Times New Roman"/>
                <w:color w:val="000000"/>
                <w:sz w:val="21"/>
                <w:szCs w:val="21"/>
              </w:rPr>
              <w:t>第 2 年</w:t>
            </w:r>
          </w:p>
        </w:tc>
        <w:tc>
          <w:tcPr>
            <w:tcW w:w="302" w:type="pct"/>
            <w:tcBorders>
              <w:top w:val="nil"/>
              <w:left w:val="nil"/>
              <w:bottom w:val="single" w:color="auto" w:sz="4" w:space="0"/>
              <w:right w:val="single" w:color="auto" w:sz="4" w:space="0"/>
            </w:tcBorders>
            <w:shd w:val="clear" w:color="auto" w:fill="auto"/>
            <w:vAlign w:val="center"/>
          </w:tcPr>
          <w:p w14:paraId="05773A27">
            <w:pPr>
              <w:spacing w:line="240" w:lineRule="auto"/>
              <w:ind w:firstLine="0" w:firstLineChars="0"/>
              <w:jc w:val="center"/>
              <w:rPr>
                <w:rFonts w:cs="Times New Roman"/>
                <w:color w:val="000000"/>
                <w:sz w:val="21"/>
                <w:szCs w:val="21"/>
              </w:rPr>
            </w:pPr>
            <w:r>
              <w:rPr>
                <w:rFonts w:cs="Times New Roman"/>
                <w:color w:val="000000"/>
                <w:sz w:val="21"/>
                <w:szCs w:val="21"/>
              </w:rPr>
              <w:t>第 3 年</w:t>
            </w:r>
          </w:p>
        </w:tc>
        <w:tc>
          <w:tcPr>
            <w:tcW w:w="333" w:type="pct"/>
            <w:gridSpan w:val="2"/>
            <w:tcBorders>
              <w:top w:val="nil"/>
              <w:left w:val="nil"/>
              <w:bottom w:val="single" w:color="auto" w:sz="4" w:space="0"/>
              <w:right w:val="single" w:color="auto" w:sz="4" w:space="0"/>
            </w:tcBorders>
            <w:shd w:val="clear" w:color="auto" w:fill="auto"/>
            <w:vAlign w:val="center"/>
          </w:tcPr>
          <w:p w14:paraId="2A859378">
            <w:pPr>
              <w:spacing w:line="240" w:lineRule="auto"/>
              <w:ind w:firstLine="0" w:firstLineChars="0"/>
              <w:jc w:val="center"/>
              <w:rPr>
                <w:rFonts w:cs="Times New Roman"/>
                <w:color w:val="000000"/>
                <w:sz w:val="21"/>
                <w:szCs w:val="21"/>
              </w:rPr>
            </w:pPr>
            <w:r>
              <w:rPr>
                <w:rFonts w:cs="Times New Roman"/>
                <w:color w:val="000000"/>
                <w:sz w:val="21"/>
                <w:szCs w:val="21"/>
              </w:rPr>
              <w:t>第 4 年</w:t>
            </w:r>
          </w:p>
        </w:tc>
        <w:tc>
          <w:tcPr>
            <w:tcW w:w="302" w:type="pct"/>
            <w:tcBorders>
              <w:top w:val="nil"/>
              <w:left w:val="nil"/>
              <w:bottom w:val="single" w:color="auto" w:sz="4" w:space="0"/>
              <w:right w:val="single" w:color="auto" w:sz="4" w:space="0"/>
            </w:tcBorders>
            <w:shd w:val="clear" w:color="auto" w:fill="auto"/>
            <w:vAlign w:val="center"/>
          </w:tcPr>
          <w:p w14:paraId="1461F6FC">
            <w:pPr>
              <w:spacing w:line="240" w:lineRule="auto"/>
              <w:ind w:firstLine="0" w:firstLineChars="0"/>
              <w:jc w:val="center"/>
              <w:rPr>
                <w:rFonts w:cs="Times New Roman"/>
                <w:color w:val="000000"/>
                <w:sz w:val="21"/>
                <w:szCs w:val="21"/>
              </w:rPr>
            </w:pPr>
            <w:r>
              <w:rPr>
                <w:rFonts w:cs="Times New Roman"/>
                <w:color w:val="000000"/>
                <w:sz w:val="21"/>
                <w:szCs w:val="21"/>
              </w:rPr>
              <w:t>第 5 年</w:t>
            </w:r>
          </w:p>
        </w:tc>
        <w:tc>
          <w:tcPr>
            <w:tcW w:w="333" w:type="pct"/>
            <w:gridSpan w:val="2"/>
            <w:tcBorders>
              <w:top w:val="nil"/>
              <w:left w:val="nil"/>
              <w:bottom w:val="single" w:color="auto" w:sz="4" w:space="0"/>
              <w:right w:val="single" w:color="auto" w:sz="4" w:space="0"/>
            </w:tcBorders>
            <w:shd w:val="clear" w:color="auto" w:fill="auto"/>
            <w:vAlign w:val="center"/>
          </w:tcPr>
          <w:p w14:paraId="72BE6C88">
            <w:pPr>
              <w:spacing w:line="240" w:lineRule="auto"/>
              <w:ind w:firstLine="0" w:firstLineChars="0"/>
              <w:jc w:val="center"/>
              <w:rPr>
                <w:rFonts w:cs="Times New Roman"/>
                <w:color w:val="000000"/>
                <w:sz w:val="21"/>
                <w:szCs w:val="21"/>
              </w:rPr>
            </w:pPr>
            <w:r>
              <w:rPr>
                <w:rFonts w:cs="Times New Roman"/>
                <w:color w:val="000000"/>
                <w:sz w:val="21"/>
                <w:szCs w:val="21"/>
              </w:rPr>
              <w:t>第 1 年</w:t>
            </w:r>
          </w:p>
        </w:tc>
        <w:tc>
          <w:tcPr>
            <w:tcW w:w="303" w:type="pct"/>
            <w:tcBorders>
              <w:top w:val="nil"/>
              <w:left w:val="nil"/>
              <w:bottom w:val="single" w:color="auto" w:sz="4" w:space="0"/>
              <w:right w:val="single" w:color="auto" w:sz="4" w:space="0"/>
            </w:tcBorders>
            <w:shd w:val="clear" w:color="auto" w:fill="auto"/>
            <w:vAlign w:val="center"/>
          </w:tcPr>
          <w:p w14:paraId="6EEF2ECF">
            <w:pPr>
              <w:spacing w:line="240" w:lineRule="auto"/>
              <w:ind w:firstLine="0" w:firstLineChars="0"/>
              <w:jc w:val="center"/>
              <w:rPr>
                <w:rFonts w:cs="Times New Roman"/>
                <w:color w:val="000000"/>
                <w:sz w:val="21"/>
                <w:szCs w:val="21"/>
              </w:rPr>
            </w:pPr>
            <w:r>
              <w:rPr>
                <w:rFonts w:cs="Times New Roman"/>
                <w:color w:val="000000"/>
                <w:sz w:val="21"/>
                <w:szCs w:val="21"/>
              </w:rPr>
              <w:t>第 2 年</w:t>
            </w:r>
          </w:p>
        </w:tc>
        <w:tc>
          <w:tcPr>
            <w:tcW w:w="334" w:type="pct"/>
            <w:gridSpan w:val="2"/>
            <w:tcBorders>
              <w:top w:val="nil"/>
              <w:left w:val="nil"/>
              <w:bottom w:val="single" w:color="auto" w:sz="4" w:space="0"/>
              <w:right w:val="single" w:color="auto" w:sz="4" w:space="0"/>
            </w:tcBorders>
            <w:shd w:val="clear" w:color="auto" w:fill="auto"/>
            <w:vAlign w:val="center"/>
          </w:tcPr>
          <w:p w14:paraId="74B8B54E">
            <w:pPr>
              <w:spacing w:line="240" w:lineRule="auto"/>
              <w:ind w:firstLine="0" w:firstLineChars="0"/>
              <w:jc w:val="center"/>
              <w:rPr>
                <w:rFonts w:cs="Times New Roman"/>
                <w:color w:val="000000"/>
                <w:sz w:val="21"/>
                <w:szCs w:val="21"/>
              </w:rPr>
            </w:pPr>
            <w:r>
              <w:rPr>
                <w:rFonts w:cs="Times New Roman"/>
                <w:color w:val="000000"/>
                <w:sz w:val="21"/>
                <w:szCs w:val="21"/>
              </w:rPr>
              <w:t>第 3 年</w:t>
            </w:r>
          </w:p>
        </w:tc>
        <w:tc>
          <w:tcPr>
            <w:tcW w:w="303" w:type="pct"/>
            <w:tcBorders>
              <w:top w:val="nil"/>
              <w:left w:val="nil"/>
              <w:bottom w:val="single" w:color="auto" w:sz="4" w:space="0"/>
              <w:right w:val="single" w:color="auto" w:sz="4" w:space="0"/>
            </w:tcBorders>
            <w:shd w:val="clear" w:color="auto" w:fill="auto"/>
            <w:vAlign w:val="center"/>
          </w:tcPr>
          <w:p w14:paraId="39712892">
            <w:pPr>
              <w:spacing w:line="240" w:lineRule="auto"/>
              <w:ind w:firstLine="0" w:firstLineChars="0"/>
              <w:jc w:val="center"/>
              <w:rPr>
                <w:rFonts w:cs="Times New Roman"/>
                <w:color w:val="000000"/>
                <w:sz w:val="21"/>
                <w:szCs w:val="21"/>
              </w:rPr>
            </w:pPr>
            <w:r>
              <w:rPr>
                <w:rFonts w:cs="Times New Roman"/>
                <w:color w:val="000000"/>
                <w:sz w:val="21"/>
                <w:szCs w:val="21"/>
              </w:rPr>
              <w:t>第 4 年</w:t>
            </w:r>
          </w:p>
        </w:tc>
        <w:tc>
          <w:tcPr>
            <w:tcW w:w="301" w:type="pct"/>
            <w:tcBorders>
              <w:top w:val="nil"/>
              <w:left w:val="nil"/>
              <w:bottom w:val="single" w:color="auto" w:sz="4" w:space="0"/>
              <w:right w:val="single" w:color="auto" w:sz="4" w:space="0"/>
            </w:tcBorders>
            <w:shd w:val="clear" w:color="auto" w:fill="auto"/>
            <w:vAlign w:val="center"/>
          </w:tcPr>
          <w:p w14:paraId="65720903">
            <w:pPr>
              <w:spacing w:line="240" w:lineRule="auto"/>
              <w:ind w:firstLine="0" w:firstLineChars="0"/>
              <w:jc w:val="center"/>
              <w:rPr>
                <w:rFonts w:cs="Times New Roman"/>
                <w:color w:val="000000"/>
                <w:sz w:val="21"/>
                <w:szCs w:val="21"/>
              </w:rPr>
            </w:pPr>
            <w:r>
              <w:rPr>
                <w:rFonts w:cs="Times New Roman"/>
                <w:color w:val="000000"/>
                <w:sz w:val="21"/>
                <w:szCs w:val="21"/>
              </w:rPr>
              <w:t>第 5 年</w:t>
            </w:r>
          </w:p>
        </w:tc>
      </w:tr>
      <w:tr w14:paraId="0D65A7A1">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521E1713">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589" w:type="pct"/>
            <w:tcBorders>
              <w:top w:val="nil"/>
              <w:left w:val="nil"/>
              <w:bottom w:val="single" w:color="auto" w:sz="4" w:space="0"/>
              <w:right w:val="single" w:color="auto" w:sz="4" w:space="0"/>
            </w:tcBorders>
            <w:shd w:val="clear" w:color="auto" w:fill="auto"/>
            <w:vAlign w:val="center"/>
          </w:tcPr>
          <w:p w14:paraId="0BFB9C1C">
            <w:pPr>
              <w:spacing w:line="240" w:lineRule="auto"/>
              <w:ind w:firstLine="0" w:firstLineChars="0"/>
              <w:jc w:val="center"/>
              <w:rPr>
                <w:rFonts w:cs="Times New Roman"/>
                <w:color w:val="000000"/>
                <w:sz w:val="21"/>
                <w:szCs w:val="21"/>
              </w:rPr>
            </w:pPr>
            <w:r>
              <w:rPr>
                <w:rFonts w:cs="Times New Roman"/>
                <w:color w:val="000000"/>
                <w:sz w:val="21"/>
                <w:szCs w:val="21"/>
              </w:rPr>
              <w:t>地表翻扰型</w:t>
            </w:r>
          </w:p>
        </w:tc>
        <w:tc>
          <w:tcPr>
            <w:tcW w:w="223" w:type="pct"/>
            <w:tcBorders>
              <w:top w:val="nil"/>
              <w:left w:val="nil"/>
              <w:bottom w:val="single" w:color="auto" w:sz="4" w:space="0"/>
              <w:right w:val="single" w:color="auto" w:sz="4" w:space="0"/>
            </w:tcBorders>
            <w:shd w:val="clear" w:color="auto" w:fill="auto"/>
            <w:vAlign w:val="center"/>
          </w:tcPr>
          <w:p w14:paraId="01F9FFAF">
            <w:pPr>
              <w:spacing w:line="240" w:lineRule="auto"/>
              <w:ind w:firstLine="0" w:firstLineChars="0"/>
              <w:jc w:val="center"/>
              <w:rPr>
                <w:rFonts w:cs="Times New Roman"/>
                <w:color w:val="000000"/>
                <w:sz w:val="21"/>
                <w:szCs w:val="21"/>
              </w:rPr>
            </w:pPr>
            <w:r>
              <w:rPr>
                <w:rFonts w:cs="Times New Roman"/>
                <w:color w:val="000000"/>
                <w:sz w:val="21"/>
                <w:szCs w:val="21"/>
              </w:rPr>
              <w:t>Myd</w:t>
            </w:r>
          </w:p>
        </w:tc>
        <w:tc>
          <w:tcPr>
            <w:tcW w:w="865" w:type="pct"/>
            <w:tcBorders>
              <w:top w:val="nil"/>
              <w:left w:val="nil"/>
              <w:bottom w:val="single" w:color="auto" w:sz="4" w:space="0"/>
              <w:right w:val="single" w:color="auto" w:sz="4" w:space="0"/>
            </w:tcBorders>
            <w:shd w:val="clear" w:color="auto" w:fill="auto"/>
            <w:vAlign w:val="center"/>
          </w:tcPr>
          <w:p w14:paraId="447B0D6F">
            <w:pPr>
              <w:spacing w:line="240" w:lineRule="auto"/>
              <w:ind w:firstLine="0" w:firstLineChars="0"/>
              <w:jc w:val="center"/>
              <w:rPr>
                <w:rFonts w:cs="Times New Roman"/>
                <w:color w:val="000000"/>
                <w:sz w:val="21"/>
                <w:szCs w:val="21"/>
              </w:rPr>
            </w:pPr>
            <w:r>
              <w:rPr>
                <w:rFonts w:cs="Times New Roman"/>
                <w:color w:val="000000"/>
                <w:sz w:val="21"/>
                <w:szCs w:val="21"/>
              </w:rPr>
              <w:t>Myd=RKLydSyBET*100</w:t>
            </w:r>
          </w:p>
        </w:tc>
        <w:tc>
          <w:tcPr>
            <w:tcW w:w="302" w:type="pct"/>
            <w:tcBorders>
              <w:top w:val="nil"/>
              <w:left w:val="nil"/>
              <w:bottom w:val="single" w:color="auto" w:sz="4" w:space="0"/>
              <w:right w:val="single" w:color="auto" w:sz="4" w:space="0"/>
            </w:tcBorders>
            <w:shd w:val="clear" w:color="auto" w:fill="auto"/>
            <w:vAlign w:val="center"/>
          </w:tcPr>
          <w:p w14:paraId="6295791A">
            <w:pPr>
              <w:spacing w:line="240" w:lineRule="auto"/>
              <w:ind w:firstLine="0" w:firstLineChars="0"/>
              <w:jc w:val="center"/>
              <w:rPr>
                <w:rFonts w:cs="Times New Roman"/>
                <w:color w:val="000000"/>
                <w:sz w:val="21"/>
                <w:szCs w:val="21"/>
              </w:rPr>
            </w:pPr>
            <w:r>
              <w:rPr>
                <w:rFonts w:cs="Times New Roman"/>
                <w:color w:val="000000"/>
                <w:sz w:val="20"/>
                <w:szCs w:val="20"/>
              </w:rPr>
              <w:t xml:space="preserve">2713 </w:t>
            </w:r>
          </w:p>
        </w:tc>
        <w:tc>
          <w:tcPr>
            <w:tcW w:w="333" w:type="pct"/>
            <w:gridSpan w:val="2"/>
            <w:tcBorders>
              <w:top w:val="nil"/>
              <w:left w:val="nil"/>
              <w:bottom w:val="single" w:color="auto" w:sz="4" w:space="0"/>
              <w:right w:val="single" w:color="auto" w:sz="4" w:space="0"/>
            </w:tcBorders>
            <w:shd w:val="clear" w:color="auto" w:fill="auto"/>
            <w:vAlign w:val="center"/>
          </w:tcPr>
          <w:p w14:paraId="778E70C4">
            <w:pPr>
              <w:spacing w:line="240" w:lineRule="auto"/>
              <w:ind w:firstLine="0" w:firstLineChars="0"/>
              <w:jc w:val="center"/>
              <w:rPr>
                <w:rFonts w:cs="Times New Roman"/>
                <w:color w:val="000000"/>
                <w:sz w:val="21"/>
                <w:szCs w:val="21"/>
              </w:rPr>
            </w:pPr>
            <w:r>
              <w:rPr>
                <w:rFonts w:cs="Times New Roman"/>
                <w:color w:val="000000"/>
                <w:sz w:val="20"/>
                <w:szCs w:val="20"/>
              </w:rPr>
              <w:t xml:space="preserve">1853 </w:t>
            </w:r>
          </w:p>
        </w:tc>
        <w:tc>
          <w:tcPr>
            <w:tcW w:w="302" w:type="pct"/>
            <w:tcBorders>
              <w:top w:val="nil"/>
              <w:left w:val="nil"/>
              <w:bottom w:val="single" w:color="auto" w:sz="4" w:space="0"/>
              <w:right w:val="single" w:color="auto" w:sz="4" w:space="0"/>
            </w:tcBorders>
            <w:shd w:val="clear" w:color="auto" w:fill="auto"/>
            <w:vAlign w:val="center"/>
          </w:tcPr>
          <w:p w14:paraId="4F8AC0D2">
            <w:pPr>
              <w:spacing w:line="240" w:lineRule="auto"/>
              <w:ind w:firstLine="0" w:firstLineChars="0"/>
              <w:jc w:val="center"/>
              <w:rPr>
                <w:rFonts w:cs="Times New Roman"/>
                <w:color w:val="000000"/>
                <w:sz w:val="21"/>
                <w:szCs w:val="21"/>
              </w:rPr>
            </w:pPr>
            <w:r>
              <w:rPr>
                <w:rFonts w:cs="Times New Roman"/>
                <w:color w:val="000000"/>
                <w:sz w:val="20"/>
                <w:szCs w:val="20"/>
              </w:rPr>
              <w:t xml:space="preserve">1187 </w:t>
            </w:r>
          </w:p>
        </w:tc>
        <w:tc>
          <w:tcPr>
            <w:tcW w:w="333" w:type="pct"/>
            <w:gridSpan w:val="2"/>
            <w:tcBorders>
              <w:top w:val="nil"/>
              <w:left w:val="nil"/>
              <w:bottom w:val="single" w:color="auto" w:sz="4" w:space="0"/>
              <w:right w:val="single" w:color="auto" w:sz="4" w:space="0"/>
            </w:tcBorders>
            <w:shd w:val="clear" w:color="auto" w:fill="auto"/>
            <w:vAlign w:val="center"/>
          </w:tcPr>
          <w:p w14:paraId="416A3E82">
            <w:pPr>
              <w:spacing w:line="240" w:lineRule="auto"/>
              <w:ind w:firstLine="0" w:firstLineChars="0"/>
              <w:jc w:val="center"/>
              <w:rPr>
                <w:rFonts w:cs="Times New Roman"/>
                <w:color w:val="000000"/>
                <w:sz w:val="21"/>
                <w:szCs w:val="21"/>
              </w:rPr>
            </w:pPr>
            <w:r>
              <w:rPr>
                <w:rFonts w:cs="Times New Roman"/>
                <w:color w:val="000000"/>
                <w:sz w:val="20"/>
                <w:szCs w:val="20"/>
              </w:rPr>
              <w:t xml:space="preserve">891 </w:t>
            </w:r>
          </w:p>
        </w:tc>
        <w:tc>
          <w:tcPr>
            <w:tcW w:w="302" w:type="pct"/>
            <w:tcBorders>
              <w:top w:val="nil"/>
              <w:left w:val="nil"/>
              <w:bottom w:val="single" w:color="auto" w:sz="4" w:space="0"/>
              <w:right w:val="single" w:color="auto" w:sz="4" w:space="0"/>
            </w:tcBorders>
            <w:shd w:val="clear" w:color="auto" w:fill="auto"/>
            <w:vAlign w:val="center"/>
          </w:tcPr>
          <w:p w14:paraId="38B1836C">
            <w:pPr>
              <w:spacing w:line="240" w:lineRule="auto"/>
              <w:ind w:firstLine="0" w:firstLineChars="0"/>
              <w:jc w:val="center"/>
              <w:rPr>
                <w:rFonts w:cs="Times New Roman"/>
                <w:color w:val="000000"/>
                <w:sz w:val="21"/>
                <w:szCs w:val="21"/>
              </w:rPr>
            </w:pPr>
            <w:r>
              <w:rPr>
                <w:rFonts w:cs="Times New Roman"/>
                <w:color w:val="000000"/>
                <w:sz w:val="20"/>
                <w:szCs w:val="20"/>
              </w:rPr>
              <w:t xml:space="preserve">609 </w:t>
            </w:r>
          </w:p>
        </w:tc>
        <w:tc>
          <w:tcPr>
            <w:tcW w:w="333" w:type="pct"/>
            <w:gridSpan w:val="2"/>
            <w:tcBorders>
              <w:top w:val="nil"/>
              <w:left w:val="nil"/>
              <w:bottom w:val="single" w:color="auto" w:sz="4" w:space="0"/>
              <w:right w:val="single" w:color="auto" w:sz="4" w:space="0"/>
            </w:tcBorders>
            <w:shd w:val="clear" w:color="auto" w:fill="auto"/>
            <w:vAlign w:val="center"/>
          </w:tcPr>
          <w:p w14:paraId="514EC142">
            <w:pPr>
              <w:spacing w:line="240" w:lineRule="auto"/>
              <w:ind w:firstLine="0" w:firstLineChars="0"/>
              <w:jc w:val="center"/>
              <w:rPr>
                <w:rFonts w:cs="Times New Roman"/>
                <w:color w:val="000000"/>
                <w:sz w:val="21"/>
                <w:szCs w:val="21"/>
              </w:rPr>
            </w:pPr>
            <w:r>
              <w:rPr>
                <w:rFonts w:cs="Times New Roman"/>
                <w:color w:val="000000"/>
                <w:sz w:val="20"/>
                <w:szCs w:val="20"/>
              </w:rPr>
              <w:t xml:space="preserve">2190 </w:t>
            </w:r>
          </w:p>
        </w:tc>
        <w:tc>
          <w:tcPr>
            <w:tcW w:w="303" w:type="pct"/>
            <w:tcBorders>
              <w:top w:val="nil"/>
              <w:left w:val="nil"/>
              <w:bottom w:val="single" w:color="auto" w:sz="4" w:space="0"/>
              <w:right w:val="single" w:color="auto" w:sz="4" w:space="0"/>
            </w:tcBorders>
            <w:shd w:val="clear" w:color="auto" w:fill="auto"/>
            <w:vAlign w:val="center"/>
          </w:tcPr>
          <w:p w14:paraId="08287091">
            <w:pPr>
              <w:spacing w:line="240" w:lineRule="auto"/>
              <w:ind w:firstLine="0" w:firstLineChars="0"/>
              <w:jc w:val="center"/>
              <w:rPr>
                <w:rFonts w:cs="Times New Roman"/>
                <w:color w:val="000000"/>
                <w:sz w:val="21"/>
                <w:szCs w:val="21"/>
              </w:rPr>
            </w:pPr>
            <w:r>
              <w:rPr>
                <w:rFonts w:cs="Times New Roman"/>
                <w:color w:val="000000"/>
                <w:sz w:val="20"/>
                <w:szCs w:val="20"/>
              </w:rPr>
              <w:t xml:space="preserve">1496 </w:t>
            </w:r>
          </w:p>
        </w:tc>
        <w:tc>
          <w:tcPr>
            <w:tcW w:w="334" w:type="pct"/>
            <w:gridSpan w:val="2"/>
            <w:tcBorders>
              <w:top w:val="nil"/>
              <w:left w:val="nil"/>
              <w:bottom w:val="single" w:color="auto" w:sz="4" w:space="0"/>
              <w:right w:val="single" w:color="auto" w:sz="4" w:space="0"/>
            </w:tcBorders>
            <w:shd w:val="clear" w:color="auto" w:fill="auto"/>
            <w:vAlign w:val="center"/>
          </w:tcPr>
          <w:p w14:paraId="7DC8BFFA">
            <w:pPr>
              <w:spacing w:line="240" w:lineRule="auto"/>
              <w:ind w:firstLine="0" w:firstLineChars="0"/>
              <w:jc w:val="center"/>
              <w:rPr>
                <w:rFonts w:cs="Times New Roman"/>
                <w:color w:val="000000"/>
                <w:sz w:val="21"/>
                <w:szCs w:val="21"/>
              </w:rPr>
            </w:pPr>
            <w:r>
              <w:rPr>
                <w:rFonts w:cs="Times New Roman"/>
                <w:color w:val="000000"/>
                <w:sz w:val="20"/>
                <w:szCs w:val="20"/>
              </w:rPr>
              <w:t xml:space="preserve">958 </w:t>
            </w:r>
          </w:p>
        </w:tc>
        <w:tc>
          <w:tcPr>
            <w:tcW w:w="303" w:type="pct"/>
            <w:tcBorders>
              <w:top w:val="nil"/>
              <w:left w:val="nil"/>
              <w:bottom w:val="single" w:color="auto" w:sz="4" w:space="0"/>
              <w:right w:val="single" w:color="auto" w:sz="4" w:space="0"/>
            </w:tcBorders>
            <w:shd w:val="clear" w:color="auto" w:fill="auto"/>
            <w:vAlign w:val="center"/>
          </w:tcPr>
          <w:p w14:paraId="229834DD">
            <w:pPr>
              <w:spacing w:line="240" w:lineRule="auto"/>
              <w:ind w:firstLine="0" w:firstLineChars="0"/>
              <w:jc w:val="center"/>
              <w:rPr>
                <w:rFonts w:cs="Times New Roman"/>
                <w:color w:val="000000"/>
                <w:sz w:val="21"/>
                <w:szCs w:val="21"/>
              </w:rPr>
            </w:pPr>
            <w:r>
              <w:rPr>
                <w:rFonts w:cs="Times New Roman"/>
                <w:color w:val="000000"/>
                <w:sz w:val="20"/>
                <w:szCs w:val="20"/>
              </w:rPr>
              <w:t xml:space="preserve">719 </w:t>
            </w:r>
          </w:p>
        </w:tc>
        <w:tc>
          <w:tcPr>
            <w:tcW w:w="301" w:type="pct"/>
            <w:tcBorders>
              <w:top w:val="nil"/>
              <w:left w:val="nil"/>
              <w:bottom w:val="single" w:color="auto" w:sz="4" w:space="0"/>
              <w:right w:val="single" w:color="auto" w:sz="4" w:space="0"/>
            </w:tcBorders>
            <w:shd w:val="clear" w:color="auto" w:fill="auto"/>
            <w:vAlign w:val="center"/>
          </w:tcPr>
          <w:p w14:paraId="3F63B693">
            <w:pPr>
              <w:spacing w:line="240" w:lineRule="auto"/>
              <w:ind w:firstLine="0" w:firstLineChars="0"/>
              <w:jc w:val="center"/>
              <w:rPr>
                <w:rFonts w:cs="Times New Roman"/>
                <w:color w:val="000000"/>
                <w:sz w:val="21"/>
                <w:szCs w:val="21"/>
              </w:rPr>
            </w:pPr>
            <w:r>
              <w:rPr>
                <w:rFonts w:cs="Times New Roman"/>
                <w:color w:val="000000"/>
                <w:sz w:val="20"/>
                <w:szCs w:val="20"/>
              </w:rPr>
              <w:t xml:space="preserve">492 </w:t>
            </w:r>
          </w:p>
        </w:tc>
      </w:tr>
      <w:tr w14:paraId="770AE986">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3A053468">
            <w:pPr>
              <w:spacing w:line="240" w:lineRule="auto"/>
              <w:ind w:firstLine="0" w:firstLineChars="0"/>
              <w:jc w:val="center"/>
              <w:rPr>
                <w:rFonts w:cs="Times New Roman"/>
                <w:color w:val="000000"/>
                <w:sz w:val="21"/>
                <w:szCs w:val="21"/>
              </w:rPr>
            </w:pPr>
            <w:r>
              <w:rPr>
                <w:rFonts w:cs="Times New Roman"/>
                <w:color w:val="000000"/>
                <w:sz w:val="21"/>
                <w:szCs w:val="21"/>
              </w:rPr>
              <w:t>2</w:t>
            </w:r>
          </w:p>
        </w:tc>
        <w:tc>
          <w:tcPr>
            <w:tcW w:w="589" w:type="pct"/>
            <w:tcBorders>
              <w:top w:val="nil"/>
              <w:left w:val="nil"/>
              <w:bottom w:val="single" w:color="auto" w:sz="4" w:space="0"/>
              <w:right w:val="single" w:color="auto" w:sz="4" w:space="0"/>
            </w:tcBorders>
            <w:shd w:val="clear" w:color="auto" w:fill="auto"/>
            <w:vAlign w:val="center"/>
          </w:tcPr>
          <w:p w14:paraId="7EF65B7A">
            <w:pPr>
              <w:spacing w:line="240" w:lineRule="auto"/>
              <w:ind w:firstLine="0" w:firstLineChars="0"/>
              <w:jc w:val="center"/>
              <w:rPr>
                <w:rFonts w:cs="Times New Roman"/>
                <w:color w:val="000000"/>
                <w:sz w:val="21"/>
                <w:szCs w:val="21"/>
              </w:rPr>
            </w:pPr>
            <w:r>
              <w:rPr>
                <w:rFonts w:cs="Times New Roman"/>
                <w:color w:val="000000"/>
                <w:sz w:val="21"/>
                <w:szCs w:val="21"/>
              </w:rPr>
              <w:t>降雨侵蚀力因子</w:t>
            </w:r>
          </w:p>
        </w:tc>
        <w:tc>
          <w:tcPr>
            <w:tcW w:w="223" w:type="pct"/>
            <w:tcBorders>
              <w:top w:val="nil"/>
              <w:left w:val="nil"/>
              <w:bottom w:val="single" w:color="auto" w:sz="4" w:space="0"/>
              <w:right w:val="single" w:color="auto" w:sz="4" w:space="0"/>
            </w:tcBorders>
            <w:shd w:val="clear" w:color="auto" w:fill="auto"/>
            <w:vAlign w:val="center"/>
          </w:tcPr>
          <w:p w14:paraId="21B83003">
            <w:pPr>
              <w:spacing w:line="240" w:lineRule="auto"/>
              <w:ind w:firstLine="0" w:firstLineChars="0"/>
              <w:jc w:val="center"/>
              <w:rPr>
                <w:rFonts w:cs="Times New Roman"/>
                <w:color w:val="000000"/>
                <w:sz w:val="21"/>
                <w:szCs w:val="21"/>
              </w:rPr>
            </w:pPr>
            <w:r>
              <w:rPr>
                <w:rFonts w:cs="Times New Roman"/>
                <w:color w:val="000000"/>
                <w:sz w:val="21"/>
                <w:szCs w:val="21"/>
              </w:rPr>
              <w:t>R</w:t>
            </w:r>
          </w:p>
        </w:tc>
        <w:tc>
          <w:tcPr>
            <w:tcW w:w="865" w:type="pct"/>
            <w:tcBorders>
              <w:top w:val="nil"/>
              <w:left w:val="nil"/>
              <w:bottom w:val="single" w:color="auto" w:sz="4" w:space="0"/>
              <w:right w:val="single" w:color="auto" w:sz="4" w:space="0"/>
            </w:tcBorders>
            <w:shd w:val="clear" w:color="auto" w:fill="auto"/>
            <w:vAlign w:val="center"/>
          </w:tcPr>
          <w:p w14:paraId="313AAE10">
            <w:pPr>
              <w:spacing w:line="240" w:lineRule="auto"/>
              <w:ind w:firstLine="0" w:firstLineChars="0"/>
              <w:jc w:val="center"/>
              <w:rPr>
                <w:rFonts w:cs="Times New Roman"/>
                <w:color w:val="000000"/>
                <w:sz w:val="21"/>
                <w:szCs w:val="21"/>
              </w:rPr>
            </w:pPr>
            <w:r>
              <w:rPr>
                <w:rFonts w:cs="Times New Roman"/>
                <w:color w:val="000000"/>
                <w:sz w:val="21"/>
                <w:szCs w:val="21"/>
              </w:rPr>
              <w:t>R=0.067pd1.627</w:t>
            </w:r>
          </w:p>
        </w:tc>
        <w:tc>
          <w:tcPr>
            <w:tcW w:w="302" w:type="pct"/>
            <w:tcBorders>
              <w:top w:val="nil"/>
              <w:left w:val="nil"/>
              <w:bottom w:val="single" w:color="auto" w:sz="4" w:space="0"/>
              <w:right w:val="single" w:color="auto" w:sz="4" w:space="0"/>
            </w:tcBorders>
            <w:shd w:val="clear" w:color="auto" w:fill="auto"/>
            <w:vAlign w:val="center"/>
          </w:tcPr>
          <w:p w14:paraId="289EBEDA">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333" w:type="pct"/>
            <w:gridSpan w:val="2"/>
            <w:tcBorders>
              <w:top w:val="nil"/>
              <w:left w:val="nil"/>
              <w:bottom w:val="single" w:color="auto" w:sz="4" w:space="0"/>
              <w:right w:val="single" w:color="auto" w:sz="4" w:space="0"/>
            </w:tcBorders>
            <w:shd w:val="clear" w:color="auto" w:fill="auto"/>
            <w:vAlign w:val="center"/>
          </w:tcPr>
          <w:p w14:paraId="4E8F9328">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302" w:type="pct"/>
            <w:tcBorders>
              <w:top w:val="nil"/>
              <w:left w:val="nil"/>
              <w:bottom w:val="single" w:color="auto" w:sz="4" w:space="0"/>
              <w:right w:val="single" w:color="auto" w:sz="4" w:space="0"/>
            </w:tcBorders>
            <w:shd w:val="clear" w:color="auto" w:fill="auto"/>
            <w:vAlign w:val="center"/>
          </w:tcPr>
          <w:p w14:paraId="78B2704E">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333" w:type="pct"/>
            <w:gridSpan w:val="2"/>
            <w:tcBorders>
              <w:top w:val="nil"/>
              <w:left w:val="nil"/>
              <w:bottom w:val="single" w:color="auto" w:sz="4" w:space="0"/>
              <w:right w:val="single" w:color="auto" w:sz="4" w:space="0"/>
            </w:tcBorders>
            <w:shd w:val="clear" w:color="auto" w:fill="auto"/>
            <w:vAlign w:val="center"/>
          </w:tcPr>
          <w:p w14:paraId="7387421F">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302" w:type="pct"/>
            <w:tcBorders>
              <w:top w:val="nil"/>
              <w:left w:val="nil"/>
              <w:bottom w:val="single" w:color="auto" w:sz="4" w:space="0"/>
              <w:right w:val="single" w:color="auto" w:sz="4" w:space="0"/>
            </w:tcBorders>
            <w:shd w:val="clear" w:color="auto" w:fill="auto"/>
            <w:vAlign w:val="center"/>
          </w:tcPr>
          <w:p w14:paraId="7BCAE557">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333" w:type="pct"/>
            <w:gridSpan w:val="2"/>
            <w:tcBorders>
              <w:top w:val="nil"/>
              <w:left w:val="nil"/>
              <w:bottom w:val="single" w:color="auto" w:sz="4" w:space="0"/>
              <w:right w:val="single" w:color="auto" w:sz="4" w:space="0"/>
            </w:tcBorders>
            <w:shd w:val="clear" w:color="auto" w:fill="auto"/>
            <w:vAlign w:val="center"/>
          </w:tcPr>
          <w:p w14:paraId="2D2474F1">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303" w:type="pct"/>
            <w:tcBorders>
              <w:top w:val="nil"/>
              <w:left w:val="nil"/>
              <w:bottom w:val="single" w:color="auto" w:sz="4" w:space="0"/>
              <w:right w:val="single" w:color="auto" w:sz="4" w:space="0"/>
            </w:tcBorders>
            <w:shd w:val="clear" w:color="auto" w:fill="auto"/>
            <w:vAlign w:val="center"/>
          </w:tcPr>
          <w:p w14:paraId="5A2728DF">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334" w:type="pct"/>
            <w:gridSpan w:val="2"/>
            <w:tcBorders>
              <w:top w:val="nil"/>
              <w:left w:val="nil"/>
              <w:bottom w:val="single" w:color="auto" w:sz="4" w:space="0"/>
              <w:right w:val="single" w:color="auto" w:sz="4" w:space="0"/>
            </w:tcBorders>
            <w:shd w:val="clear" w:color="auto" w:fill="auto"/>
            <w:vAlign w:val="center"/>
          </w:tcPr>
          <w:p w14:paraId="64BF3ADA">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303" w:type="pct"/>
            <w:tcBorders>
              <w:top w:val="nil"/>
              <w:left w:val="nil"/>
              <w:bottom w:val="single" w:color="auto" w:sz="4" w:space="0"/>
              <w:right w:val="single" w:color="auto" w:sz="4" w:space="0"/>
            </w:tcBorders>
            <w:shd w:val="clear" w:color="auto" w:fill="auto"/>
            <w:vAlign w:val="center"/>
          </w:tcPr>
          <w:p w14:paraId="0C9F034C">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301" w:type="pct"/>
            <w:tcBorders>
              <w:top w:val="nil"/>
              <w:left w:val="nil"/>
              <w:bottom w:val="single" w:color="auto" w:sz="4" w:space="0"/>
              <w:right w:val="single" w:color="auto" w:sz="4" w:space="0"/>
            </w:tcBorders>
            <w:shd w:val="clear" w:color="auto" w:fill="auto"/>
            <w:vAlign w:val="center"/>
          </w:tcPr>
          <w:p w14:paraId="2AB5D6E9">
            <w:pPr>
              <w:spacing w:line="240" w:lineRule="auto"/>
              <w:ind w:firstLine="0" w:firstLineChars="0"/>
              <w:jc w:val="center"/>
              <w:rPr>
                <w:rFonts w:cs="Times New Roman"/>
                <w:color w:val="000000"/>
                <w:sz w:val="21"/>
                <w:szCs w:val="21"/>
              </w:rPr>
            </w:pPr>
            <w:r>
              <w:rPr>
                <w:rFonts w:cs="Times New Roman"/>
                <w:color w:val="000000"/>
                <w:sz w:val="20"/>
                <w:szCs w:val="20"/>
              </w:rPr>
              <w:t>757</w:t>
            </w:r>
          </w:p>
        </w:tc>
      </w:tr>
      <w:tr w14:paraId="725D5CCE">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2D08FFBD">
            <w:pPr>
              <w:spacing w:line="240" w:lineRule="auto"/>
              <w:ind w:firstLine="0" w:firstLineChars="0"/>
              <w:jc w:val="center"/>
              <w:rPr>
                <w:rFonts w:cs="Times New Roman"/>
                <w:color w:val="000000"/>
                <w:sz w:val="21"/>
                <w:szCs w:val="21"/>
              </w:rPr>
            </w:pPr>
            <w:r>
              <w:rPr>
                <w:rFonts w:cs="Times New Roman"/>
                <w:color w:val="000000"/>
                <w:sz w:val="21"/>
                <w:szCs w:val="21"/>
              </w:rPr>
              <w:t>3</w:t>
            </w:r>
          </w:p>
        </w:tc>
        <w:tc>
          <w:tcPr>
            <w:tcW w:w="589" w:type="pct"/>
            <w:tcBorders>
              <w:top w:val="nil"/>
              <w:left w:val="nil"/>
              <w:bottom w:val="single" w:color="auto" w:sz="4" w:space="0"/>
              <w:right w:val="single" w:color="auto" w:sz="4" w:space="0"/>
            </w:tcBorders>
            <w:shd w:val="clear" w:color="auto" w:fill="auto"/>
            <w:vAlign w:val="center"/>
          </w:tcPr>
          <w:p w14:paraId="21C9CBC3">
            <w:pPr>
              <w:spacing w:line="240" w:lineRule="auto"/>
              <w:ind w:firstLine="0" w:firstLineChars="0"/>
              <w:jc w:val="center"/>
              <w:rPr>
                <w:rFonts w:cs="Times New Roman"/>
                <w:color w:val="000000"/>
                <w:sz w:val="21"/>
                <w:szCs w:val="21"/>
              </w:rPr>
            </w:pPr>
            <w:r>
              <w:rPr>
                <w:rFonts w:cs="Times New Roman"/>
                <w:color w:val="000000"/>
                <w:sz w:val="21"/>
                <w:szCs w:val="21"/>
              </w:rPr>
              <w:t>地表翻扰后土壤可蚀性因子</w:t>
            </w:r>
          </w:p>
        </w:tc>
        <w:tc>
          <w:tcPr>
            <w:tcW w:w="223" w:type="pct"/>
            <w:tcBorders>
              <w:top w:val="nil"/>
              <w:left w:val="nil"/>
              <w:bottom w:val="single" w:color="auto" w:sz="4" w:space="0"/>
              <w:right w:val="single" w:color="auto" w:sz="4" w:space="0"/>
            </w:tcBorders>
            <w:shd w:val="clear" w:color="auto" w:fill="auto"/>
            <w:vAlign w:val="center"/>
          </w:tcPr>
          <w:p w14:paraId="015B0EE0">
            <w:pPr>
              <w:spacing w:line="240" w:lineRule="auto"/>
              <w:ind w:firstLine="0" w:firstLineChars="0"/>
              <w:jc w:val="center"/>
              <w:rPr>
                <w:rFonts w:cs="Times New Roman"/>
                <w:color w:val="000000"/>
                <w:sz w:val="21"/>
                <w:szCs w:val="21"/>
              </w:rPr>
            </w:pPr>
            <w:r>
              <w:rPr>
                <w:rFonts w:cs="Times New Roman"/>
                <w:color w:val="000000"/>
                <w:sz w:val="21"/>
                <w:szCs w:val="21"/>
              </w:rPr>
              <w:t>Kyd</w:t>
            </w:r>
          </w:p>
        </w:tc>
        <w:tc>
          <w:tcPr>
            <w:tcW w:w="865" w:type="pct"/>
            <w:tcBorders>
              <w:top w:val="nil"/>
              <w:left w:val="nil"/>
              <w:bottom w:val="single" w:color="auto" w:sz="4" w:space="0"/>
              <w:right w:val="single" w:color="auto" w:sz="4" w:space="0"/>
            </w:tcBorders>
            <w:shd w:val="clear" w:color="auto" w:fill="auto"/>
            <w:vAlign w:val="center"/>
          </w:tcPr>
          <w:p w14:paraId="61CBC162">
            <w:pPr>
              <w:spacing w:line="240" w:lineRule="auto"/>
              <w:ind w:firstLine="0" w:firstLineChars="0"/>
              <w:jc w:val="center"/>
              <w:rPr>
                <w:rFonts w:cs="Times New Roman"/>
                <w:color w:val="000000"/>
                <w:sz w:val="21"/>
                <w:szCs w:val="21"/>
              </w:rPr>
            </w:pPr>
            <w:r>
              <w:rPr>
                <w:rFonts w:cs="Times New Roman"/>
                <w:color w:val="000000"/>
                <w:sz w:val="21"/>
                <w:szCs w:val="21"/>
              </w:rPr>
              <w:t>Kyd=NK</w:t>
            </w:r>
          </w:p>
        </w:tc>
        <w:tc>
          <w:tcPr>
            <w:tcW w:w="302" w:type="pct"/>
            <w:tcBorders>
              <w:top w:val="nil"/>
              <w:left w:val="nil"/>
              <w:bottom w:val="single" w:color="auto" w:sz="4" w:space="0"/>
              <w:right w:val="single" w:color="auto" w:sz="4" w:space="0"/>
            </w:tcBorders>
            <w:shd w:val="clear" w:color="auto" w:fill="auto"/>
            <w:vAlign w:val="center"/>
          </w:tcPr>
          <w:p w14:paraId="543D78AC">
            <w:pPr>
              <w:spacing w:line="240" w:lineRule="auto"/>
              <w:ind w:firstLine="0" w:firstLineChars="0"/>
              <w:jc w:val="center"/>
              <w:rPr>
                <w:rFonts w:cs="Times New Roman"/>
                <w:color w:val="000000"/>
                <w:sz w:val="21"/>
                <w:szCs w:val="21"/>
              </w:rPr>
            </w:pPr>
            <w:r>
              <w:rPr>
                <w:rFonts w:cs="Times New Roman"/>
                <w:color w:val="000000"/>
                <w:sz w:val="20"/>
                <w:szCs w:val="20"/>
              </w:rPr>
              <w:t xml:space="preserve">0.037 </w:t>
            </w:r>
          </w:p>
        </w:tc>
        <w:tc>
          <w:tcPr>
            <w:tcW w:w="333" w:type="pct"/>
            <w:gridSpan w:val="2"/>
            <w:tcBorders>
              <w:top w:val="nil"/>
              <w:left w:val="nil"/>
              <w:bottom w:val="single" w:color="auto" w:sz="4" w:space="0"/>
              <w:right w:val="single" w:color="auto" w:sz="4" w:space="0"/>
            </w:tcBorders>
            <w:shd w:val="clear" w:color="auto" w:fill="auto"/>
            <w:vAlign w:val="center"/>
          </w:tcPr>
          <w:p w14:paraId="14C47B8B">
            <w:pPr>
              <w:spacing w:line="240" w:lineRule="auto"/>
              <w:ind w:firstLine="0" w:firstLineChars="0"/>
              <w:jc w:val="center"/>
              <w:rPr>
                <w:rFonts w:cs="Times New Roman"/>
                <w:color w:val="000000"/>
                <w:sz w:val="21"/>
                <w:szCs w:val="21"/>
              </w:rPr>
            </w:pPr>
            <w:r>
              <w:rPr>
                <w:rFonts w:cs="Times New Roman"/>
                <w:color w:val="000000"/>
                <w:sz w:val="20"/>
                <w:szCs w:val="20"/>
              </w:rPr>
              <w:t xml:space="preserve">0.031 </w:t>
            </w:r>
          </w:p>
        </w:tc>
        <w:tc>
          <w:tcPr>
            <w:tcW w:w="302" w:type="pct"/>
            <w:tcBorders>
              <w:top w:val="nil"/>
              <w:left w:val="nil"/>
              <w:bottom w:val="single" w:color="auto" w:sz="4" w:space="0"/>
              <w:right w:val="single" w:color="auto" w:sz="4" w:space="0"/>
            </w:tcBorders>
            <w:shd w:val="clear" w:color="auto" w:fill="auto"/>
            <w:vAlign w:val="center"/>
          </w:tcPr>
          <w:p w14:paraId="754E542B">
            <w:pPr>
              <w:spacing w:line="240" w:lineRule="auto"/>
              <w:ind w:firstLine="0" w:firstLineChars="0"/>
              <w:jc w:val="center"/>
              <w:rPr>
                <w:rFonts w:cs="Times New Roman"/>
                <w:color w:val="000000"/>
                <w:sz w:val="21"/>
                <w:szCs w:val="21"/>
              </w:rPr>
            </w:pPr>
            <w:r>
              <w:rPr>
                <w:rFonts w:cs="Times New Roman"/>
                <w:color w:val="000000"/>
                <w:sz w:val="20"/>
                <w:szCs w:val="20"/>
              </w:rPr>
              <w:t xml:space="preserve">0.026 </w:t>
            </w:r>
          </w:p>
        </w:tc>
        <w:tc>
          <w:tcPr>
            <w:tcW w:w="333" w:type="pct"/>
            <w:gridSpan w:val="2"/>
            <w:tcBorders>
              <w:top w:val="nil"/>
              <w:left w:val="nil"/>
              <w:bottom w:val="single" w:color="auto" w:sz="4" w:space="0"/>
              <w:right w:val="single" w:color="auto" w:sz="4" w:space="0"/>
            </w:tcBorders>
            <w:shd w:val="clear" w:color="auto" w:fill="auto"/>
            <w:vAlign w:val="center"/>
          </w:tcPr>
          <w:p w14:paraId="3CB16723">
            <w:pPr>
              <w:spacing w:line="240" w:lineRule="auto"/>
              <w:ind w:firstLine="0" w:firstLineChars="0"/>
              <w:jc w:val="center"/>
              <w:rPr>
                <w:rFonts w:cs="Times New Roman"/>
                <w:color w:val="000000"/>
                <w:sz w:val="21"/>
                <w:szCs w:val="21"/>
              </w:rPr>
            </w:pPr>
            <w:r>
              <w:rPr>
                <w:rFonts w:cs="Times New Roman"/>
                <w:color w:val="000000"/>
                <w:sz w:val="20"/>
                <w:szCs w:val="20"/>
              </w:rPr>
              <w:t xml:space="preserve">0.021 </w:t>
            </w:r>
          </w:p>
        </w:tc>
        <w:tc>
          <w:tcPr>
            <w:tcW w:w="302" w:type="pct"/>
            <w:tcBorders>
              <w:top w:val="nil"/>
              <w:left w:val="nil"/>
              <w:bottom w:val="single" w:color="auto" w:sz="4" w:space="0"/>
              <w:right w:val="single" w:color="auto" w:sz="4" w:space="0"/>
            </w:tcBorders>
            <w:shd w:val="clear" w:color="auto" w:fill="auto"/>
            <w:vAlign w:val="center"/>
          </w:tcPr>
          <w:p w14:paraId="5F65B8CA">
            <w:pPr>
              <w:spacing w:line="240" w:lineRule="auto"/>
              <w:ind w:firstLine="0" w:firstLineChars="0"/>
              <w:jc w:val="center"/>
              <w:rPr>
                <w:rFonts w:cs="Times New Roman"/>
                <w:color w:val="000000"/>
                <w:sz w:val="21"/>
                <w:szCs w:val="21"/>
              </w:rPr>
            </w:pPr>
            <w:r>
              <w:rPr>
                <w:rFonts w:cs="Times New Roman"/>
                <w:color w:val="000000"/>
                <w:sz w:val="20"/>
                <w:szCs w:val="20"/>
              </w:rPr>
              <w:t xml:space="preserve">0.018 </w:t>
            </w:r>
          </w:p>
        </w:tc>
        <w:tc>
          <w:tcPr>
            <w:tcW w:w="333" w:type="pct"/>
            <w:gridSpan w:val="2"/>
            <w:tcBorders>
              <w:top w:val="nil"/>
              <w:left w:val="nil"/>
              <w:bottom w:val="single" w:color="auto" w:sz="4" w:space="0"/>
              <w:right w:val="single" w:color="auto" w:sz="4" w:space="0"/>
            </w:tcBorders>
            <w:shd w:val="clear" w:color="auto" w:fill="auto"/>
            <w:vAlign w:val="center"/>
          </w:tcPr>
          <w:p w14:paraId="12DCCEC9">
            <w:pPr>
              <w:spacing w:line="240" w:lineRule="auto"/>
              <w:ind w:firstLine="0" w:firstLineChars="0"/>
              <w:jc w:val="center"/>
              <w:rPr>
                <w:rFonts w:cs="Times New Roman"/>
                <w:color w:val="000000"/>
                <w:sz w:val="21"/>
                <w:szCs w:val="21"/>
              </w:rPr>
            </w:pPr>
            <w:r>
              <w:rPr>
                <w:rFonts w:cs="Times New Roman"/>
                <w:color w:val="000000"/>
                <w:sz w:val="20"/>
                <w:szCs w:val="20"/>
              </w:rPr>
              <w:t xml:space="preserve">0.037 </w:t>
            </w:r>
          </w:p>
        </w:tc>
        <w:tc>
          <w:tcPr>
            <w:tcW w:w="303" w:type="pct"/>
            <w:tcBorders>
              <w:top w:val="nil"/>
              <w:left w:val="nil"/>
              <w:bottom w:val="single" w:color="auto" w:sz="4" w:space="0"/>
              <w:right w:val="single" w:color="auto" w:sz="4" w:space="0"/>
            </w:tcBorders>
            <w:shd w:val="clear" w:color="auto" w:fill="auto"/>
            <w:vAlign w:val="center"/>
          </w:tcPr>
          <w:p w14:paraId="055B3BD1">
            <w:pPr>
              <w:spacing w:line="240" w:lineRule="auto"/>
              <w:ind w:firstLine="0" w:firstLineChars="0"/>
              <w:jc w:val="center"/>
              <w:rPr>
                <w:rFonts w:cs="Times New Roman"/>
                <w:color w:val="000000"/>
                <w:sz w:val="21"/>
                <w:szCs w:val="21"/>
              </w:rPr>
            </w:pPr>
            <w:r>
              <w:rPr>
                <w:rFonts w:cs="Times New Roman"/>
                <w:color w:val="000000"/>
                <w:sz w:val="20"/>
                <w:szCs w:val="20"/>
              </w:rPr>
              <w:t xml:space="preserve">0.031 </w:t>
            </w:r>
          </w:p>
        </w:tc>
        <w:tc>
          <w:tcPr>
            <w:tcW w:w="334" w:type="pct"/>
            <w:gridSpan w:val="2"/>
            <w:tcBorders>
              <w:top w:val="nil"/>
              <w:left w:val="nil"/>
              <w:bottom w:val="single" w:color="auto" w:sz="4" w:space="0"/>
              <w:right w:val="single" w:color="auto" w:sz="4" w:space="0"/>
            </w:tcBorders>
            <w:shd w:val="clear" w:color="auto" w:fill="auto"/>
            <w:vAlign w:val="center"/>
          </w:tcPr>
          <w:p w14:paraId="2EF253B0">
            <w:pPr>
              <w:spacing w:line="240" w:lineRule="auto"/>
              <w:ind w:firstLine="0" w:firstLineChars="0"/>
              <w:jc w:val="center"/>
              <w:rPr>
                <w:rFonts w:cs="Times New Roman"/>
                <w:color w:val="000000"/>
                <w:sz w:val="21"/>
                <w:szCs w:val="21"/>
              </w:rPr>
            </w:pPr>
            <w:r>
              <w:rPr>
                <w:rFonts w:cs="Times New Roman"/>
                <w:color w:val="000000"/>
                <w:sz w:val="20"/>
                <w:szCs w:val="20"/>
              </w:rPr>
              <w:t xml:space="preserve">0.026 </w:t>
            </w:r>
          </w:p>
        </w:tc>
        <w:tc>
          <w:tcPr>
            <w:tcW w:w="303" w:type="pct"/>
            <w:tcBorders>
              <w:top w:val="nil"/>
              <w:left w:val="nil"/>
              <w:bottom w:val="single" w:color="auto" w:sz="4" w:space="0"/>
              <w:right w:val="single" w:color="auto" w:sz="4" w:space="0"/>
            </w:tcBorders>
            <w:shd w:val="clear" w:color="auto" w:fill="auto"/>
            <w:vAlign w:val="center"/>
          </w:tcPr>
          <w:p w14:paraId="2688E873">
            <w:pPr>
              <w:spacing w:line="240" w:lineRule="auto"/>
              <w:ind w:firstLine="0" w:firstLineChars="0"/>
              <w:jc w:val="center"/>
              <w:rPr>
                <w:rFonts w:cs="Times New Roman"/>
                <w:color w:val="000000"/>
                <w:sz w:val="21"/>
                <w:szCs w:val="21"/>
              </w:rPr>
            </w:pPr>
            <w:r>
              <w:rPr>
                <w:rFonts w:cs="Times New Roman"/>
                <w:color w:val="000000"/>
                <w:sz w:val="20"/>
                <w:szCs w:val="20"/>
              </w:rPr>
              <w:t xml:space="preserve">0.021 </w:t>
            </w:r>
          </w:p>
        </w:tc>
        <w:tc>
          <w:tcPr>
            <w:tcW w:w="301" w:type="pct"/>
            <w:tcBorders>
              <w:top w:val="nil"/>
              <w:left w:val="nil"/>
              <w:bottom w:val="single" w:color="auto" w:sz="4" w:space="0"/>
              <w:right w:val="single" w:color="auto" w:sz="4" w:space="0"/>
            </w:tcBorders>
            <w:shd w:val="clear" w:color="auto" w:fill="auto"/>
            <w:vAlign w:val="center"/>
          </w:tcPr>
          <w:p w14:paraId="191DF0EA">
            <w:pPr>
              <w:spacing w:line="240" w:lineRule="auto"/>
              <w:ind w:firstLine="0" w:firstLineChars="0"/>
              <w:jc w:val="center"/>
              <w:rPr>
                <w:rFonts w:cs="Times New Roman"/>
                <w:color w:val="000000"/>
                <w:sz w:val="21"/>
                <w:szCs w:val="21"/>
              </w:rPr>
            </w:pPr>
            <w:r>
              <w:rPr>
                <w:rFonts w:cs="Times New Roman"/>
                <w:color w:val="000000"/>
                <w:sz w:val="20"/>
                <w:szCs w:val="20"/>
              </w:rPr>
              <w:t xml:space="preserve">0.018 </w:t>
            </w:r>
          </w:p>
        </w:tc>
      </w:tr>
      <w:tr w14:paraId="376530DF">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249B5CA6">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1D24388F">
            <w:pPr>
              <w:spacing w:line="240" w:lineRule="auto"/>
              <w:ind w:firstLine="0" w:firstLineChars="0"/>
              <w:jc w:val="center"/>
              <w:rPr>
                <w:rFonts w:cs="Times New Roman"/>
                <w:color w:val="000000"/>
                <w:sz w:val="21"/>
                <w:szCs w:val="21"/>
              </w:rPr>
            </w:pPr>
            <w:r>
              <w:rPr>
                <w:rFonts w:cs="Times New Roman"/>
                <w:color w:val="000000"/>
                <w:sz w:val="21"/>
                <w:szCs w:val="21"/>
              </w:rPr>
              <w:t>可蚀性因子增大系数</w:t>
            </w:r>
          </w:p>
        </w:tc>
        <w:tc>
          <w:tcPr>
            <w:tcW w:w="223" w:type="pct"/>
            <w:tcBorders>
              <w:top w:val="nil"/>
              <w:left w:val="nil"/>
              <w:bottom w:val="single" w:color="auto" w:sz="4" w:space="0"/>
              <w:right w:val="single" w:color="auto" w:sz="4" w:space="0"/>
            </w:tcBorders>
            <w:shd w:val="clear" w:color="auto" w:fill="auto"/>
            <w:vAlign w:val="center"/>
          </w:tcPr>
          <w:p w14:paraId="693C0379">
            <w:pPr>
              <w:spacing w:line="240" w:lineRule="auto"/>
              <w:ind w:firstLine="0" w:firstLineChars="0"/>
              <w:jc w:val="center"/>
              <w:rPr>
                <w:rFonts w:cs="Times New Roman"/>
                <w:color w:val="000000"/>
                <w:sz w:val="21"/>
                <w:szCs w:val="21"/>
              </w:rPr>
            </w:pPr>
            <w:r>
              <w:rPr>
                <w:rFonts w:cs="Times New Roman"/>
                <w:color w:val="000000"/>
                <w:sz w:val="21"/>
                <w:szCs w:val="21"/>
              </w:rPr>
              <w:t>N</w:t>
            </w:r>
          </w:p>
        </w:tc>
        <w:tc>
          <w:tcPr>
            <w:tcW w:w="865" w:type="pct"/>
            <w:tcBorders>
              <w:top w:val="nil"/>
              <w:left w:val="nil"/>
              <w:bottom w:val="single" w:color="auto" w:sz="4" w:space="0"/>
              <w:right w:val="single" w:color="auto" w:sz="4" w:space="0"/>
            </w:tcBorders>
            <w:shd w:val="clear" w:color="auto" w:fill="auto"/>
            <w:vAlign w:val="center"/>
          </w:tcPr>
          <w:p w14:paraId="783410B3">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40B72305">
            <w:pPr>
              <w:spacing w:line="240" w:lineRule="auto"/>
              <w:ind w:firstLine="0" w:firstLineChars="0"/>
              <w:jc w:val="center"/>
              <w:rPr>
                <w:rFonts w:cs="Times New Roman"/>
                <w:color w:val="000000"/>
                <w:sz w:val="21"/>
                <w:szCs w:val="21"/>
              </w:rPr>
            </w:pPr>
            <w:r>
              <w:rPr>
                <w:rFonts w:cs="Times New Roman"/>
                <w:color w:val="000000"/>
                <w:sz w:val="20"/>
                <w:szCs w:val="20"/>
              </w:rPr>
              <w:t>2.13</w:t>
            </w:r>
          </w:p>
        </w:tc>
        <w:tc>
          <w:tcPr>
            <w:tcW w:w="333" w:type="pct"/>
            <w:gridSpan w:val="2"/>
            <w:tcBorders>
              <w:top w:val="nil"/>
              <w:left w:val="nil"/>
              <w:bottom w:val="single" w:color="auto" w:sz="4" w:space="0"/>
              <w:right w:val="single" w:color="auto" w:sz="4" w:space="0"/>
            </w:tcBorders>
            <w:shd w:val="clear" w:color="auto" w:fill="auto"/>
            <w:vAlign w:val="center"/>
          </w:tcPr>
          <w:p w14:paraId="0D8E3117">
            <w:pPr>
              <w:spacing w:line="240" w:lineRule="auto"/>
              <w:ind w:firstLine="0" w:firstLineChars="0"/>
              <w:jc w:val="center"/>
              <w:rPr>
                <w:rFonts w:cs="Times New Roman"/>
                <w:color w:val="000000"/>
                <w:sz w:val="21"/>
                <w:szCs w:val="21"/>
              </w:rPr>
            </w:pPr>
            <w:r>
              <w:rPr>
                <w:rFonts w:cs="Times New Roman"/>
                <w:color w:val="000000"/>
                <w:sz w:val="20"/>
                <w:szCs w:val="20"/>
              </w:rPr>
              <w:t xml:space="preserve">1.76 </w:t>
            </w:r>
          </w:p>
        </w:tc>
        <w:tc>
          <w:tcPr>
            <w:tcW w:w="302" w:type="pct"/>
            <w:tcBorders>
              <w:top w:val="nil"/>
              <w:left w:val="nil"/>
              <w:bottom w:val="single" w:color="auto" w:sz="4" w:space="0"/>
              <w:right w:val="single" w:color="auto" w:sz="4" w:space="0"/>
            </w:tcBorders>
            <w:shd w:val="clear" w:color="auto" w:fill="auto"/>
            <w:vAlign w:val="center"/>
          </w:tcPr>
          <w:p w14:paraId="061C7C94">
            <w:pPr>
              <w:spacing w:line="240" w:lineRule="auto"/>
              <w:ind w:firstLine="0" w:firstLineChars="0"/>
              <w:jc w:val="center"/>
              <w:rPr>
                <w:rFonts w:cs="Times New Roman"/>
                <w:color w:val="000000"/>
                <w:sz w:val="21"/>
                <w:szCs w:val="21"/>
              </w:rPr>
            </w:pPr>
            <w:r>
              <w:rPr>
                <w:rFonts w:cs="Times New Roman"/>
                <w:color w:val="000000"/>
                <w:sz w:val="20"/>
                <w:szCs w:val="20"/>
              </w:rPr>
              <w:t xml:space="preserve">1.46 </w:t>
            </w:r>
          </w:p>
        </w:tc>
        <w:tc>
          <w:tcPr>
            <w:tcW w:w="333" w:type="pct"/>
            <w:gridSpan w:val="2"/>
            <w:tcBorders>
              <w:top w:val="nil"/>
              <w:left w:val="nil"/>
              <w:bottom w:val="single" w:color="auto" w:sz="4" w:space="0"/>
              <w:right w:val="single" w:color="auto" w:sz="4" w:space="0"/>
            </w:tcBorders>
            <w:shd w:val="clear" w:color="auto" w:fill="auto"/>
            <w:vAlign w:val="center"/>
          </w:tcPr>
          <w:p w14:paraId="4674BD3B">
            <w:pPr>
              <w:spacing w:line="240" w:lineRule="auto"/>
              <w:ind w:firstLine="0" w:firstLineChars="0"/>
              <w:jc w:val="center"/>
              <w:rPr>
                <w:rFonts w:cs="Times New Roman"/>
                <w:color w:val="000000"/>
                <w:sz w:val="21"/>
                <w:szCs w:val="21"/>
              </w:rPr>
            </w:pPr>
            <w:r>
              <w:rPr>
                <w:rFonts w:cs="Times New Roman"/>
                <w:color w:val="000000"/>
                <w:sz w:val="20"/>
                <w:szCs w:val="20"/>
              </w:rPr>
              <w:t xml:space="preserve">1.21 </w:t>
            </w:r>
          </w:p>
        </w:tc>
        <w:tc>
          <w:tcPr>
            <w:tcW w:w="302" w:type="pct"/>
            <w:tcBorders>
              <w:top w:val="nil"/>
              <w:left w:val="nil"/>
              <w:bottom w:val="single" w:color="auto" w:sz="4" w:space="0"/>
              <w:right w:val="single" w:color="auto" w:sz="4" w:space="0"/>
            </w:tcBorders>
            <w:shd w:val="clear" w:color="auto" w:fill="auto"/>
            <w:vAlign w:val="center"/>
          </w:tcPr>
          <w:p w14:paraId="10C32241">
            <w:pPr>
              <w:spacing w:line="240" w:lineRule="auto"/>
              <w:ind w:firstLine="0" w:firstLineChars="0"/>
              <w:jc w:val="center"/>
              <w:rPr>
                <w:rFonts w:cs="Times New Roman"/>
                <w:color w:val="000000"/>
                <w:sz w:val="21"/>
                <w:szCs w:val="21"/>
              </w:rPr>
            </w:pPr>
            <w:r>
              <w:rPr>
                <w:rFonts w:cs="Times New Roman"/>
                <w:color w:val="000000"/>
                <w:sz w:val="20"/>
                <w:szCs w:val="20"/>
              </w:rPr>
              <w:t xml:space="preserve">1.00 </w:t>
            </w:r>
          </w:p>
        </w:tc>
        <w:tc>
          <w:tcPr>
            <w:tcW w:w="333" w:type="pct"/>
            <w:gridSpan w:val="2"/>
            <w:tcBorders>
              <w:top w:val="nil"/>
              <w:left w:val="nil"/>
              <w:bottom w:val="single" w:color="auto" w:sz="4" w:space="0"/>
              <w:right w:val="single" w:color="auto" w:sz="4" w:space="0"/>
            </w:tcBorders>
            <w:shd w:val="clear" w:color="auto" w:fill="auto"/>
            <w:vAlign w:val="center"/>
          </w:tcPr>
          <w:p w14:paraId="3BD0C0DB">
            <w:pPr>
              <w:spacing w:line="240" w:lineRule="auto"/>
              <w:ind w:firstLine="0" w:firstLineChars="0"/>
              <w:jc w:val="center"/>
              <w:rPr>
                <w:rFonts w:cs="Times New Roman"/>
                <w:color w:val="000000"/>
                <w:sz w:val="21"/>
                <w:szCs w:val="21"/>
              </w:rPr>
            </w:pPr>
            <w:r>
              <w:rPr>
                <w:rFonts w:cs="Times New Roman"/>
                <w:color w:val="000000"/>
                <w:sz w:val="20"/>
                <w:szCs w:val="20"/>
              </w:rPr>
              <w:t xml:space="preserve">2.13 </w:t>
            </w:r>
          </w:p>
        </w:tc>
        <w:tc>
          <w:tcPr>
            <w:tcW w:w="303" w:type="pct"/>
            <w:tcBorders>
              <w:top w:val="nil"/>
              <w:left w:val="nil"/>
              <w:bottom w:val="single" w:color="auto" w:sz="4" w:space="0"/>
              <w:right w:val="single" w:color="auto" w:sz="4" w:space="0"/>
            </w:tcBorders>
            <w:shd w:val="clear" w:color="auto" w:fill="auto"/>
            <w:vAlign w:val="center"/>
          </w:tcPr>
          <w:p w14:paraId="66882A79">
            <w:pPr>
              <w:spacing w:line="240" w:lineRule="auto"/>
              <w:ind w:firstLine="0" w:firstLineChars="0"/>
              <w:jc w:val="center"/>
              <w:rPr>
                <w:rFonts w:cs="Times New Roman"/>
                <w:color w:val="000000"/>
                <w:sz w:val="21"/>
                <w:szCs w:val="21"/>
              </w:rPr>
            </w:pPr>
            <w:r>
              <w:rPr>
                <w:rFonts w:cs="Times New Roman"/>
                <w:color w:val="000000"/>
                <w:sz w:val="20"/>
                <w:szCs w:val="20"/>
              </w:rPr>
              <w:t xml:space="preserve">1.76 </w:t>
            </w:r>
          </w:p>
        </w:tc>
        <w:tc>
          <w:tcPr>
            <w:tcW w:w="334" w:type="pct"/>
            <w:gridSpan w:val="2"/>
            <w:tcBorders>
              <w:top w:val="nil"/>
              <w:left w:val="nil"/>
              <w:bottom w:val="single" w:color="auto" w:sz="4" w:space="0"/>
              <w:right w:val="single" w:color="auto" w:sz="4" w:space="0"/>
            </w:tcBorders>
            <w:shd w:val="clear" w:color="auto" w:fill="auto"/>
            <w:vAlign w:val="center"/>
          </w:tcPr>
          <w:p w14:paraId="1381292E">
            <w:pPr>
              <w:spacing w:line="240" w:lineRule="auto"/>
              <w:ind w:firstLine="0" w:firstLineChars="0"/>
              <w:jc w:val="center"/>
              <w:rPr>
                <w:rFonts w:cs="Times New Roman"/>
                <w:color w:val="000000"/>
                <w:sz w:val="21"/>
                <w:szCs w:val="21"/>
              </w:rPr>
            </w:pPr>
            <w:r>
              <w:rPr>
                <w:rFonts w:cs="Times New Roman"/>
                <w:color w:val="000000"/>
                <w:sz w:val="20"/>
                <w:szCs w:val="20"/>
              </w:rPr>
              <w:t xml:space="preserve">1.46 </w:t>
            </w:r>
          </w:p>
        </w:tc>
        <w:tc>
          <w:tcPr>
            <w:tcW w:w="303" w:type="pct"/>
            <w:tcBorders>
              <w:top w:val="nil"/>
              <w:left w:val="nil"/>
              <w:bottom w:val="single" w:color="auto" w:sz="4" w:space="0"/>
              <w:right w:val="single" w:color="auto" w:sz="4" w:space="0"/>
            </w:tcBorders>
            <w:shd w:val="clear" w:color="auto" w:fill="auto"/>
            <w:vAlign w:val="center"/>
          </w:tcPr>
          <w:p w14:paraId="439D83F1">
            <w:pPr>
              <w:spacing w:line="240" w:lineRule="auto"/>
              <w:ind w:firstLine="0" w:firstLineChars="0"/>
              <w:jc w:val="center"/>
              <w:rPr>
                <w:rFonts w:cs="Times New Roman"/>
                <w:color w:val="000000"/>
                <w:sz w:val="21"/>
                <w:szCs w:val="21"/>
              </w:rPr>
            </w:pPr>
            <w:r>
              <w:rPr>
                <w:rFonts w:cs="Times New Roman"/>
                <w:color w:val="000000"/>
                <w:sz w:val="20"/>
                <w:szCs w:val="20"/>
              </w:rPr>
              <w:t xml:space="preserve">1.21 </w:t>
            </w:r>
          </w:p>
        </w:tc>
        <w:tc>
          <w:tcPr>
            <w:tcW w:w="301" w:type="pct"/>
            <w:tcBorders>
              <w:top w:val="nil"/>
              <w:left w:val="nil"/>
              <w:bottom w:val="single" w:color="auto" w:sz="4" w:space="0"/>
              <w:right w:val="single" w:color="auto" w:sz="4" w:space="0"/>
            </w:tcBorders>
            <w:shd w:val="clear" w:color="auto" w:fill="auto"/>
            <w:vAlign w:val="center"/>
          </w:tcPr>
          <w:p w14:paraId="20C73B72">
            <w:pPr>
              <w:spacing w:line="240" w:lineRule="auto"/>
              <w:ind w:firstLine="0" w:firstLineChars="0"/>
              <w:jc w:val="center"/>
              <w:rPr>
                <w:rFonts w:cs="Times New Roman"/>
                <w:color w:val="000000"/>
                <w:sz w:val="21"/>
                <w:szCs w:val="21"/>
              </w:rPr>
            </w:pPr>
            <w:r>
              <w:rPr>
                <w:rFonts w:cs="Times New Roman"/>
                <w:color w:val="000000"/>
                <w:sz w:val="20"/>
                <w:szCs w:val="20"/>
              </w:rPr>
              <w:t xml:space="preserve">1.00 </w:t>
            </w:r>
          </w:p>
        </w:tc>
      </w:tr>
      <w:tr w14:paraId="7D77E86B">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011478FD">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6F345972">
            <w:pPr>
              <w:spacing w:line="240" w:lineRule="auto"/>
              <w:ind w:firstLine="0" w:firstLineChars="0"/>
              <w:jc w:val="center"/>
              <w:rPr>
                <w:rFonts w:cs="Times New Roman"/>
                <w:color w:val="000000"/>
                <w:sz w:val="21"/>
                <w:szCs w:val="21"/>
              </w:rPr>
            </w:pPr>
            <w:r>
              <w:rPr>
                <w:rFonts w:cs="Times New Roman"/>
                <w:color w:val="000000"/>
                <w:sz w:val="21"/>
                <w:szCs w:val="21"/>
              </w:rPr>
              <w:t>土壤可蚀性因子</w:t>
            </w:r>
          </w:p>
        </w:tc>
        <w:tc>
          <w:tcPr>
            <w:tcW w:w="223" w:type="pct"/>
            <w:tcBorders>
              <w:top w:val="nil"/>
              <w:left w:val="nil"/>
              <w:bottom w:val="single" w:color="auto" w:sz="4" w:space="0"/>
              <w:right w:val="single" w:color="auto" w:sz="4" w:space="0"/>
            </w:tcBorders>
            <w:shd w:val="clear" w:color="auto" w:fill="auto"/>
            <w:vAlign w:val="center"/>
          </w:tcPr>
          <w:p w14:paraId="3015064D">
            <w:pPr>
              <w:spacing w:line="240" w:lineRule="auto"/>
              <w:ind w:firstLine="0" w:firstLineChars="0"/>
              <w:jc w:val="center"/>
              <w:rPr>
                <w:rFonts w:cs="Times New Roman"/>
                <w:color w:val="000000"/>
                <w:sz w:val="21"/>
                <w:szCs w:val="21"/>
              </w:rPr>
            </w:pPr>
            <w:r>
              <w:rPr>
                <w:rFonts w:cs="Times New Roman"/>
                <w:color w:val="000000"/>
                <w:sz w:val="21"/>
                <w:szCs w:val="21"/>
              </w:rPr>
              <w:t>K</w:t>
            </w:r>
          </w:p>
        </w:tc>
        <w:tc>
          <w:tcPr>
            <w:tcW w:w="865" w:type="pct"/>
            <w:tcBorders>
              <w:top w:val="nil"/>
              <w:left w:val="nil"/>
              <w:bottom w:val="single" w:color="auto" w:sz="4" w:space="0"/>
              <w:right w:val="single" w:color="auto" w:sz="4" w:space="0"/>
            </w:tcBorders>
            <w:shd w:val="clear" w:color="auto" w:fill="auto"/>
            <w:vAlign w:val="center"/>
          </w:tcPr>
          <w:p w14:paraId="123E8037">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3D6AFC77">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333" w:type="pct"/>
            <w:gridSpan w:val="2"/>
            <w:tcBorders>
              <w:top w:val="nil"/>
              <w:left w:val="nil"/>
              <w:bottom w:val="single" w:color="auto" w:sz="4" w:space="0"/>
              <w:right w:val="single" w:color="auto" w:sz="4" w:space="0"/>
            </w:tcBorders>
            <w:shd w:val="clear" w:color="auto" w:fill="auto"/>
            <w:vAlign w:val="center"/>
          </w:tcPr>
          <w:p w14:paraId="695A36C1">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302" w:type="pct"/>
            <w:tcBorders>
              <w:top w:val="nil"/>
              <w:left w:val="nil"/>
              <w:bottom w:val="single" w:color="auto" w:sz="4" w:space="0"/>
              <w:right w:val="single" w:color="auto" w:sz="4" w:space="0"/>
            </w:tcBorders>
            <w:shd w:val="clear" w:color="auto" w:fill="auto"/>
            <w:vAlign w:val="center"/>
          </w:tcPr>
          <w:p w14:paraId="74BE8730">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333" w:type="pct"/>
            <w:gridSpan w:val="2"/>
            <w:tcBorders>
              <w:top w:val="nil"/>
              <w:left w:val="nil"/>
              <w:bottom w:val="single" w:color="auto" w:sz="4" w:space="0"/>
              <w:right w:val="single" w:color="auto" w:sz="4" w:space="0"/>
            </w:tcBorders>
            <w:shd w:val="clear" w:color="auto" w:fill="auto"/>
            <w:vAlign w:val="center"/>
          </w:tcPr>
          <w:p w14:paraId="39A0659B">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302" w:type="pct"/>
            <w:tcBorders>
              <w:top w:val="nil"/>
              <w:left w:val="nil"/>
              <w:bottom w:val="single" w:color="auto" w:sz="4" w:space="0"/>
              <w:right w:val="single" w:color="auto" w:sz="4" w:space="0"/>
            </w:tcBorders>
            <w:shd w:val="clear" w:color="auto" w:fill="auto"/>
            <w:vAlign w:val="center"/>
          </w:tcPr>
          <w:p w14:paraId="4C43734E">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333" w:type="pct"/>
            <w:gridSpan w:val="2"/>
            <w:tcBorders>
              <w:top w:val="nil"/>
              <w:left w:val="nil"/>
              <w:bottom w:val="single" w:color="auto" w:sz="4" w:space="0"/>
              <w:right w:val="single" w:color="auto" w:sz="4" w:space="0"/>
            </w:tcBorders>
            <w:shd w:val="clear" w:color="auto" w:fill="auto"/>
            <w:vAlign w:val="center"/>
          </w:tcPr>
          <w:p w14:paraId="1CBAE564">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303" w:type="pct"/>
            <w:tcBorders>
              <w:top w:val="nil"/>
              <w:left w:val="nil"/>
              <w:bottom w:val="single" w:color="auto" w:sz="4" w:space="0"/>
              <w:right w:val="single" w:color="auto" w:sz="4" w:space="0"/>
            </w:tcBorders>
            <w:shd w:val="clear" w:color="auto" w:fill="auto"/>
            <w:vAlign w:val="center"/>
          </w:tcPr>
          <w:p w14:paraId="6E9B76F3">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334" w:type="pct"/>
            <w:gridSpan w:val="2"/>
            <w:tcBorders>
              <w:top w:val="nil"/>
              <w:left w:val="nil"/>
              <w:bottom w:val="single" w:color="auto" w:sz="4" w:space="0"/>
              <w:right w:val="single" w:color="auto" w:sz="4" w:space="0"/>
            </w:tcBorders>
            <w:shd w:val="clear" w:color="auto" w:fill="auto"/>
            <w:vAlign w:val="center"/>
          </w:tcPr>
          <w:p w14:paraId="38BB9B57">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303" w:type="pct"/>
            <w:tcBorders>
              <w:top w:val="nil"/>
              <w:left w:val="nil"/>
              <w:bottom w:val="single" w:color="auto" w:sz="4" w:space="0"/>
              <w:right w:val="single" w:color="auto" w:sz="4" w:space="0"/>
            </w:tcBorders>
            <w:shd w:val="clear" w:color="auto" w:fill="auto"/>
            <w:vAlign w:val="center"/>
          </w:tcPr>
          <w:p w14:paraId="753CA9C3">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301" w:type="pct"/>
            <w:tcBorders>
              <w:top w:val="nil"/>
              <w:left w:val="nil"/>
              <w:bottom w:val="single" w:color="auto" w:sz="4" w:space="0"/>
              <w:right w:val="single" w:color="auto" w:sz="4" w:space="0"/>
            </w:tcBorders>
            <w:shd w:val="clear" w:color="auto" w:fill="auto"/>
            <w:vAlign w:val="center"/>
          </w:tcPr>
          <w:p w14:paraId="7631D34C">
            <w:pPr>
              <w:spacing w:line="240" w:lineRule="auto"/>
              <w:ind w:firstLine="0" w:firstLineChars="0"/>
              <w:jc w:val="center"/>
              <w:rPr>
                <w:rFonts w:cs="Times New Roman"/>
                <w:color w:val="000000"/>
                <w:sz w:val="21"/>
                <w:szCs w:val="21"/>
              </w:rPr>
            </w:pPr>
            <w:r>
              <w:rPr>
                <w:rFonts w:cs="Times New Roman"/>
                <w:color w:val="000000"/>
                <w:sz w:val="20"/>
                <w:szCs w:val="20"/>
              </w:rPr>
              <w:t>0.0175</w:t>
            </w:r>
          </w:p>
        </w:tc>
      </w:tr>
      <w:tr w14:paraId="6119DED7">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11657301">
            <w:pPr>
              <w:spacing w:line="240" w:lineRule="auto"/>
              <w:ind w:firstLine="0" w:firstLineChars="0"/>
              <w:jc w:val="center"/>
              <w:rPr>
                <w:rFonts w:cs="Times New Roman"/>
                <w:color w:val="000000"/>
                <w:sz w:val="21"/>
                <w:szCs w:val="21"/>
              </w:rPr>
            </w:pPr>
            <w:r>
              <w:rPr>
                <w:rFonts w:cs="Times New Roman"/>
                <w:color w:val="000000"/>
                <w:sz w:val="21"/>
                <w:szCs w:val="21"/>
              </w:rPr>
              <w:t>4</w:t>
            </w:r>
          </w:p>
        </w:tc>
        <w:tc>
          <w:tcPr>
            <w:tcW w:w="589" w:type="pct"/>
            <w:tcBorders>
              <w:top w:val="nil"/>
              <w:left w:val="nil"/>
              <w:bottom w:val="single" w:color="auto" w:sz="4" w:space="0"/>
              <w:right w:val="single" w:color="auto" w:sz="4" w:space="0"/>
            </w:tcBorders>
            <w:shd w:val="clear" w:color="auto" w:fill="auto"/>
            <w:vAlign w:val="center"/>
          </w:tcPr>
          <w:p w14:paraId="1F878880">
            <w:pPr>
              <w:spacing w:line="240" w:lineRule="auto"/>
              <w:ind w:firstLine="0" w:firstLineChars="0"/>
              <w:jc w:val="center"/>
              <w:rPr>
                <w:rFonts w:cs="Times New Roman"/>
                <w:color w:val="000000"/>
                <w:sz w:val="21"/>
                <w:szCs w:val="21"/>
              </w:rPr>
            </w:pPr>
            <w:r>
              <w:rPr>
                <w:rFonts w:cs="Times New Roman"/>
                <w:color w:val="000000"/>
                <w:sz w:val="21"/>
                <w:szCs w:val="21"/>
              </w:rPr>
              <w:t>坡长因子</w:t>
            </w:r>
          </w:p>
        </w:tc>
        <w:tc>
          <w:tcPr>
            <w:tcW w:w="223" w:type="pct"/>
            <w:tcBorders>
              <w:top w:val="nil"/>
              <w:left w:val="nil"/>
              <w:bottom w:val="single" w:color="auto" w:sz="4" w:space="0"/>
              <w:right w:val="single" w:color="auto" w:sz="4" w:space="0"/>
            </w:tcBorders>
            <w:shd w:val="clear" w:color="auto" w:fill="auto"/>
            <w:vAlign w:val="center"/>
          </w:tcPr>
          <w:p w14:paraId="0168F32D">
            <w:pPr>
              <w:spacing w:line="240" w:lineRule="auto"/>
              <w:ind w:firstLine="0" w:firstLineChars="0"/>
              <w:jc w:val="center"/>
              <w:rPr>
                <w:rFonts w:cs="Times New Roman"/>
                <w:color w:val="000000"/>
                <w:sz w:val="21"/>
                <w:szCs w:val="21"/>
              </w:rPr>
            </w:pPr>
            <w:r>
              <w:rPr>
                <w:rFonts w:cs="Times New Roman"/>
                <w:color w:val="000000"/>
                <w:sz w:val="21"/>
                <w:szCs w:val="21"/>
              </w:rPr>
              <w:t>Ly</w:t>
            </w:r>
          </w:p>
        </w:tc>
        <w:tc>
          <w:tcPr>
            <w:tcW w:w="865" w:type="pct"/>
            <w:tcBorders>
              <w:top w:val="nil"/>
              <w:left w:val="nil"/>
              <w:bottom w:val="single" w:color="auto" w:sz="4" w:space="0"/>
              <w:right w:val="single" w:color="auto" w:sz="4" w:space="0"/>
            </w:tcBorders>
            <w:shd w:val="clear" w:color="auto" w:fill="auto"/>
            <w:vAlign w:val="center"/>
          </w:tcPr>
          <w:p w14:paraId="745CA43D">
            <w:pPr>
              <w:spacing w:line="240" w:lineRule="auto"/>
              <w:ind w:firstLine="0" w:firstLineChars="0"/>
              <w:jc w:val="center"/>
              <w:rPr>
                <w:rFonts w:cs="Times New Roman"/>
                <w:color w:val="000000"/>
                <w:sz w:val="21"/>
                <w:szCs w:val="21"/>
              </w:rPr>
            </w:pPr>
            <w:r>
              <w:rPr>
                <w:rFonts w:cs="Times New Roman"/>
                <w:color w:val="000000"/>
                <w:sz w:val="21"/>
                <w:szCs w:val="21"/>
              </w:rPr>
              <w:t>Ly=(λ/20）</w:t>
            </w:r>
            <w:r>
              <w:rPr>
                <w:rFonts w:cs="Times New Roman"/>
                <w:color w:val="000000"/>
                <w:sz w:val="21"/>
                <w:szCs w:val="21"/>
                <w:vertAlign w:val="superscript"/>
              </w:rPr>
              <w:t>m</w:t>
            </w:r>
          </w:p>
        </w:tc>
        <w:tc>
          <w:tcPr>
            <w:tcW w:w="302" w:type="pct"/>
            <w:tcBorders>
              <w:top w:val="nil"/>
              <w:left w:val="nil"/>
              <w:bottom w:val="single" w:color="auto" w:sz="4" w:space="0"/>
              <w:right w:val="single" w:color="auto" w:sz="4" w:space="0"/>
            </w:tcBorders>
            <w:shd w:val="clear" w:color="auto" w:fill="auto"/>
            <w:vAlign w:val="center"/>
          </w:tcPr>
          <w:p w14:paraId="6013A369">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333" w:type="pct"/>
            <w:gridSpan w:val="2"/>
            <w:tcBorders>
              <w:top w:val="nil"/>
              <w:left w:val="nil"/>
              <w:bottom w:val="single" w:color="auto" w:sz="4" w:space="0"/>
              <w:right w:val="single" w:color="auto" w:sz="4" w:space="0"/>
            </w:tcBorders>
            <w:shd w:val="clear" w:color="auto" w:fill="auto"/>
            <w:vAlign w:val="center"/>
          </w:tcPr>
          <w:p w14:paraId="2DB89528">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302" w:type="pct"/>
            <w:tcBorders>
              <w:top w:val="nil"/>
              <w:left w:val="nil"/>
              <w:bottom w:val="single" w:color="auto" w:sz="4" w:space="0"/>
              <w:right w:val="single" w:color="auto" w:sz="4" w:space="0"/>
            </w:tcBorders>
            <w:shd w:val="clear" w:color="auto" w:fill="auto"/>
            <w:vAlign w:val="center"/>
          </w:tcPr>
          <w:p w14:paraId="29E1D565">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333" w:type="pct"/>
            <w:gridSpan w:val="2"/>
            <w:tcBorders>
              <w:top w:val="nil"/>
              <w:left w:val="nil"/>
              <w:bottom w:val="single" w:color="auto" w:sz="4" w:space="0"/>
              <w:right w:val="single" w:color="auto" w:sz="4" w:space="0"/>
            </w:tcBorders>
            <w:shd w:val="clear" w:color="auto" w:fill="auto"/>
            <w:vAlign w:val="center"/>
          </w:tcPr>
          <w:p w14:paraId="526E6326">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302" w:type="pct"/>
            <w:tcBorders>
              <w:top w:val="nil"/>
              <w:left w:val="nil"/>
              <w:bottom w:val="single" w:color="auto" w:sz="4" w:space="0"/>
              <w:right w:val="single" w:color="auto" w:sz="4" w:space="0"/>
            </w:tcBorders>
            <w:shd w:val="clear" w:color="auto" w:fill="auto"/>
            <w:vAlign w:val="center"/>
          </w:tcPr>
          <w:p w14:paraId="049E3474">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333" w:type="pct"/>
            <w:gridSpan w:val="2"/>
            <w:tcBorders>
              <w:top w:val="nil"/>
              <w:left w:val="nil"/>
              <w:bottom w:val="single" w:color="auto" w:sz="4" w:space="0"/>
              <w:right w:val="single" w:color="auto" w:sz="4" w:space="0"/>
            </w:tcBorders>
            <w:shd w:val="clear" w:color="auto" w:fill="auto"/>
            <w:vAlign w:val="center"/>
          </w:tcPr>
          <w:p w14:paraId="3BF11F48">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303" w:type="pct"/>
            <w:tcBorders>
              <w:top w:val="nil"/>
              <w:left w:val="nil"/>
              <w:bottom w:val="single" w:color="auto" w:sz="4" w:space="0"/>
              <w:right w:val="single" w:color="auto" w:sz="4" w:space="0"/>
            </w:tcBorders>
            <w:shd w:val="clear" w:color="auto" w:fill="auto"/>
            <w:vAlign w:val="center"/>
          </w:tcPr>
          <w:p w14:paraId="7577C0CD">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334" w:type="pct"/>
            <w:gridSpan w:val="2"/>
            <w:tcBorders>
              <w:top w:val="nil"/>
              <w:left w:val="nil"/>
              <w:bottom w:val="single" w:color="auto" w:sz="4" w:space="0"/>
              <w:right w:val="single" w:color="auto" w:sz="4" w:space="0"/>
            </w:tcBorders>
            <w:shd w:val="clear" w:color="auto" w:fill="auto"/>
            <w:vAlign w:val="center"/>
          </w:tcPr>
          <w:p w14:paraId="42A53C7E">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303" w:type="pct"/>
            <w:tcBorders>
              <w:top w:val="nil"/>
              <w:left w:val="nil"/>
              <w:bottom w:val="single" w:color="auto" w:sz="4" w:space="0"/>
              <w:right w:val="single" w:color="auto" w:sz="4" w:space="0"/>
            </w:tcBorders>
            <w:shd w:val="clear" w:color="auto" w:fill="auto"/>
            <w:vAlign w:val="center"/>
          </w:tcPr>
          <w:p w14:paraId="7B1550AC">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301" w:type="pct"/>
            <w:tcBorders>
              <w:top w:val="nil"/>
              <w:left w:val="nil"/>
              <w:bottom w:val="single" w:color="auto" w:sz="4" w:space="0"/>
              <w:right w:val="single" w:color="auto" w:sz="4" w:space="0"/>
            </w:tcBorders>
            <w:shd w:val="clear" w:color="auto" w:fill="auto"/>
            <w:vAlign w:val="center"/>
          </w:tcPr>
          <w:p w14:paraId="277A4C63">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r>
      <w:tr w14:paraId="10BF0A2C">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00B26C42">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07C6471C">
            <w:pPr>
              <w:spacing w:line="240" w:lineRule="auto"/>
              <w:ind w:firstLine="0" w:firstLineChars="0"/>
              <w:jc w:val="center"/>
              <w:rPr>
                <w:rFonts w:cs="Times New Roman"/>
                <w:color w:val="000000"/>
                <w:sz w:val="21"/>
                <w:szCs w:val="21"/>
              </w:rPr>
            </w:pPr>
            <w:r>
              <w:rPr>
                <w:rFonts w:cs="Times New Roman"/>
                <w:color w:val="000000"/>
                <w:sz w:val="21"/>
                <w:szCs w:val="21"/>
              </w:rPr>
              <w:t>水平投影坡坡长（m）</w:t>
            </w:r>
          </w:p>
        </w:tc>
        <w:tc>
          <w:tcPr>
            <w:tcW w:w="223" w:type="pct"/>
            <w:tcBorders>
              <w:top w:val="nil"/>
              <w:left w:val="nil"/>
              <w:bottom w:val="single" w:color="auto" w:sz="4" w:space="0"/>
              <w:right w:val="single" w:color="auto" w:sz="4" w:space="0"/>
            </w:tcBorders>
            <w:shd w:val="clear" w:color="auto" w:fill="auto"/>
            <w:vAlign w:val="center"/>
          </w:tcPr>
          <w:p w14:paraId="030D1E6F">
            <w:pPr>
              <w:spacing w:line="240" w:lineRule="auto"/>
              <w:ind w:firstLine="0" w:firstLineChars="0"/>
              <w:jc w:val="center"/>
              <w:rPr>
                <w:rFonts w:cs="Times New Roman"/>
                <w:color w:val="000000"/>
                <w:sz w:val="21"/>
                <w:szCs w:val="21"/>
              </w:rPr>
            </w:pPr>
            <w:r>
              <w:rPr>
                <w:rFonts w:cs="Times New Roman"/>
                <w:color w:val="000000"/>
                <w:sz w:val="21"/>
                <w:szCs w:val="21"/>
              </w:rPr>
              <w:t>λ</w:t>
            </w:r>
          </w:p>
        </w:tc>
        <w:tc>
          <w:tcPr>
            <w:tcW w:w="865" w:type="pct"/>
            <w:tcBorders>
              <w:top w:val="nil"/>
              <w:left w:val="nil"/>
              <w:bottom w:val="single" w:color="auto" w:sz="4" w:space="0"/>
              <w:right w:val="single" w:color="auto" w:sz="4" w:space="0"/>
            </w:tcBorders>
            <w:shd w:val="clear" w:color="auto" w:fill="auto"/>
            <w:vAlign w:val="center"/>
          </w:tcPr>
          <w:p w14:paraId="7F60CEAF">
            <w:pPr>
              <w:spacing w:line="240" w:lineRule="auto"/>
              <w:ind w:firstLine="0" w:firstLineChars="0"/>
              <w:jc w:val="center"/>
              <w:rPr>
                <w:rFonts w:cs="Times New Roman"/>
                <w:color w:val="000000"/>
                <w:sz w:val="21"/>
                <w:szCs w:val="21"/>
              </w:rPr>
            </w:pPr>
            <w:r>
              <w:rPr>
                <w:rFonts w:cs="Times New Roman"/>
                <w:color w:val="000000"/>
                <w:sz w:val="21"/>
                <w:szCs w:val="21"/>
              </w:rPr>
              <w:t>λ=λxcosθ</w:t>
            </w:r>
          </w:p>
        </w:tc>
        <w:tc>
          <w:tcPr>
            <w:tcW w:w="302" w:type="pct"/>
            <w:tcBorders>
              <w:top w:val="nil"/>
              <w:left w:val="nil"/>
              <w:bottom w:val="single" w:color="auto" w:sz="4" w:space="0"/>
              <w:right w:val="single" w:color="auto" w:sz="4" w:space="0"/>
            </w:tcBorders>
            <w:shd w:val="clear" w:color="auto" w:fill="auto"/>
            <w:vAlign w:val="center"/>
          </w:tcPr>
          <w:p w14:paraId="5D7B333D">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333" w:type="pct"/>
            <w:gridSpan w:val="2"/>
            <w:tcBorders>
              <w:top w:val="nil"/>
              <w:left w:val="nil"/>
              <w:bottom w:val="single" w:color="auto" w:sz="4" w:space="0"/>
              <w:right w:val="single" w:color="auto" w:sz="4" w:space="0"/>
            </w:tcBorders>
            <w:shd w:val="clear" w:color="auto" w:fill="auto"/>
            <w:vAlign w:val="center"/>
          </w:tcPr>
          <w:p w14:paraId="3995840F">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302" w:type="pct"/>
            <w:tcBorders>
              <w:top w:val="nil"/>
              <w:left w:val="nil"/>
              <w:bottom w:val="single" w:color="auto" w:sz="4" w:space="0"/>
              <w:right w:val="single" w:color="auto" w:sz="4" w:space="0"/>
            </w:tcBorders>
            <w:shd w:val="clear" w:color="auto" w:fill="auto"/>
            <w:vAlign w:val="center"/>
          </w:tcPr>
          <w:p w14:paraId="5BF816BE">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333" w:type="pct"/>
            <w:gridSpan w:val="2"/>
            <w:tcBorders>
              <w:top w:val="nil"/>
              <w:left w:val="nil"/>
              <w:bottom w:val="single" w:color="auto" w:sz="4" w:space="0"/>
              <w:right w:val="single" w:color="auto" w:sz="4" w:space="0"/>
            </w:tcBorders>
            <w:shd w:val="clear" w:color="auto" w:fill="auto"/>
            <w:vAlign w:val="center"/>
          </w:tcPr>
          <w:p w14:paraId="36A2858D">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302" w:type="pct"/>
            <w:tcBorders>
              <w:top w:val="nil"/>
              <w:left w:val="nil"/>
              <w:bottom w:val="single" w:color="auto" w:sz="4" w:space="0"/>
              <w:right w:val="single" w:color="auto" w:sz="4" w:space="0"/>
            </w:tcBorders>
            <w:shd w:val="clear" w:color="auto" w:fill="auto"/>
            <w:vAlign w:val="center"/>
          </w:tcPr>
          <w:p w14:paraId="423E6E6E">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333" w:type="pct"/>
            <w:gridSpan w:val="2"/>
            <w:tcBorders>
              <w:top w:val="nil"/>
              <w:left w:val="nil"/>
              <w:bottom w:val="single" w:color="auto" w:sz="4" w:space="0"/>
              <w:right w:val="single" w:color="auto" w:sz="4" w:space="0"/>
            </w:tcBorders>
            <w:shd w:val="clear" w:color="auto" w:fill="auto"/>
            <w:vAlign w:val="center"/>
          </w:tcPr>
          <w:p w14:paraId="2FC5F3F7">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303" w:type="pct"/>
            <w:tcBorders>
              <w:top w:val="nil"/>
              <w:left w:val="nil"/>
              <w:bottom w:val="single" w:color="auto" w:sz="4" w:space="0"/>
              <w:right w:val="single" w:color="auto" w:sz="4" w:space="0"/>
            </w:tcBorders>
            <w:shd w:val="clear" w:color="auto" w:fill="auto"/>
            <w:vAlign w:val="center"/>
          </w:tcPr>
          <w:p w14:paraId="3CF318E0">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334" w:type="pct"/>
            <w:gridSpan w:val="2"/>
            <w:tcBorders>
              <w:top w:val="nil"/>
              <w:left w:val="nil"/>
              <w:bottom w:val="single" w:color="auto" w:sz="4" w:space="0"/>
              <w:right w:val="single" w:color="auto" w:sz="4" w:space="0"/>
            </w:tcBorders>
            <w:shd w:val="clear" w:color="auto" w:fill="auto"/>
            <w:vAlign w:val="center"/>
          </w:tcPr>
          <w:p w14:paraId="006C8D4A">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303" w:type="pct"/>
            <w:tcBorders>
              <w:top w:val="nil"/>
              <w:left w:val="nil"/>
              <w:bottom w:val="single" w:color="auto" w:sz="4" w:space="0"/>
              <w:right w:val="single" w:color="auto" w:sz="4" w:space="0"/>
            </w:tcBorders>
            <w:shd w:val="clear" w:color="auto" w:fill="auto"/>
            <w:vAlign w:val="center"/>
          </w:tcPr>
          <w:p w14:paraId="04F6B277">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301" w:type="pct"/>
            <w:tcBorders>
              <w:top w:val="nil"/>
              <w:left w:val="nil"/>
              <w:bottom w:val="single" w:color="auto" w:sz="4" w:space="0"/>
              <w:right w:val="single" w:color="auto" w:sz="4" w:space="0"/>
            </w:tcBorders>
            <w:shd w:val="clear" w:color="auto" w:fill="auto"/>
            <w:vAlign w:val="center"/>
          </w:tcPr>
          <w:p w14:paraId="763DADE2">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r>
      <w:tr w14:paraId="7669360A">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6DE30405">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1CA97EE6">
            <w:pPr>
              <w:spacing w:line="240" w:lineRule="auto"/>
              <w:ind w:firstLine="0" w:firstLineChars="0"/>
              <w:jc w:val="center"/>
              <w:rPr>
                <w:rFonts w:cs="Times New Roman"/>
                <w:color w:val="000000"/>
                <w:sz w:val="21"/>
                <w:szCs w:val="21"/>
              </w:rPr>
            </w:pPr>
            <w:r>
              <w:rPr>
                <w:rFonts w:cs="Times New Roman"/>
                <w:color w:val="000000"/>
                <w:sz w:val="21"/>
                <w:szCs w:val="21"/>
              </w:rPr>
              <w:t>斜坡长度（m）</w:t>
            </w:r>
          </w:p>
        </w:tc>
        <w:tc>
          <w:tcPr>
            <w:tcW w:w="223" w:type="pct"/>
            <w:tcBorders>
              <w:top w:val="nil"/>
              <w:left w:val="nil"/>
              <w:bottom w:val="single" w:color="auto" w:sz="4" w:space="0"/>
              <w:right w:val="single" w:color="auto" w:sz="4" w:space="0"/>
            </w:tcBorders>
            <w:shd w:val="clear" w:color="auto" w:fill="auto"/>
            <w:vAlign w:val="center"/>
          </w:tcPr>
          <w:p w14:paraId="2692B513">
            <w:pPr>
              <w:spacing w:line="240" w:lineRule="auto"/>
              <w:ind w:firstLine="0" w:firstLineChars="0"/>
              <w:jc w:val="center"/>
              <w:rPr>
                <w:rFonts w:cs="Times New Roman"/>
                <w:color w:val="000000"/>
                <w:sz w:val="21"/>
                <w:szCs w:val="21"/>
              </w:rPr>
            </w:pPr>
            <w:r>
              <w:rPr>
                <w:rFonts w:cs="Times New Roman"/>
                <w:color w:val="000000"/>
                <w:sz w:val="21"/>
                <w:szCs w:val="21"/>
              </w:rPr>
              <w:t>λx</w:t>
            </w:r>
          </w:p>
        </w:tc>
        <w:tc>
          <w:tcPr>
            <w:tcW w:w="865" w:type="pct"/>
            <w:tcBorders>
              <w:top w:val="nil"/>
              <w:left w:val="nil"/>
              <w:bottom w:val="single" w:color="auto" w:sz="4" w:space="0"/>
              <w:right w:val="single" w:color="auto" w:sz="4" w:space="0"/>
            </w:tcBorders>
            <w:shd w:val="clear" w:color="auto" w:fill="auto"/>
            <w:vAlign w:val="center"/>
          </w:tcPr>
          <w:p w14:paraId="56753FB3">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0222F0A8">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333" w:type="pct"/>
            <w:gridSpan w:val="2"/>
            <w:tcBorders>
              <w:top w:val="nil"/>
              <w:left w:val="nil"/>
              <w:bottom w:val="single" w:color="auto" w:sz="4" w:space="0"/>
              <w:right w:val="single" w:color="auto" w:sz="4" w:space="0"/>
            </w:tcBorders>
            <w:shd w:val="clear" w:color="auto" w:fill="auto"/>
            <w:vAlign w:val="center"/>
          </w:tcPr>
          <w:p w14:paraId="2BD2E9DD">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302" w:type="pct"/>
            <w:tcBorders>
              <w:top w:val="nil"/>
              <w:left w:val="nil"/>
              <w:bottom w:val="single" w:color="auto" w:sz="4" w:space="0"/>
              <w:right w:val="single" w:color="auto" w:sz="4" w:space="0"/>
            </w:tcBorders>
            <w:shd w:val="clear" w:color="auto" w:fill="auto"/>
            <w:vAlign w:val="center"/>
          </w:tcPr>
          <w:p w14:paraId="51C50818">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333" w:type="pct"/>
            <w:gridSpan w:val="2"/>
            <w:tcBorders>
              <w:top w:val="nil"/>
              <w:left w:val="nil"/>
              <w:bottom w:val="single" w:color="auto" w:sz="4" w:space="0"/>
              <w:right w:val="single" w:color="auto" w:sz="4" w:space="0"/>
            </w:tcBorders>
            <w:shd w:val="clear" w:color="auto" w:fill="auto"/>
            <w:vAlign w:val="center"/>
          </w:tcPr>
          <w:p w14:paraId="07CEED80">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302" w:type="pct"/>
            <w:tcBorders>
              <w:top w:val="nil"/>
              <w:left w:val="nil"/>
              <w:bottom w:val="single" w:color="auto" w:sz="4" w:space="0"/>
              <w:right w:val="single" w:color="auto" w:sz="4" w:space="0"/>
            </w:tcBorders>
            <w:shd w:val="clear" w:color="auto" w:fill="auto"/>
            <w:vAlign w:val="center"/>
          </w:tcPr>
          <w:p w14:paraId="1921A248">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333" w:type="pct"/>
            <w:gridSpan w:val="2"/>
            <w:tcBorders>
              <w:top w:val="nil"/>
              <w:left w:val="nil"/>
              <w:bottom w:val="single" w:color="auto" w:sz="4" w:space="0"/>
              <w:right w:val="single" w:color="auto" w:sz="4" w:space="0"/>
            </w:tcBorders>
            <w:shd w:val="clear" w:color="auto" w:fill="auto"/>
            <w:vAlign w:val="center"/>
          </w:tcPr>
          <w:p w14:paraId="589AFEC7">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303" w:type="pct"/>
            <w:tcBorders>
              <w:top w:val="nil"/>
              <w:left w:val="nil"/>
              <w:bottom w:val="single" w:color="auto" w:sz="4" w:space="0"/>
              <w:right w:val="single" w:color="auto" w:sz="4" w:space="0"/>
            </w:tcBorders>
            <w:shd w:val="clear" w:color="auto" w:fill="auto"/>
            <w:vAlign w:val="center"/>
          </w:tcPr>
          <w:p w14:paraId="68FB4E01">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334" w:type="pct"/>
            <w:gridSpan w:val="2"/>
            <w:tcBorders>
              <w:top w:val="nil"/>
              <w:left w:val="nil"/>
              <w:bottom w:val="single" w:color="auto" w:sz="4" w:space="0"/>
              <w:right w:val="single" w:color="auto" w:sz="4" w:space="0"/>
            </w:tcBorders>
            <w:shd w:val="clear" w:color="auto" w:fill="auto"/>
            <w:vAlign w:val="center"/>
          </w:tcPr>
          <w:p w14:paraId="1B701C6A">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303" w:type="pct"/>
            <w:tcBorders>
              <w:top w:val="nil"/>
              <w:left w:val="nil"/>
              <w:bottom w:val="single" w:color="auto" w:sz="4" w:space="0"/>
              <w:right w:val="single" w:color="auto" w:sz="4" w:space="0"/>
            </w:tcBorders>
            <w:shd w:val="clear" w:color="auto" w:fill="auto"/>
            <w:vAlign w:val="center"/>
          </w:tcPr>
          <w:p w14:paraId="16BA75AF">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301" w:type="pct"/>
            <w:tcBorders>
              <w:top w:val="nil"/>
              <w:left w:val="nil"/>
              <w:bottom w:val="single" w:color="auto" w:sz="4" w:space="0"/>
              <w:right w:val="single" w:color="auto" w:sz="4" w:space="0"/>
            </w:tcBorders>
            <w:shd w:val="clear" w:color="auto" w:fill="auto"/>
            <w:vAlign w:val="center"/>
          </w:tcPr>
          <w:p w14:paraId="772AC016">
            <w:pPr>
              <w:spacing w:line="240" w:lineRule="auto"/>
              <w:ind w:firstLine="0" w:firstLineChars="0"/>
              <w:jc w:val="center"/>
              <w:rPr>
                <w:rFonts w:cs="Times New Roman"/>
                <w:color w:val="000000"/>
                <w:sz w:val="21"/>
                <w:szCs w:val="21"/>
              </w:rPr>
            </w:pPr>
            <w:r>
              <w:rPr>
                <w:rFonts w:cs="Times New Roman"/>
                <w:color w:val="000000"/>
                <w:sz w:val="20"/>
                <w:szCs w:val="20"/>
              </w:rPr>
              <w:t>100</w:t>
            </w:r>
          </w:p>
        </w:tc>
      </w:tr>
      <w:tr w14:paraId="22CBE7C2">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2DE74CF0">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2DBFDD2E">
            <w:pPr>
              <w:spacing w:line="240" w:lineRule="auto"/>
              <w:ind w:firstLine="0" w:firstLineChars="0"/>
              <w:jc w:val="center"/>
              <w:rPr>
                <w:rFonts w:cs="Times New Roman"/>
                <w:color w:val="000000"/>
                <w:sz w:val="21"/>
                <w:szCs w:val="21"/>
              </w:rPr>
            </w:pPr>
            <w:r>
              <w:rPr>
                <w:rFonts w:cs="Times New Roman"/>
                <w:color w:val="000000"/>
                <w:sz w:val="21"/>
                <w:szCs w:val="21"/>
              </w:rPr>
              <w:t>坡长指数</w:t>
            </w:r>
          </w:p>
        </w:tc>
        <w:tc>
          <w:tcPr>
            <w:tcW w:w="223" w:type="pct"/>
            <w:tcBorders>
              <w:top w:val="nil"/>
              <w:left w:val="nil"/>
              <w:bottom w:val="single" w:color="auto" w:sz="4" w:space="0"/>
              <w:right w:val="single" w:color="auto" w:sz="4" w:space="0"/>
            </w:tcBorders>
            <w:shd w:val="clear" w:color="auto" w:fill="auto"/>
            <w:vAlign w:val="center"/>
          </w:tcPr>
          <w:p w14:paraId="576A8A38">
            <w:pPr>
              <w:spacing w:line="240" w:lineRule="auto"/>
              <w:ind w:firstLine="0" w:firstLineChars="0"/>
              <w:jc w:val="center"/>
              <w:rPr>
                <w:rFonts w:cs="Times New Roman"/>
                <w:color w:val="000000"/>
                <w:sz w:val="21"/>
                <w:szCs w:val="21"/>
              </w:rPr>
            </w:pPr>
            <w:r>
              <w:rPr>
                <w:rFonts w:cs="Times New Roman"/>
                <w:color w:val="000000"/>
                <w:sz w:val="21"/>
                <w:szCs w:val="21"/>
              </w:rPr>
              <w:t>m</w:t>
            </w:r>
          </w:p>
        </w:tc>
        <w:tc>
          <w:tcPr>
            <w:tcW w:w="865" w:type="pct"/>
            <w:tcBorders>
              <w:top w:val="nil"/>
              <w:left w:val="nil"/>
              <w:bottom w:val="single" w:color="auto" w:sz="4" w:space="0"/>
              <w:right w:val="single" w:color="auto" w:sz="4" w:space="0"/>
            </w:tcBorders>
            <w:shd w:val="clear" w:color="auto" w:fill="auto"/>
            <w:vAlign w:val="center"/>
          </w:tcPr>
          <w:p w14:paraId="2A76BC71">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3AA3E453">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333" w:type="pct"/>
            <w:gridSpan w:val="2"/>
            <w:tcBorders>
              <w:top w:val="nil"/>
              <w:left w:val="nil"/>
              <w:bottom w:val="single" w:color="auto" w:sz="4" w:space="0"/>
              <w:right w:val="single" w:color="auto" w:sz="4" w:space="0"/>
            </w:tcBorders>
            <w:shd w:val="clear" w:color="auto" w:fill="auto"/>
            <w:vAlign w:val="center"/>
          </w:tcPr>
          <w:p w14:paraId="15901C62">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302" w:type="pct"/>
            <w:tcBorders>
              <w:top w:val="nil"/>
              <w:left w:val="nil"/>
              <w:bottom w:val="single" w:color="auto" w:sz="4" w:space="0"/>
              <w:right w:val="single" w:color="auto" w:sz="4" w:space="0"/>
            </w:tcBorders>
            <w:shd w:val="clear" w:color="auto" w:fill="auto"/>
            <w:vAlign w:val="center"/>
          </w:tcPr>
          <w:p w14:paraId="50BCEE09">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333" w:type="pct"/>
            <w:gridSpan w:val="2"/>
            <w:tcBorders>
              <w:top w:val="nil"/>
              <w:left w:val="nil"/>
              <w:bottom w:val="single" w:color="auto" w:sz="4" w:space="0"/>
              <w:right w:val="single" w:color="auto" w:sz="4" w:space="0"/>
            </w:tcBorders>
            <w:shd w:val="clear" w:color="auto" w:fill="auto"/>
            <w:vAlign w:val="center"/>
          </w:tcPr>
          <w:p w14:paraId="18F522EA">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302" w:type="pct"/>
            <w:tcBorders>
              <w:top w:val="nil"/>
              <w:left w:val="nil"/>
              <w:bottom w:val="single" w:color="auto" w:sz="4" w:space="0"/>
              <w:right w:val="single" w:color="auto" w:sz="4" w:space="0"/>
            </w:tcBorders>
            <w:shd w:val="clear" w:color="auto" w:fill="auto"/>
            <w:vAlign w:val="center"/>
          </w:tcPr>
          <w:p w14:paraId="36374434">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333" w:type="pct"/>
            <w:gridSpan w:val="2"/>
            <w:tcBorders>
              <w:top w:val="nil"/>
              <w:left w:val="nil"/>
              <w:bottom w:val="single" w:color="auto" w:sz="4" w:space="0"/>
              <w:right w:val="single" w:color="auto" w:sz="4" w:space="0"/>
            </w:tcBorders>
            <w:shd w:val="clear" w:color="auto" w:fill="auto"/>
            <w:vAlign w:val="center"/>
          </w:tcPr>
          <w:p w14:paraId="33CD7A86">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303" w:type="pct"/>
            <w:tcBorders>
              <w:top w:val="nil"/>
              <w:left w:val="nil"/>
              <w:bottom w:val="single" w:color="auto" w:sz="4" w:space="0"/>
              <w:right w:val="single" w:color="auto" w:sz="4" w:space="0"/>
            </w:tcBorders>
            <w:shd w:val="clear" w:color="auto" w:fill="auto"/>
            <w:vAlign w:val="center"/>
          </w:tcPr>
          <w:p w14:paraId="4B1F7640">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334" w:type="pct"/>
            <w:gridSpan w:val="2"/>
            <w:tcBorders>
              <w:top w:val="nil"/>
              <w:left w:val="nil"/>
              <w:bottom w:val="single" w:color="auto" w:sz="4" w:space="0"/>
              <w:right w:val="single" w:color="auto" w:sz="4" w:space="0"/>
            </w:tcBorders>
            <w:shd w:val="clear" w:color="auto" w:fill="auto"/>
            <w:vAlign w:val="center"/>
          </w:tcPr>
          <w:p w14:paraId="32E7197C">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303" w:type="pct"/>
            <w:tcBorders>
              <w:top w:val="nil"/>
              <w:left w:val="nil"/>
              <w:bottom w:val="single" w:color="auto" w:sz="4" w:space="0"/>
              <w:right w:val="single" w:color="auto" w:sz="4" w:space="0"/>
            </w:tcBorders>
            <w:shd w:val="clear" w:color="auto" w:fill="auto"/>
            <w:vAlign w:val="center"/>
          </w:tcPr>
          <w:p w14:paraId="6343D588">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301" w:type="pct"/>
            <w:tcBorders>
              <w:top w:val="nil"/>
              <w:left w:val="nil"/>
              <w:bottom w:val="single" w:color="auto" w:sz="4" w:space="0"/>
              <w:right w:val="single" w:color="auto" w:sz="4" w:space="0"/>
            </w:tcBorders>
            <w:shd w:val="clear" w:color="auto" w:fill="auto"/>
            <w:vAlign w:val="center"/>
          </w:tcPr>
          <w:p w14:paraId="4F209CFF">
            <w:pPr>
              <w:spacing w:line="240" w:lineRule="auto"/>
              <w:ind w:firstLine="0" w:firstLineChars="0"/>
              <w:jc w:val="center"/>
              <w:rPr>
                <w:rFonts w:cs="Times New Roman"/>
                <w:color w:val="000000"/>
                <w:sz w:val="21"/>
                <w:szCs w:val="21"/>
              </w:rPr>
            </w:pPr>
            <w:r>
              <w:rPr>
                <w:rFonts w:cs="Times New Roman"/>
                <w:color w:val="000000"/>
                <w:sz w:val="20"/>
                <w:szCs w:val="20"/>
              </w:rPr>
              <w:t>0.4</w:t>
            </w:r>
          </w:p>
        </w:tc>
      </w:tr>
      <w:tr w14:paraId="523494E3">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4B0A9DC6">
            <w:pPr>
              <w:spacing w:line="240" w:lineRule="auto"/>
              <w:ind w:firstLine="0" w:firstLineChars="0"/>
              <w:jc w:val="center"/>
              <w:rPr>
                <w:rFonts w:cs="Times New Roman"/>
                <w:color w:val="000000"/>
                <w:sz w:val="21"/>
                <w:szCs w:val="21"/>
              </w:rPr>
            </w:pPr>
            <w:r>
              <w:rPr>
                <w:rFonts w:cs="Times New Roman"/>
                <w:color w:val="000000"/>
                <w:sz w:val="21"/>
                <w:szCs w:val="21"/>
              </w:rPr>
              <w:t>5</w:t>
            </w:r>
          </w:p>
        </w:tc>
        <w:tc>
          <w:tcPr>
            <w:tcW w:w="589" w:type="pct"/>
            <w:tcBorders>
              <w:top w:val="nil"/>
              <w:left w:val="nil"/>
              <w:bottom w:val="single" w:color="auto" w:sz="4" w:space="0"/>
              <w:right w:val="single" w:color="auto" w:sz="4" w:space="0"/>
            </w:tcBorders>
            <w:shd w:val="clear" w:color="auto" w:fill="auto"/>
            <w:vAlign w:val="center"/>
          </w:tcPr>
          <w:p w14:paraId="02657E31">
            <w:pPr>
              <w:spacing w:line="240" w:lineRule="auto"/>
              <w:ind w:firstLine="0" w:firstLineChars="0"/>
              <w:jc w:val="center"/>
              <w:rPr>
                <w:rFonts w:cs="Times New Roman"/>
                <w:color w:val="000000"/>
                <w:sz w:val="21"/>
                <w:szCs w:val="21"/>
              </w:rPr>
            </w:pPr>
            <w:r>
              <w:rPr>
                <w:rFonts w:cs="Times New Roman"/>
                <w:color w:val="000000"/>
                <w:sz w:val="21"/>
                <w:szCs w:val="21"/>
              </w:rPr>
              <w:t>坡度因子</w:t>
            </w:r>
          </w:p>
        </w:tc>
        <w:tc>
          <w:tcPr>
            <w:tcW w:w="223" w:type="pct"/>
            <w:tcBorders>
              <w:top w:val="nil"/>
              <w:left w:val="nil"/>
              <w:bottom w:val="single" w:color="auto" w:sz="4" w:space="0"/>
              <w:right w:val="single" w:color="auto" w:sz="4" w:space="0"/>
            </w:tcBorders>
            <w:shd w:val="clear" w:color="auto" w:fill="auto"/>
            <w:vAlign w:val="center"/>
          </w:tcPr>
          <w:p w14:paraId="7A719D8E">
            <w:pPr>
              <w:spacing w:line="240" w:lineRule="auto"/>
              <w:ind w:firstLine="0" w:firstLineChars="0"/>
              <w:jc w:val="center"/>
              <w:rPr>
                <w:rFonts w:cs="Times New Roman"/>
                <w:color w:val="000000"/>
                <w:sz w:val="21"/>
                <w:szCs w:val="21"/>
              </w:rPr>
            </w:pPr>
            <w:r>
              <w:rPr>
                <w:rFonts w:cs="Times New Roman"/>
                <w:color w:val="000000"/>
                <w:sz w:val="21"/>
                <w:szCs w:val="21"/>
              </w:rPr>
              <w:t>Sy</w:t>
            </w:r>
          </w:p>
        </w:tc>
        <w:tc>
          <w:tcPr>
            <w:tcW w:w="865" w:type="pct"/>
            <w:tcBorders>
              <w:top w:val="nil"/>
              <w:left w:val="nil"/>
              <w:bottom w:val="single" w:color="auto" w:sz="4" w:space="0"/>
              <w:right w:val="single" w:color="auto" w:sz="4" w:space="0"/>
            </w:tcBorders>
            <w:shd w:val="clear" w:color="auto" w:fill="auto"/>
            <w:vAlign w:val="center"/>
          </w:tcPr>
          <w:p w14:paraId="3A50E4B6">
            <w:pPr>
              <w:spacing w:line="240" w:lineRule="auto"/>
              <w:ind w:firstLine="0" w:firstLineChars="0"/>
              <w:jc w:val="center"/>
              <w:rPr>
                <w:rFonts w:cs="Times New Roman"/>
                <w:color w:val="000000"/>
                <w:sz w:val="21"/>
                <w:szCs w:val="21"/>
              </w:rPr>
            </w:pPr>
            <w:r>
              <w:rPr>
                <w:rFonts w:cs="Times New Roman"/>
                <w:color w:val="000000"/>
                <w:sz w:val="21"/>
                <w:szCs w:val="21"/>
              </w:rPr>
              <w:t>Sy=-1.5+17/[1+e</w:t>
            </w:r>
            <w:r>
              <w:rPr>
                <w:rFonts w:cs="Times New Roman"/>
                <w:color w:val="000000"/>
                <w:sz w:val="21"/>
                <w:szCs w:val="21"/>
                <w:vertAlign w:val="superscript"/>
              </w:rPr>
              <w:t>(2.3-6.1sinθ)</w:t>
            </w:r>
            <w:r>
              <w:rPr>
                <w:rFonts w:cs="Times New Roman"/>
                <w:color w:val="000000"/>
                <w:sz w:val="21"/>
                <w:szCs w:val="21"/>
              </w:rPr>
              <w:t>]</w:t>
            </w:r>
          </w:p>
        </w:tc>
        <w:tc>
          <w:tcPr>
            <w:tcW w:w="302" w:type="pct"/>
            <w:tcBorders>
              <w:top w:val="nil"/>
              <w:left w:val="nil"/>
              <w:bottom w:val="single" w:color="auto" w:sz="4" w:space="0"/>
              <w:right w:val="single" w:color="auto" w:sz="4" w:space="0"/>
            </w:tcBorders>
            <w:shd w:val="clear" w:color="auto" w:fill="auto"/>
            <w:vAlign w:val="center"/>
          </w:tcPr>
          <w:p w14:paraId="0F15F66D">
            <w:pPr>
              <w:spacing w:line="240" w:lineRule="auto"/>
              <w:ind w:firstLine="0" w:firstLineChars="0"/>
              <w:jc w:val="center"/>
              <w:rPr>
                <w:rFonts w:cs="Times New Roman"/>
                <w:color w:val="000000"/>
                <w:sz w:val="21"/>
                <w:szCs w:val="21"/>
              </w:rPr>
            </w:pPr>
            <w:r>
              <w:rPr>
                <w:rFonts w:cs="Times New Roman"/>
                <w:color w:val="000000"/>
                <w:sz w:val="20"/>
                <w:szCs w:val="20"/>
              </w:rPr>
              <w:t xml:space="preserve">1.21 </w:t>
            </w:r>
          </w:p>
        </w:tc>
        <w:tc>
          <w:tcPr>
            <w:tcW w:w="333" w:type="pct"/>
            <w:gridSpan w:val="2"/>
            <w:tcBorders>
              <w:top w:val="nil"/>
              <w:left w:val="nil"/>
              <w:bottom w:val="single" w:color="auto" w:sz="4" w:space="0"/>
              <w:right w:val="single" w:color="auto" w:sz="4" w:space="0"/>
            </w:tcBorders>
            <w:shd w:val="clear" w:color="auto" w:fill="auto"/>
            <w:vAlign w:val="center"/>
          </w:tcPr>
          <w:p w14:paraId="1998AFEA">
            <w:pPr>
              <w:spacing w:line="240" w:lineRule="auto"/>
              <w:ind w:firstLine="0" w:firstLineChars="0"/>
              <w:jc w:val="center"/>
              <w:rPr>
                <w:rFonts w:cs="Times New Roman"/>
                <w:color w:val="000000"/>
                <w:sz w:val="21"/>
                <w:szCs w:val="21"/>
              </w:rPr>
            </w:pPr>
            <w:r>
              <w:rPr>
                <w:rFonts w:cs="Times New Roman"/>
                <w:color w:val="000000"/>
                <w:sz w:val="20"/>
                <w:szCs w:val="20"/>
              </w:rPr>
              <w:t xml:space="preserve">1.21 </w:t>
            </w:r>
          </w:p>
        </w:tc>
        <w:tc>
          <w:tcPr>
            <w:tcW w:w="302" w:type="pct"/>
            <w:tcBorders>
              <w:top w:val="nil"/>
              <w:left w:val="nil"/>
              <w:bottom w:val="single" w:color="auto" w:sz="4" w:space="0"/>
              <w:right w:val="single" w:color="auto" w:sz="4" w:space="0"/>
            </w:tcBorders>
            <w:shd w:val="clear" w:color="auto" w:fill="auto"/>
            <w:vAlign w:val="center"/>
          </w:tcPr>
          <w:p w14:paraId="52F0364C">
            <w:pPr>
              <w:spacing w:line="240" w:lineRule="auto"/>
              <w:ind w:firstLine="0" w:firstLineChars="0"/>
              <w:jc w:val="center"/>
              <w:rPr>
                <w:rFonts w:cs="Times New Roman"/>
                <w:color w:val="000000"/>
                <w:sz w:val="21"/>
                <w:szCs w:val="21"/>
              </w:rPr>
            </w:pPr>
            <w:r>
              <w:rPr>
                <w:rFonts w:cs="Times New Roman"/>
                <w:color w:val="000000"/>
                <w:sz w:val="20"/>
                <w:szCs w:val="20"/>
              </w:rPr>
              <w:t xml:space="preserve">1.21 </w:t>
            </w:r>
          </w:p>
        </w:tc>
        <w:tc>
          <w:tcPr>
            <w:tcW w:w="333" w:type="pct"/>
            <w:gridSpan w:val="2"/>
            <w:tcBorders>
              <w:top w:val="nil"/>
              <w:left w:val="nil"/>
              <w:bottom w:val="single" w:color="auto" w:sz="4" w:space="0"/>
              <w:right w:val="single" w:color="auto" w:sz="4" w:space="0"/>
            </w:tcBorders>
            <w:shd w:val="clear" w:color="auto" w:fill="auto"/>
            <w:vAlign w:val="center"/>
          </w:tcPr>
          <w:p w14:paraId="3AC26201">
            <w:pPr>
              <w:spacing w:line="240" w:lineRule="auto"/>
              <w:ind w:firstLine="0" w:firstLineChars="0"/>
              <w:jc w:val="center"/>
              <w:rPr>
                <w:rFonts w:cs="Times New Roman"/>
                <w:color w:val="000000"/>
                <w:sz w:val="21"/>
                <w:szCs w:val="21"/>
              </w:rPr>
            </w:pPr>
            <w:r>
              <w:rPr>
                <w:rFonts w:cs="Times New Roman"/>
                <w:color w:val="000000"/>
                <w:sz w:val="20"/>
                <w:szCs w:val="20"/>
              </w:rPr>
              <w:t xml:space="preserve">1.21 </w:t>
            </w:r>
          </w:p>
        </w:tc>
        <w:tc>
          <w:tcPr>
            <w:tcW w:w="302" w:type="pct"/>
            <w:tcBorders>
              <w:top w:val="nil"/>
              <w:left w:val="nil"/>
              <w:bottom w:val="single" w:color="auto" w:sz="4" w:space="0"/>
              <w:right w:val="single" w:color="auto" w:sz="4" w:space="0"/>
            </w:tcBorders>
            <w:shd w:val="clear" w:color="auto" w:fill="auto"/>
            <w:vAlign w:val="center"/>
          </w:tcPr>
          <w:p w14:paraId="35C900F4">
            <w:pPr>
              <w:spacing w:line="240" w:lineRule="auto"/>
              <w:ind w:firstLine="0" w:firstLineChars="0"/>
              <w:jc w:val="center"/>
              <w:rPr>
                <w:rFonts w:cs="Times New Roman"/>
                <w:color w:val="000000"/>
                <w:sz w:val="21"/>
                <w:szCs w:val="21"/>
              </w:rPr>
            </w:pPr>
            <w:r>
              <w:rPr>
                <w:rFonts w:cs="Times New Roman"/>
                <w:color w:val="000000"/>
                <w:sz w:val="20"/>
                <w:szCs w:val="20"/>
              </w:rPr>
              <w:t xml:space="preserve">1.21 </w:t>
            </w:r>
          </w:p>
        </w:tc>
        <w:tc>
          <w:tcPr>
            <w:tcW w:w="333" w:type="pct"/>
            <w:gridSpan w:val="2"/>
            <w:tcBorders>
              <w:top w:val="nil"/>
              <w:left w:val="nil"/>
              <w:bottom w:val="single" w:color="auto" w:sz="4" w:space="0"/>
              <w:right w:val="single" w:color="auto" w:sz="4" w:space="0"/>
            </w:tcBorders>
            <w:shd w:val="clear" w:color="auto" w:fill="auto"/>
            <w:vAlign w:val="center"/>
          </w:tcPr>
          <w:p w14:paraId="699415E3">
            <w:pPr>
              <w:spacing w:line="240" w:lineRule="auto"/>
              <w:ind w:firstLine="0" w:firstLineChars="0"/>
              <w:jc w:val="center"/>
              <w:rPr>
                <w:rFonts w:cs="Times New Roman"/>
                <w:color w:val="000000"/>
                <w:sz w:val="21"/>
                <w:szCs w:val="21"/>
              </w:rPr>
            </w:pPr>
            <w:r>
              <w:rPr>
                <w:rFonts w:cs="Times New Roman"/>
                <w:color w:val="000000"/>
                <w:sz w:val="20"/>
                <w:szCs w:val="20"/>
              </w:rPr>
              <w:t xml:space="preserve">0.98 </w:t>
            </w:r>
          </w:p>
        </w:tc>
        <w:tc>
          <w:tcPr>
            <w:tcW w:w="303" w:type="pct"/>
            <w:tcBorders>
              <w:top w:val="nil"/>
              <w:left w:val="nil"/>
              <w:bottom w:val="single" w:color="auto" w:sz="4" w:space="0"/>
              <w:right w:val="single" w:color="auto" w:sz="4" w:space="0"/>
            </w:tcBorders>
            <w:shd w:val="clear" w:color="auto" w:fill="auto"/>
            <w:vAlign w:val="center"/>
          </w:tcPr>
          <w:p w14:paraId="35973405">
            <w:pPr>
              <w:spacing w:line="240" w:lineRule="auto"/>
              <w:ind w:firstLine="0" w:firstLineChars="0"/>
              <w:jc w:val="center"/>
              <w:rPr>
                <w:rFonts w:cs="Times New Roman"/>
                <w:color w:val="000000"/>
                <w:sz w:val="21"/>
                <w:szCs w:val="21"/>
              </w:rPr>
            </w:pPr>
            <w:r>
              <w:rPr>
                <w:rFonts w:cs="Times New Roman"/>
                <w:color w:val="000000"/>
                <w:sz w:val="20"/>
                <w:szCs w:val="20"/>
              </w:rPr>
              <w:t xml:space="preserve">0.98 </w:t>
            </w:r>
          </w:p>
        </w:tc>
        <w:tc>
          <w:tcPr>
            <w:tcW w:w="334" w:type="pct"/>
            <w:gridSpan w:val="2"/>
            <w:tcBorders>
              <w:top w:val="nil"/>
              <w:left w:val="nil"/>
              <w:bottom w:val="single" w:color="auto" w:sz="4" w:space="0"/>
              <w:right w:val="single" w:color="auto" w:sz="4" w:space="0"/>
            </w:tcBorders>
            <w:shd w:val="clear" w:color="auto" w:fill="auto"/>
            <w:vAlign w:val="center"/>
          </w:tcPr>
          <w:p w14:paraId="65FF1C00">
            <w:pPr>
              <w:spacing w:line="240" w:lineRule="auto"/>
              <w:ind w:firstLine="0" w:firstLineChars="0"/>
              <w:jc w:val="center"/>
              <w:rPr>
                <w:rFonts w:cs="Times New Roman"/>
                <w:color w:val="000000"/>
                <w:sz w:val="21"/>
                <w:szCs w:val="21"/>
              </w:rPr>
            </w:pPr>
            <w:r>
              <w:rPr>
                <w:rFonts w:cs="Times New Roman"/>
                <w:color w:val="000000"/>
                <w:sz w:val="20"/>
                <w:szCs w:val="20"/>
              </w:rPr>
              <w:t xml:space="preserve">0.98 </w:t>
            </w:r>
          </w:p>
        </w:tc>
        <w:tc>
          <w:tcPr>
            <w:tcW w:w="303" w:type="pct"/>
            <w:tcBorders>
              <w:top w:val="nil"/>
              <w:left w:val="nil"/>
              <w:bottom w:val="single" w:color="auto" w:sz="4" w:space="0"/>
              <w:right w:val="single" w:color="auto" w:sz="4" w:space="0"/>
            </w:tcBorders>
            <w:shd w:val="clear" w:color="auto" w:fill="auto"/>
            <w:vAlign w:val="center"/>
          </w:tcPr>
          <w:p w14:paraId="4BA115E6">
            <w:pPr>
              <w:spacing w:line="240" w:lineRule="auto"/>
              <w:ind w:firstLine="0" w:firstLineChars="0"/>
              <w:jc w:val="center"/>
              <w:rPr>
                <w:rFonts w:cs="Times New Roman"/>
                <w:color w:val="000000"/>
                <w:sz w:val="21"/>
                <w:szCs w:val="21"/>
              </w:rPr>
            </w:pPr>
            <w:r>
              <w:rPr>
                <w:rFonts w:cs="Times New Roman"/>
                <w:color w:val="000000"/>
                <w:sz w:val="20"/>
                <w:szCs w:val="20"/>
              </w:rPr>
              <w:t xml:space="preserve">0.98 </w:t>
            </w:r>
          </w:p>
        </w:tc>
        <w:tc>
          <w:tcPr>
            <w:tcW w:w="301" w:type="pct"/>
            <w:tcBorders>
              <w:top w:val="nil"/>
              <w:left w:val="nil"/>
              <w:bottom w:val="single" w:color="auto" w:sz="4" w:space="0"/>
              <w:right w:val="single" w:color="auto" w:sz="4" w:space="0"/>
            </w:tcBorders>
            <w:shd w:val="clear" w:color="auto" w:fill="auto"/>
            <w:vAlign w:val="center"/>
          </w:tcPr>
          <w:p w14:paraId="5DAF24A5">
            <w:pPr>
              <w:spacing w:line="240" w:lineRule="auto"/>
              <w:ind w:firstLine="0" w:firstLineChars="0"/>
              <w:jc w:val="center"/>
              <w:rPr>
                <w:rFonts w:cs="Times New Roman"/>
                <w:color w:val="000000"/>
                <w:sz w:val="21"/>
                <w:szCs w:val="21"/>
              </w:rPr>
            </w:pPr>
            <w:r>
              <w:rPr>
                <w:rFonts w:cs="Times New Roman"/>
                <w:color w:val="000000"/>
                <w:sz w:val="20"/>
                <w:szCs w:val="20"/>
              </w:rPr>
              <w:t xml:space="preserve">0.98 </w:t>
            </w:r>
          </w:p>
        </w:tc>
      </w:tr>
      <w:tr w14:paraId="74BCFEB3">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66CE8643">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0AFC7B0D">
            <w:pPr>
              <w:spacing w:line="240" w:lineRule="auto"/>
              <w:ind w:firstLine="0" w:firstLineChars="0"/>
              <w:jc w:val="center"/>
              <w:rPr>
                <w:rFonts w:cs="Times New Roman"/>
                <w:color w:val="000000"/>
                <w:sz w:val="21"/>
                <w:szCs w:val="21"/>
              </w:rPr>
            </w:pPr>
            <w:r>
              <w:rPr>
                <w:rFonts w:cs="Times New Roman"/>
                <w:color w:val="000000"/>
                <w:sz w:val="21"/>
                <w:szCs w:val="21"/>
              </w:rPr>
              <w:t>坡度（°）</w:t>
            </w:r>
          </w:p>
        </w:tc>
        <w:tc>
          <w:tcPr>
            <w:tcW w:w="223" w:type="pct"/>
            <w:tcBorders>
              <w:top w:val="nil"/>
              <w:left w:val="nil"/>
              <w:bottom w:val="single" w:color="auto" w:sz="4" w:space="0"/>
              <w:right w:val="single" w:color="auto" w:sz="4" w:space="0"/>
            </w:tcBorders>
            <w:shd w:val="clear" w:color="auto" w:fill="auto"/>
            <w:vAlign w:val="center"/>
          </w:tcPr>
          <w:p w14:paraId="73FA1F7A">
            <w:pPr>
              <w:spacing w:line="240" w:lineRule="auto"/>
              <w:ind w:firstLine="0" w:firstLineChars="0"/>
              <w:jc w:val="center"/>
              <w:rPr>
                <w:rFonts w:cs="Times New Roman"/>
                <w:color w:val="000000"/>
                <w:sz w:val="21"/>
                <w:szCs w:val="21"/>
              </w:rPr>
            </w:pPr>
            <w:r>
              <w:rPr>
                <w:rFonts w:cs="Times New Roman"/>
                <w:color w:val="000000"/>
                <w:sz w:val="21"/>
                <w:szCs w:val="21"/>
              </w:rPr>
              <w:t>θ</w:t>
            </w:r>
          </w:p>
        </w:tc>
        <w:tc>
          <w:tcPr>
            <w:tcW w:w="865" w:type="pct"/>
            <w:tcBorders>
              <w:top w:val="nil"/>
              <w:left w:val="nil"/>
              <w:bottom w:val="single" w:color="auto" w:sz="4" w:space="0"/>
              <w:right w:val="single" w:color="auto" w:sz="4" w:space="0"/>
            </w:tcBorders>
            <w:shd w:val="clear" w:color="auto" w:fill="auto"/>
            <w:vAlign w:val="center"/>
          </w:tcPr>
          <w:p w14:paraId="798195BB">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0647F9C7">
            <w:pPr>
              <w:spacing w:line="240" w:lineRule="auto"/>
              <w:ind w:firstLine="0" w:firstLineChars="0"/>
              <w:jc w:val="center"/>
              <w:rPr>
                <w:rFonts w:cs="Times New Roman"/>
                <w:color w:val="000000"/>
                <w:sz w:val="21"/>
                <w:szCs w:val="21"/>
              </w:rPr>
            </w:pPr>
            <w:r>
              <w:rPr>
                <w:rFonts w:cs="Times New Roman"/>
                <w:color w:val="000000"/>
                <w:sz w:val="20"/>
                <w:szCs w:val="20"/>
              </w:rPr>
              <w:t>6</w:t>
            </w:r>
          </w:p>
        </w:tc>
        <w:tc>
          <w:tcPr>
            <w:tcW w:w="333" w:type="pct"/>
            <w:gridSpan w:val="2"/>
            <w:tcBorders>
              <w:top w:val="nil"/>
              <w:left w:val="nil"/>
              <w:bottom w:val="single" w:color="auto" w:sz="4" w:space="0"/>
              <w:right w:val="single" w:color="auto" w:sz="4" w:space="0"/>
            </w:tcBorders>
            <w:shd w:val="clear" w:color="auto" w:fill="auto"/>
            <w:vAlign w:val="center"/>
          </w:tcPr>
          <w:p w14:paraId="2262AF87">
            <w:pPr>
              <w:spacing w:line="240" w:lineRule="auto"/>
              <w:ind w:firstLine="0" w:firstLineChars="0"/>
              <w:jc w:val="center"/>
              <w:rPr>
                <w:rFonts w:cs="Times New Roman"/>
                <w:color w:val="000000"/>
                <w:sz w:val="21"/>
                <w:szCs w:val="21"/>
              </w:rPr>
            </w:pPr>
            <w:r>
              <w:rPr>
                <w:rFonts w:cs="Times New Roman"/>
                <w:color w:val="000000"/>
                <w:sz w:val="20"/>
                <w:szCs w:val="20"/>
              </w:rPr>
              <w:t>6</w:t>
            </w:r>
          </w:p>
        </w:tc>
        <w:tc>
          <w:tcPr>
            <w:tcW w:w="302" w:type="pct"/>
            <w:tcBorders>
              <w:top w:val="nil"/>
              <w:left w:val="nil"/>
              <w:bottom w:val="single" w:color="auto" w:sz="4" w:space="0"/>
              <w:right w:val="single" w:color="auto" w:sz="4" w:space="0"/>
            </w:tcBorders>
            <w:shd w:val="clear" w:color="auto" w:fill="auto"/>
            <w:vAlign w:val="center"/>
          </w:tcPr>
          <w:p w14:paraId="7141FECF">
            <w:pPr>
              <w:spacing w:line="240" w:lineRule="auto"/>
              <w:ind w:firstLine="0" w:firstLineChars="0"/>
              <w:jc w:val="center"/>
              <w:rPr>
                <w:rFonts w:cs="Times New Roman"/>
                <w:color w:val="000000"/>
                <w:sz w:val="21"/>
                <w:szCs w:val="21"/>
              </w:rPr>
            </w:pPr>
            <w:r>
              <w:rPr>
                <w:rFonts w:cs="Times New Roman"/>
                <w:color w:val="000000"/>
                <w:sz w:val="20"/>
                <w:szCs w:val="20"/>
              </w:rPr>
              <w:t>6</w:t>
            </w:r>
          </w:p>
        </w:tc>
        <w:tc>
          <w:tcPr>
            <w:tcW w:w="333" w:type="pct"/>
            <w:gridSpan w:val="2"/>
            <w:tcBorders>
              <w:top w:val="nil"/>
              <w:left w:val="nil"/>
              <w:bottom w:val="single" w:color="auto" w:sz="4" w:space="0"/>
              <w:right w:val="single" w:color="auto" w:sz="4" w:space="0"/>
            </w:tcBorders>
            <w:shd w:val="clear" w:color="auto" w:fill="auto"/>
            <w:vAlign w:val="center"/>
          </w:tcPr>
          <w:p w14:paraId="05A3CEF6">
            <w:pPr>
              <w:spacing w:line="240" w:lineRule="auto"/>
              <w:ind w:firstLine="0" w:firstLineChars="0"/>
              <w:jc w:val="center"/>
              <w:rPr>
                <w:rFonts w:cs="Times New Roman"/>
                <w:color w:val="000000"/>
                <w:sz w:val="21"/>
                <w:szCs w:val="21"/>
              </w:rPr>
            </w:pPr>
            <w:r>
              <w:rPr>
                <w:rFonts w:cs="Times New Roman"/>
                <w:color w:val="000000"/>
                <w:sz w:val="20"/>
                <w:szCs w:val="20"/>
              </w:rPr>
              <w:t>6</w:t>
            </w:r>
          </w:p>
        </w:tc>
        <w:tc>
          <w:tcPr>
            <w:tcW w:w="302" w:type="pct"/>
            <w:tcBorders>
              <w:top w:val="nil"/>
              <w:left w:val="nil"/>
              <w:bottom w:val="single" w:color="auto" w:sz="4" w:space="0"/>
              <w:right w:val="single" w:color="auto" w:sz="4" w:space="0"/>
            </w:tcBorders>
            <w:shd w:val="clear" w:color="auto" w:fill="auto"/>
            <w:vAlign w:val="center"/>
          </w:tcPr>
          <w:p w14:paraId="2A552B70">
            <w:pPr>
              <w:spacing w:line="240" w:lineRule="auto"/>
              <w:ind w:firstLine="0" w:firstLineChars="0"/>
              <w:jc w:val="center"/>
              <w:rPr>
                <w:rFonts w:cs="Times New Roman"/>
                <w:color w:val="000000"/>
                <w:sz w:val="21"/>
                <w:szCs w:val="21"/>
              </w:rPr>
            </w:pPr>
            <w:r>
              <w:rPr>
                <w:rFonts w:cs="Times New Roman"/>
                <w:color w:val="000000"/>
                <w:sz w:val="20"/>
                <w:szCs w:val="20"/>
              </w:rPr>
              <w:t>6</w:t>
            </w:r>
          </w:p>
        </w:tc>
        <w:tc>
          <w:tcPr>
            <w:tcW w:w="333" w:type="pct"/>
            <w:gridSpan w:val="2"/>
            <w:tcBorders>
              <w:top w:val="nil"/>
              <w:left w:val="nil"/>
              <w:bottom w:val="single" w:color="auto" w:sz="4" w:space="0"/>
              <w:right w:val="single" w:color="auto" w:sz="4" w:space="0"/>
            </w:tcBorders>
            <w:shd w:val="clear" w:color="auto" w:fill="auto"/>
            <w:vAlign w:val="center"/>
          </w:tcPr>
          <w:p w14:paraId="5FF2DF20">
            <w:pPr>
              <w:spacing w:line="240" w:lineRule="auto"/>
              <w:ind w:firstLine="0" w:firstLineChars="0"/>
              <w:jc w:val="center"/>
              <w:rPr>
                <w:rFonts w:cs="Times New Roman"/>
                <w:color w:val="000000"/>
                <w:sz w:val="21"/>
                <w:szCs w:val="21"/>
              </w:rPr>
            </w:pPr>
            <w:r>
              <w:rPr>
                <w:rFonts w:cs="Times New Roman"/>
                <w:color w:val="000000"/>
                <w:sz w:val="20"/>
                <w:szCs w:val="20"/>
              </w:rPr>
              <w:t xml:space="preserve">5 </w:t>
            </w:r>
          </w:p>
        </w:tc>
        <w:tc>
          <w:tcPr>
            <w:tcW w:w="303" w:type="pct"/>
            <w:tcBorders>
              <w:top w:val="nil"/>
              <w:left w:val="nil"/>
              <w:bottom w:val="single" w:color="auto" w:sz="4" w:space="0"/>
              <w:right w:val="single" w:color="auto" w:sz="4" w:space="0"/>
            </w:tcBorders>
            <w:shd w:val="clear" w:color="auto" w:fill="auto"/>
            <w:vAlign w:val="center"/>
          </w:tcPr>
          <w:p w14:paraId="35A9C4F0">
            <w:pPr>
              <w:spacing w:line="240" w:lineRule="auto"/>
              <w:ind w:firstLine="0" w:firstLineChars="0"/>
              <w:jc w:val="center"/>
              <w:rPr>
                <w:rFonts w:cs="Times New Roman"/>
                <w:color w:val="000000"/>
                <w:sz w:val="21"/>
                <w:szCs w:val="21"/>
              </w:rPr>
            </w:pPr>
            <w:r>
              <w:rPr>
                <w:rFonts w:cs="Times New Roman"/>
                <w:color w:val="000000"/>
                <w:sz w:val="20"/>
                <w:szCs w:val="20"/>
              </w:rPr>
              <w:t xml:space="preserve">5 </w:t>
            </w:r>
          </w:p>
        </w:tc>
        <w:tc>
          <w:tcPr>
            <w:tcW w:w="334" w:type="pct"/>
            <w:gridSpan w:val="2"/>
            <w:tcBorders>
              <w:top w:val="nil"/>
              <w:left w:val="nil"/>
              <w:bottom w:val="single" w:color="auto" w:sz="4" w:space="0"/>
              <w:right w:val="single" w:color="auto" w:sz="4" w:space="0"/>
            </w:tcBorders>
            <w:shd w:val="clear" w:color="auto" w:fill="auto"/>
            <w:vAlign w:val="center"/>
          </w:tcPr>
          <w:p w14:paraId="20E59419">
            <w:pPr>
              <w:spacing w:line="240" w:lineRule="auto"/>
              <w:ind w:firstLine="0" w:firstLineChars="0"/>
              <w:jc w:val="center"/>
              <w:rPr>
                <w:rFonts w:cs="Times New Roman"/>
                <w:color w:val="000000"/>
                <w:sz w:val="21"/>
                <w:szCs w:val="21"/>
              </w:rPr>
            </w:pPr>
            <w:r>
              <w:rPr>
                <w:rFonts w:cs="Times New Roman"/>
                <w:color w:val="000000"/>
                <w:sz w:val="20"/>
                <w:szCs w:val="20"/>
              </w:rPr>
              <w:t xml:space="preserve">5 </w:t>
            </w:r>
          </w:p>
        </w:tc>
        <w:tc>
          <w:tcPr>
            <w:tcW w:w="303" w:type="pct"/>
            <w:tcBorders>
              <w:top w:val="nil"/>
              <w:left w:val="nil"/>
              <w:bottom w:val="single" w:color="auto" w:sz="4" w:space="0"/>
              <w:right w:val="single" w:color="auto" w:sz="4" w:space="0"/>
            </w:tcBorders>
            <w:shd w:val="clear" w:color="auto" w:fill="auto"/>
            <w:vAlign w:val="center"/>
          </w:tcPr>
          <w:p w14:paraId="55A3B7BB">
            <w:pPr>
              <w:spacing w:line="240" w:lineRule="auto"/>
              <w:ind w:firstLine="0" w:firstLineChars="0"/>
              <w:jc w:val="center"/>
              <w:rPr>
                <w:rFonts w:cs="Times New Roman"/>
                <w:color w:val="000000"/>
                <w:sz w:val="21"/>
                <w:szCs w:val="21"/>
              </w:rPr>
            </w:pPr>
            <w:r>
              <w:rPr>
                <w:rFonts w:cs="Times New Roman"/>
                <w:color w:val="000000"/>
                <w:sz w:val="20"/>
                <w:szCs w:val="20"/>
              </w:rPr>
              <w:t xml:space="preserve">5 </w:t>
            </w:r>
          </w:p>
        </w:tc>
        <w:tc>
          <w:tcPr>
            <w:tcW w:w="301" w:type="pct"/>
            <w:tcBorders>
              <w:top w:val="nil"/>
              <w:left w:val="nil"/>
              <w:bottom w:val="single" w:color="auto" w:sz="4" w:space="0"/>
              <w:right w:val="single" w:color="auto" w:sz="4" w:space="0"/>
            </w:tcBorders>
            <w:shd w:val="clear" w:color="auto" w:fill="auto"/>
            <w:vAlign w:val="center"/>
          </w:tcPr>
          <w:p w14:paraId="417317F3">
            <w:pPr>
              <w:spacing w:line="240" w:lineRule="auto"/>
              <w:ind w:firstLine="0" w:firstLineChars="0"/>
              <w:jc w:val="center"/>
              <w:rPr>
                <w:rFonts w:cs="Times New Roman"/>
                <w:color w:val="000000"/>
                <w:sz w:val="21"/>
                <w:szCs w:val="21"/>
              </w:rPr>
            </w:pPr>
            <w:r>
              <w:rPr>
                <w:rFonts w:cs="Times New Roman"/>
                <w:color w:val="000000"/>
                <w:sz w:val="20"/>
                <w:szCs w:val="20"/>
              </w:rPr>
              <w:t xml:space="preserve">5 </w:t>
            </w:r>
          </w:p>
        </w:tc>
      </w:tr>
      <w:tr w14:paraId="2DE5187F">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5CB699EF">
            <w:pPr>
              <w:spacing w:line="240" w:lineRule="auto"/>
              <w:ind w:firstLine="0" w:firstLineChars="0"/>
              <w:jc w:val="center"/>
              <w:rPr>
                <w:rFonts w:cs="Times New Roman"/>
                <w:color w:val="000000"/>
                <w:sz w:val="21"/>
                <w:szCs w:val="21"/>
              </w:rPr>
            </w:pPr>
            <w:r>
              <w:rPr>
                <w:rFonts w:cs="Times New Roman"/>
                <w:color w:val="000000"/>
                <w:sz w:val="21"/>
                <w:szCs w:val="21"/>
              </w:rPr>
              <w:t>6</w:t>
            </w:r>
          </w:p>
        </w:tc>
        <w:tc>
          <w:tcPr>
            <w:tcW w:w="589" w:type="pct"/>
            <w:tcBorders>
              <w:top w:val="nil"/>
              <w:left w:val="nil"/>
              <w:bottom w:val="single" w:color="auto" w:sz="4" w:space="0"/>
              <w:right w:val="single" w:color="auto" w:sz="4" w:space="0"/>
            </w:tcBorders>
            <w:shd w:val="clear" w:color="auto" w:fill="auto"/>
            <w:vAlign w:val="center"/>
          </w:tcPr>
          <w:p w14:paraId="54B68781">
            <w:pPr>
              <w:spacing w:line="240" w:lineRule="auto"/>
              <w:ind w:firstLine="0" w:firstLineChars="0"/>
              <w:jc w:val="center"/>
              <w:rPr>
                <w:rFonts w:cs="Times New Roman"/>
                <w:color w:val="000000"/>
                <w:sz w:val="21"/>
                <w:szCs w:val="21"/>
              </w:rPr>
            </w:pPr>
            <w:r>
              <w:rPr>
                <w:rFonts w:cs="Times New Roman"/>
                <w:color w:val="000000"/>
                <w:sz w:val="21"/>
                <w:szCs w:val="21"/>
              </w:rPr>
              <w:t>植被覆盖因子</w:t>
            </w:r>
          </w:p>
        </w:tc>
        <w:tc>
          <w:tcPr>
            <w:tcW w:w="223" w:type="pct"/>
            <w:tcBorders>
              <w:top w:val="nil"/>
              <w:left w:val="nil"/>
              <w:bottom w:val="single" w:color="auto" w:sz="4" w:space="0"/>
              <w:right w:val="single" w:color="auto" w:sz="4" w:space="0"/>
            </w:tcBorders>
            <w:shd w:val="clear" w:color="auto" w:fill="auto"/>
            <w:vAlign w:val="center"/>
          </w:tcPr>
          <w:p w14:paraId="4989DC69">
            <w:pPr>
              <w:spacing w:line="240" w:lineRule="auto"/>
              <w:ind w:firstLine="0" w:firstLineChars="0"/>
              <w:jc w:val="center"/>
              <w:rPr>
                <w:rFonts w:cs="Times New Roman"/>
                <w:color w:val="000000"/>
                <w:sz w:val="21"/>
                <w:szCs w:val="21"/>
              </w:rPr>
            </w:pPr>
            <w:r>
              <w:rPr>
                <w:rFonts w:cs="Times New Roman"/>
                <w:color w:val="000000"/>
                <w:sz w:val="21"/>
                <w:szCs w:val="21"/>
              </w:rPr>
              <w:t>B</w:t>
            </w:r>
          </w:p>
        </w:tc>
        <w:tc>
          <w:tcPr>
            <w:tcW w:w="865" w:type="pct"/>
            <w:tcBorders>
              <w:top w:val="nil"/>
              <w:left w:val="nil"/>
              <w:bottom w:val="single" w:color="auto" w:sz="4" w:space="0"/>
              <w:right w:val="single" w:color="auto" w:sz="4" w:space="0"/>
            </w:tcBorders>
            <w:shd w:val="clear" w:color="auto" w:fill="auto"/>
            <w:vAlign w:val="center"/>
          </w:tcPr>
          <w:p w14:paraId="7290DAE5">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133BEE08">
            <w:pPr>
              <w:spacing w:line="240" w:lineRule="auto"/>
              <w:ind w:firstLine="0" w:firstLineChars="0"/>
              <w:jc w:val="center"/>
              <w:rPr>
                <w:rFonts w:cs="Times New Roman"/>
                <w:color w:val="000000"/>
                <w:sz w:val="21"/>
                <w:szCs w:val="21"/>
              </w:rPr>
            </w:pPr>
            <w:r>
              <w:rPr>
                <w:rFonts w:cs="Times New Roman"/>
                <w:color w:val="000000"/>
                <w:sz w:val="20"/>
                <w:szCs w:val="20"/>
              </w:rPr>
              <w:t>0.418</w:t>
            </w:r>
          </w:p>
        </w:tc>
        <w:tc>
          <w:tcPr>
            <w:tcW w:w="333" w:type="pct"/>
            <w:gridSpan w:val="2"/>
            <w:tcBorders>
              <w:top w:val="nil"/>
              <w:left w:val="nil"/>
              <w:bottom w:val="single" w:color="auto" w:sz="4" w:space="0"/>
              <w:right w:val="single" w:color="auto" w:sz="4" w:space="0"/>
            </w:tcBorders>
            <w:shd w:val="clear" w:color="auto" w:fill="auto"/>
            <w:vAlign w:val="center"/>
          </w:tcPr>
          <w:p w14:paraId="0C2D04B7">
            <w:pPr>
              <w:spacing w:line="240" w:lineRule="auto"/>
              <w:ind w:firstLine="0" w:firstLineChars="0"/>
              <w:jc w:val="center"/>
              <w:rPr>
                <w:rFonts w:cs="Times New Roman"/>
                <w:color w:val="000000"/>
                <w:sz w:val="21"/>
                <w:szCs w:val="21"/>
              </w:rPr>
            </w:pPr>
            <w:r>
              <w:rPr>
                <w:rFonts w:cs="Times New Roman"/>
                <w:color w:val="000000"/>
                <w:sz w:val="20"/>
                <w:szCs w:val="20"/>
              </w:rPr>
              <w:t>0.345</w:t>
            </w:r>
          </w:p>
        </w:tc>
        <w:tc>
          <w:tcPr>
            <w:tcW w:w="302" w:type="pct"/>
            <w:tcBorders>
              <w:top w:val="nil"/>
              <w:left w:val="nil"/>
              <w:bottom w:val="single" w:color="auto" w:sz="4" w:space="0"/>
              <w:right w:val="single" w:color="auto" w:sz="4" w:space="0"/>
            </w:tcBorders>
            <w:shd w:val="clear" w:color="auto" w:fill="auto"/>
            <w:vAlign w:val="center"/>
          </w:tcPr>
          <w:p w14:paraId="7B6DEB22">
            <w:pPr>
              <w:spacing w:line="240" w:lineRule="auto"/>
              <w:ind w:firstLine="0" w:firstLineChars="0"/>
              <w:jc w:val="center"/>
              <w:rPr>
                <w:rFonts w:cs="Times New Roman"/>
                <w:color w:val="000000"/>
                <w:sz w:val="21"/>
                <w:szCs w:val="21"/>
              </w:rPr>
            </w:pPr>
            <w:r>
              <w:rPr>
                <w:rFonts w:cs="Times New Roman"/>
                <w:color w:val="000000"/>
                <w:sz w:val="20"/>
                <w:szCs w:val="20"/>
              </w:rPr>
              <w:t>0.267</w:t>
            </w:r>
          </w:p>
        </w:tc>
        <w:tc>
          <w:tcPr>
            <w:tcW w:w="333" w:type="pct"/>
            <w:gridSpan w:val="2"/>
            <w:tcBorders>
              <w:top w:val="nil"/>
              <w:left w:val="nil"/>
              <w:bottom w:val="single" w:color="auto" w:sz="4" w:space="0"/>
              <w:right w:val="single" w:color="auto" w:sz="4" w:space="0"/>
            </w:tcBorders>
            <w:shd w:val="clear" w:color="auto" w:fill="auto"/>
            <w:vAlign w:val="center"/>
          </w:tcPr>
          <w:p w14:paraId="72D0C3C7">
            <w:pPr>
              <w:spacing w:line="240" w:lineRule="auto"/>
              <w:ind w:firstLine="0" w:firstLineChars="0"/>
              <w:jc w:val="center"/>
              <w:rPr>
                <w:rFonts w:cs="Times New Roman"/>
                <w:color w:val="000000"/>
                <w:sz w:val="21"/>
                <w:szCs w:val="21"/>
              </w:rPr>
            </w:pPr>
            <w:r>
              <w:rPr>
                <w:rFonts w:cs="Times New Roman"/>
                <w:color w:val="000000"/>
                <w:sz w:val="20"/>
                <w:szCs w:val="20"/>
              </w:rPr>
              <w:t>0.242</w:t>
            </w:r>
          </w:p>
        </w:tc>
        <w:tc>
          <w:tcPr>
            <w:tcW w:w="302" w:type="pct"/>
            <w:tcBorders>
              <w:top w:val="nil"/>
              <w:left w:val="nil"/>
              <w:bottom w:val="single" w:color="auto" w:sz="4" w:space="0"/>
              <w:right w:val="single" w:color="auto" w:sz="4" w:space="0"/>
            </w:tcBorders>
            <w:shd w:val="clear" w:color="auto" w:fill="auto"/>
            <w:vAlign w:val="center"/>
          </w:tcPr>
          <w:p w14:paraId="3BB0AB40">
            <w:pPr>
              <w:spacing w:line="240" w:lineRule="auto"/>
              <w:ind w:firstLine="0" w:firstLineChars="0"/>
              <w:jc w:val="center"/>
              <w:rPr>
                <w:rFonts w:cs="Times New Roman"/>
                <w:color w:val="000000"/>
                <w:sz w:val="21"/>
                <w:szCs w:val="21"/>
              </w:rPr>
            </w:pPr>
            <w:r>
              <w:rPr>
                <w:rFonts w:cs="Times New Roman"/>
                <w:color w:val="000000"/>
                <w:sz w:val="20"/>
                <w:szCs w:val="20"/>
              </w:rPr>
              <w:t>0.2</w:t>
            </w:r>
          </w:p>
        </w:tc>
        <w:tc>
          <w:tcPr>
            <w:tcW w:w="333" w:type="pct"/>
            <w:gridSpan w:val="2"/>
            <w:tcBorders>
              <w:top w:val="nil"/>
              <w:left w:val="nil"/>
              <w:bottom w:val="single" w:color="auto" w:sz="4" w:space="0"/>
              <w:right w:val="single" w:color="auto" w:sz="4" w:space="0"/>
            </w:tcBorders>
            <w:shd w:val="clear" w:color="auto" w:fill="auto"/>
            <w:vAlign w:val="center"/>
          </w:tcPr>
          <w:p w14:paraId="268FDC12">
            <w:pPr>
              <w:spacing w:line="240" w:lineRule="auto"/>
              <w:ind w:firstLine="0" w:firstLineChars="0"/>
              <w:jc w:val="center"/>
              <w:rPr>
                <w:rFonts w:cs="Times New Roman"/>
                <w:color w:val="000000"/>
                <w:sz w:val="21"/>
                <w:szCs w:val="21"/>
              </w:rPr>
            </w:pPr>
            <w:r>
              <w:rPr>
                <w:rFonts w:cs="Times New Roman"/>
                <w:color w:val="000000"/>
                <w:sz w:val="20"/>
                <w:szCs w:val="20"/>
              </w:rPr>
              <w:t>0.418</w:t>
            </w:r>
          </w:p>
        </w:tc>
        <w:tc>
          <w:tcPr>
            <w:tcW w:w="303" w:type="pct"/>
            <w:tcBorders>
              <w:top w:val="nil"/>
              <w:left w:val="nil"/>
              <w:bottom w:val="single" w:color="auto" w:sz="4" w:space="0"/>
              <w:right w:val="single" w:color="auto" w:sz="4" w:space="0"/>
            </w:tcBorders>
            <w:shd w:val="clear" w:color="auto" w:fill="auto"/>
            <w:vAlign w:val="center"/>
          </w:tcPr>
          <w:p w14:paraId="069F777F">
            <w:pPr>
              <w:spacing w:line="240" w:lineRule="auto"/>
              <w:ind w:firstLine="0" w:firstLineChars="0"/>
              <w:jc w:val="center"/>
              <w:rPr>
                <w:rFonts w:cs="Times New Roman"/>
                <w:color w:val="000000"/>
                <w:sz w:val="21"/>
                <w:szCs w:val="21"/>
              </w:rPr>
            </w:pPr>
            <w:r>
              <w:rPr>
                <w:rFonts w:cs="Times New Roman"/>
                <w:color w:val="000000"/>
                <w:sz w:val="20"/>
                <w:szCs w:val="20"/>
              </w:rPr>
              <w:t>0.345</w:t>
            </w:r>
          </w:p>
        </w:tc>
        <w:tc>
          <w:tcPr>
            <w:tcW w:w="334" w:type="pct"/>
            <w:gridSpan w:val="2"/>
            <w:tcBorders>
              <w:top w:val="nil"/>
              <w:left w:val="nil"/>
              <w:bottom w:val="single" w:color="auto" w:sz="4" w:space="0"/>
              <w:right w:val="single" w:color="auto" w:sz="4" w:space="0"/>
            </w:tcBorders>
            <w:shd w:val="clear" w:color="auto" w:fill="auto"/>
            <w:vAlign w:val="center"/>
          </w:tcPr>
          <w:p w14:paraId="69AD0D46">
            <w:pPr>
              <w:spacing w:line="240" w:lineRule="auto"/>
              <w:ind w:firstLine="0" w:firstLineChars="0"/>
              <w:jc w:val="center"/>
              <w:rPr>
                <w:rFonts w:cs="Times New Roman"/>
                <w:color w:val="000000"/>
                <w:sz w:val="21"/>
                <w:szCs w:val="21"/>
              </w:rPr>
            </w:pPr>
            <w:r>
              <w:rPr>
                <w:rFonts w:cs="Times New Roman"/>
                <w:color w:val="000000"/>
                <w:sz w:val="20"/>
                <w:szCs w:val="20"/>
              </w:rPr>
              <w:t>0.267</w:t>
            </w:r>
          </w:p>
        </w:tc>
        <w:tc>
          <w:tcPr>
            <w:tcW w:w="303" w:type="pct"/>
            <w:tcBorders>
              <w:top w:val="nil"/>
              <w:left w:val="nil"/>
              <w:bottom w:val="single" w:color="auto" w:sz="4" w:space="0"/>
              <w:right w:val="single" w:color="auto" w:sz="4" w:space="0"/>
            </w:tcBorders>
            <w:shd w:val="clear" w:color="auto" w:fill="auto"/>
            <w:vAlign w:val="center"/>
          </w:tcPr>
          <w:p w14:paraId="4ABA7A50">
            <w:pPr>
              <w:spacing w:line="240" w:lineRule="auto"/>
              <w:ind w:firstLine="0" w:firstLineChars="0"/>
              <w:jc w:val="center"/>
              <w:rPr>
                <w:rFonts w:cs="Times New Roman"/>
                <w:color w:val="000000"/>
                <w:sz w:val="21"/>
                <w:szCs w:val="21"/>
              </w:rPr>
            </w:pPr>
            <w:r>
              <w:rPr>
                <w:rFonts w:cs="Times New Roman"/>
                <w:color w:val="000000"/>
                <w:sz w:val="20"/>
                <w:szCs w:val="20"/>
              </w:rPr>
              <w:t>0.242</w:t>
            </w:r>
          </w:p>
        </w:tc>
        <w:tc>
          <w:tcPr>
            <w:tcW w:w="301" w:type="pct"/>
            <w:tcBorders>
              <w:top w:val="nil"/>
              <w:left w:val="nil"/>
              <w:bottom w:val="single" w:color="auto" w:sz="4" w:space="0"/>
              <w:right w:val="single" w:color="auto" w:sz="4" w:space="0"/>
            </w:tcBorders>
            <w:shd w:val="clear" w:color="auto" w:fill="auto"/>
            <w:vAlign w:val="center"/>
          </w:tcPr>
          <w:p w14:paraId="2BEED30E">
            <w:pPr>
              <w:spacing w:line="240" w:lineRule="auto"/>
              <w:ind w:firstLine="0" w:firstLineChars="0"/>
              <w:jc w:val="center"/>
              <w:rPr>
                <w:rFonts w:cs="Times New Roman"/>
                <w:color w:val="000000"/>
                <w:sz w:val="21"/>
                <w:szCs w:val="21"/>
              </w:rPr>
            </w:pPr>
            <w:r>
              <w:rPr>
                <w:rFonts w:cs="Times New Roman"/>
                <w:color w:val="000000"/>
                <w:sz w:val="20"/>
                <w:szCs w:val="20"/>
              </w:rPr>
              <w:t>0.2</w:t>
            </w:r>
          </w:p>
        </w:tc>
      </w:tr>
      <w:tr w14:paraId="7229036C">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7401863F">
            <w:pPr>
              <w:spacing w:line="240" w:lineRule="auto"/>
              <w:ind w:firstLine="0" w:firstLineChars="0"/>
              <w:jc w:val="center"/>
              <w:rPr>
                <w:rFonts w:cs="Times New Roman"/>
                <w:color w:val="000000"/>
                <w:sz w:val="21"/>
                <w:szCs w:val="21"/>
              </w:rPr>
            </w:pPr>
            <w:r>
              <w:rPr>
                <w:rFonts w:cs="Times New Roman"/>
                <w:color w:val="000000"/>
                <w:sz w:val="21"/>
                <w:szCs w:val="21"/>
              </w:rPr>
              <w:t>7</w:t>
            </w:r>
          </w:p>
        </w:tc>
        <w:tc>
          <w:tcPr>
            <w:tcW w:w="589" w:type="pct"/>
            <w:tcBorders>
              <w:top w:val="nil"/>
              <w:left w:val="nil"/>
              <w:bottom w:val="single" w:color="auto" w:sz="4" w:space="0"/>
              <w:right w:val="single" w:color="auto" w:sz="4" w:space="0"/>
            </w:tcBorders>
            <w:shd w:val="clear" w:color="auto" w:fill="auto"/>
            <w:vAlign w:val="center"/>
          </w:tcPr>
          <w:p w14:paraId="1D78AA46">
            <w:pPr>
              <w:spacing w:line="240" w:lineRule="auto"/>
              <w:ind w:firstLine="0" w:firstLineChars="0"/>
              <w:jc w:val="center"/>
              <w:rPr>
                <w:rFonts w:cs="Times New Roman"/>
                <w:color w:val="000000"/>
                <w:sz w:val="21"/>
                <w:szCs w:val="21"/>
              </w:rPr>
            </w:pPr>
            <w:r>
              <w:rPr>
                <w:rFonts w:cs="Times New Roman"/>
                <w:color w:val="000000"/>
                <w:sz w:val="21"/>
                <w:szCs w:val="21"/>
              </w:rPr>
              <w:t>工程措施因子</w:t>
            </w:r>
          </w:p>
        </w:tc>
        <w:tc>
          <w:tcPr>
            <w:tcW w:w="223" w:type="pct"/>
            <w:tcBorders>
              <w:top w:val="nil"/>
              <w:left w:val="nil"/>
              <w:bottom w:val="single" w:color="auto" w:sz="4" w:space="0"/>
              <w:right w:val="single" w:color="auto" w:sz="4" w:space="0"/>
            </w:tcBorders>
            <w:shd w:val="clear" w:color="auto" w:fill="auto"/>
            <w:vAlign w:val="center"/>
          </w:tcPr>
          <w:p w14:paraId="60D232C3">
            <w:pPr>
              <w:spacing w:line="240" w:lineRule="auto"/>
              <w:ind w:firstLine="0" w:firstLineChars="0"/>
              <w:jc w:val="center"/>
              <w:rPr>
                <w:rFonts w:cs="Times New Roman"/>
                <w:color w:val="000000"/>
                <w:sz w:val="21"/>
                <w:szCs w:val="21"/>
              </w:rPr>
            </w:pPr>
            <w:r>
              <w:rPr>
                <w:rFonts w:cs="Times New Roman"/>
                <w:color w:val="000000"/>
                <w:sz w:val="21"/>
                <w:szCs w:val="21"/>
              </w:rPr>
              <w:t>E</w:t>
            </w:r>
          </w:p>
        </w:tc>
        <w:tc>
          <w:tcPr>
            <w:tcW w:w="865" w:type="pct"/>
            <w:tcBorders>
              <w:top w:val="nil"/>
              <w:left w:val="nil"/>
              <w:bottom w:val="single" w:color="auto" w:sz="4" w:space="0"/>
              <w:right w:val="single" w:color="auto" w:sz="4" w:space="0"/>
            </w:tcBorders>
            <w:shd w:val="clear" w:color="auto" w:fill="auto"/>
            <w:vAlign w:val="center"/>
          </w:tcPr>
          <w:p w14:paraId="7E70E9F9">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5D252810">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33" w:type="pct"/>
            <w:gridSpan w:val="2"/>
            <w:tcBorders>
              <w:top w:val="nil"/>
              <w:left w:val="nil"/>
              <w:bottom w:val="single" w:color="auto" w:sz="4" w:space="0"/>
              <w:right w:val="single" w:color="auto" w:sz="4" w:space="0"/>
            </w:tcBorders>
            <w:shd w:val="clear" w:color="auto" w:fill="auto"/>
            <w:vAlign w:val="center"/>
          </w:tcPr>
          <w:p w14:paraId="613FD84A">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02" w:type="pct"/>
            <w:tcBorders>
              <w:top w:val="nil"/>
              <w:left w:val="nil"/>
              <w:bottom w:val="single" w:color="auto" w:sz="4" w:space="0"/>
              <w:right w:val="single" w:color="auto" w:sz="4" w:space="0"/>
            </w:tcBorders>
            <w:shd w:val="clear" w:color="auto" w:fill="auto"/>
            <w:vAlign w:val="center"/>
          </w:tcPr>
          <w:p w14:paraId="1768BE77">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33" w:type="pct"/>
            <w:gridSpan w:val="2"/>
            <w:tcBorders>
              <w:top w:val="nil"/>
              <w:left w:val="nil"/>
              <w:bottom w:val="single" w:color="auto" w:sz="4" w:space="0"/>
              <w:right w:val="single" w:color="auto" w:sz="4" w:space="0"/>
            </w:tcBorders>
            <w:shd w:val="clear" w:color="auto" w:fill="auto"/>
            <w:vAlign w:val="center"/>
          </w:tcPr>
          <w:p w14:paraId="1213C345">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02" w:type="pct"/>
            <w:tcBorders>
              <w:top w:val="nil"/>
              <w:left w:val="nil"/>
              <w:bottom w:val="single" w:color="auto" w:sz="4" w:space="0"/>
              <w:right w:val="single" w:color="auto" w:sz="4" w:space="0"/>
            </w:tcBorders>
            <w:shd w:val="clear" w:color="auto" w:fill="auto"/>
            <w:vAlign w:val="center"/>
          </w:tcPr>
          <w:p w14:paraId="14DC07A5">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33" w:type="pct"/>
            <w:gridSpan w:val="2"/>
            <w:tcBorders>
              <w:top w:val="nil"/>
              <w:left w:val="nil"/>
              <w:bottom w:val="single" w:color="auto" w:sz="4" w:space="0"/>
              <w:right w:val="single" w:color="auto" w:sz="4" w:space="0"/>
            </w:tcBorders>
            <w:shd w:val="clear" w:color="auto" w:fill="auto"/>
            <w:vAlign w:val="center"/>
          </w:tcPr>
          <w:p w14:paraId="3E48A261">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03" w:type="pct"/>
            <w:tcBorders>
              <w:top w:val="nil"/>
              <w:left w:val="nil"/>
              <w:bottom w:val="single" w:color="auto" w:sz="4" w:space="0"/>
              <w:right w:val="single" w:color="auto" w:sz="4" w:space="0"/>
            </w:tcBorders>
            <w:shd w:val="clear" w:color="auto" w:fill="auto"/>
            <w:vAlign w:val="center"/>
          </w:tcPr>
          <w:p w14:paraId="0DB3565C">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34" w:type="pct"/>
            <w:gridSpan w:val="2"/>
            <w:tcBorders>
              <w:top w:val="nil"/>
              <w:left w:val="nil"/>
              <w:bottom w:val="single" w:color="auto" w:sz="4" w:space="0"/>
              <w:right w:val="single" w:color="auto" w:sz="4" w:space="0"/>
            </w:tcBorders>
            <w:shd w:val="clear" w:color="auto" w:fill="auto"/>
            <w:vAlign w:val="center"/>
          </w:tcPr>
          <w:p w14:paraId="2E5F391B">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03" w:type="pct"/>
            <w:tcBorders>
              <w:top w:val="nil"/>
              <w:left w:val="nil"/>
              <w:bottom w:val="single" w:color="auto" w:sz="4" w:space="0"/>
              <w:right w:val="single" w:color="auto" w:sz="4" w:space="0"/>
            </w:tcBorders>
            <w:shd w:val="clear" w:color="auto" w:fill="auto"/>
            <w:vAlign w:val="center"/>
          </w:tcPr>
          <w:p w14:paraId="261AC2E5">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01" w:type="pct"/>
            <w:tcBorders>
              <w:top w:val="nil"/>
              <w:left w:val="nil"/>
              <w:bottom w:val="single" w:color="auto" w:sz="4" w:space="0"/>
              <w:right w:val="single" w:color="auto" w:sz="4" w:space="0"/>
            </w:tcBorders>
            <w:shd w:val="clear" w:color="auto" w:fill="auto"/>
            <w:vAlign w:val="center"/>
          </w:tcPr>
          <w:p w14:paraId="768492AD">
            <w:pPr>
              <w:spacing w:line="240" w:lineRule="auto"/>
              <w:ind w:firstLine="0" w:firstLineChars="0"/>
              <w:jc w:val="center"/>
              <w:rPr>
                <w:rFonts w:cs="Times New Roman"/>
                <w:color w:val="000000"/>
                <w:sz w:val="21"/>
                <w:szCs w:val="21"/>
              </w:rPr>
            </w:pPr>
            <w:r>
              <w:rPr>
                <w:rFonts w:cs="Times New Roman"/>
                <w:color w:val="000000"/>
                <w:sz w:val="20"/>
                <w:szCs w:val="20"/>
              </w:rPr>
              <w:t>1</w:t>
            </w:r>
          </w:p>
        </w:tc>
      </w:tr>
      <w:tr w14:paraId="6B811E64">
        <w:tblPrEx>
          <w:tblCellMar>
            <w:top w:w="0" w:type="dxa"/>
            <w:left w:w="108" w:type="dxa"/>
            <w:bottom w:w="0" w:type="dxa"/>
            <w:right w:w="108" w:type="dxa"/>
          </w:tblCellMar>
        </w:tblPrEx>
        <w:trPr>
          <w:cantSplit/>
          <w:trHeight w:val="605"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5018A295">
            <w:pPr>
              <w:spacing w:line="240" w:lineRule="auto"/>
              <w:ind w:firstLine="0" w:firstLineChars="0"/>
              <w:jc w:val="center"/>
              <w:rPr>
                <w:rFonts w:cs="Times New Roman"/>
                <w:color w:val="000000"/>
                <w:sz w:val="21"/>
                <w:szCs w:val="21"/>
              </w:rPr>
            </w:pPr>
            <w:r>
              <w:rPr>
                <w:rFonts w:cs="Times New Roman"/>
                <w:color w:val="000000"/>
                <w:sz w:val="21"/>
                <w:szCs w:val="21"/>
              </w:rPr>
              <w:t>8</w:t>
            </w:r>
          </w:p>
        </w:tc>
        <w:tc>
          <w:tcPr>
            <w:tcW w:w="589" w:type="pct"/>
            <w:tcBorders>
              <w:top w:val="nil"/>
              <w:left w:val="nil"/>
              <w:bottom w:val="single" w:color="auto" w:sz="4" w:space="0"/>
              <w:right w:val="single" w:color="auto" w:sz="4" w:space="0"/>
            </w:tcBorders>
            <w:shd w:val="clear" w:color="auto" w:fill="auto"/>
            <w:vAlign w:val="center"/>
          </w:tcPr>
          <w:p w14:paraId="0A0B1F2E">
            <w:pPr>
              <w:spacing w:line="240" w:lineRule="auto"/>
              <w:ind w:firstLine="0" w:firstLineChars="0"/>
              <w:jc w:val="center"/>
              <w:rPr>
                <w:rFonts w:cs="Times New Roman"/>
                <w:color w:val="000000"/>
                <w:sz w:val="21"/>
                <w:szCs w:val="21"/>
              </w:rPr>
            </w:pPr>
            <w:r>
              <w:rPr>
                <w:rFonts w:cs="Times New Roman"/>
                <w:color w:val="000000"/>
                <w:sz w:val="21"/>
                <w:szCs w:val="21"/>
              </w:rPr>
              <w:t>耕作措施因子</w:t>
            </w:r>
          </w:p>
        </w:tc>
        <w:tc>
          <w:tcPr>
            <w:tcW w:w="223" w:type="pct"/>
            <w:tcBorders>
              <w:top w:val="nil"/>
              <w:left w:val="nil"/>
              <w:bottom w:val="single" w:color="auto" w:sz="4" w:space="0"/>
              <w:right w:val="single" w:color="auto" w:sz="4" w:space="0"/>
            </w:tcBorders>
            <w:shd w:val="clear" w:color="auto" w:fill="auto"/>
            <w:vAlign w:val="center"/>
          </w:tcPr>
          <w:p w14:paraId="73734D6B">
            <w:pPr>
              <w:spacing w:line="240" w:lineRule="auto"/>
              <w:ind w:firstLine="0" w:firstLineChars="0"/>
              <w:jc w:val="center"/>
              <w:rPr>
                <w:rFonts w:cs="Times New Roman"/>
                <w:color w:val="000000"/>
                <w:sz w:val="21"/>
                <w:szCs w:val="21"/>
              </w:rPr>
            </w:pPr>
            <w:r>
              <w:rPr>
                <w:rFonts w:cs="Times New Roman"/>
                <w:color w:val="000000"/>
                <w:sz w:val="21"/>
                <w:szCs w:val="21"/>
              </w:rPr>
              <w:t>T</w:t>
            </w:r>
          </w:p>
        </w:tc>
        <w:tc>
          <w:tcPr>
            <w:tcW w:w="865" w:type="pct"/>
            <w:tcBorders>
              <w:top w:val="nil"/>
              <w:left w:val="nil"/>
              <w:bottom w:val="single" w:color="auto" w:sz="4" w:space="0"/>
              <w:right w:val="single" w:color="auto" w:sz="4" w:space="0"/>
            </w:tcBorders>
            <w:shd w:val="clear" w:color="auto" w:fill="auto"/>
            <w:vAlign w:val="center"/>
          </w:tcPr>
          <w:p w14:paraId="0090B6BD">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302" w:type="pct"/>
            <w:tcBorders>
              <w:top w:val="nil"/>
              <w:left w:val="nil"/>
              <w:bottom w:val="single" w:color="auto" w:sz="4" w:space="0"/>
              <w:right w:val="single" w:color="auto" w:sz="4" w:space="0"/>
            </w:tcBorders>
            <w:shd w:val="clear" w:color="auto" w:fill="auto"/>
            <w:vAlign w:val="center"/>
          </w:tcPr>
          <w:p w14:paraId="03FA3A95">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33" w:type="pct"/>
            <w:gridSpan w:val="2"/>
            <w:tcBorders>
              <w:top w:val="nil"/>
              <w:left w:val="nil"/>
              <w:bottom w:val="single" w:color="auto" w:sz="4" w:space="0"/>
              <w:right w:val="single" w:color="auto" w:sz="4" w:space="0"/>
            </w:tcBorders>
            <w:shd w:val="clear" w:color="auto" w:fill="auto"/>
            <w:vAlign w:val="center"/>
          </w:tcPr>
          <w:p w14:paraId="3AC45149">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02" w:type="pct"/>
            <w:tcBorders>
              <w:top w:val="nil"/>
              <w:left w:val="nil"/>
              <w:bottom w:val="single" w:color="auto" w:sz="4" w:space="0"/>
              <w:right w:val="single" w:color="auto" w:sz="4" w:space="0"/>
            </w:tcBorders>
            <w:shd w:val="clear" w:color="auto" w:fill="auto"/>
            <w:vAlign w:val="center"/>
          </w:tcPr>
          <w:p w14:paraId="43BE795B">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33" w:type="pct"/>
            <w:gridSpan w:val="2"/>
            <w:tcBorders>
              <w:top w:val="nil"/>
              <w:left w:val="nil"/>
              <w:bottom w:val="single" w:color="auto" w:sz="4" w:space="0"/>
              <w:right w:val="single" w:color="auto" w:sz="4" w:space="0"/>
            </w:tcBorders>
            <w:shd w:val="clear" w:color="auto" w:fill="auto"/>
            <w:vAlign w:val="center"/>
          </w:tcPr>
          <w:p w14:paraId="04A41AD1">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02" w:type="pct"/>
            <w:tcBorders>
              <w:top w:val="nil"/>
              <w:left w:val="nil"/>
              <w:bottom w:val="single" w:color="auto" w:sz="4" w:space="0"/>
              <w:right w:val="single" w:color="auto" w:sz="4" w:space="0"/>
            </w:tcBorders>
            <w:shd w:val="clear" w:color="auto" w:fill="auto"/>
            <w:vAlign w:val="center"/>
          </w:tcPr>
          <w:p w14:paraId="48CB22D4">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33" w:type="pct"/>
            <w:gridSpan w:val="2"/>
            <w:tcBorders>
              <w:top w:val="nil"/>
              <w:left w:val="nil"/>
              <w:bottom w:val="single" w:color="auto" w:sz="4" w:space="0"/>
              <w:right w:val="single" w:color="auto" w:sz="4" w:space="0"/>
            </w:tcBorders>
            <w:shd w:val="clear" w:color="auto" w:fill="auto"/>
            <w:vAlign w:val="center"/>
          </w:tcPr>
          <w:p w14:paraId="7459D44A">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03" w:type="pct"/>
            <w:tcBorders>
              <w:top w:val="nil"/>
              <w:left w:val="nil"/>
              <w:bottom w:val="single" w:color="auto" w:sz="4" w:space="0"/>
              <w:right w:val="single" w:color="auto" w:sz="4" w:space="0"/>
            </w:tcBorders>
            <w:shd w:val="clear" w:color="auto" w:fill="auto"/>
            <w:vAlign w:val="center"/>
          </w:tcPr>
          <w:p w14:paraId="23803F9B">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34" w:type="pct"/>
            <w:gridSpan w:val="2"/>
            <w:tcBorders>
              <w:top w:val="nil"/>
              <w:left w:val="nil"/>
              <w:bottom w:val="single" w:color="auto" w:sz="4" w:space="0"/>
              <w:right w:val="single" w:color="auto" w:sz="4" w:space="0"/>
            </w:tcBorders>
            <w:shd w:val="clear" w:color="auto" w:fill="auto"/>
            <w:vAlign w:val="center"/>
          </w:tcPr>
          <w:p w14:paraId="2E781595">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03" w:type="pct"/>
            <w:tcBorders>
              <w:top w:val="nil"/>
              <w:left w:val="nil"/>
              <w:bottom w:val="single" w:color="auto" w:sz="4" w:space="0"/>
              <w:right w:val="single" w:color="auto" w:sz="4" w:space="0"/>
            </w:tcBorders>
            <w:shd w:val="clear" w:color="auto" w:fill="auto"/>
            <w:vAlign w:val="center"/>
          </w:tcPr>
          <w:p w14:paraId="26388B3A">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301" w:type="pct"/>
            <w:tcBorders>
              <w:top w:val="nil"/>
              <w:left w:val="nil"/>
              <w:bottom w:val="single" w:color="auto" w:sz="4" w:space="0"/>
              <w:right w:val="single" w:color="auto" w:sz="4" w:space="0"/>
            </w:tcBorders>
            <w:shd w:val="clear" w:color="auto" w:fill="auto"/>
            <w:vAlign w:val="center"/>
          </w:tcPr>
          <w:p w14:paraId="45401F25">
            <w:pPr>
              <w:spacing w:line="240" w:lineRule="auto"/>
              <w:ind w:firstLine="0" w:firstLineChars="0"/>
              <w:jc w:val="center"/>
              <w:rPr>
                <w:rFonts w:cs="Times New Roman"/>
                <w:color w:val="000000"/>
                <w:sz w:val="21"/>
                <w:szCs w:val="21"/>
              </w:rPr>
            </w:pPr>
            <w:r>
              <w:rPr>
                <w:rFonts w:cs="Times New Roman"/>
                <w:color w:val="000000"/>
                <w:sz w:val="20"/>
                <w:szCs w:val="20"/>
              </w:rPr>
              <w:t>1</w:t>
            </w:r>
          </w:p>
        </w:tc>
      </w:tr>
      <w:tr w14:paraId="4D832F8C">
        <w:tblPrEx>
          <w:tblCellMar>
            <w:top w:w="0" w:type="dxa"/>
            <w:left w:w="108" w:type="dxa"/>
            <w:bottom w:w="0" w:type="dxa"/>
            <w:right w:w="108" w:type="dxa"/>
          </w:tblCellMar>
        </w:tblPrEx>
        <w:trPr>
          <w:cantSplit/>
          <w:trHeight w:val="454" w:hRule="atLeast"/>
        </w:trPr>
        <w:tc>
          <w:tcPr>
            <w:tcW w:w="176" w:type="pct"/>
            <w:vMerge w:val="restart"/>
            <w:tcBorders>
              <w:top w:val="nil"/>
              <w:left w:val="single" w:color="auto" w:sz="4" w:space="0"/>
              <w:bottom w:val="single" w:color="auto" w:sz="4" w:space="0"/>
              <w:right w:val="single" w:color="auto" w:sz="4" w:space="0"/>
            </w:tcBorders>
            <w:shd w:val="clear" w:color="auto" w:fill="auto"/>
            <w:vAlign w:val="center"/>
          </w:tcPr>
          <w:p w14:paraId="0845637F">
            <w:pPr>
              <w:spacing w:line="240" w:lineRule="auto"/>
              <w:ind w:firstLine="0" w:firstLineChars="0"/>
              <w:jc w:val="center"/>
              <w:rPr>
                <w:rFonts w:cs="Times New Roman"/>
                <w:color w:val="000000"/>
                <w:sz w:val="21"/>
                <w:szCs w:val="21"/>
              </w:rPr>
            </w:pPr>
            <w:r>
              <w:rPr>
                <w:rFonts w:cs="Times New Roman"/>
                <w:color w:val="000000"/>
                <w:sz w:val="21"/>
                <w:szCs w:val="21"/>
              </w:rPr>
              <w:t>序号</w:t>
            </w:r>
          </w:p>
        </w:tc>
        <w:tc>
          <w:tcPr>
            <w:tcW w:w="589" w:type="pct"/>
            <w:vMerge w:val="restart"/>
            <w:tcBorders>
              <w:top w:val="nil"/>
              <w:left w:val="single" w:color="auto" w:sz="4" w:space="0"/>
              <w:bottom w:val="single" w:color="auto" w:sz="4" w:space="0"/>
              <w:right w:val="single" w:color="auto" w:sz="4" w:space="0"/>
            </w:tcBorders>
            <w:shd w:val="clear" w:color="auto" w:fill="auto"/>
            <w:vAlign w:val="center"/>
          </w:tcPr>
          <w:p w14:paraId="439CA73D">
            <w:pPr>
              <w:spacing w:line="240" w:lineRule="auto"/>
              <w:ind w:firstLine="0" w:firstLineChars="0"/>
              <w:jc w:val="center"/>
              <w:rPr>
                <w:rFonts w:cs="Times New Roman"/>
                <w:color w:val="000000"/>
                <w:sz w:val="21"/>
                <w:szCs w:val="21"/>
              </w:rPr>
            </w:pPr>
            <w:r>
              <w:rPr>
                <w:rFonts w:cs="Times New Roman"/>
                <w:color w:val="000000"/>
                <w:sz w:val="21"/>
                <w:szCs w:val="21"/>
              </w:rPr>
              <w:t>项目</w:t>
            </w:r>
          </w:p>
        </w:tc>
        <w:tc>
          <w:tcPr>
            <w:tcW w:w="223" w:type="pct"/>
            <w:vMerge w:val="restart"/>
            <w:tcBorders>
              <w:top w:val="nil"/>
              <w:left w:val="single" w:color="auto" w:sz="4" w:space="0"/>
              <w:bottom w:val="single" w:color="auto" w:sz="4" w:space="0"/>
              <w:right w:val="single" w:color="auto" w:sz="4" w:space="0"/>
            </w:tcBorders>
            <w:shd w:val="clear" w:color="auto" w:fill="auto"/>
            <w:vAlign w:val="center"/>
          </w:tcPr>
          <w:p w14:paraId="331A400B">
            <w:pPr>
              <w:spacing w:line="240" w:lineRule="auto"/>
              <w:ind w:firstLine="0" w:firstLineChars="0"/>
              <w:jc w:val="center"/>
              <w:rPr>
                <w:rFonts w:cs="Times New Roman"/>
                <w:color w:val="000000"/>
                <w:sz w:val="21"/>
                <w:szCs w:val="21"/>
              </w:rPr>
            </w:pPr>
            <w:r>
              <w:rPr>
                <w:rFonts w:cs="Times New Roman"/>
                <w:color w:val="000000"/>
                <w:sz w:val="21"/>
                <w:szCs w:val="21"/>
              </w:rPr>
              <w:t>因子</w:t>
            </w:r>
          </w:p>
        </w:tc>
        <w:tc>
          <w:tcPr>
            <w:tcW w:w="865" w:type="pct"/>
            <w:vMerge w:val="restart"/>
            <w:tcBorders>
              <w:top w:val="nil"/>
              <w:left w:val="single" w:color="auto" w:sz="4" w:space="0"/>
              <w:bottom w:val="single" w:color="auto" w:sz="4" w:space="0"/>
              <w:right w:val="single" w:color="auto" w:sz="4" w:space="0"/>
            </w:tcBorders>
            <w:shd w:val="clear" w:color="auto" w:fill="auto"/>
            <w:vAlign w:val="center"/>
          </w:tcPr>
          <w:p w14:paraId="14F33F1A">
            <w:pPr>
              <w:spacing w:line="240" w:lineRule="auto"/>
              <w:ind w:firstLine="0" w:firstLineChars="0"/>
              <w:jc w:val="center"/>
              <w:rPr>
                <w:rFonts w:cs="Times New Roman"/>
                <w:color w:val="000000"/>
                <w:sz w:val="21"/>
                <w:szCs w:val="21"/>
              </w:rPr>
            </w:pPr>
            <w:r>
              <w:rPr>
                <w:rFonts w:cs="Times New Roman"/>
                <w:color w:val="000000"/>
                <w:sz w:val="21"/>
                <w:szCs w:val="21"/>
              </w:rPr>
              <w:t>公式</w:t>
            </w:r>
          </w:p>
        </w:tc>
        <w:tc>
          <w:tcPr>
            <w:tcW w:w="3147" w:type="pct"/>
            <w:gridSpan w:val="14"/>
            <w:tcBorders>
              <w:top w:val="single" w:color="auto" w:sz="4" w:space="0"/>
              <w:left w:val="nil"/>
              <w:bottom w:val="single" w:color="auto" w:sz="4" w:space="0"/>
              <w:right w:val="single" w:color="000000" w:sz="4" w:space="0"/>
            </w:tcBorders>
            <w:shd w:val="clear" w:color="auto" w:fill="auto"/>
            <w:vAlign w:val="center"/>
          </w:tcPr>
          <w:p w14:paraId="4F2FBFDE">
            <w:pPr>
              <w:spacing w:line="240" w:lineRule="auto"/>
              <w:ind w:firstLine="0" w:firstLineChars="0"/>
              <w:jc w:val="center"/>
              <w:rPr>
                <w:rFonts w:cs="Times New Roman"/>
                <w:color w:val="000000"/>
                <w:sz w:val="21"/>
                <w:szCs w:val="21"/>
              </w:rPr>
            </w:pPr>
            <w:r>
              <w:rPr>
                <w:rFonts w:cs="Times New Roman"/>
                <w:color w:val="000000"/>
                <w:sz w:val="21"/>
                <w:szCs w:val="21"/>
              </w:rPr>
              <w:t>陆地水域</w:t>
            </w:r>
          </w:p>
        </w:tc>
      </w:tr>
      <w:tr w14:paraId="51B08308">
        <w:tblPrEx>
          <w:tblCellMar>
            <w:top w:w="0" w:type="dxa"/>
            <w:left w:w="108" w:type="dxa"/>
            <w:bottom w:w="0" w:type="dxa"/>
            <w:right w:w="108" w:type="dxa"/>
          </w:tblCellMar>
        </w:tblPrEx>
        <w:trPr>
          <w:cantSplit/>
          <w:trHeight w:val="454" w:hRule="atLeast"/>
        </w:trPr>
        <w:tc>
          <w:tcPr>
            <w:tcW w:w="176" w:type="pct"/>
            <w:vMerge w:val="continue"/>
            <w:tcBorders>
              <w:top w:val="nil"/>
              <w:left w:val="single" w:color="auto" w:sz="4" w:space="0"/>
              <w:bottom w:val="single" w:color="auto" w:sz="4" w:space="0"/>
              <w:right w:val="single" w:color="auto" w:sz="4" w:space="0"/>
            </w:tcBorders>
            <w:shd w:val="clear" w:color="auto" w:fill="auto"/>
            <w:vAlign w:val="center"/>
          </w:tcPr>
          <w:p w14:paraId="1259889B">
            <w:pPr>
              <w:spacing w:line="240" w:lineRule="auto"/>
              <w:ind w:firstLine="0" w:firstLineChars="0"/>
              <w:jc w:val="center"/>
              <w:rPr>
                <w:rFonts w:cs="Times New Roman"/>
                <w:color w:val="000000"/>
                <w:sz w:val="21"/>
                <w:szCs w:val="21"/>
              </w:rPr>
            </w:pPr>
          </w:p>
        </w:tc>
        <w:tc>
          <w:tcPr>
            <w:tcW w:w="589" w:type="pct"/>
            <w:vMerge w:val="continue"/>
            <w:tcBorders>
              <w:top w:val="nil"/>
              <w:left w:val="single" w:color="auto" w:sz="4" w:space="0"/>
              <w:bottom w:val="single" w:color="auto" w:sz="4" w:space="0"/>
              <w:right w:val="single" w:color="auto" w:sz="4" w:space="0"/>
            </w:tcBorders>
            <w:shd w:val="clear" w:color="auto" w:fill="auto"/>
            <w:vAlign w:val="center"/>
          </w:tcPr>
          <w:p w14:paraId="457885EF">
            <w:pPr>
              <w:spacing w:line="240" w:lineRule="auto"/>
              <w:ind w:firstLine="0" w:firstLineChars="0"/>
              <w:jc w:val="center"/>
              <w:rPr>
                <w:rFonts w:cs="Times New Roman"/>
                <w:color w:val="000000"/>
                <w:sz w:val="21"/>
                <w:szCs w:val="21"/>
              </w:rPr>
            </w:pPr>
          </w:p>
        </w:tc>
        <w:tc>
          <w:tcPr>
            <w:tcW w:w="223" w:type="pct"/>
            <w:vMerge w:val="continue"/>
            <w:tcBorders>
              <w:top w:val="nil"/>
              <w:left w:val="single" w:color="auto" w:sz="4" w:space="0"/>
              <w:bottom w:val="single" w:color="auto" w:sz="4" w:space="0"/>
              <w:right w:val="single" w:color="auto" w:sz="4" w:space="0"/>
            </w:tcBorders>
            <w:shd w:val="clear" w:color="auto" w:fill="auto"/>
            <w:vAlign w:val="center"/>
          </w:tcPr>
          <w:p w14:paraId="15664A05">
            <w:pPr>
              <w:spacing w:line="240" w:lineRule="auto"/>
              <w:ind w:firstLine="0" w:firstLineChars="0"/>
              <w:jc w:val="center"/>
              <w:rPr>
                <w:rFonts w:cs="Times New Roman"/>
                <w:color w:val="000000"/>
                <w:sz w:val="21"/>
                <w:szCs w:val="21"/>
              </w:rPr>
            </w:pPr>
          </w:p>
        </w:tc>
        <w:tc>
          <w:tcPr>
            <w:tcW w:w="865" w:type="pct"/>
            <w:vMerge w:val="continue"/>
            <w:tcBorders>
              <w:top w:val="nil"/>
              <w:left w:val="single" w:color="auto" w:sz="4" w:space="0"/>
              <w:bottom w:val="single" w:color="auto" w:sz="4" w:space="0"/>
              <w:right w:val="single" w:color="auto" w:sz="4" w:space="0"/>
            </w:tcBorders>
            <w:shd w:val="clear" w:color="auto" w:fill="auto"/>
            <w:vAlign w:val="center"/>
          </w:tcPr>
          <w:p w14:paraId="37917E1E">
            <w:pPr>
              <w:spacing w:line="240" w:lineRule="auto"/>
              <w:ind w:firstLine="0" w:firstLineChars="0"/>
              <w:jc w:val="center"/>
              <w:rPr>
                <w:rFonts w:cs="Times New Roman"/>
                <w:color w:val="000000"/>
                <w:sz w:val="21"/>
                <w:szCs w:val="21"/>
              </w:rPr>
            </w:pPr>
          </w:p>
        </w:tc>
        <w:tc>
          <w:tcPr>
            <w:tcW w:w="537" w:type="pct"/>
            <w:gridSpan w:val="2"/>
            <w:tcBorders>
              <w:top w:val="nil"/>
              <w:left w:val="nil"/>
              <w:bottom w:val="single" w:color="auto" w:sz="4" w:space="0"/>
              <w:right w:val="single" w:color="auto" w:sz="4" w:space="0"/>
            </w:tcBorders>
            <w:shd w:val="clear" w:color="auto" w:fill="auto"/>
            <w:vAlign w:val="center"/>
          </w:tcPr>
          <w:p w14:paraId="058D892A">
            <w:pPr>
              <w:spacing w:line="240" w:lineRule="auto"/>
              <w:ind w:firstLine="0" w:firstLineChars="0"/>
              <w:jc w:val="center"/>
              <w:rPr>
                <w:rFonts w:cs="Times New Roman"/>
                <w:color w:val="000000"/>
                <w:sz w:val="21"/>
                <w:szCs w:val="21"/>
              </w:rPr>
            </w:pPr>
            <w:r>
              <w:rPr>
                <w:rFonts w:cs="Times New Roman"/>
                <w:color w:val="000000"/>
                <w:sz w:val="21"/>
                <w:szCs w:val="21"/>
              </w:rPr>
              <w:t>第 1 年</w:t>
            </w:r>
          </w:p>
        </w:tc>
        <w:tc>
          <w:tcPr>
            <w:tcW w:w="610" w:type="pct"/>
            <w:gridSpan w:val="3"/>
            <w:tcBorders>
              <w:top w:val="nil"/>
              <w:left w:val="nil"/>
              <w:bottom w:val="single" w:color="auto" w:sz="4" w:space="0"/>
              <w:right w:val="single" w:color="auto" w:sz="4" w:space="0"/>
            </w:tcBorders>
            <w:shd w:val="clear" w:color="auto" w:fill="auto"/>
            <w:vAlign w:val="center"/>
          </w:tcPr>
          <w:p w14:paraId="6105F34E">
            <w:pPr>
              <w:spacing w:line="240" w:lineRule="auto"/>
              <w:ind w:firstLine="0" w:firstLineChars="0"/>
              <w:jc w:val="center"/>
              <w:rPr>
                <w:rFonts w:cs="Times New Roman"/>
                <w:color w:val="000000"/>
                <w:sz w:val="21"/>
                <w:szCs w:val="21"/>
              </w:rPr>
            </w:pPr>
            <w:r>
              <w:rPr>
                <w:rFonts w:cs="Times New Roman"/>
                <w:color w:val="000000"/>
                <w:sz w:val="21"/>
                <w:szCs w:val="21"/>
              </w:rPr>
              <w:t>第 2 年</w:t>
            </w:r>
          </w:p>
        </w:tc>
        <w:tc>
          <w:tcPr>
            <w:tcW w:w="603" w:type="pct"/>
            <w:gridSpan w:val="3"/>
            <w:tcBorders>
              <w:top w:val="nil"/>
              <w:left w:val="nil"/>
              <w:bottom w:val="single" w:color="auto" w:sz="4" w:space="0"/>
              <w:right w:val="single" w:color="auto" w:sz="4" w:space="0"/>
            </w:tcBorders>
            <w:shd w:val="clear" w:color="auto" w:fill="auto"/>
            <w:vAlign w:val="center"/>
          </w:tcPr>
          <w:p w14:paraId="49F63C2E">
            <w:pPr>
              <w:spacing w:line="240" w:lineRule="auto"/>
              <w:ind w:firstLine="0" w:firstLineChars="0"/>
              <w:jc w:val="center"/>
              <w:rPr>
                <w:rFonts w:cs="Times New Roman"/>
                <w:color w:val="000000"/>
                <w:sz w:val="21"/>
                <w:szCs w:val="21"/>
              </w:rPr>
            </w:pPr>
            <w:r>
              <w:rPr>
                <w:rFonts w:cs="Times New Roman"/>
                <w:color w:val="000000"/>
                <w:sz w:val="21"/>
                <w:szCs w:val="21"/>
              </w:rPr>
              <w:t>第 3 年</w:t>
            </w:r>
          </w:p>
        </w:tc>
        <w:tc>
          <w:tcPr>
            <w:tcW w:w="652" w:type="pct"/>
            <w:gridSpan w:val="3"/>
            <w:tcBorders>
              <w:top w:val="nil"/>
              <w:left w:val="nil"/>
              <w:bottom w:val="single" w:color="auto" w:sz="4" w:space="0"/>
              <w:right w:val="single" w:color="auto" w:sz="4" w:space="0"/>
            </w:tcBorders>
            <w:shd w:val="clear" w:color="auto" w:fill="auto"/>
            <w:vAlign w:val="center"/>
          </w:tcPr>
          <w:p w14:paraId="64DC6E76">
            <w:pPr>
              <w:spacing w:line="240" w:lineRule="auto"/>
              <w:ind w:firstLine="0" w:firstLineChars="0"/>
              <w:jc w:val="center"/>
              <w:rPr>
                <w:rFonts w:cs="Times New Roman"/>
                <w:color w:val="000000"/>
                <w:sz w:val="21"/>
                <w:szCs w:val="21"/>
              </w:rPr>
            </w:pPr>
            <w:r>
              <w:rPr>
                <w:rFonts w:cs="Times New Roman"/>
                <w:color w:val="000000"/>
                <w:sz w:val="21"/>
                <w:szCs w:val="21"/>
              </w:rPr>
              <w:t>第 4 年</w:t>
            </w:r>
          </w:p>
        </w:tc>
        <w:tc>
          <w:tcPr>
            <w:tcW w:w="744" w:type="pct"/>
            <w:gridSpan w:val="3"/>
            <w:tcBorders>
              <w:top w:val="single" w:color="auto" w:sz="4" w:space="0"/>
              <w:left w:val="nil"/>
              <w:bottom w:val="single" w:color="auto" w:sz="4" w:space="0"/>
              <w:right w:val="single" w:color="000000" w:sz="4" w:space="0"/>
            </w:tcBorders>
            <w:shd w:val="clear" w:color="auto" w:fill="auto"/>
            <w:vAlign w:val="center"/>
          </w:tcPr>
          <w:p w14:paraId="3837F944">
            <w:pPr>
              <w:spacing w:line="240" w:lineRule="auto"/>
              <w:ind w:firstLine="0" w:firstLineChars="0"/>
              <w:jc w:val="center"/>
              <w:rPr>
                <w:rFonts w:cs="Times New Roman"/>
                <w:color w:val="000000"/>
                <w:sz w:val="21"/>
                <w:szCs w:val="21"/>
              </w:rPr>
            </w:pPr>
            <w:r>
              <w:rPr>
                <w:rFonts w:cs="Times New Roman"/>
                <w:color w:val="000000"/>
                <w:sz w:val="21"/>
                <w:szCs w:val="21"/>
              </w:rPr>
              <w:t>第 5 年</w:t>
            </w:r>
          </w:p>
        </w:tc>
      </w:tr>
      <w:tr w14:paraId="0042993D">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00363420">
            <w:pPr>
              <w:spacing w:line="240" w:lineRule="auto"/>
              <w:ind w:firstLine="0" w:firstLineChars="0"/>
              <w:jc w:val="center"/>
              <w:rPr>
                <w:rFonts w:cs="Times New Roman"/>
                <w:color w:val="000000"/>
                <w:sz w:val="21"/>
                <w:szCs w:val="21"/>
              </w:rPr>
            </w:pPr>
            <w:r>
              <w:rPr>
                <w:rFonts w:cs="Times New Roman"/>
                <w:color w:val="000000"/>
                <w:sz w:val="21"/>
                <w:szCs w:val="21"/>
              </w:rPr>
              <w:t>1</w:t>
            </w:r>
          </w:p>
        </w:tc>
        <w:tc>
          <w:tcPr>
            <w:tcW w:w="589" w:type="pct"/>
            <w:tcBorders>
              <w:top w:val="nil"/>
              <w:left w:val="nil"/>
              <w:bottom w:val="single" w:color="auto" w:sz="4" w:space="0"/>
              <w:right w:val="single" w:color="auto" w:sz="4" w:space="0"/>
            </w:tcBorders>
            <w:shd w:val="clear" w:color="auto" w:fill="auto"/>
            <w:vAlign w:val="center"/>
          </w:tcPr>
          <w:p w14:paraId="75EBB1F0">
            <w:pPr>
              <w:spacing w:line="240" w:lineRule="auto"/>
              <w:ind w:firstLine="0" w:firstLineChars="0"/>
              <w:jc w:val="center"/>
              <w:rPr>
                <w:rFonts w:cs="Times New Roman"/>
                <w:color w:val="000000"/>
                <w:sz w:val="21"/>
                <w:szCs w:val="21"/>
              </w:rPr>
            </w:pPr>
            <w:r>
              <w:rPr>
                <w:rFonts w:cs="Times New Roman"/>
                <w:color w:val="000000"/>
                <w:sz w:val="21"/>
                <w:szCs w:val="21"/>
              </w:rPr>
              <w:t>地表翻扰型</w:t>
            </w:r>
          </w:p>
        </w:tc>
        <w:tc>
          <w:tcPr>
            <w:tcW w:w="223" w:type="pct"/>
            <w:tcBorders>
              <w:top w:val="nil"/>
              <w:left w:val="nil"/>
              <w:bottom w:val="single" w:color="auto" w:sz="4" w:space="0"/>
              <w:right w:val="single" w:color="auto" w:sz="4" w:space="0"/>
            </w:tcBorders>
            <w:shd w:val="clear" w:color="auto" w:fill="auto"/>
            <w:vAlign w:val="center"/>
          </w:tcPr>
          <w:p w14:paraId="357659EB">
            <w:pPr>
              <w:spacing w:line="240" w:lineRule="auto"/>
              <w:ind w:firstLine="0" w:firstLineChars="0"/>
              <w:jc w:val="center"/>
              <w:rPr>
                <w:rFonts w:cs="Times New Roman"/>
                <w:color w:val="000000"/>
                <w:sz w:val="21"/>
                <w:szCs w:val="21"/>
              </w:rPr>
            </w:pPr>
            <w:r>
              <w:rPr>
                <w:rFonts w:cs="Times New Roman"/>
                <w:color w:val="000000"/>
                <w:sz w:val="21"/>
                <w:szCs w:val="21"/>
              </w:rPr>
              <w:t>Myd</w:t>
            </w:r>
          </w:p>
        </w:tc>
        <w:tc>
          <w:tcPr>
            <w:tcW w:w="865" w:type="pct"/>
            <w:tcBorders>
              <w:top w:val="nil"/>
              <w:left w:val="nil"/>
              <w:bottom w:val="single" w:color="auto" w:sz="4" w:space="0"/>
              <w:right w:val="single" w:color="auto" w:sz="4" w:space="0"/>
            </w:tcBorders>
            <w:shd w:val="clear" w:color="auto" w:fill="auto"/>
            <w:vAlign w:val="center"/>
          </w:tcPr>
          <w:p w14:paraId="5D329AE2">
            <w:pPr>
              <w:spacing w:line="240" w:lineRule="auto"/>
              <w:ind w:firstLine="0" w:firstLineChars="0"/>
              <w:jc w:val="center"/>
              <w:rPr>
                <w:rFonts w:cs="Times New Roman"/>
                <w:color w:val="000000"/>
                <w:sz w:val="21"/>
                <w:szCs w:val="21"/>
              </w:rPr>
            </w:pPr>
            <w:r>
              <w:rPr>
                <w:rFonts w:cs="Times New Roman"/>
                <w:color w:val="000000"/>
                <w:sz w:val="21"/>
                <w:szCs w:val="21"/>
              </w:rPr>
              <w:t>Myd=RKLydSyBET*100</w:t>
            </w:r>
          </w:p>
        </w:tc>
        <w:tc>
          <w:tcPr>
            <w:tcW w:w="537" w:type="pct"/>
            <w:gridSpan w:val="2"/>
            <w:tcBorders>
              <w:top w:val="nil"/>
              <w:left w:val="nil"/>
              <w:bottom w:val="single" w:color="auto" w:sz="4" w:space="0"/>
              <w:right w:val="single" w:color="auto" w:sz="4" w:space="0"/>
            </w:tcBorders>
            <w:shd w:val="clear" w:color="auto" w:fill="auto"/>
            <w:vAlign w:val="center"/>
          </w:tcPr>
          <w:p w14:paraId="107B000A">
            <w:pPr>
              <w:spacing w:line="240" w:lineRule="auto"/>
              <w:ind w:firstLine="0" w:firstLineChars="0"/>
              <w:jc w:val="center"/>
              <w:rPr>
                <w:rFonts w:cs="Times New Roman"/>
                <w:color w:val="000000"/>
                <w:sz w:val="21"/>
                <w:szCs w:val="21"/>
              </w:rPr>
            </w:pPr>
            <w:r>
              <w:rPr>
                <w:rFonts w:cs="Times New Roman"/>
                <w:color w:val="000000"/>
                <w:sz w:val="20"/>
                <w:szCs w:val="20"/>
              </w:rPr>
              <w:t xml:space="preserve">2190 </w:t>
            </w:r>
          </w:p>
        </w:tc>
        <w:tc>
          <w:tcPr>
            <w:tcW w:w="610" w:type="pct"/>
            <w:gridSpan w:val="3"/>
            <w:tcBorders>
              <w:top w:val="nil"/>
              <w:left w:val="nil"/>
              <w:bottom w:val="single" w:color="auto" w:sz="4" w:space="0"/>
              <w:right w:val="single" w:color="auto" w:sz="4" w:space="0"/>
            </w:tcBorders>
            <w:shd w:val="clear" w:color="auto" w:fill="auto"/>
            <w:vAlign w:val="center"/>
          </w:tcPr>
          <w:p w14:paraId="4EC59607">
            <w:pPr>
              <w:spacing w:line="240" w:lineRule="auto"/>
              <w:ind w:firstLine="0" w:firstLineChars="0"/>
              <w:jc w:val="center"/>
              <w:rPr>
                <w:rFonts w:cs="Times New Roman"/>
                <w:color w:val="000000"/>
                <w:sz w:val="21"/>
                <w:szCs w:val="21"/>
              </w:rPr>
            </w:pPr>
            <w:r>
              <w:rPr>
                <w:rFonts w:cs="Times New Roman"/>
                <w:color w:val="000000"/>
                <w:sz w:val="20"/>
                <w:szCs w:val="20"/>
              </w:rPr>
              <w:t xml:space="preserve">1496 </w:t>
            </w:r>
          </w:p>
        </w:tc>
        <w:tc>
          <w:tcPr>
            <w:tcW w:w="603" w:type="pct"/>
            <w:gridSpan w:val="3"/>
            <w:tcBorders>
              <w:top w:val="nil"/>
              <w:left w:val="nil"/>
              <w:bottom w:val="single" w:color="auto" w:sz="4" w:space="0"/>
              <w:right w:val="single" w:color="auto" w:sz="4" w:space="0"/>
            </w:tcBorders>
            <w:shd w:val="clear" w:color="auto" w:fill="auto"/>
            <w:vAlign w:val="center"/>
          </w:tcPr>
          <w:p w14:paraId="5C2190FD">
            <w:pPr>
              <w:spacing w:line="240" w:lineRule="auto"/>
              <w:ind w:firstLine="0" w:firstLineChars="0"/>
              <w:jc w:val="center"/>
              <w:rPr>
                <w:rFonts w:cs="Times New Roman"/>
                <w:color w:val="000000"/>
                <w:sz w:val="21"/>
                <w:szCs w:val="21"/>
              </w:rPr>
            </w:pPr>
            <w:r>
              <w:rPr>
                <w:rFonts w:cs="Times New Roman"/>
                <w:color w:val="000000"/>
                <w:sz w:val="20"/>
                <w:szCs w:val="20"/>
              </w:rPr>
              <w:t xml:space="preserve">958 </w:t>
            </w:r>
          </w:p>
        </w:tc>
        <w:tc>
          <w:tcPr>
            <w:tcW w:w="652" w:type="pct"/>
            <w:gridSpan w:val="3"/>
            <w:tcBorders>
              <w:top w:val="nil"/>
              <w:left w:val="nil"/>
              <w:bottom w:val="single" w:color="auto" w:sz="4" w:space="0"/>
              <w:right w:val="single" w:color="auto" w:sz="4" w:space="0"/>
            </w:tcBorders>
            <w:shd w:val="clear" w:color="auto" w:fill="auto"/>
            <w:vAlign w:val="center"/>
          </w:tcPr>
          <w:p w14:paraId="1CB553FE">
            <w:pPr>
              <w:spacing w:line="240" w:lineRule="auto"/>
              <w:ind w:firstLine="0" w:firstLineChars="0"/>
              <w:jc w:val="center"/>
              <w:rPr>
                <w:rFonts w:cs="Times New Roman"/>
                <w:color w:val="000000"/>
                <w:sz w:val="21"/>
                <w:szCs w:val="21"/>
              </w:rPr>
            </w:pPr>
            <w:r>
              <w:rPr>
                <w:rFonts w:cs="Times New Roman"/>
                <w:color w:val="000000"/>
                <w:sz w:val="20"/>
                <w:szCs w:val="20"/>
              </w:rPr>
              <w:t xml:space="preserve">719 </w:t>
            </w:r>
          </w:p>
        </w:tc>
        <w:tc>
          <w:tcPr>
            <w:tcW w:w="744" w:type="pct"/>
            <w:gridSpan w:val="3"/>
            <w:tcBorders>
              <w:top w:val="single" w:color="auto" w:sz="4" w:space="0"/>
              <w:left w:val="nil"/>
              <w:bottom w:val="single" w:color="auto" w:sz="4" w:space="0"/>
              <w:right w:val="single" w:color="000000" w:sz="4" w:space="0"/>
            </w:tcBorders>
            <w:shd w:val="clear" w:color="auto" w:fill="auto"/>
            <w:vAlign w:val="center"/>
          </w:tcPr>
          <w:p w14:paraId="2755CDF2">
            <w:pPr>
              <w:spacing w:line="240" w:lineRule="auto"/>
              <w:ind w:firstLine="0" w:firstLineChars="0"/>
              <w:jc w:val="center"/>
              <w:rPr>
                <w:rFonts w:cs="Times New Roman"/>
                <w:color w:val="000000"/>
                <w:sz w:val="21"/>
                <w:szCs w:val="21"/>
              </w:rPr>
            </w:pPr>
            <w:r>
              <w:rPr>
                <w:rFonts w:cs="Times New Roman"/>
                <w:color w:val="000000"/>
                <w:sz w:val="20"/>
                <w:szCs w:val="20"/>
              </w:rPr>
              <w:t xml:space="preserve">492 </w:t>
            </w:r>
          </w:p>
        </w:tc>
      </w:tr>
      <w:tr w14:paraId="0293C768">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65F6D156">
            <w:pPr>
              <w:spacing w:line="240" w:lineRule="auto"/>
              <w:ind w:firstLine="0" w:firstLineChars="0"/>
              <w:jc w:val="center"/>
              <w:rPr>
                <w:rFonts w:cs="Times New Roman"/>
                <w:color w:val="000000"/>
                <w:sz w:val="21"/>
                <w:szCs w:val="21"/>
              </w:rPr>
            </w:pPr>
            <w:r>
              <w:rPr>
                <w:rFonts w:cs="Times New Roman"/>
                <w:color w:val="000000"/>
                <w:sz w:val="21"/>
                <w:szCs w:val="21"/>
              </w:rPr>
              <w:t>2</w:t>
            </w:r>
          </w:p>
        </w:tc>
        <w:tc>
          <w:tcPr>
            <w:tcW w:w="589" w:type="pct"/>
            <w:tcBorders>
              <w:top w:val="nil"/>
              <w:left w:val="nil"/>
              <w:bottom w:val="single" w:color="auto" w:sz="4" w:space="0"/>
              <w:right w:val="single" w:color="auto" w:sz="4" w:space="0"/>
            </w:tcBorders>
            <w:shd w:val="clear" w:color="auto" w:fill="auto"/>
            <w:vAlign w:val="center"/>
          </w:tcPr>
          <w:p w14:paraId="15497C06">
            <w:pPr>
              <w:spacing w:line="240" w:lineRule="auto"/>
              <w:ind w:firstLine="0" w:firstLineChars="0"/>
              <w:jc w:val="center"/>
              <w:rPr>
                <w:rFonts w:cs="Times New Roman"/>
                <w:color w:val="000000"/>
                <w:sz w:val="21"/>
                <w:szCs w:val="21"/>
              </w:rPr>
            </w:pPr>
            <w:r>
              <w:rPr>
                <w:rFonts w:cs="Times New Roman"/>
                <w:color w:val="000000"/>
                <w:sz w:val="21"/>
                <w:szCs w:val="21"/>
              </w:rPr>
              <w:t>降雨侵蚀力因子</w:t>
            </w:r>
          </w:p>
        </w:tc>
        <w:tc>
          <w:tcPr>
            <w:tcW w:w="223" w:type="pct"/>
            <w:tcBorders>
              <w:top w:val="nil"/>
              <w:left w:val="nil"/>
              <w:bottom w:val="single" w:color="auto" w:sz="4" w:space="0"/>
              <w:right w:val="single" w:color="auto" w:sz="4" w:space="0"/>
            </w:tcBorders>
            <w:shd w:val="clear" w:color="auto" w:fill="auto"/>
            <w:vAlign w:val="center"/>
          </w:tcPr>
          <w:p w14:paraId="46DB9C8F">
            <w:pPr>
              <w:spacing w:line="240" w:lineRule="auto"/>
              <w:ind w:firstLine="0" w:firstLineChars="0"/>
              <w:jc w:val="center"/>
              <w:rPr>
                <w:rFonts w:cs="Times New Roman"/>
                <w:color w:val="000000"/>
                <w:sz w:val="21"/>
                <w:szCs w:val="21"/>
              </w:rPr>
            </w:pPr>
            <w:r>
              <w:rPr>
                <w:rFonts w:cs="Times New Roman"/>
                <w:color w:val="000000"/>
                <w:sz w:val="21"/>
                <w:szCs w:val="21"/>
              </w:rPr>
              <w:t>R</w:t>
            </w:r>
          </w:p>
        </w:tc>
        <w:tc>
          <w:tcPr>
            <w:tcW w:w="865" w:type="pct"/>
            <w:tcBorders>
              <w:top w:val="nil"/>
              <w:left w:val="nil"/>
              <w:bottom w:val="single" w:color="auto" w:sz="4" w:space="0"/>
              <w:right w:val="single" w:color="auto" w:sz="4" w:space="0"/>
            </w:tcBorders>
            <w:shd w:val="clear" w:color="auto" w:fill="auto"/>
            <w:vAlign w:val="center"/>
          </w:tcPr>
          <w:p w14:paraId="3DBC7AEF">
            <w:pPr>
              <w:spacing w:line="240" w:lineRule="auto"/>
              <w:ind w:firstLine="0" w:firstLineChars="0"/>
              <w:jc w:val="center"/>
              <w:rPr>
                <w:rFonts w:cs="Times New Roman"/>
                <w:color w:val="000000"/>
                <w:sz w:val="21"/>
                <w:szCs w:val="21"/>
              </w:rPr>
            </w:pPr>
            <w:r>
              <w:rPr>
                <w:rFonts w:cs="Times New Roman"/>
                <w:color w:val="000000"/>
                <w:sz w:val="21"/>
                <w:szCs w:val="21"/>
              </w:rPr>
              <w:t>R=0.067pd1.627</w:t>
            </w:r>
          </w:p>
        </w:tc>
        <w:tc>
          <w:tcPr>
            <w:tcW w:w="537" w:type="pct"/>
            <w:gridSpan w:val="2"/>
            <w:tcBorders>
              <w:top w:val="nil"/>
              <w:left w:val="nil"/>
              <w:bottom w:val="single" w:color="auto" w:sz="4" w:space="0"/>
              <w:right w:val="single" w:color="auto" w:sz="4" w:space="0"/>
            </w:tcBorders>
            <w:shd w:val="clear" w:color="auto" w:fill="auto"/>
            <w:vAlign w:val="center"/>
          </w:tcPr>
          <w:p w14:paraId="3BEC11C1">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610" w:type="pct"/>
            <w:gridSpan w:val="3"/>
            <w:tcBorders>
              <w:top w:val="nil"/>
              <w:left w:val="nil"/>
              <w:bottom w:val="single" w:color="auto" w:sz="4" w:space="0"/>
              <w:right w:val="single" w:color="auto" w:sz="4" w:space="0"/>
            </w:tcBorders>
            <w:shd w:val="clear" w:color="auto" w:fill="auto"/>
            <w:vAlign w:val="center"/>
          </w:tcPr>
          <w:p w14:paraId="48CF6DB5">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603" w:type="pct"/>
            <w:gridSpan w:val="3"/>
            <w:tcBorders>
              <w:top w:val="nil"/>
              <w:left w:val="nil"/>
              <w:bottom w:val="single" w:color="auto" w:sz="4" w:space="0"/>
              <w:right w:val="single" w:color="auto" w:sz="4" w:space="0"/>
            </w:tcBorders>
            <w:shd w:val="clear" w:color="auto" w:fill="auto"/>
            <w:vAlign w:val="center"/>
          </w:tcPr>
          <w:p w14:paraId="323C53DC">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652" w:type="pct"/>
            <w:gridSpan w:val="3"/>
            <w:tcBorders>
              <w:top w:val="nil"/>
              <w:left w:val="nil"/>
              <w:bottom w:val="single" w:color="auto" w:sz="4" w:space="0"/>
              <w:right w:val="single" w:color="auto" w:sz="4" w:space="0"/>
            </w:tcBorders>
            <w:shd w:val="clear" w:color="auto" w:fill="auto"/>
            <w:vAlign w:val="center"/>
          </w:tcPr>
          <w:p w14:paraId="15106849">
            <w:pPr>
              <w:spacing w:line="240" w:lineRule="auto"/>
              <w:ind w:firstLine="0" w:firstLineChars="0"/>
              <w:jc w:val="center"/>
              <w:rPr>
                <w:rFonts w:cs="Times New Roman"/>
                <w:color w:val="000000"/>
                <w:sz w:val="21"/>
                <w:szCs w:val="21"/>
              </w:rPr>
            </w:pPr>
            <w:r>
              <w:rPr>
                <w:rFonts w:cs="Times New Roman"/>
                <w:color w:val="000000"/>
                <w:sz w:val="20"/>
                <w:szCs w:val="20"/>
              </w:rPr>
              <w:t>757</w:t>
            </w:r>
          </w:p>
        </w:tc>
        <w:tc>
          <w:tcPr>
            <w:tcW w:w="744" w:type="pct"/>
            <w:gridSpan w:val="3"/>
            <w:tcBorders>
              <w:top w:val="single" w:color="auto" w:sz="4" w:space="0"/>
              <w:left w:val="nil"/>
              <w:bottom w:val="single" w:color="auto" w:sz="4" w:space="0"/>
              <w:right w:val="single" w:color="000000" w:sz="4" w:space="0"/>
            </w:tcBorders>
            <w:shd w:val="clear" w:color="auto" w:fill="auto"/>
            <w:vAlign w:val="center"/>
          </w:tcPr>
          <w:p w14:paraId="081B2D6B">
            <w:pPr>
              <w:spacing w:line="240" w:lineRule="auto"/>
              <w:ind w:firstLine="0" w:firstLineChars="0"/>
              <w:jc w:val="center"/>
              <w:rPr>
                <w:rFonts w:cs="Times New Roman"/>
                <w:color w:val="000000"/>
                <w:sz w:val="21"/>
                <w:szCs w:val="21"/>
              </w:rPr>
            </w:pPr>
            <w:r>
              <w:rPr>
                <w:rFonts w:cs="Times New Roman"/>
                <w:color w:val="000000"/>
                <w:sz w:val="20"/>
                <w:szCs w:val="20"/>
              </w:rPr>
              <w:t>757</w:t>
            </w:r>
          </w:p>
        </w:tc>
      </w:tr>
      <w:tr w14:paraId="6A3EBD18">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5C1CB2C3">
            <w:pPr>
              <w:spacing w:line="240" w:lineRule="auto"/>
              <w:ind w:firstLine="0" w:firstLineChars="0"/>
              <w:jc w:val="center"/>
              <w:rPr>
                <w:rFonts w:cs="Times New Roman"/>
                <w:color w:val="000000"/>
                <w:sz w:val="21"/>
                <w:szCs w:val="21"/>
              </w:rPr>
            </w:pPr>
            <w:r>
              <w:rPr>
                <w:rFonts w:cs="Times New Roman"/>
                <w:color w:val="000000"/>
                <w:sz w:val="21"/>
                <w:szCs w:val="21"/>
              </w:rPr>
              <w:t>3</w:t>
            </w:r>
          </w:p>
        </w:tc>
        <w:tc>
          <w:tcPr>
            <w:tcW w:w="589" w:type="pct"/>
            <w:tcBorders>
              <w:top w:val="nil"/>
              <w:left w:val="nil"/>
              <w:bottom w:val="single" w:color="auto" w:sz="4" w:space="0"/>
              <w:right w:val="single" w:color="auto" w:sz="4" w:space="0"/>
            </w:tcBorders>
            <w:shd w:val="clear" w:color="auto" w:fill="auto"/>
            <w:vAlign w:val="center"/>
          </w:tcPr>
          <w:p w14:paraId="58B85A77">
            <w:pPr>
              <w:spacing w:line="240" w:lineRule="auto"/>
              <w:ind w:firstLine="0" w:firstLineChars="0"/>
              <w:jc w:val="center"/>
              <w:rPr>
                <w:rFonts w:cs="Times New Roman"/>
                <w:color w:val="000000"/>
                <w:sz w:val="21"/>
                <w:szCs w:val="21"/>
              </w:rPr>
            </w:pPr>
            <w:r>
              <w:rPr>
                <w:rFonts w:cs="Times New Roman"/>
                <w:color w:val="000000"/>
                <w:sz w:val="21"/>
                <w:szCs w:val="21"/>
              </w:rPr>
              <w:t>地表翻扰后土壤可蚀性因子</w:t>
            </w:r>
          </w:p>
        </w:tc>
        <w:tc>
          <w:tcPr>
            <w:tcW w:w="223" w:type="pct"/>
            <w:tcBorders>
              <w:top w:val="nil"/>
              <w:left w:val="nil"/>
              <w:bottom w:val="single" w:color="auto" w:sz="4" w:space="0"/>
              <w:right w:val="single" w:color="auto" w:sz="4" w:space="0"/>
            </w:tcBorders>
            <w:shd w:val="clear" w:color="auto" w:fill="auto"/>
            <w:vAlign w:val="center"/>
          </w:tcPr>
          <w:p w14:paraId="08D1C0A7">
            <w:pPr>
              <w:spacing w:line="240" w:lineRule="auto"/>
              <w:ind w:firstLine="0" w:firstLineChars="0"/>
              <w:jc w:val="center"/>
              <w:rPr>
                <w:rFonts w:cs="Times New Roman"/>
                <w:color w:val="000000"/>
                <w:sz w:val="21"/>
                <w:szCs w:val="21"/>
              </w:rPr>
            </w:pPr>
            <w:r>
              <w:rPr>
                <w:rFonts w:cs="Times New Roman"/>
                <w:color w:val="000000"/>
                <w:sz w:val="21"/>
                <w:szCs w:val="21"/>
              </w:rPr>
              <w:t>Kyd</w:t>
            </w:r>
          </w:p>
        </w:tc>
        <w:tc>
          <w:tcPr>
            <w:tcW w:w="865" w:type="pct"/>
            <w:tcBorders>
              <w:top w:val="nil"/>
              <w:left w:val="nil"/>
              <w:bottom w:val="single" w:color="auto" w:sz="4" w:space="0"/>
              <w:right w:val="single" w:color="auto" w:sz="4" w:space="0"/>
            </w:tcBorders>
            <w:shd w:val="clear" w:color="auto" w:fill="auto"/>
            <w:vAlign w:val="center"/>
          </w:tcPr>
          <w:p w14:paraId="3487FAF6">
            <w:pPr>
              <w:spacing w:line="240" w:lineRule="auto"/>
              <w:ind w:firstLine="0" w:firstLineChars="0"/>
              <w:jc w:val="center"/>
              <w:rPr>
                <w:rFonts w:cs="Times New Roman"/>
                <w:color w:val="000000"/>
                <w:sz w:val="21"/>
                <w:szCs w:val="21"/>
              </w:rPr>
            </w:pPr>
            <w:r>
              <w:rPr>
                <w:rFonts w:cs="Times New Roman"/>
                <w:color w:val="000000"/>
                <w:sz w:val="21"/>
                <w:szCs w:val="21"/>
              </w:rPr>
              <w:t>Kyd=NK</w:t>
            </w:r>
          </w:p>
        </w:tc>
        <w:tc>
          <w:tcPr>
            <w:tcW w:w="537" w:type="pct"/>
            <w:gridSpan w:val="2"/>
            <w:tcBorders>
              <w:top w:val="nil"/>
              <w:left w:val="nil"/>
              <w:bottom w:val="single" w:color="auto" w:sz="4" w:space="0"/>
              <w:right w:val="single" w:color="auto" w:sz="4" w:space="0"/>
            </w:tcBorders>
            <w:shd w:val="clear" w:color="auto" w:fill="auto"/>
            <w:vAlign w:val="center"/>
          </w:tcPr>
          <w:p w14:paraId="610B4839">
            <w:pPr>
              <w:spacing w:line="240" w:lineRule="auto"/>
              <w:ind w:firstLine="0" w:firstLineChars="0"/>
              <w:jc w:val="center"/>
              <w:rPr>
                <w:rFonts w:cs="Times New Roman"/>
                <w:color w:val="000000"/>
                <w:sz w:val="21"/>
                <w:szCs w:val="21"/>
              </w:rPr>
            </w:pPr>
            <w:r>
              <w:rPr>
                <w:rFonts w:cs="Times New Roman"/>
                <w:color w:val="000000"/>
                <w:sz w:val="20"/>
                <w:szCs w:val="20"/>
              </w:rPr>
              <w:t xml:space="preserve">0.037 </w:t>
            </w:r>
          </w:p>
        </w:tc>
        <w:tc>
          <w:tcPr>
            <w:tcW w:w="610" w:type="pct"/>
            <w:gridSpan w:val="3"/>
            <w:tcBorders>
              <w:top w:val="nil"/>
              <w:left w:val="nil"/>
              <w:bottom w:val="single" w:color="auto" w:sz="4" w:space="0"/>
              <w:right w:val="single" w:color="auto" w:sz="4" w:space="0"/>
            </w:tcBorders>
            <w:shd w:val="clear" w:color="auto" w:fill="auto"/>
            <w:vAlign w:val="center"/>
          </w:tcPr>
          <w:p w14:paraId="527998AB">
            <w:pPr>
              <w:spacing w:line="240" w:lineRule="auto"/>
              <w:ind w:firstLine="0" w:firstLineChars="0"/>
              <w:jc w:val="center"/>
              <w:rPr>
                <w:rFonts w:cs="Times New Roman"/>
                <w:color w:val="000000"/>
                <w:sz w:val="21"/>
                <w:szCs w:val="21"/>
              </w:rPr>
            </w:pPr>
            <w:r>
              <w:rPr>
                <w:rFonts w:cs="Times New Roman"/>
                <w:color w:val="000000"/>
                <w:sz w:val="20"/>
                <w:szCs w:val="20"/>
              </w:rPr>
              <w:t xml:space="preserve">0.031 </w:t>
            </w:r>
          </w:p>
        </w:tc>
        <w:tc>
          <w:tcPr>
            <w:tcW w:w="603" w:type="pct"/>
            <w:gridSpan w:val="3"/>
            <w:tcBorders>
              <w:top w:val="nil"/>
              <w:left w:val="nil"/>
              <w:bottom w:val="single" w:color="auto" w:sz="4" w:space="0"/>
              <w:right w:val="single" w:color="auto" w:sz="4" w:space="0"/>
            </w:tcBorders>
            <w:shd w:val="clear" w:color="auto" w:fill="auto"/>
            <w:vAlign w:val="center"/>
          </w:tcPr>
          <w:p w14:paraId="3210CA25">
            <w:pPr>
              <w:spacing w:line="240" w:lineRule="auto"/>
              <w:ind w:firstLine="0" w:firstLineChars="0"/>
              <w:jc w:val="center"/>
              <w:rPr>
                <w:rFonts w:cs="Times New Roman"/>
                <w:color w:val="000000"/>
                <w:sz w:val="21"/>
                <w:szCs w:val="21"/>
              </w:rPr>
            </w:pPr>
            <w:r>
              <w:rPr>
                <w:rFonts w:cs="Times New Roman"/>
                <w:color w:val="000000"/>
                <w:sz w:val="20"/>
                <w:szCs w:val="20"/>
              </w:rPr>
              <w:t xml:space="preserve">0.026 </w:t>
            </w:r>
          </w:p>
        </w:tc>
        <w:tc>
          <w:tcPr>
            <w:tcW w:w="652" w:type="pct"/>
            <w:gridSpan w:val="3"/>
            <w:tcBorders>
              <w:top w:val="nil"/>
              <w:left w:val="nil"/>
              <w:bottom w:val="single" w:color="auto" w:sz="4" w:space="0"/>
              <w:right w:val="single" w:color="auto" w:sz="4" w:space="0"/>
            </w:tcBorders>
            <w:shd w:val="clear" w:color="auto" w:fill="auto"/>
            <w:vAlign w:val="center"/>
          </w:tcPr>
          <w:p w14:paraId="0CDE739D">
            <w:pPr>
              <w:spacing w:line="240" w:lineRule="auto"/>
              <w:ind w:firstLine="0" w:firstLineChars="0"/>
              <w:jc w:val="center"/>
              <w:rPr>
                <w:rFonts w:cs="Times New Roman"/>
                <w:color w:val="000000"/>
                <w:sz w:val="21"/>
                <w:szCs w:val="21"/>
              </w:rPr>
            </w:pPr>
            <w:r>
              <w:rPr>
                <w:rFonts w:cs="Times New Roman"/>
                <w:color w:val="000000"/>
                <w:sz w:val="20"/>
                <w:szCs w:val="20"/>
              </w:rPr>
              <w:t xml:space="preserve">0.021 </w:t>
            </w:r>
          </w:p>
        </w:tc>
        <w:tc>
          <w:tcPr>
            <w:tcW w:w="744" w:type="pct"/>
            <w:gridSpan w:val="3"/>
            <w:tcBorders>
              <w:top w:val="single" w:color="auto" w:sz="4" w:space="0"/>
              <w:left w:val="nil"/>
              <w:bottom w:val="single" w:color="auto" w:sz="4" w:space="0"/>
              <w:right w:val="single" w:color="000000" w:sz="4" w:space="0"/>
            </w:tcBorders>
            <w:shd w:val="clear" w:color="auto" w:fill="auto"/>
            <w:vAlign w:val="center"/>
          </w:tcPr>
          <w:p w14:paraId="622C2DF1">
            <w:pPr>
              <w:spacing w:line="240" w:lineRule="auto"/>
              <w:ind w:firstLine="0" w:firstLineChars="0"/>
              <w:jc w:val="center"/>
              <w:rPr>
                <w:rFonts w:cs="Times New Roman"/>
                <w:color w:val="000000"/>
                <w:sz w:val="21"/>
                <w:szCs w:val="21"/>
              </w:rPr>
            </w:pPr>
            <w:r>
              <w:rPr>
                <w:rFonts w:cs="Times New Roman"/>
                <w:color w:val="000000"/>
                <w:sz w:val="20"/>
                <w:szCs w:val="20"/>
              </w:rPr>
              <w:t xml:space="preserve">0.018 </w:t>
            </w:r>
          </w:p>
        </w:tc>
      </w:tr>
      <w:tr w14:paraId="78CE5AA8">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7703DE7D">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418E189B">
            <w:pPr>
              <w:spacing w:line="240" w:lineRule="auto"/>
              <w:ind w:firstLine="0" w:firstLineChars="0"/>
              <w:jc w:val="center"/>
              <w:rPr>
                <w:rFonts w:cs="Times New Roman"/>
                <w:color w:val="000000"/>
                <w:sz w:val="21"/>
                <w:szCs w:val="21"/>
              </w:rPr>
            </w:pPr>
            <w:r>
              <w:rPr>
                <w:rFonts w:cs="Times New Roman"/>
                <w:color w:val="000000"/>
                <w:sz w:val="21"/>
                <w:szCs w:val="21"/>
              </w:rPr>
              <w:t>可蚀性因子增大系数</w:t>
            </w:r>
          </w:p>
        </w:tc>
        <w:tc>
          <w:tcPr>
            <w:tcW w:w="223" w:type="pct"/>
            <w:tcBorders>
              <w:top w:val="nil"/>
              <w:left w:val="nil"/>
              <w:bottom w:val="single" w:color="auto" w:sz="4" w:space="0"/>
              <w:right w:val="single" w:color="auto" w:sz="4" w:space="0"/>
            </w:tcBorders>
            <w:shd w:val="clear" w:color="auto" w:fill="auto"/>
            <w:vAlign w:val="center"/>
          </w:tcPr>
          <w:p w14:paraId="7242BBF8">
            <w:pPr>
              <w:spacing w:line="240" w:lineRule="auto"/>
              <w:ind w:firstLine="0" w:firstLineChars="0"/>
              <w:jc w:val="center"/>
              <w:rPr>
                <w:rFonts w:cs="Times New Roman"/>
                <w:color w:val="000000"/>
                <w:sz w:val="21"/>
                <w:szCs w:val="21"/>
              </w:rPr>
            </w:pPr>
            <w:r>
              <w:rPr>
                <w:rFonts w:cs="Times New Roman"/>
                <w:color w:val="000000"/>
                <w:sz w:val="21"/>
                <w:szCs w:val="21"/>
              </w:rPr>
              <w:t>N</w:t>
            </w:r>
          </w:p>
        </w:tc>
        <w:tc>
          <w:tcPr>
            <w:tcW w:w="865" w:type="pct"/>
            <w:tcBorders>
              <w:top w:val="nil"/>
              <w:left w:val="nil"/>
              <w:bottom w:val="single" w:color="auto" w:sz="4" w:space="0"/>
              <w:right w:val="single" w:color="auto" w:sz="4" w:space="0"/>
            </w:tcBorders>
            <w:shd w:val="clear" w:color="auto" w:fill="auto"/>
            <w:vAlign w:val="center"/>
          </w:tcPr>
          <w:p w14:paraId="01E4EAAB">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37" w:type="pct"/>
            <w:gridSpan w:val="2"/>
            <w:tcBorders>
              <w:top w:val="nil"/>
              <w:left w:val="nil"/>
              <w:bottom w:val="single" w:color="auto" w:sz="4" w:space="0"/>
              <w:right w:val="single" w:color="auto" w:sz="4" w:space="0"/>
            </w:tcBorders>
            <w:shd w:val="clear" w:color="auto" w:fill="auto"/>
            <w:vAlign w:val="center"/>
          </w:tcPr>
          <w:p w14:paraId="5C6B3513">
            <w:pPr>
              <w:spacing w:line="240" w:lineRule="auto"/>
              <w:ind w:firstLine="0" w:firstLineChars="0"/>
              <w:jc w:val="center"/>
              <w:rPr>
                <w:rFonts w:cs="Times New Roman"/>
                <w:color w:val="000000"/>
                <w:sz w:val="21"/>
                <w:szCs w:val="21"/>
              </w:rPr>
            </w:pPr>
            <w:r>
              <w:rPr>
                <w:rFonts w:cs="Times New Roman"/>
                <w:color w:val="000000"/>
                <w:sz w:val="20"/>
                <w:szCs w:val="20"/>
              </w:rPr>
              <w:t xml:space="preserve">2.13 </w:t>
            </w:r>
          </w:p>
        </w:tc>
        <w:tc>
          <w:tcPr>
            <w:tcW w:w="610" w:type="pct"/>
            <w:gridSpan w:val="3"/>
            <w:tcBorders>
              <w:top w:val="nil"/>
              <w:left w:val="nil"/>
              <w:bottom w:val="single" w:color="auto" w:sz="4" w:space="0"/>
              <w:right w:val="single" w:color="auto" w:sz="4" w:space="0"/>
            </w:tcBorders>
            <w:shd w:val="clear" w:color="auto" w:fill="auto"/>
            <w:vAlign w:val="center"/>
          </w:tcPr>
          <w:p w14:paraId="7B549CE6">
            <w:pPr>
              <w:spacing w:line="240" w:lineRule="auto"/>
              <w:ind w:firstLine="0" w:firstLineChars="0"/>
              <w:jc w:val="center"/>
              <w:rPr>
                <w:rFonts w:cs="Times New Roman"/>
                <w:color w:val="000000"/>
                <w:sz w:val="21"/>
                <w:szCs w:val="21"/>
              </w:rPr>
            </w:pPr>
            <w:r>
              <w:rPr>
                <w:rFonts w:cs="Times New Roman"/>
                <w:color w:val="000000"/>
                <w:sz w:val="20"/>
                <w:szCs w:val="20"/>
              </w:rPr>
              <w:t xml:space="preserve">1.76 </w:t>
            </w:r>
          </w:p>
        </w:tc>
        <w:tc>
          <w:tcPr>
            <w:tcW w:w="603" w:type="pct"/>
            <w:gridSpan w:val="3"/>
            <w:tcBorders>
              <w:top w:val="nil"/>
              <w:left w:val="nil"/>
              <w:bottom w:val="single" w:color="auto" w:sz="4" w:space="0"/>
              <w:right w:val="single" w:color="auto" w:sz="4" w:space="0"/>
            </w:tcBorders>
            <w:shd w:val="clear" w:color="auto" w:fill="auto"/>
            <w:vAlign w:val="center"/>
          </w:tcPr>
          <w:p w14:paraId="70BA3881">
            <w:pPr>
              <w:spacing w:line="240" w:lineRule="auto"/>
              <w:ind w:firstLine="0" w:firstLineChars="0"/>
              <w:jc w:val="center"/>
              <w:rPr>
                <w:rFonts w:cs="Times New Roman"/>
                <w:color w:val="000000"/>
                <w:sz w:val="21"/>
                <w:szCs w:val="21"/>
              </w:rPr>
            </w:pPr>
            <w:r>
              <w:rPr>
                <w:rFonts w:cs="Times New Roman"/>
                <w:color w:val="000000"/>
                <w:sz w:val="20"/>
                <w:szCs w:val="20"/>
              </w:rPr>
              <w:t xml:space="preserve">1.46 </w:t>
            </w:r>
          </w:p>
        </w:tc>
        <w:tc>
          <w:tcPr>
            <w:tcW w:w="652" w:type="pct"/>
            <w:gridSpan w:val="3"/>
            <w:tcBorders>
              <w:top w:val="nil"/>
              <w:left w:val="nil"/>
              <w:bottom w:val="single" w:color="auto" w:sz="4" w:space="0"/>
              <w:right w:val="single" w:color="auto" w:sz="4" w:space="0"/>
            </w:tcBorders>
            <w:shd w:val="clear" w:color="auto" w:fill="auto"/>
            <w:vAlign w:val="center"/>
          </w:tcPr>
          <w:p w14:paraId="32837EF2">
            <w:pPr>
              <w:spacing w:line="240" w:lineRule="auto"/>
              <w:ind w:firstLine="0" w:firstLineChars="0"/>
              <w:jc w:val="center"/>
              <w:rPr>
                <w:rFonts w:cs="Times New Roman"/>
                <w:color w:val="000000"/>
                <w:sz w:val="21"/>
                <w:szCs w:val="21"/>
              </w:rPr>
            </w:pPr>
            <w:r>
              <w:rPr>
                <w:rFonts w:cs="Times New Roman"/>
                <w:color w:val="000000"/>
                <w:sz w:val="20"/>
                <w:szCs w:val="20"/>
              </w:rPr>
              <w:t xml:space="preserve">1.21 </w:t>
            </w:r>
          </w:p>
        </w:tc>
        <w:tc>
          <w:tcPr>
            <w:tcW w:w="744" w:type="pct"/>
            <w:gridSpan w:val="3"/>
            <w:tcBorders>
              <w:top w:val="single" w:color="auto" w:sz="4" w:space="0"/>
              <w:left w:val="nil"/>
              <w:bottom w:val="single" w:color="auto" w:sz="4" w:space="0"/>
              <w:right w:val="single" w:color="000000" w:sz="4" w:space="0"/>
            </w:tcBorders>
            <w:shd w:val="clear" w:color="auto" w:fill="auto"/>
            <w:vAlign w:val="center"/>
          </w:tcPr>
          <w:p w14:paraId="76DD64CE">
            <w:pPr>
              <w:spacing w:line="240" w:lineRule="auto"/>
              <w:ind w:firstLine="0" w:firstLineChars="0"/>
              <w:jc w:val="center"/>
              <w:rPr>
                <w:rFonts w:cs="Times New Roman"/>
                <w:color w:val="000000"/>
                <w:sz w:val="21"/>
                <w:szCs w:val="21"/>
              </w:rPr>
            </w:pPr>
            <w:r>
              <w:rPr>
                <w:rFonts w:cs="Times New Roman"/>
                <w:color w:val="000000"/>
                <w:sz w:val="20"/>
                <w:szCs w:val="20"/>
              </w:rPr>
              <w:t xml:space="preserve">1.00 </w:t>
            </w:r>
          </w:p>
        </w:tc>
      </w:tr>
      <w:tr w14:paraId="5A0F769E">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1792A547">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47230A2C">
            <w:pPr>
              <w:spacing w:line="240" w:lineRule="auto"/>
              <w:ind w:firstLine="0" w:firstLineChars="0"/>
              <w:jc w:val="center"/>
              <w:rPr>
                <w:rFonts w:cs="Times New Roman"/>
                <w:color w:val="000000"/>
                <w:sz w:val="21"/>
                <w:szCs w:val="21"/>
              </w:rPr>
            </w:pPr>
            <w:r>
              <w:rPr>
                <w:rFonts w:cs="Times New Roman"/>
                <w:color w:val="000000"/>
                <w:sz w:val="21"/>
                <w:szCs w:val="21"/>
              </w:rPr>
              <w:t>土壤可蚀性因子</w:t>
            </w:r>
          </w:p>
        </w:tc>
        <w:tc>
          <w:tcPr>
            <w:tcW w:w="223" w:type="pct"/>
            <w:tcBorders>
              <w:top w:val="nil"/>
              <w:left w:val="nil"/>
              <w:bottom w:val="single" w:color="auto" w:sz="4" w:space="0"/>
              <w:right w:val="single" w:color="auto" w:sz="4" w:space="0"/>
            </w:tcBorders>
            <w:shd w:val="clear" w:color="auto" w:fill="auto"/>
            <w:vAlign w:val="center"/>
          </w:tcPr>
          <w:p w14:paraId="3C1F4696">
            <w:pPr>
              <w:spacing w:line="240" w:lineRule="auto"/>
              <w:ind w:firstLine="0" w:firstLineChars="0"/>
              <w:jc w:val="center"/>
              <w:rPr>
                <w:rFonts w:cs="Times New Roman"/>
                <w:color w:val="000000"/>
                <w:sz w:val="21"/>
                <w:szCs w:val="21"/>
              </w:rPr>
            </w:pPr>
            <w:r>
              <w:rPr>
                <w:rFonts w:cs="Times New Roman"/>
                <w:color w:val="000000"/>
                <w:sz w:val="21"/>
                <w:szCs w:val="21"/>
              </w:rPr>
              <w:t>K</w:t>
            </w:r>
          </w:p>
        </w:tc>
        <w:tc>
          <w:tcPr>
            <w:tcW w:w="865" w:type="pct"/>
            <w:tcBorders>
              <w:top w:val="nil"/>
              <w:left w:val="nil"/>
              <w:bottom w:val="single" w:color="auto" w:sz="4" w:space="0"/>
              <w:right w:val="single" w:color="auto" w:sz="4" w:space="0"/>
            </w:tcBorders>
            <w:shd w:val="clear" w:color="auto" w:fill="auto"/>
            <w:vAlign w:val="center"/>
          </w:tcPr>
          <w:p w14:paraId="50300581">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37" w:type="pct"/>
            <w:gridSpan w:val="2"/>
            <w:tcBorders>
              <w:top w:val="nil"/>
              <w:left w:val="nil"/>
              <w:bottom w:val="single" w:color="auto" w:sz="4" w:space="0"/>
              <w:right w:val="single" w:color="auto" w:sz="4" w:space="0"/>
            </w:tcBorders>
            <w:shd w:val="clear" w:color="auto" w:fill="auto"/>
            <w:vAlign w:val="center"/>
          </w:tcPr>
          <w:p w14:paraId="32AB56FF">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610" w:type="pct"/>
            <w:gridSpan w:val="3"/>
            <w:tcBorders>
              <w:top w:val="nil"/>
              <w:left w:val="nil"/>
              <w:bottom w:val="single" w:color="auto" w:sz="4" w:space="0"/>
              <w:right w:val="single" w:color="auto" w:sz="4" w:space="0"/>
            </w:tcBorders>
            <w:shd w:val="clear" w:color="auto" w:fill="auto"/>
            <w:vAlign w:val="center"/>
          </w:tcPr>
          <w:p w14:paraId="4F3D8E16">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603" w:type="pct"/>
            <w:gridSpan w:val="3"/>
            <w:tcBorders>
              <w:top w:val="nil"/>
              <w:left w:val="nil"/>
              <w:bottom w:val="single" w:color="auto" w:sz="4" w:space="0"/>
              <w:right w:val="single" w:color="auto" w:sz="4" w:space="0"/>
            </w:tcBorders>
            <w:shd w:val="clear" w:color="auto" w:fill="auto"/>
            <w:vAlign w:val="center"/>
          </w:tcPr>
          <w:p w14:paraId="35069B03">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652" w:type="pct"/>
            <w:gridSpan w:val="3"/>
            <w:tcBorders>
              <w:top w:val="nil"/>
              <w:left w:val="nil"/>
              <w:bottom w:val="single" w:color="auto" w:sz="4" w:space="0"/>
              <w:right w:val="single" w:color="auto" w:sz="4" w:space="0"/>
            </w:tcBorders>
            <w:shd w:val="clear" w:color="auto" w:fill="auto"/>
            <w:vAlign w:val="center"/>
          </w:tcPr>
          <w:p w14:paraId="4AA86B26">
            <w:pPr>
              <w:spacing w:line="240" w:lineRule="auto"/>
              <w:ind w:firstLine="0" w:firstLineChars="0"/>
              <w:jc w:val="center"/>
              <w:rPr>
                <w:rFonts w:cs="Times New Roman"/>
                <w:color w:val="000000"/>
                <w:sz w:val="21"/>
                <w:szCs w:val="21"/>
              </w:rPr>
            </w:pPr>
            <w:r>
              <w:rPr>
                <w:rFonts w:cs="Times New Roman"/>
                <w:color w:val="000000"/>
                <w:sz w:val="20"/>
                <w:szCs w:val="20"/>
              </w:rPr>
              <w:t>0.0175</w:t>
            </w:r>
          </w:p>
        </w:tc>
        <w:tc>
          <w:tcPr>
            <w:tcW w:w="744" w:type="pct"/>
            <w:gridSpan w:val="3"/>
            <w:tcBorders>
              <w:top w:val="single" w:color="auto" w:sz="4" w:space="0"/>
              <w:left w:val="nil"/>
              <w:bottom w:val="single" w:color="auto" w:sz="4" w:space="0"/>
              <w:right w:val="single" w:color="000000" w:sz="4" w:space="0"/>
            </w:tcBorders>
            <w:shd w:val="clear" w:color="auto" w:fill="auto"/>
            <w:vAlign w:val="center"/>
          </w:tcPr>
          <w:p w14:paraId="22D55F5E">
            <w:pPr>
              <w:spacing w:line="240" w:lineRule="auto"/>
              <w:ind w:firstLine="0" w:firstLineChars="0"/>
              <w:jc w:val="center"/>
              <w:rPr>
                <w:rFonts w:cs="Times New Roman"/>
                <w:color w:val="000000"/>
                <w:sz w:val="21"/>
                <w:szCs w:val="21"/>
              </w:rPr>
            </w:pPr>
            <w:r>
              <w:rPr>
                <w:rFonts w:cs="Times New Roman"/>
                <w:color w:val="000000"/>
                <w:sz w:val="20"/>
                <w:szCs w:val="20"/>
              </w:rPr>
              <w:t>0.0175</w:t>
            </w:r>
          </w:p>
        </w:tc>
      </w:tr>
      <w:tr w14:paraId="18134C28">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5FB1A950">
            <w:pPr>
              <w:spacing w:line="240" w:lineRule="auto"/>
              <w:ind w:firstLine="0" w:firstLineChars="0"/>
              <w:jc w:val="center"/>
              <w:rPr>
                <w:rFonts w:cs="Times New Roman"/>
                <w:color w:val="000000"/>
                <w:sz w:val="21"/>
                <w:szCs w:val="21"/>
              </w:rPr>
            </w:pPr>
            <w:r>
              <w:rPr>
                <w:rFonts w:cs="Times New Roman"/>
                <w:color w:val="000000"/>
                <w:sz w:val="21"/>
                <w:szCs w:val="21"/>
              </w:rPr>
              <w:t>4</w:t>
            </w:r>
          </w:p>
        </w:tc>
        <w:tc>
          <w:tcPr>
            <w:tcW w:w="589" w:type="pct"/>
            <w:tcBorders>
              <w:top w:val="nil"/>
              <w:left w:val="nil"/>
              <w:bottom w:val="single" w:color="auto" w:sz="4" w:space="0"/>
              <w:right w:val="single" w:color="auto" w:sz="4" w:space="0"/>
            </w:tcBorders>
            <w:shd w:val="clear" w:color="auto" w:fill="auto"/>
            <w:vAlign w:val="center"/>
          </w:tcPr>
          <w:p w14:paraId="3FAD0937">
            <w:pPr>
              <w:spacing w:line="240" w:lineRule="auto"/>
              <w:ind w:firstLine="0" w:firstLineChars="0"/>
              <w:jc w:val="center"/>
              <w:rPr>
                <w:rFonts w:cs="Times New Roman"/>
                <w:color w:val="000000"/>
                <w:sz w:val="21"/>
                <w:szCs w:val="21"/>
              </w:rPr>
            </w:pPr>
            <w:r>
              <w:rPr>
                <w:rFonts w:cs="Times New Roman"/>
                <w:color w:val="000000"/>
                <w:sz w:val="21"/>
                <w:szCs w:val="21"/>
              </w:rPr>
              <w:t>坡长因子</w:t>
            </w:r>
          </w:p>
        </w:tc>
        <w:tc>
          <w:tcPr>
            <w:tcW w:w="223" w:type="pct"/>
            <w:tcBorders>
              <w:top w:val="nil"/>
              <w:left w:val="nil"/>
              <w:bottom w:val="single" w:color="auto" w:sz="4" w:space="0"/>
              <w:right w:val="single" w:color="auto" w:sz="4" w:space="0"/>
            </w:tcBorders>
            <w:shd w:val="clear" w:color="auto" w:fill="auto"/>
            <w:vAlign w:val="center"/>
          </w:tcPr>
          <w:p w14:paraId="6CF8C6BC">
            <w:pPr>
              <w:spacing w:line="240" w:lineRule="auto"/>
              <w:ind w:firstLine="0" w:firstLineChars="0"/>
              <w:jc w:val="center"/>
              <w:rPr>
                <w:rFonts w:cs="Times New Roman"/>
                <w:color w:val="000000"/>
                <w:sz w:val="21"/>
                <w:szCs w:val="21"/>
              </w:rPr>
            </w:pPr>
            <w:r>
              <w:rPr>
                <w:rFonts w:cs="Times New Roman"/>
                <w:color w:val="000000"/>
                <w:sz w:val="21"/>
                <w:szCs w:val="21"/>
              </w:rPr>
              <w:t>Ly</w:t>
            </w:r>
          </w:p>
        </w:tc>
        <w:tc>
          <w:tcPr>
            <w:tcW w:w="865" w:type="pct"/>
            <w:tcBorders>
              <w:top w:val="nil"/>
              <w:left w:val="nil"/>
              <w:bottom w:val="single" w:color="auto" w:sz="4" w:space="0"/>
              <w:right w:val="single" w:color="auto" w:sz="4" w:space="0"/>
            </w:tcBorders>
            <w:shd w:val="clear" w:color="auto" w:fill="auto"/>
            <w:vAlign w:val="center"/>
          </w:tcPr>
          <w:p w14:paraId="0ABD957D">
            <w:pPr>
              <w:spacing w:line="240" w:lineRule="auto"/>
              <w:ind w:firstLine="0" w:firstLineChars="0"/>
              <w:jc w:val="center"/>
              <w:rPr>
                <w:rFonts w:cs="Times New Roman"/>
                <w:color w:val="000000"/>
                <w:sz w:val="21"/>
                <w:szCs w:val="21"/>
              </w:rPr>
            </w:pPr>
            <w:r>
              <w:rPr>
                <w:rFonts w:cs="Times New Roman"/>
                <w:color w:val="000000"/>
                <w:sz w:val="21"/>
                <w:szCs w:val="21"/>
              </w:rPr>
              <w:t>Ly=(λ/20）</w:t>
            </w:r>
            <w:r>
              <w:rPr>
                <w:rFonts w:cs="Times New Roman"/>
                <w:color w:val="000000"/>
                <w:sz w:val="21"/>
                <w:szCs w:val="21"/>
                <w:vertAlign w:val="superscript"/>
              </w:rPr>
              <w:t>m</w:t>
            </w:r>
          </w:p>
        </w:tc>
        <w:tc>
          <w:tcPr>
            <w:tcW w:w="537" w:type="pct"/>
            <w:gridSpan w:val="2"/>
            <w:tcBorders>
              <w:top w:val="nil"/>
              <w:left w:val="nil"/>
              <w:bottom w:val="single" w:color="auto" w:sz="4" w:space="0"/>
              <w:right w:val="single" w:color="auto" w:sz="4" w:space="0"/>
            </w:tcBorders>
            <w:shd w:val="clear" w:color="auto" w:fill="auto"/>
            <w:vAlign w:val="center"/>
          </w:tcPr>
          <w:p w14:paraId="6BF1C8EA">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610" w:type="pct"/>
            <w:gridSpan w:val="3"/>
            <w:tcBorders>
              <w:top w:val="nil"/>
              <w:left w:val="nil"/>
              <w:bottom w:val="single" w:color="auto" w:sz="4" w:space="0"/>
              <w:right w:val="single" w:color="auto" w:sz="4" w:space="0"/>
            </w:tcBorders>
            <w:shd w:val="clear" w:color="auto" w:fill="auto"/>
            <w:vAlign w:val="center"/>
          </w:tcPr>
          <w:p w14:paraId="601DEAFE">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603" w:type="pct"/>
            <w:gridSpan w:val="3"/>
            <w:tcBorders>
              <w:top w:val="nil"/>
              <w:left w:val="nil"/>
              <w:bottom w:val="single" w:color="auto" w:sz="4" w:space="0"/>
              <w:right w:val="single" w:color="auto" w:sz="4" w:space="0"/>
            </w:tcBorders>
            <w:shd w:val="clear" w:color="auto" w:fill="auto"/>
            <w:vAlign w:val="center"/>
          </w:tcPr>
          <w:p w14:paraId="56437AB9">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652" w:type="pct"/>
            <w:gridSpan w:val="3"/>
            <w:tcBorders>
              <w:top w:val="nil"/>
              <w:left w:val="nil"/>
              <w:bottom w:val="single" w:color="auto" w:sz="4" w:space="0"/>
              <w:right w:val="single" w:color="auto" w:sz="4" w:space="0"/>
            </w:tcBorders>
            <w:shd w:val="clear" w:color="auto" w:fill="auto"/>
            <w:vAlign w:val="center"/>
          </w:tcPr>
          <w:p w14:paraId="37FFA131">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c>
          <w:tcPr>
            <w:tcW w:w="744" w:type="pct"/>
            <w:gridSpan w:val="3"/>
            <w:tcBorders>
              <w:top w:val="single" w:color="auto" w:sz="4" w:space="0"/>
              <w:left w:val="nil"/>
              <w:bottom w:val="single" w:color="auto" w:sz="4" w:space="0"/>
              <w:right w:val="single" w:color="000000" w:sz="4" w:space="0"/>
            </w:tcBorders>
            <w:shd w:val="clear" w:color="auto" w:fill="auto"/>
            <w:vAlign w:val="center"/>
          </w:tcPr>
          <w:p w14:paraId="15B560E1">
            <w:pPr>
              <w:spacing w:line="240" w:lineRule="auto"/>
              <w:ind w:firstLine="0" w:firstLineChars="0"/>
              <w:jc w:val="center"/>
              <w:rPr>
                <w:rFonts w:cs="Times New Roman"/>
                <w:color w:val="000000"/>
                <w:sz w:val="21"/>
                <w:szCs w:val="21"/>
              </w:rPr>
            </w:pPr>
            <w:r>
              <w:rPr>
                <w:rFonts w:cs="Times New Roman"/>
                <w:color w:val="000000"/>
                <w:sz w:val="20"/>
                <w:szCs w:val="20"/>
              </w:rPr>
              <w:t xml:space="preserve">1.90 </w:t>
            </w:r>
          </w:p>
        </w:tc>
      </w:tr>
      <w:tr w14:paraId="5764D254">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226EEDA4">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6B522CDB">
            <w:pPr>
              <w:spacing w:line="240" w:lineRule="auto"/>
              <w:ind w:firstLine="0" w:firstLineChars="0"/>
              <w:jc w:val="center"/>
              <w:rPr>
                <w:rFonts w:cs="Times New Roman"/>
                <w:color w:val="000000"/>
                <w:sz w:val="21"/>
                <w:szCs w:val="21"/>
              </w:rPr>
            </w:pPr>
            <w:r>
              <w:rPr>
                <w:rFonts w:cs="Times New Roman"/>
                <w:color w:val="000000"/>
                <w:sz w:val="21"/>
                <w:szCs w:val="21"/>
              </w:rPr>
              <w:t>水平投影坡坡长（m）</w:t>
            </w:r>
          </w:p>
        </w:tc>
        <w:tc>
          <w:tcPr>
            <w:tcW w:w="223" w:type="pct"/>
            <w:tcBorders>
              <w:top w:val="nil"/>
              <w:left w:val="nil"/>
              <w:bottom w:val="single" w:color="auto" w:sz="4" w:space="0"/>
              <w:right w:val="single" w:color="auto" w:sz="4" w:space="0"/>
            </w:tcBorders>
            <w:shd w:val="clear" w:color="auto" w:fill="auto"/>
            <w:vAlign w:val="center"/>
          </w:tcPr>
          <w:p w14:paraId="2B07E3BA">
            <w:pPr>
              <w:spacing w:line="240" w:lineRule="auto"/>
              <w:ind w:firstLine="0" w:firstLineChars="0"/>
              <w:jc w:val="center"/>
              <w:rPr>
                <w:rFonts w:cs="Times New Roman"/>
                <w:color w:val="000000"/>
                <w:sz w:val="21"/>
                <w:szCs w:val="21"/>
              </w:rPr>
            </w:pPr>
            <w:r>
              <w:rPr>
                <w:rFonts w:cs="Times New Roman"/>
                <w:color w:val="000000"/>
                <w:sz w:val="21"/>
                <w:szCs w:val="21"/>
              </w:rPr>
              <w:t>λ</w:t>
            </w:r>
          </w:p>
        </w:tc>
        <w:tc>
          <w:tcPr>
            <w:tcW w:w="865" w:type="pct"/>
            <w:tcBorders>
              <w:top w:val="nil"/>
              <w:left w:val="nil"/>
              <w:bottom w:val="single" w:color="auto" w:sz="4" w:space="0"/>
              <w:right w:val="single" w:color="auto" w:sz="4" w:space="0"/>
            </w:tcBorders>
            <w:shd w:val="clear" w:color="auto" w:fill="auto"/>
            <w:vAlign w:val="center"/>
          </w:tcPr>
          <w:p w14:paraId="6446063F">
            <w:pPr>
              <w:spacing w:line="240" w:lineRule="auto"/>
              <w:ind w:firstLine="0" w:firstLineChars="0"/>
              <w:jc w:val="center"/>
              <w:rPr>
                <w:rFonts w:cs="Times New Roman"/>
                <w:color w:val="000000"/>
                <w:sz w:val="21"/>
                <w:szCs w:val="21"/>
              </w:rPr>
            </w:pPr>
            <w:r>
              <w:rPr>
                <w:rFonts w:cs="Times New Roman"/>
                <w:color w:val="000000"/>
                <w:sz w:val="21"/>
                <w:szCs w:val="21"/>
              </w:rPr>
              <w:t>λ=λxcosθ</w:t>
            </w:r>
          </w:p>
        </w:tc>
        <w:tc>
          <w:tcPr>
            <w:tcW w:w="537" w:type="pct"/>
            <w:gridSpan w:val="2"/>
            <w:tcBorders>
              <w:top w:val="nil"/>
              <w:left w:val="nil"/>
              <w:bottom w:val="single" w:color="auto" w:sz="4" w:space="0"/>
              <w:right w:val="single" w:color="auto" w:sz="4" w:space="0"/>
            </w:tcBorders>
            <w:shd w:val="clear" w:color="auto" w:fill="auto"/>
            <w:vAlign w:val="center"/>
          </w:tcPr>
          <w:p w14:paraId="53470B6E">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610" w:type="pct"/>
            <w:gridSpan w:val="3"/>
            <w:tcBorders>
              <w:top w:val="nil"/>
              <w:left w:val="nil"/>
              <w:bottom w:val="single" w:color="auto" w:sz="4" w:space="0"/>
              <w:right w:val="single" w:color="auto" w:sz="4" w:space="0"/>
            </w:tcBorders>
            <w:shd w:val="clear" w:color="auto" w:fill="auto"/>
            <w:vAlign w:val="center"/>
          </w:tcPr>
          <w:p w14:paraId="4C37F02A">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603" w:type="pct"/>
            <w:gridSpan w:val="3"/>
            <w:tcBorders>
              <w:top w:val="nil"/>
              <w:left w:val="nil"/>
              <w:bottom w:val="single" w:color="auto" w:sz="4" w:space="0"/>
              <w:right w:val="single" w:color="auto" w:sz="4" w:space="0"/>
            </w:tcBorders>
            <w:shd w:val="clear" w:color="auto" w:fill="auto"/>
            <w:vAlign w:val="center"/>
          </w:tcPr>
          <w:p w14:paraId="68B45AAC">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652" w:type="pct"/>
            <w:gridSpan w:val="3"/>
            <w:tcBorders>
              <w:top w:val="nil"/>
              <w:left w:val="nil"/>
              <w:bottom w:val="single" w:color="auto" w:sz="4" w:space="0"/>
              <w:right w:val="single" w:color="auto" w:sz="4" w:space="0"/>
            </w:tcBorders>
            <w:shd w:val="clear" w:color="auto" w:fill="auto"/>
            <w:vAlign w:val="center"/>
          </w:tcPr>
          <w:p w14:paraId="4D1FE36D">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c>
          <w:tcPr>
            <w:tcW w:w="744" w:type="pct"/>
            <w:gridSpan w:val="3"/>
            <w:tcBorders>
              <w:top w:val="single" w:color="auto" w:sz="4" w:space="0"/>
              <w:left w:val="nil"/>
              <w:bottom w:val="single" w:color="auto" w:sz="4" w:space="0"/>
              <w:right w:val="single" w:color="000000" w:sz="4" w:space="0"/>
            </w:tcBorders>
            <w:shd w:val="clear" w:color="auto" w:fill="auto"/>
            <w:vAlign w:val="center"/>
          </w:tcPr>
          <w:p w14:paraId="5B8BEABB">
            <w:pPr>
              <w:spacing w:line="240" w:lineRule="auto"/>
              <w:ind w:firstLine="0" w:firstLineChars="0"/>
              <w:jc w:val="center"/>
              <w:rPr>
                <w:rFonts w:cs="Times New Roman"/>
                <w:color w:val="000000"/>
                <w:sz w:val="21"/>
                <w:szCs w:val="21"/>
              </w:rPr>
            </w:pPr>
            <w:r>
              <w:rPr>
                <w:rFonts w:cs="Times New Roman"/>
                <w:color w:val="000000"/>
                <w:sz w:val="20"/>
                <w:szCs w:val="20"/>
              </w:rPr>
              <w:t xml:space="preserve">99.62 </w:t>
            </w:r>
          </w:p>
        </w:tc>
      </w:tr>
      <w:tr w14:paraId="46905665">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0C70789D">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4E4F182C">
            <w:pPr>
              <w:spacing w:line="240" w:lineRule="auto"/>
              <w:ind w:firstLine="0" w:firstLineChars="0"/>
              <w:jc w:val="center"/>
              <w:rPr>
                <w:rFonts w:cs="Times New Roman"/>
                <w:color w:val="000000"/>
                <w:sz w:val="21"/>
                <w:szCs w:val="21"/>
              </w:rPr>
            </w:pPr>
            <w:r>
              <w:rPr>
                <w:rFonts w:cs="Times New Roman"/>
                <w:color w:val="000000"/>
                <w:sz w:val="21"/>
                <w:szCs w:val="21"/>
              </w:rPr>
              <w:t>斜坡长度（m）</w:t>
            </w:r>
          </w:p>
        </w:tc>
        <w:tc>
          <w:tcPr>
            <w:tcW w:w="223" w:type="pct"/>
            <w:tcBorders>
              <w:top w:val="nil"/>
              <w:left w:val="nil"/>
              <w:bottom w:val="single" w:color="auto" w:sz="4" w:space="0"/>
              <w:right w:val="single" w:color="auto" w:sz="4" w:space="0"/>
            </w:tcBorders>
            <w:shd w:val="clear" w:color="auto" w:fill="auto"/>
            <w:vAlign w:val="center"/>
          </w:tcPr>
          <w:p w14:paraId="08424B4E">
            <w:pPr>
              <w:spacing w:line="240" w:lineRule="auto"/>
              <w:ind w:firstLine="0" w:firstLineChars="0"/>
              <w:jc w:val="center"/>
              <w:rPr>
                <w:rFonts w:cs="Times New Roman"/>
                <w:color w:val="000000"/>
                <w:sz w:val="21"/>
                <w:szCs w:val="21"/>
              </w:rPr>
            </w:pPr>
            <w:r>
              <w:rPr>
                <w:rFonts w:cs="Times New Roman"/>
                <w:color w:val="000000"/>
                <w:sz w:val="21"/>
                <w:szCs w:val="21"/>
              </w:rPr>
              <w:t>λx</w:t>
            </w:r>
          </w:p>
        </w:tc>
        <w:tc>
          <w:tcPr>
            <w:tcW w:w="865" w:type="pct"/>
            <w:tcBorders>
              <w:top w:val="nil"/>
              <w:left w:val="nil"/>
              <w:bottom w:val="single" w:color="auto" w:sz="4" w:space="0"/>
              <w:right w:val="single" w:color="auto" w:sz="4" w:space="0"/>
            </w:tcBorders>
            <w:shd w:val="clear" w:color="auto" w:fill="auto"/>
            <w:vAlign w:val="center"/>
          </w:tcPr>
          <w:p w14:paraId="21D7000F">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37" w:type="pct"/>
            <w:gridSpan w:val="2"/>
            <w:tcBorders>
              <w:top w:val="nil"/>
              <w:left w:val="nil"/>
              <w:bottom w:val="single" w:color="auto" w:sz="4" w:space="0"/>
              <w:right w:val="single" w:color="auto" w:sz="4" w:space="0"/>
            </w:tcBorders>
            <w:shd w:val="clear" w:color="auto" w:fill="auto"/>
            <w:vAlign w:val="center"/>
          </w:tcPr>
          <w:p w14:paraId="207231CE">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610" w:type="pct"/>
            <w:gridSpan w:val="3"/>
            <w:tcBorders>
              <w:top w:val="nil"/>
              <w:left w:val="nil"/>
              <w:bottom w:val="single" w:color="auto" w:sz="4" w:space="0"/>
              <w:right w:val="single" w:color="auto" w:sz="4" w:space="0"/>
            </w:tcBorders>
            <w:shd w:val="clear" w:color="auto" w:fill="auto"/>
            <w:vAlign w:val="center"/>
          </w:tcPr>
          <w:p w14:paraId="423C6001">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603" w:type="pct"/>
            <w:gridSpan w:val="3"/>
            <w:tcBorders>
              <w:top w:val="nil"/>
              <w:left w:val="nil"/>
              <w:bottom w:val="single" w:color="auto" w:sz="4" w:space="0"/>
              <w:right w:val="single" w:color="auto" w:sz="4" w:space="0"/>
            </w:tcBorders>
            <w:shd w:val="clear" w:color="auto" w:fill="auto"/>
            <w:vAlign w:val="center"/>
          </w:tcPr>
          <w:p w14:paraId="4B557400">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652" w:type="pct"/>
            <w:gridSpan w:val="3"/>
            <w:tcBorders>
              <w:top w:val="nil"/>
              <w:left w:val="nil"/>
              <w:bottom w:val="single" w:color="auto" w:sz="4" w:space="0"/>
              <w:right w:val="single" w:color="auto" w:sz="4" w:space="0"/>
            </w:tcBorders>
            <w:shd w:val="clear" w:color="auto" w:fill="auto"/>
            <w:vAlign w:val="center"/>
          </w:tcPr>
          <w:p w14:paraId="7A27E1A0">
            <w:pPr>
              <w:spacing w:line="240" w:lineRule="auto"/>
              <w:ind w:firstLine="0" w:firstLineChars="0"/>
              <w:jc w:val="center"/>
              <w:rPr>
                <w:rFonts w:cs="Times New Roman"/>
                <w:color w:val="000000"/>
                <w:sz w:val="21"/>
                <w:szCs w:val="21"/>
              </w:rPr>
            </w:pPr>
            <w:r>
              <w:rPr>
                <w:rFonts w:cs="Times New Roman"/>
                <w:color w:val="000000"/>
                <w:sz w:val="20"/>
                <w:szCs w:val="20"/>
              </w:rPr>
              <w:t>100</w:t>
            </w:r>
          </w:p>
        </w:tc>
        <w:tc>
          <w:tcPr>
            <w:tcW w:w="744" w:type="pct"/>
            <w:gridSpan w:val="3"/>
            <w:tcBorders>
              <w:top w:val="single" w:color="auto" w:sz="4" w:space="0"/>
              <w:left w:val="nil"/>
              <w:bottom w:val="single" w:color="auto" w:sz="4" w:space="0"/>
              <w:right w:val="single" w:color="000000" w:sz="4" w:space="0"/>
            </w:tcBorders>
            <w:shd w:val="clear" w:color="auto" w:fill="auto"/>
            <w:vAlign w:val="center"/>
          </w:tcPr>
          <w:p w14:paraId="58D4CF71">
            <w:pPr>
              <w:spacing w:line="240" w:lineRule="auto"/>
              <w:ind w:firstLine="0" w:firstLineChars="0"/>
              <w:jc w:val="center"/>
              <w:rPr>
                <w:rFonts w:cs="Times New Roman"/>
                <w:color w:val="000000"/>
                <w:sz w:val="21"/>
                <w:szCs w:val="21"/>
              </w:rPr>
            </w:pPr>
            <w:r>
              <w:rPr>
                <w:rFonts w:cs="Times New Roman"/>
                <w:color w:val="000000"/>
                <w:sz w:val="20"/>
                <w:szCs w:val="20"/>
              </w:rPr>
              <w:t>100</w:t>
            </w:r>
          </w:p>
        </w:tc>
      </w:tr>
      <w:tr w14:paraId="26B1C551">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7A2A0808">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31C60C71">
            <w:pPr>
              <w:spacing w:line="240" w:lineRule="auto"/>
              <w:ind w:firstLine="0" w:firstLineChars="0"/>
              <w:jc w:val="center"/>
              <w:rPr>
                <w:rFonts w:cs="Times New Roman"/>
                <w:color w:val="000000"/>
                <w:sz w:val="21"/>
                <w:szCs w:val="21"/>
              </w:rPr>
            </w:pPr>
            <w:r>
              <w:rPr>
                <w:rFonts w:cs="Times New Roman"/>
                <w:color w:val="000000"/>
                <w:sz w:val="21"/>
                <w:szCs w:val="21"/>
              </w:rPr>
              <w:t>坡长指数</w:t>
            </w:r>
          </w:p>
        </w:tc>
        <w:tc>
          <w:tcPr>
            <w:tcW w:w="223" w:type="pct"/>
            <w:tcBorders>
              <w:top w:val="nil"/>
              <w:left w:val="nil"/>
              <w:bottom w:val="single" w:color="auto" w:sz="4" w:space="0"/>
              <w:right w:val="single" w:color="auto" w:sz="4" w:space="0"/>
            </w:tcBorders>
            <w:shd w:val="clear" w:color="auto" w:fill="auto"/>
            <w:vAlign w:val="center"/>
          </w:tcPr>
          <w:p w14:paraId="323CEDBD">
            <w:pPr>
              <w:spacing w:line="240" w:lineRule="auto"/>
              <w:ind w:firstLine="0" w:firstLineChars="0"/>
              <w:jc w:val="center"/>
              <w:rPr>
                <w:rFonts w:cs="Times New Roman"/>
                <w:color w:val="000000"/>
                <w:sz w:val="21"/>
                <w:szCs w:val="21"/>
              </w:rPr>
            </w:pPr>
            <w:r>
              <w:rPr>
                <w:rFonts w:cs="Times New Roman"/>
                <w:color w:val="000000"/>
                <w:sz w:val="21"/>
                <w:szCs w:val="21"/>
              </w:rPr>
              <w:t>m</w:t>
            </w:r>
          </w:p>
        </w:tc>
        <w:tc>
          <w:tcPr>
            <w:tcW w:w="865" w:type="pct"/>
            <w:tcBorders>
              <w:top w:val="nil"/>
              <w:left w:val="nil"/>
              <w:bottom w:val="single" w:color="auto" w:sz="4" w:space="0"/>
              <w:right w:val="single" w:color="auto" w:sz="4" w:space="0"/>
            </w:tcBorders>
            <w:shd w:val="clear" w:color="auto" w:fill="auto"/>
            <w:vAlign w:val="center"/>
          </w:tcPr>
          <w:p w14:paraId="2A44E67B">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37" w:type="pct"/>
            <w:gridSpan w:val="2"/>
            <w:tcBorders>
              <w:top w:val="nil"/>
              <w:left w:val="nil"/>
              <w:bottom w:val="single" w:color="auto" w:sz="4" w:space="0"/>
              <w:right w:val="single" w:color="auto" w:sz="4" w:space="0"/>
            </w:tcBorders>
            <w:shd w:val="clear" w:color="auto" w:fill="auto"/>
            <w:vAlign w:val="center"/>
          </w:tcPr>
          <w:p w14:paraId="2BA17E78">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610" w:type="pct"/>
            <w:gridSpan w:val="3"/>
            <w:tcBorders>
              <w:top w:val="nil"/>
              <w:left w:val="nil"/>
              <w:bottom w:val="single" w:color="auto" w:sz="4" w:space="0"/>
              <w:right w:val="single" w:color="auto" w:sz="4" w:space="0"/>
            </w:tcBorders>
            <w:shd w:val="clear" w:color="auto" w:fill="auto"/>
            <w:vAlign w:val="center"/>
          </w:tcPr>
          <w:p w14:paraId="0E1EE838">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603" w:type="pct"/>
            <w:gridSpan w:val="3"/>
            <w:tcBorders>
              <w:top w:val="nil"/>
              <w:left w:val="nil"/>
              <w:bottom w:val="single" w:color="auto" w:sz="4" w:space="0"/>
              <w:right w:val="single" w:color="auto" w:sz="4" w:space="0"/>
            </w:tcBorders>
            <w:shd w:val="clear" w:color="auto" w:fill="auto"/>
            <w:vAlign w:val="center"/>
          </w:tcPr>
          <w:p w14:paraId="2D0B0662">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652" w:type="pct"/>
            <w:gridSpan w:val="3"/>
            <w:tcBorders>
              <w:top w:val="nil"/>
              <w:left w:val="nil"/>
              <w:bottom w:val="single" w:color="auto" w:sz="4" w:space="0"/>
              <w:right w:val="single" w:color="auto" w:sz="4" w:space="0"/>
            </w:tcBorders>
            <w:shd w:val="clear" w:color="auto" w:fill="auto"/>
            <w:vAlign w:val="center"/>
          </w:tcPr>
          <w:p w14:paraId="1BE4CA09">
            <w:pPr>
              <w:spacing w:line="240" w:lineRule="auto"/>
              <w:ind w:firstLine="0" w:firstLineChars="0"/>
              <w:jc w:val="center"/>
              <w:rPr>
                <w:rFonts w:cs="Times New Roman"/>
                <w:color w:val="000000"/>
                <w:sz w:val="21"/>
                <w:szCs w:val="21"/>
              </w:rPr>
            </w:pPr>
            <w:r>
              <w:rPr>
                <w:rFonts w:cs="Times New Roman"/>
                <w:color w:val="000000"/>
                <w:sz w:val="20"/>
                <w:szCs w:val="20"/>
              </w:rPr>
              <w:t>0.4</w:t>
            </w:r>
          </w:p>
        </w:tc>
        <w:tc>
          <w:tcPr>
            <w:tcW w:w="744" w:type="pct"/>
            <w:gridSpan w:val="3"/>
            <w:tcBorders>
              <w:top w:val="single" w:color="auto" w:sz="4" w:space="0"/>
              <w:left w:val="nil"/>
              <w:bottom w:val="single" w:color="auto" w:sz="4" w:space="0"/>
              <w:right w:val="single" w:color="000000" w:sz="4" w:space="0"/>
            </w:tcBorders>
            <w:shd w:val="clear" w:color="auto" w:fill="auto"/>
            <w:vAlign w:val="center"/>
          </w:tcPr>
          <w:p w14:paraId="0E27E22F">
            <w:pPr>
              <w:spacing w:line="240" w:lineRule="auto"/>
              <w:ind w:firstLine="0" w:firstLineChars="0"/>
              <w:jc w:val="center"/>
              <w:rPr>
                <w:rFonts w:cs="Times New Roman"/>
                <w:color w:val="000000"/>
                <w:sz w:val="21"/>
                <w:szCs w:val="21"/>
              </w:rPr>
            </w:pPr>
            <w:r>
              <w:rPr>
                <w:rFonts w:cs="Times New Roman"/>
                <w:color w:val="000000"/>
                <w:sz w:val="20"/>
                <w:szCs w:val="20"/>
              </w:rPr>
              <w:t>0.4</w:t>
            </w:r>
          </w:p>
        </w:tc>
      </w:tr>
      <w:tr w14:paraId="74D9C984">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366A9229">
            <w:pPr>
              <w:spacing w:line="240" w:lineRule="auto"/>
              <w:ind w:firstLine="0" w:firstLineChars="0"/>
              <w:jc w:val="center"/>
              <w:rPr>
                <w:rFonts w:cs="Times New Roman"/>
                <w:color w:val="000000"/>
                <w:sz w:val="21"/>
                <w:szCs w:val="21"/>
              </w:rPr>
            </w:pPr>
            <w:r>
              <w:rPr>
                <w:rFonts w:cs="Times New Roman"/>
                <w:color w:val="000000"/>
                <w:sz w:val="21"/>
                <w:szCs w:val="21"/>
              </w:rPr>
              <w:t>5</w:t>
            </w:r>
          </w:p>
        </w:tc>
        <w:tc>
          <w:tcPr>
            <w:tcW w:w="589" w:type="pct"/>
            <w:tcBorders>
              <w:top w:val="nil"/>
              <w:left w:val="nil"/>
              <w:bottom w:val="single" w:color="auto" w:sz="4" w:space="0"/>
              <w:right w:val="single" w:color="auto" w:sz="4" w:space="0"/>
            </w:tcBorders>
            <w:shd w:val="clear" w:color="auto" w:fill="auto"/>
            <w:vAlign w:val="center"/>
          </w:tcPr>
          <w:p w14:paraId="1E447D8C">
            <w:pPr>
              <w:spacing w:line="240" w:lineRule="auto"/>
              <w:ind w:firstLine="0" w:firstLineChars="0"/>
              <w:jc w:val="center"/>
              <w:rPr>
                <w:rFonts w:cs="Times New Roman"/>
                <w:color w:val="000000"/>
                <w:sz w:val="21"/>
                <w:szCs w:val="21"/>
              </w:rPr>
            </w:pPr>
            <w:r>
              <w:rPr>
                <w:rFonts w:cs="Times New Roman"/>
                <w:color w:val="000000"/>
                <w:sz w:val="21"/>
                <w:szCs w:val="21"/>
              </w:rPr>
              <w:t>坡度因子</w:t>
            </w:r>
          </w:p>
        </w:tc>
        <w:tc>
          <w:tcPr>
            <w:tcW w:w="223" w:type="pct"/>
            <w:tcBorders>
              <w:top w:val="nil"/>
              <w:left w:val="nil"/>
              <w:bottom w:val="single" w:color="auto" w:sz="4" w:space="0"/>
              <w:right w:val="single" w:color="auto" w:sz="4" w:space="0"/>
            </w:tcBorders>
            <w:shd w:val="clear" w:color="auto" w:fill="auto"/>
            <w:vAlign w:val="center"/>
          </w:tcPr>
          <w:p w14:paraId="0BBC09E6">
            <w:pPr>
              <w:spacing w:line="240" w:lineRule="auto"/>
              <w:ind w:firstLine="0" w:firstLineChars="0"/>
              <w:jc w:val="center"/>
              <w:rPr>
                <w:rFonts w:cs="Times New Roman"/>
                <w:color w:val="000000"/>
                <w:sz w:val="21"/>
                <w:szCs w:val="21"/>
              </w:rPr>
            </w:pPr>
            <w:r>
              <w:rPr>
                <w:rFonts w:cs="Times New Roman"/>
                <w:color w:val="000000"/>
                <w:sz w:val="21"/>
                <w:szCs w:val="21"/>
              </w:rPr>
              <w:t>Sy</w:t>
            </w:r>
          </w:p>
        </w:tc>
        <w:tc>
          <w:tcPr>
            <w:tcW w:w="865" w:type="pct"/>
            <w:tcBorders>
              <w:top w:val="nil"/>
              <w:left w:val="nil"/>
              <w:bottom w:val="single" w:color="auto" w:sz="4" w:space="0"/>
              <w:right w:val="single" w:color="auto" w:sz="4" w:space="0"/>
            </w:tcBorders>
            <w:shd w:val="clear" w:color="auto" w:fill="auto"/>
            <w:vAlign w:val="center"/>
          </w:tcPr>
          <w:p w14:paraId="16E7D52D">
            <w:pPr>
              <w:spacing w:line="240" w:lineRule="auto"/>
              <w:ind w:firstLine="0" w:firstLineChars="0"/>
              <w:jc w:val="center"/>
              <w:rPr>
                <w:rFonts w:cs="Times New Roman"/>
                <w:color w:val="000000"/>
                <w:sz w:val="21"/>
                <w:szCs w:val="21"/>
              </w:rPr>
            </w:pPr>
            <w:r>
              <w:rPr>
                <w:rFonts w:cs="Times New Roman"/>
                <w:color w:val="000000"/>
                <w:sz w:val="21"/>
                <w:szCs w:val="21"/>
              </w:rPr>
              <w:t>Sy=-1.5+17/[1+e</w:t>
            </w:r>
            <w:r>
              <w:rPr>
                <w:rFonts w:cs="Times New Roman"/>
                <w:color w:val="000000"/>
                <w:sz w:val="21"/>
                <w:szCs w:val="21"/>
                <w:vertAlign w:val="superscript"/>
              </w:rPr>
              <w:t>(2.3-6.1sinθ)</w:t>
            </w:r>
            <w:r>
              <w:rPr>
                <w:rFonts w:cs="Times New Roman"/>
                <w:color w:val="000000"/>
                <w:sz w:val="21"/>
                <w:szCs w:val="21"/>
              </w:rPr>
              <w:t>]</w:t>
            </w:r>
          </w:p>
        </w:tc>
        <w:tc>
          <w:tcPr>
            <w:tcW w:w="537" w:type="pct"/>
            <w:gridSpan w:val="2"/>
            <w:tcBorders>
              <w:top w:val="nil"/>
              <w:left w:val="nil"/>
              <w:bottom w:val="single" w:color="auto" w:sz="4" w:space="0"/>
              <w:right w:val="single" w:color="auto" w:sz="4" w:space="0"/>
            </w:tcBorders>
            <w:shd w:val="clear" w:color="auto" w:fill="auto"/>
            <w:vAlign w:val="center"/>
          </w:tcPr>
          <w:p w14:paraId="5DFC3714">
            <w:pPr>
              <w:spacing w:line="240" w:lineRule="auto"/>
              <w:ind w:firstLine="0" w:firstLineChars="0"/>
              <w:jc w:val="center"/>
              <w:rPr>
                <w:rFonts w:cs="Times New Roman"/>
                <w:color w:val="000000"/>
                <w:sz w:val="21"/>
                <w:szCs w:val="21"/>
              </w:rPr>
            </w:pPr>
            <w:r>
              <w:rPr>
                <w:rFonts w:cs="Times New Roman"/>
                <w:color w:val="000000"/>
                <w:sz w:val="20"/>
                <w:szCs w:val="20"/>
              </w:rPr>
              <w:t xml:space="preserve">0.98 </w:t>
            </w:r>
          </w:p>
        </w:tc>
        <w:tc>
          <w:tcPr>
            <w:tcW w:w="610" w:type="pct"/>
            <w:gridSpan w:val="3"/>
            <w:tcBorders>
              <w:top w:val="nil"/>
              <w:left w:val="nil"/>
              <w:bottom w:val="single" w:color="auto" w:sz="4" w:space="0"/>
              <w:right w:val="single" w:color="auto" w:sz="4" w:space="0"/>
            </w:tcBorders>
            <w:shd w:val="clear" w:color="auto" w:fill="auto"/>
            <w:vAlign w:val="center"/>
          </w:tcPr>
          <w:p w14:paraId="1A3B4B4B">
            <w:pPr>
              <w:spacing w:line="240" w:lineRule="auto"/>
              <w:ind w:firstLine="0" w:firstLineChars="0"/>
              <w:jc w:val="center"/>
              <w:rPr>
                <w:rFonts w:cs="Times New Roman"/>
                <w:color w:val="000000"/>
                <w:sz w:val="21"/>
                <w:szCs w:val="21"/>
              </w:rPr>
            </w:pPr>
            <w:r>
              <w:rPr>
                <w:rFonts w:cs="Times New Roman"/>
                <w:color w:val="000000"/>
                <w:sz w:val="20"/>
                <w:szCs w:val="20"/>
              </w:rPr>
              <w:t xml:space="preserve">0.98 </w:t>
            </w:r>
          </w:p>
        </w:tc>
        <w:tc>
          <w:tcPr>
            <w:tcW w:w="603" w:type="pct"/>
            <w:gridSpan w:val="3"/>
            <w:tcBorders>
              <w:top w:val="nil"/>
              <w:left w:val="nil"/>
              <w:bottom w:val="single" w:color="auto" w:sz="4" w:space="0"/>
              <w:right w:val="single" w:color="auto" w:sz="4" w:space="0"/>
            </w:tcBorders>
            <w:shd w:val="clear" w:color="auto" w:fill="auto"/>
            <w:vAlign w:val="center"/>
          </w:tcPr>
          <w:p w14:paraId="06699BB6">
            <w:pPr>
              <w:spacing w:line="240" w:lineRule="auto"/>
              <w:ind w:firstLine="0" w:firstLineChars="0"/>
              <w:jc w:val="center"/>
              <w:rPr>
                <w:rFonts w:cs="Times New Roman"/>
                <w:color w:val="000000"/>
                <w:sz w:val="21"/>
                <w:szCs w:val="21"/>
              </w:rPr>
            </w:pPr>
            <w:r>
              <w:rPr>
                <w:rFonts w:cs="Times New Roman"/>
                <w:color w:val="000000"/>
                <w:sz w:val="20"/>
                <w:szCs w:val="20"/>
              </w:rPr>
              <w:t xml:space="preserve">0.98 </w:t>
            </w:r>
          </w:p>
        </w:tc>
        <w:tc>
          <w:tcPr>
            <w:tcW w:w="652" w:type="pct"/>
            <w:gridSpan w:val="3"/>
            <w:tcBorders>
              <w:top w:val="nil"/>
              <w:left w:val="nil"/>
              <w:bottom w:val="single" w:color="auto" w:sz="4" w:space="0"/>
              <w:right w:val="single" w:color="auto" w:sz="4" w:space="0"/>
            </w:tcBorders>
            <w:shd w:val="clear" w:color="auto" w:fill="auto"/>
            <w:vAlign w:val="center"/>
          </w:tcPr>
          <w:p w14:paraId="544D4B08">
            <w:pPr>
              <w:spacing w:line="240" w:lineRule="auto"/>
              <w:ind w:firstLine="0" w:firstLineChars="0"/>
              <w:jc w:val="center"/>
              <w:rPr>
                <w:rFonts w:cs="Times New Roman"/>
                <w:color w:val="000000"/>
                <w:sz w:val="21"/>
                <w:szCs w:val="21"/>
              </w:rPr>
            </w:pPr>
            <w:r>
              <w:rPr>
                <w:rFonts w:cs="Times New Roman"/>
                <w:color w:val="000000"/>
                <w:sz w:val="20"/>
                <w:szCs w:val="20"/>
              </w:rPr>
              <w:t xml:space="preserve">0.98 </w:t>
            </w:r>
          </w:p>
        </w:tc>
        <w:tc>
          <w:tcPr>
            <w:tcW w:w="744" w:type="pct"/>
            <w:gridSpan w:val="3"/>
            <w:tcBorders>
              <w:top w:val="single" w:color="auto" w:sz="4" w:space="0"/>
              <w:left w:val="nil"/>
              <w:bottom w:val="single" w:color="auto" w:sz="4" w:space="0"/>
              <w:right w:val="single" w:color="000000" w:sz="4" w:space="0"/>
            </w:tcBorders>
            <w:shd w:val="clear" w:color="auto" w:fill="auto"/>
            <w:vAlign w:val="center"/>
          </w:tcPr>
          <w:p w14:paraId="5F3429AB">
            <w:pPr>
              <w:spacing w:line="240" w:lineRule="auto"/>
              <w:ind w:firstLine="0" w:firstLineChars="0"/>
              <w:jc w:val="center"/>
              <w:rPr>
                <w:rFonts w:cs="Times New Roman"/>
                <w:color w:val="000000"/>
                <w:sz w:val="21"/>
                <w:szCs w:val="21"/>
              </w:rPr>
            </w:pPr>
            <w:r>
              <w:rPr>
                <w:rFonts w:cs="Times New Roman"/>
                <w:color w:val="000000"/>
                <w:sz w:val="20"/>
                <w:szCs w:val="20"/>
              </w:rPr>
              <w:t xml:space="preserve">0.98 </w:t>
            </w:r>
          </w:p>
        </w:tc>
      </w:tr>
      <w:tr w14:paraId="7C5E927D">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454773DA">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89" w:type="pct"/>
            <w:tcBorders>
              <w:top w:val="nil"/>
              <w:left w:val="nil"/>
              <w:bottom w:val="single" w:color="auto" w:sz="4" w:space="0"/>
              <w:right w:val="single" w:color="auto" w:sz="4" w:space="0"/>
            </w:tcBorders>
            <w:shd w:val="clear" w:color="auto" w:fill="auto"/>
            <w:vAlign w:val="center"/>
          </w:tcPr>
          <w:p w14:paraId="29928C21">
            <w:pPr>
              <w:spacing w:line="240" w:lineRule="auto"/>
              <w:ind w:firstLine="0" w:firstLineChars="0"/>
              <w:jc w:val="center"/>
              <w:rPr>
                <w:rFonts w:cs="Times New Roman"/>
                <w:color w:val="000000"/>
                <w:sz w:val="21"/>
                <w:szCs w:val="21"/>
              </w:rPr>
            </w:pPr>
            <w:r>
              <w:rPr>
                <w:rFonts w:cs="Times New Roman"/>
                <w:color w:val="000000"/>
                <w:sz w:val="21"/>
                <w:szCs w:val="21"/>
              </w:rPr>
              <w:t>坡度（°）</w:t>
            </w:r>
          </w:p>
        </w:tc>
        <w:tc>
          <w:tcPr>
            <w:tcW w:w="223" w:type="pct"/>
            <w:tcBorders>
              <w:top w:val="nil"/>
              <w:left w:val="nil"/>
              <w:bottom w:val="single" w:color="auto" w:sz="4" w:space="0"/>
              <w:right w:val="single" w:color="auto" w:sz="4" w:space="0"/>
            </w:tcBorders>
            <w:shd w:val="clear" w:color="auto" w:fill="auto"/>
            <w:vAlign w:val="center"/>
          </w:tcPr>
          <w:p w14:paraId="51FC89D8">
            <w:pPr>
              <w:spacing w:line="240" w:lineRule="auto"/>
              <w:ind w:firstLine="0" w:firstLineChars="0"/>
              <w:jc w:val="center"/>
              <w:rPr>
                <w:rFonts w:cs="Times New Roman"/>
                <w:color w:val="000000"/>
                <w:sz w:val="21"/>
                <w:szCs w:val="21"/>
              </w:rPr>
            </w:pPr>
            <w:r>
              <w:rPr>
                <w:rFonts w:cs="Times New Roman"/>
                <w:color w:val="000000"/>
                <w:sz w:val="21"/>
                <w:szCs w:val="21"/>
              </w:rPr>
              <w:t>θ</w:t>
            </w:r>
          </w:p>
        </w:tc>
        <w:tc>
          <w:tcPr>
            <w:tcW w:w="865" w:type="pct"/>
            <w:tcBorders>
              <w:top w:val="nil"/>
              <w:left w:val="nil"/>
              <w:bottom w:val="single" w:color="auto" w:sz="4" w:space="0"/>
              <w:right w:val="single" w:color="auto" w:sz="4" w:space="0"/>
            </w:tcBorders>
            <w:shd w:val="clear" w:color="auto" w:fill="auto"/>
            <w:vAlign w:val="center"/>
          </w:tcPr>
          <w:p w14:paraId="7BE80197">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37" w:type="pct"/>
            <w:gridSpan w:val="2"/>
            <w:tcBorders>
              <w:top w:val="nil"/>
              <w:left w:val="nil"/>
              <w:bottom w:val="single" w:color="auto" w:sz="4" w:space="0"/>
              <w:right w:val="single" w:color="auto" w:sz="4" w:space="0"/>
            </w:tcBorders>
            <w:shd w:val="clear" w:color="auto" w:fill="auto"/>
            <w:vAlign w:val="center"/>
          </w:tcPr>
          <w:p w14:paraId="1D3D0231">
            <w:pPr>
              <w:spacing w:line="240" w:lineRule="auto"/>
              <w:ind w:firstLine="0" w:firstLineChars="0"/>
              <w:jc w:val="center"/>
              <w:rPr>
                <w:rFonts w:cs="Times New Roman"/>
                <w:color w:val="000000"/>
                <w:sz w:val="21"/>
                <w:szCs w:val="21"/>
              </w:rPr>
            </w:pPr>
            <w:r>
              <w:rPr>
                <w:rFonts w:cs="Times New Roman"/>
                <w:color w:val="000000"/>
                <w:sz w:val="20"/>
                <w:szCs w:val="20"/>
              </w:rPr>
              <w:t>5</w:t>
            </w:r>
          </w:p>
        </w:tc>
        <w:tc>
          <w:tcPr>
            <w:tcW w:w="610" w:type="pct"/>
            <w:gridSpan w:val="3"/>
            <w:tcBorders>
              <w:top w:val="nil"/>
              <w:left w:val="nil"/>
              <w:bottom w:val="single" w:color="auto" w:sz="4" w:space="0"/>
              <w:right w:val="single" w:color="auto" w:sz="4" w:space="0"/>
            </w:tcBorders>
            <w:shd w:val="clear" w:color="auto" w:fill="auto"/>
            <w:vAlign w:val="center"/>
          </w:tcPr>
          <w:p w14:paraId="47F92842">
            <w:pPr>
              <w:spacing w:line="240" w:lineRule="auto"/>
              <w:ind w:firstLine="0" w:firstLineChars="0"/>
              <w:jc w:val="center"/>
              <w:rPr>
                <w:rFonts w:cs="Times New Roman"/>
                <w:color w:val="000000"/>
                <w:sz w:val="21"/>
                <w:szCs w:val="21"/>
              </w:rPr>
            </w:pPr>
            <w:r>
              <w:rPr>
                <w:rFonts w:cs="Times New Roman"/>
                <w:color w:val="000000"/>
                <w:sz w:val="20"/>
                <w:szCs w:val="20"/>
              </w:rPr>
              <w:t>5</w:t>
            </w:r>
          </w:p>
        </w:tc>
        <w:tc>
          <w:tcPr>
            <w:tcW w:w="603" w:type="pct"/>
            <w:gridSpan w:val="3"/>
            <w:tcBorders>
              <w:top w:val="nil"/>
              <w:left w:val="nil"/>
              <w:bottom w:val="single" w:color="auto" w:sz="4" w:space="0"/>
              <w:right w:val="single" w:color="auto" w:sz="4" w:space="0"/>
            </w:tcBorders>
            <w:shd w:val="clear" w:color="auto" w:fill="auto"/>
            <w:vAlign w:val="center"/>
          </w:tcPr>
          <w:p w14:paraId="1F84D66C">
            <w:pPr>
              <w:spacing w:line="240" w:lineRule="auto"/>
              <w:ind w:firstLine="0" w:firstLineChars="0"/>
              <w:jc w:val="center"/>
              <w:rPr>
                <w:rFonts w:cs="Times New Roman"/>
                <w:color w:val="000000"/>
                <w:sz w:val="21"/>
                <w:szCs w:val="21"/>
              </w:rPr>
            </w:pPr>
            <w:r>
              <w:rPr>
                <w:rFonts w:cs="Times New Roman"/>
                <w:color w:val="000000"/>
                <w:sz w:val="20"/>
                <w:szCs w:val="20"/>
              </w:rPr>
              <w:t>5</w:t>
            </w:r>
          </w:p>
        </w:tc>
        <w:tc>
          <w:tcPr>
            <w:tcW w:w="652" w:type="pct"/>
            <w:gridSpan w:val="3"/>
            <w:tcBorders>
              <w:top w:val="nil"/>
              <w:left w:val="nil"/>
              <w:bottom w:val="single" w:color="auto" w:sz="4" w:space="0"/>
              <w:right w:val="single" w:color="auto" w:sz="4" w:space="0"/>
            </w:tcBorders>
            <w:shd w:val="clear" w:color="auto" w:fill="auto"/>
            <w:vAlign w:val="center"/>
          </w:tcPr>
          <w:p w14:paraId="5E290ED4">
            <w:pPr>
              <w:spacing w:line="240" w:lineRule="auto"/>
              <w:ind w:firstLine="0" w:firstLineChars="0"/>
              <w:jc w:val="center"/>
              <w:rPr>
                <w:rFonts w:cs="Times New Roman"/>
                <w:color w:val="000000"/>
                <w:sz w:val="21"/>
                <w:szCs w:val="21"/>
              </w:rPr>
            </w:pPr>
            <w:r>
              <w:rPr>
                <w:rFonts w:cs="Times New Roman"/>
                <w:color w:val="000000"/>
                <w:sz w:val="20"/>
                <w:szCs w:val="20"/>
              </w:rPr>
              <w:t>5</w:t>
            </w:r>
          </w:p>
        </w:tc>
        <w:tc>
          <w:tcPr>
            <w:tcW w:w="744" w:type="pct"/>
            <w:gridSpan w:val="3"/>
            <w:tcBorders>
              <w:top w:val="single" w:color="auto" w:sz="4" w:space="0"/>
              <w:left w:val="nil"/>
              <w:bottom w:val="single" w:color="auto" w:sz="4" w:space="0"/>
              <w:right w:val="single" w:color="000000" w:sz="4" w:space="0"/>
            </w:tcBorders>
            <w:shd w:val="clear" w:color="auto" w:fill="auto"/>
            <w:vAlign w:val="center"/>
          </w:tcPr>
          <w:p w14:paraId="681C5567">
            <w:pPr>
              <w:spacing w:line="240" w:lineRule="auto"/>
              <w:ind w:firstLine="0" w:firstLineChars="0"/>
              <w:jc w:val="center"/>
              <w:rPr>
                <w:rFonts w:cs="Times New Roman"/>
                <w:color w:val="000000"/>
                <w:sz w:val="21"/>
                <w:szCs w:val="21"/>
              </w:rPr>
            </w:pPr>
            <w:r>
              <w:rPr>
                <w:rFonts w:cs="Times New Roman"/>
                <w:color w:val="000000"/>
                <w:sz w:val="20"/>
                <w:szCs w:val="20"/>
              </w:rPr>
              <w:t>5</w:t>
            </w:r>
          </w:p>
        </w:tc>
      </w:tr>
      <w:tr w14:paraId="0FB66EA8">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79110EA5">
            <w:pPr>
              <w:spacing w:line="240" w:lineRule="auto"/>
              <w:ind w:firstLine="0" w:firstLineChars="0"/>
              <w:jc w:val="center"/>
              <w:rPr>
                <w:rFonts w:cs="Times New Roman"/>
                <w:color w:val="000000"/>
                <w:sz w:val="21"/>
                <w:szCs w:val="21"/>
              </w:rPr>
            </w:pPr>
            <w:r>
              <w:rPr>
                <w:rFonts w:cs="Times New Roman"/>
                <w:color w:val="000000"/>
                <w:sz w:val="21"/>
                <w:szCs w:val="21"/>
              </w:rPr>
              <w:t>6</w:t>
            </w:r>
          </w:p>
        </w:tc>
        <w:tc>
          <w:tcPr>
            <w:tcW w:w="589" w:type="pct"/>
            <w:tcBorders>
              <w:top w:val="nil"/>
              <w:left w:val="nil"/>
              <w:bottom w:val="single" w:color="auto" w:sz="4" w:space="0"/>
              <w:right w:val="single" w:color="auto" w:sz="4" w:space="0"/>
            </w:tcBorders>
            <w:shd w:val="clear" w:color="auto" w:fill="auto"/>
            <w:vAlign w:val="center"/>
          </w:tcPr>
          <w:p w14:paraId="3AAB99F0">
            <w:pPr>
              <w:spacing w:line="240" w:lineRule="auto"/>
              <w:ind w:firstLine="0" w:firstLineChars="0"/>
              <w:jc w:val="center"/>
              <w:rPr>
                <w:rFonts w:cs="Times New Roman"/>
                <w:color w:val="000000"/>
                <w:sz w:val="21"/>
                <w:szCs w:val="21"/>
              </w:rPr>
            </w:pPr>
            <w:r>
              <w:rPr>
                <w:rFonts w:cs="Times New Roman"/>
                <w:color w:val="000000"/>
                <w:sz w:val="21"/>
                <w:szCs w:val="21"/>
              </w:rPr>
              <w:t>植被覆盖因子</w:t>
            </w:r>
          </w:p>
        </w:tc>
        <w:tc>
          <w:tcPr>
            <w:tcW w:w="223" w:type="pct"/>
            <w:tcBorders>
              <w:top w:val="nil"/>
              <w:left w:val="nil"/>
              <w:bottom w:val="single" w:color="auto" w:sz="4" w:space="0"/>
              <w:right w:val="single" w:color="auto" w:sz="4" w:space="0"/>
            </w:tcBorders>
            <w:shd w:val="clear" w:color="auto" w:fill="auto"/>
            <w:vAlign w:val="center"/>
          </w:tcPr>
          <w:p w14:paraId="7FD015E7">
            <w:pPr>
              <w:spacing w:line="240" w:lineRule="auto"/>
              <w:ind w:firstLine="0" w:firstLineChars="0"/>
              <w:jc w:val="center"/>
              <w:rPr>
                <w:rFonts w:cs="Times New Roman"/>
                <w:color w:val="000000"/>
                <w:sz w:val="21"/>
                <w:szCs w:val="21"/>
              </w:rPr>
            </w:pPr>
            <w:r>
              <w:rPr>
                <w:rFonts w:cs="Times New Roman"/>
                <w:color w:val="000000"/>
                <w:sz w:val="21"/>
                <w:szCs w:val="21"/>
              </w:rPr>
              <w:t>B</w:t>
            </w:r>
          </w:p>
        </w:tc>
        <w:tc>
          <w:tcPr>
            <w:tcW w:w="865" w:type="pct"/>
            <w:tcBorders>
              <w:top w:val="nil"/>
              <w:left w:val="nil"/>
              <w:bottom w:val="single" w:color="auto" w:sz="4" w:space="0"/>
              <w:right w:val="single" w:color="auto" w:sz="4" w:space="0"/>
            </w:tcBorders>
            <w:shd w:val="clear" w:color="auto" w:fill="auto"/>
            <w:vAlign w:val="center"/>
          </w:tcPr>
          <w:p w14:paraId="35D49678">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37" w:type="pct"/>
            <w:gridSpan w:val="2"/>
            <w:tcBorders>
              <w:top w:val="nil"/>
              <w:left w:val="nil"/>
              <w:bottom w:val="single" w:color="auto" w:sz="4" w:space="0"/>
              <w:right w:val="single" w:color="auto" w:sz="4" w:space="0"/>
            </w:tcBorders>
            <w:shd w:val="clear" w:color="auto" w:fill="auto"/>
            <w:vAlign w:val="center"/>
          </w:tcPr>
          <w:p w14:paraId="66FF13C3">
            <w:pPr>
              <w:spacing w:line="240" w:lineRule="auto"/>
              <w:ind w:firstLine="0" w:firstLineChars="0"/>
              <w:jc w:val="center"/>
              <w:rPr>
                <w:rFonts w:cs="Times New Roman"/>
                <w:color w:val="000000"/>
                <w:sz w:val="21"/>
                <w:szCs w:val="21"/>
              </w:rPr>
            </w:pPr>
            <w:r>
              <w:rPr>
                <w:rFonts w:cs="Times New Roman"/>
                <w:color w:val="000000"/>
                <w:sz w:val="20"/>
                <w:szCs w:val="20"/>
              </w:rPr>
              <w:t>0.418</w:t>
            </w:r>
          </w:p>
        </w:tc>
        <w:tc>
          <w:tcPr>
            <w:tcW w:w="610" w:type="pct"/>
            <w:gridSpan w:val="3"/>
            <w:tcBorders>
              <w:top w:val="nil"/>
              <w:left w:val="nil"/>
              <w:bottom w:val="single" w:color="auto" w:sz="4" w:space="0"/>
              <w:right w:val="single" w:color="auto" w:sz="4" w:space="0"/>
            </w:tcBorders>
            <w:shd w:val="clear" w:color="auto" w:fill="auto"/>
            <w:vAlign w:val="center"/>
          </w:tcPr>
          <w:p w14:paraId="0E315102">
            <w:pPr>
              <w:spacing w:line="240" w:lineRule="auto"/>
              <w:ind w:firstLine="0" w:firstLineChars="0"/>
              <w:jc w:val="center"/>
              <w:rPr>
                <w:rFonts w:cs="Times New Roman"/>
                <w:color w:val="000000"/>
                <w:sz w:val="21"/>
                <w:szCs w:val="21"/>
              </w:rPr>
            </w:pPr>
            <w:r>
              <w:rPr>
                <w:rFonts w:cs="Times New Roman"/>
                <w:color w:val="000000"/>
                <w:sz w:val="20"/>
                <w:szCs w:val="20"/>
              </w:rPr>
              <w:t>0.345</w:t>
            </w:r>
          </w:p>
        </w:tc>
        <w:tc>
          <w:tcPr>
            <w:tcW w:w="603" w:type="pct"/>
            <w:gridSpan w:val="3"/>
            <w:tcBorders>
              <w:top w:val="nil"/>
              <w:left w:val="nil"/>
              <w:bottom w:val="single" w:color="auto" w:sz="4" w:space="0"/>
              <w:right w:val="single" w:color="auto" w:sz="4" w:space="0"/>
            </w:tcBorders>
            <w:shd w:val="clear" w:color="auto" w:fill="auto"/>
            <w:vAlign w:val="center"/>
          </w:tcPr>
          <w:p w14:paraId="344D0841">
            <w:pPr>
              <w:spacing w:line="240" w:lineRule="auto"/>
              <w:ind w:firstLine="0" w:firstLineChars="0"/>
              <w:jc w:val="center"/>
              <w:rPr>
                <w:rFonts w:cs="Times New Roman"/>
                <w:color w:val="000000"/>
                <w:sz w:val="21"/>
                <w:szCs w:val="21"/>
              </w:rPr>
            </w:pPr>
            <w:r>
              <w:rPr>
                <w:rFonts w:cs="Times New Roman"/>
                <w:color w:val="000000"/>
                <w:sz w:val="20"/>
                <w:szCs w:val="20"/>
              </w:rPr>
              <w:t>0.267</w:t>
            </w:r>
          </w:p>
        </w:tc>
        <w:tc>
          <w:tcPr>
            <w:tcW w:w="652" w:type="pct"/>
            <w:gridSpan w:val="3"/>
            <w:tcBorders>
              <w:top w:val="nil"/>
              <w:left w:val="nil"/>
              <w:bottom w:val="single" w:color="auto" w:sz="4" w:space="0"/>
              <w:right w:val="single" w:color="auto" w:sz="4" w:space="0"/>
            </w:tcBorders>
            <w:shd w:val="clear" w:color="auto" w:fill="auto"/>
            <w:vAlign w:val="center"/>
          </w:tcPr>
          <w:p w14:paraId="4D6C23F1">
            <w:pPr>
              <w:spacing w:line="240" w:lineRule="auto"/>
              <w:ind w:firstLine="0" w:firstLineChars="0"/>
              <w:jc w:val="center"/>
              <w:rPr>
                <w:rFonts w:cs="Times New Roman"/>
                <w:color w:val="000000"/>
                <w:sz w:val="21"/>
                <w:szCs w:val="21"/>
              </w:rPr>
            </w:pPr>
            <w:r>
              <w:rPr>
                <w:rFonts w:cs="Times New Roman"/>
                <w:color w:val="000000"/>
                <w:sz w:val="20"/>
                <w:szCs w:val="20"/>
              </w:rPr>
              <w:t>0.242</w:t>
            </w:r>
          </w:p>
        </w:tc>
        <w:tc>
          <w:tcPr>
            <w:tcW w:w="744" w:type="pct"/>
            <w:gridSpan w:val="3"/>
            <w:tcBorders>
              <w:top w:val="single" w:color="auto" w:sz="4" w:space="0"/>
              <w:left w:val="nil"/>
              <w:bottom w:val="single" w:color="auto" w:sz="4" w:space="0"/>
              <w:right w:val="single" w:color="000000" w:sz="4" w:space="0"/>
            </w:tcBorders>
            <w:shd w:val="clear" w:color="auto" w:fill="auto"/>
            <w:vAlign w:val="center"/>
          </w:tcPr>
          <w:p w14:paraId="4B2B2176">
            <w:pPr>
              <w:spacing w:line="240" w:lineRule="auto"/>
              <w:ind w:firstLine="0" w:firstLineChars="0"/>
              <w:jc w:val="center"/>
              <w:rPr>
                <w:rFonts w:cs="Times New Roman"/>
                <w:color w:val="000000"/>
                <w:sz w:val="21"/>
                <w:szCs w:val="21"/>
              </w:rPr>
            </w:pPr>
            <w:r>
              <w:rPr>
                <w:rFonts w:cs="Times New Roman"/>
                <w:color w:val="000000"/>
                <w:sz w:val="20"/>
                <w:szCs w:val="20"/>
              </w:rPr>
              <w:t>0.2</w:t>
            </w:r>
          </w:p>
        </w:tc>
      </w:tr>
      <w:tr w14:paraId="34EB8631">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4AA90B7C">
            <w:pPr>
              <w:spacing w:line="240" w:lineRule="auto"/>
              <w:ind w:firstLine="0" w:firstLineChars="0"/>
              <w:jc w:val="center"/>
              <w:rPr>
                <w:rFonts w:cs="Times New Roman"/>
                <w:color w:val="000000"/>
                <w:sz w:val="21"/>
                <w:szCs w:val="21"/>
              </w:rPr>
            </w:pPr>
            <w:r>
              <w:rPr>
                <w:rFonts w:cs="Times New Roman"/>
                <w:color w:val="000000"/>
                <w:sz w:val="21"/>
                <w:szCs w:val="21"/>
              </w:rPr>
              <w:t>7</w:t>
            </w:r>
          </w:p>
        </w:tc>
        <w:tc>
          <w:tcPr>
            <w:tcW w:w="589" w:type="pct"/>
            <w:tcBorders>
              <w:top w:val="nil"/>
              <w:left w:val="nil"/>
              <w:bottom w:val="single" w:color="auto" w:sz="4" w:space="0"/>
              <w:right w:val="single" w:color="auto" w:sz="4" w:space="0"/>
            </w:tcBorders>
            <w:shd w:val="clear" w:color="auto" w:fill="auto"/>
            <w:vAlign w:val="center"/>
          </w:tcPr>
          <w:p w14:paraId="1FE6F8D2">
            <w:pPr>
              <w:spacing w:line="240" w:lineRule="auto"/>
              <w:ind w:firstLine="0" w:firstLineChars="0"/>
              <w:jc w:val="center"/>
              <w:rPr>
                <w:rFonts w:cs="Times New Roman"/>
                <w:color w:val="000000"/>
                <w:sz w:val="21"/>
                <w:szCs w:val="21"/>
              </w:rPr>
            </w:pPr>
            <w:r>
              <w:rPr>
                <w:rFonts w:cs="Times New Roman"/>
                <w:color w:val="000000"/>
                <w:sz w:val="21"/>
                <w:szCs w:val="21"/>
              </w:rPr>
              <w:t>工程措施因子</w:t>
            </w:r>
          </w:p>
        </w:tc>
        <w:tc>
          <w:tcPr>
            <w:tcW w:w="223" w:type="pct"/>
            <w:tcBorders>
              <w:top w:val="nil"/>
              <w:left w:val="nil"/>
              <w:bottom w:val="single" w:color="auto" w:sz="4" w:space="0"/>
              <w:right w:val="single" w:color="auto" w:sz="4" w:space="0"/>
            </w:tcBorders>
            <w:shd w:val="clear" w:color="auto" w:fill="auto"/>
            <w:vAlign w:val="center"/>
          </w:tcPr>
          <w:p w14:paraId="7B3F197B">
            <w:pPr>
              <w:spacing w:line="240" w:lineRule="auto"/>
              <w:ind w:firstLine="0" w:firstLineChars="0"/>
              <w:jc w:val="center"/>
              <w:rPr>
                <w:rFonts w:cs="Times New Roman"/>
                <w:color w:val="000000"/>
                <w:sz w:val="21"/>
                <w:szCs w:val="21"/>
              </w:rPr>
            </w:pPr>
            <w:r>
              <w:rPr>
                <w:rFonts w:cs="Times New Roman"/>
                <w:color w:val="000000"/>
                <w:sz w:val="21"/>
                <w:szCs w:val="21"/>
              </w:rPr>
              <w:t>E</w:t>
            </w:r>
          </w:p>
        </w:tc>
        <w:tc>
          <w:tcPr>
            <w:tcW w:w="865" w:type="pct"/>
            <w:tcBorders>
              <w:top w:val="nil"/>
              <w:left w:val="nil"/>
              <w:bottom w:val="single" w:color="auto" w:sz="4" w:space="0"/>
              <w:right w:val="single" w:color="auto" w:sz="4" w:space="0"/>
            </w:tcBorders>
            <w:shd w:val="clear" w:color="auto" w:fill="auto"/>
            <w:vAlign w:val="center"/>
          </w:tcPr>
          <w:p w14:paraId="3B6B1E73">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37" w:type="pct"/>
            <w:gridSpan w:val="2"/>
            <w:tcBorders>
              <w:top w:val="nil"/>
              <w:left w:val="nil"/>
              <w:bottom w:val="single" w:color="auto" w:sz="4" w:space="0"/>
              <w:right w:val="single" w:color="auto" w:sz="4" w:space="0"/>
            </w:tcBorders>
            <w:shd w:val="clear" w:color="auto" w:fill="auto"/>
            <w:vAlign w:val="center"/>
          </w:tcPr>
          <w:p w14:paraId="0C58BD46">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610" w:type="pct"/>
            <w:gridSpan w:val="3"/>
            <w:tcBorders>
              <w:top w:val="nil"/>
              <w:left w:val="nil"/>
              <w:bottom w:val="single" w:color="auto" w:sz="4" w:space="0"/>
              <w:right w:val="single" w:color="auto" w:sz="4" w:space="0"/>
            </w:tcBorders>
            <w:shd w:val="clear" w:color="auto" w:fill="auto"/>
            <w:vAlign w:val="center"/>
          </w:tcPr>
          <w:p w14:paraId="279535E9">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603" w:type="pct"/>
            <w:gridSpan w:val="3"/>
            <w:tcBorders>
              <w:top w:val="nil"/>
              <w:left w:val="nil"/>
              <w:bottom w:val="single" w:color="auto" w:sz="4" w:space="0"/>
              <w:right w:val="single" w:color="auto" w:sz="4" w:space="0"/>
            </w:tcBorders>
            <w:shd w:val="clear" w:color="auto" w:fill="auto"/>
            <w:vAlign w:val="center"/>
          </w:tcPr>
          <w:p w14:paraId="226EF815">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652" w:type="pct"/>
            <w:gridSpan w:val="3"/>
            <w:tcBorders>
              <w:top w:val="nil"/>
              <w:left w:val="nil"/>
              <w:bottom w:val="single" w:color="auto" w:sz="4" w:space="0"/>
              <w:right w:val="single" w:color="auto" w:sz="4" w:space="0"/>
            </w:tcBorders>
            <w:shd w:val="clear" w:color="auto" w:fill="auto"/>
            <w:vAlign w:val="center"/>
          </w:tcPr>
          <w:p w14:paraId="2F493F9C">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744" w:type="pct"/>
            <w:gridSpan w:val="3"/>
            <w:tcBorders>
              <w:top w:val="single" w:color="auto" w:sz="4" w:space="0"/>
              <w:left w:val="nil"/>
              <w:bottom w:val="single" w:color="auto" w:sz="4" w:space="0"/>
              <w:right w:val="single" w:color="000000" w:sz="4" w:space="0"/>
            </w:tcBorders>
            <w:shd w:val="clear" w:color="auto" w:fill="auto"/>
            <w:vAlign w:val="center"/>
          </w:tcPr>
          <w:p w14:paraId="07566167">
            <w:pPr>
              <w:spacing w:line="240" w:lineRule="auto"/>
              <w:ind w:firstLine="0" w:firstLineChars="0"/>
              <w:jc w:val="center"/>
              <w:rPr>
                <w:rFonts w:cs="Times New Roman"/>
                <w:color w:val="000000"/>
                <w:sz w:val="21"/>
                <w:szCs w:val="21"/>
              </w:rPr>
            </w:pPr>
            <w:r>
              <w:rPr>
                <w:rFonts w:cs="Times New Roman"/>
                <w:color w:val="000000"/>
                <w:sz w:val="20"/>
                <w:szCs w:val="20"/>
              </w:rPr>
              <w:t>1</w:t>
            </w:r>
          </w:p>
        </w:tc>
      </w:tr>
      <w:tr w14:paraId="368E68FF">
        <w:tblPrEx>
          <w:tblCellMar>
            <w:top w:w="0" w:type="dxa"/>
            <w:left w:w="108" w:type="dxa"/>
            <w:bottom w:w="0" w:type="dxa"/>
            <w:right w:w="108" w:type="dxa"/>
          </w:tblCellMar>
        </w:tblPrEx>
        <w:trPr>
          <w:cantSplit/>
          <w:trHeight w:val="454" w:hRule="atLeast"/>
        </w:trPr>
        <w:tc>
          <w:tcPr>
            <w:tcW w:w="176" w:type="pct"/>
            <w:tcBorders>
              <w:top w:val="nil"/>
              <w:left w:val="single" w:color="auto" w:sz="4" w:space="0"/>
              <w:bottom w:val="single" w:color="auto" w:sz="4" w:space="0"/>
              <w:right w:val="single" w:color="auto" w:sz="4" w:space="0"/>
            </w:tcBorders>
            <w:shd w:val="clear" w:color="auto" w:fill="auto"/>
            <w:vAlign w:val="center"/>
          </w:tcPr>
          <w:p w14:paraId="63C52704">
            <w:pPr>
              <w:spacing w:line="240" w:lineRule="auto"/>
              <w:ind w:firstLine="0" w:firstLineChars="0"/>
              <w:jc w:val="center"/>
              <w:rPr>
                <w:rFonts w:cs="Times New Roman"/>
                <w:color w:val="000000"/>
                <w:sz w:val="21"/>
                <w:szCs w:val="21"/>
              </w:rPr>
            </w:pPr>
            <w:r>
              <w:rPr>
                <w:rFonts w:cs="Times New Roman"/>
                <w:color w:val="000000"/>
                <w:sz w:val="21"/>
                <w:szCs w:val="21"/>
              </w:rPr>
              <w:t>8</w:t>
            </w:r>
          </w:p>
        </w:tc>
        <w:tc>
          <w:tcPr>
            <w:tcW w:w="589" w:type="pct"/>
            <w:tcBorders>
              <w:top w:val="nil"/>
              <w:left w:val="nil"/>
              <w:bottom w:val="single" w:color="auto" w:sz="4" w:space="0"/>
              <w:right w:val="single" w:color="auto" w:sz="4" w:space="0"/>
            </w:tcBorders>
            <w:shd w:val="clear" w:color="auto" w:fill="auto"/>
            <w:vAlign w:val="center"/>
          </w:tcPr>
          <w:p w14:paraId="23B35999">
            <w:pPr>
              <w:spacing w:line="240" w:lineRule="auto"/>
              <w:ind w:firstLine="0" w:firstLineChars="0"/>
              <w:jc w:val="center"/>
              <w:rPr>
                <w:rFonts w:cs="Times New Roman"/>
                <w:color w:val="000000"/>
                <w:sz w:val="21"/>
                <w:szCs w:val="21"/>
              </w:rPr>
            </w:pPr>
            <w:r>
              <w:rPr>
                <w:rFonts w:cs="Times New Roman"/>
                <w:color w:val="000000"/>
                <w:sz w:val="21"/>
                <w:szCs w:val="21"/>
              </w:rPr>
              <w:t>耕作措施因子</w:t>
            </w:r>
          </w:p>
        </w:tc>
        <w:tc>
          <w:tcPr>
            <w:tcW w:w="223" w:type="pct"/>
            <w:tcBorders>
              <w:top w:val="nil"/>
              <w:left w:val="nil"/>
              <w:bottom w:val="single" w:color="auto" w:sz="4" w:space="0"/>
              <w:right w:val="single" w:color="auto" w:sz="4" w:space="0"/>
            </w:tcBorders>
            <w:shd w:val="clear" w:color="auto" w:fill="auto"/>
            <w:vAlign w:val="center"/>
          </w:tcPr>
          <w:p w14:paraId="62E0E812">
            <w:pPr>
              <w:spacing w:line="240" w:lineRule="auto"/>
              <w:ind w:firstLine="0" w:firstLineChars="0"/>
              <w:jc w:val="center"/>
              <w:rPr>
                <w:rFonts w:cs="Times New Roman"/>
                <w:color w:val="000000"/>
                <w:sz w:val="21"/>
                <w:szCs w:val="21"/>
              </w:rPr>
            </w:pPr>
            <w:r>
              <w:rPr>
                <w:rFonts w:cs="Times New Roman"/>
                <w:color w:val="000000"/>
                <w:sz w:val="21"/>
                <w:szCs w:val="21"/>
              </w:rPr>
              <w:t>T</w:t>
            </w:r>
          </w:p>
        </w:tc>
        <w:tc>
          <w:tcPr>
            <w:tcW w:w="865" w:type="pct"/>
            <w:tcBorders>
              <w:top w:val="nil"/>
              <w:left w:val="nil"/>
              <w:bottom w:val="single" w:color="auto" w:sz="4" w:space="0"/>
              <w:right w:val="single" w:color="auto" w:sz="4" w:space="0"/>
            </w:tcBorders>
            <w:shd w:val="clear" w:color="auto" w:fill="auto"/>
            <w:vAlign w:val="center"/>
          </w:tcPr>
          <w:p w14:paraId="449555DD">
            <w:pPr>
              <w:spacing w:line="240" w:lineRule="auto"/>
              <w:ind w:firstLine="0" w:firstLineChars="0"/>
              <w:jc w:val="center"/>
              <w:rPr>
                <w:rFonts w:cs="Times New Roman"/>
                <w:color w:val="000000"/>
                <w:sz w:val="21"/>
                <w:szCs w:val="21"/>
              </w:rPr>
            </w:pPr>
            <w:r>
              <w:rPr>
                <w:rFonts w:cs="Times New Roman"/>
                <w:color w:val="000000"/>
                <w:sz w:val="21"/>
                <w:szCs w:val="21"/>
              </w:rPr>
              <w:t>　</w:t>
            </w:r>
          </w:p>
        </w:tc>
        <w:tc>
          <w:tcPr>
            <w:tcW w:w="537" w:type="pct"/>
            <w:gridSpan w:val="2"/>
            <w:tcBorders>
              <w:top w:val="nil"/>
              <w:left w:val="nil"/>
              <w:bottom w:val="single" w:color="auto" w:sz="4" w:space="0"/>
              <w:right w:val="single" w:color="auto" w:sz="4" w:space="0"/>
            </w:tcBorders>
            <w:shd w:val="clear" w:color="auto" w:fill="auto"/>
            <w:vAlign w:val="center"/>
          </w:tcPr>
          <w:p w14:paraId="74ABB124">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610" w:type="pct"/>
            <w:gridSpan w:val="3"/>
            <w:tcBorders>
              <w:top w:val="nil"/>
              <w:left w:val="nil"/>
              <w:bottom w:val="single" w:color="auto" w:sz="4" w:space="0"/>
              <w:right w:val="single" w:color="auto" w:sz="4" w:space="0"/>
            </w:tcBorders>
            <w:shd w:val="clear" w:color="auto" w:fill="auto"/>
            <w:vAlign w:val="center"/>
          </w:tcPr>
          <w:p w14:paraId="530EFAE4">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603" w:type="pct"/>
            <w:gridSpan w:val="3"/>
            <w:tcBorders>
              <w:top w:val="nil"/>
              <w:left w:val="nil"/>
              <w:bottom w:val="single" w:color="auto" w:sz="4" w:space="0"/>
              <w:right w:val="single" w:color="auto" w:sz="4" w:space="0"/>
            </w:tcBorders>
            <w:shd w:val="clear" w:color="auto" w:fill="auto"/>
            <w:vAlign w:val="center"/>
          </w:tcPr>
          <w:p w14:paraId="38B2E8EA">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652" w:type="pct"/>
            <w:gridSpan w:val="3"/>
            <w:tcBorders>
              <w:top w:val="nil"/>
              <w:left w:val="nil"/>
              <w:bottom w:val="single" w:color="auto" w:sz="4" w:space="0"/>
              <w:right w:val="single" w:color="auto" w:sz="4" w:space="0"/>
            </w:tcBorders>
            <w:shd w:val="clear" w:color="auto" w:fill="auto"/>
            <w:vAlign w:val="center"/>
          </w:tcPr>
          <w:p w14:paraId="745DC584">
            <w:pPr>
              <w:spacing w:line="240" w:lineRule="auto"/>
              <w:ind w:firstLine="0" w:firstLineChars="0"/>
              <w:jc w:val="center"/>
              <w:rPr>
                <w:rFonts w:cs="Times New Roman"/>
                <w:color w:val="000000"/>
                <w:sz w:val="21"/>
                <w:szCs w:val="21"/>
              </w:rPr>
            </w:pPr>
            <w:r>
              <w:rPr>
                <w:rFonts w:cs="Times New Roman"/>
                <w:color w:val="000000"/>
                <w:sz w:val="20"/>
                <w:szCs w:val="20"/>
              </w:rPr>
              <w:t>1</w:t>
            </w:r>
          </w:p>
        </w:tc>
        <w:tc>
          <w:tcPr>
            <w:tcW w:w="744" w:type="pct"/>
            <w:gridSpan w:val="3"/>
            <w:tcBorders>
              <w:top w:val="single" w:color="auto" w:sz="4" w:space="0"/>
              <w:left w:val="nil"/>
              <w:bottom w:val="single" w:color="auto" w:sz="4" w:space="0"/>
              <w:right w:val="single" w:color="000000" w:sz="4" w:space="0"/>
            </w:tcBorders>
            <w:shd w:val="clear" w:color="auto" w:fill="auto"/>
            <w:vAlign w:val="center"/>
          </w:tcPr>
          <w:p w14:paraId="78EF1694">
            <w:pPr>
              <w:spacing w:line="240" w:lineRule="auto"/>
              <w:ind w:firstLine="0" w:firstLineChars="0"/>
              <w:jc w:val="center"/>
              <w:rPr>
                <w:rFonts w:cs="Times New Roman"/>
                <w:color w:val="000000"/>
                <w:sz w:val="21"/>
                <w:szCs w:val="21"/>
              </w:rPr>
            </w:pPr>
            <w:r>
              <w:rPr>
                <w:rFonts w:cs="Times New Roman"/>
                <w:color w:val="000000"/>
                <w:sz w:val="20"/>
                <w:szCs w:val="20"/>
              </w:rPr>
              <w:t>1</w:t>
            </w:r>
          </w:p>
        </w:tc>
      </w:tr>
    </w:tbl>
    <w:p w14:paraId="42C55FE4">
      <w:pPr>
        <w:pStyle w:val="44"/>
        <w:rPr>
          <w:color w:val="000000" w:themeColor="text1"/>
          <w:lang w:eastAsia="zh-CN"/>
          <w14:textFill>
            <w14:solidFill>
              <w14:schemeClr w14:val="tx1"/>
            </w14:solidFill>
          </w14:textFill>
        </w:rPr>
      </w:pPr>
    </w:p>
    <w:p w14:paraId="67098FD0">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表4-11                                             自然恢复期风力作用下第1年~第5年土壤侵蚀模数计算表                                   单位：t/km²·a</w:t>
      </w:r>
    </w:p>
    <w:tbl>
      <w:tblPr>
        <w:tblStyle w:val="27"/>
        <w:tblW w:w="0" w:type="auto"/>
        <w:jc w:val="center"/>
        <w:tblLayout w:type="autofit"/>
        <w:tblCellMar>
          <w:top w:w="0" w:type="dxa"/>
          <w:left w:w="108" w:type="dxa"/>
          <w:bottom w:w="0" w:type="dxa"/>
          <w:right w:w="108" w:type="dxa"/>
        </w:tblCellMar>
      </w:tblPr>
      <w:tblGrid>
        <w:gridCol w:w="589"/>
        <w:gridCol w:w="2858"/>
        <w:gridCol w:w="595"/>
        <w:gridCol w:w="1096"/>
        <w:gridCol w:w="938"/>
        <w:gridCol w:w="939"/>
        <w:gridCol w:w="404"/>
        <w:gridCol w:w="425"/>
        <w:gridCol w:w="1004"/>
        <w:gridCol w:w="432"/>
        <w:gridCol w:w="426"/>
        <w:gridCol w:w="859"/>
        <w:gridCol w:w="433"/>
        <w:gridCol w:w="412"/>
        <w:gridCol w:w="831"/>
        <w:gridCol w:w="419"/>
        <w:gridCol w:w="476"/>
        <w:gridCol w:w="960"/>
      </w:tblGrid>
      <w:tr w14:paraId="7FE53C0E">
        <w:tblPrEx>
          <w:tblCellMar>
            <w:top w:w="0" w:type="dxa"/>
            <w:left w:w="108" w:type="dxa"/>
            <w:bottom w:w="0" w:type="dxa"/>
            <w:right w:w="108" w:type="dxa"/>
          </w:tblCellMar>
        </w:tblPrEx>
        <w:trPr>
          <w:trHeight w:val="397" w:hRule="atLeast"/>
          <w:tblHeader/>
          <w:jc w:val="center"/>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7F84C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序号</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6951B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项目</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7C5F9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因子</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A8DFF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公式</w:t>
            </w:r>
          </w:p>
        </w:tc>
        <w:tc>
          <w:tcPr>
            <w:tcW w:w="0" w:type="auto"/>
            <w:gridSpan w:val="7"/>
            <w:tcBorders>
              <w:top w:val="single" w:color="auto" w:sz="4" w:space="0"/>
              <w:left w:val="nil"/>
              <w:bottom w:val="single" w:color="auto" w:sz="4" w:space="0"/>
              <w:right w:val="single" w:color="auto" w:sz="4" w:space="0"/>
            </w:tcBorders>
            <w:shd w:val="clear" w:color="auto" w:fill="auto"/>
            <w:vAlign w:val="center"/>
          </w:tcPr>
          <w:p w14:paraId="73E0139C">
            <w:pPr>
              <w:spacing w:line="240" w:lineRule="auto"/>
              <w:ind w:firstLine="4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公共管理与公共服务用地</w:t>
            </w:r>
          </w:p>
        </w:tc>
        <w:tc>
          <w:tcPr>
            <w:tcW w:w="0" w:type="auto"/>
            <w:gridSpan w:val="7"/>
            <w:tcBorders>
              <w:top w:val="single" w:color="auto" w:sz="4" w:space="0"/>
              <w:left w:val="nil"/>
              <w:bottom w:val="single" w:color="auto" w:sz="4" w:space="0"/>
              <w:right w:val="single" w:color="auto" w:sz="4" w:space="0"/>
            </w:tcBorders>
            <w:shd w:val="clear" w:color="auto" w:fill="auto"/>
            <w:vAlign w:val="center"/>
          </w:tcPr>
          <w:p w14:paraId="083EA16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商业服务业用地</w:t>
            </w:r>
          </w:p>
        </w:tc>
      </w:tr>
      <w:tr w14:paraId="6043CBD9">
        <w:tblPrEx>
          <w:tblCellMar>
            <w:top w:w="0" w:type="dxa"/>
            <w:left w:w="108" w:type="dxa"/>
            <w:bottom w:w="0" w:type="dxa"/>
            <w:right w:w="108" w:type="dxa"/>
          </w:tblCellMar>
        </w:tblPrEx>
        <w:trPr>
          <w:trHeight w:val="397" w:hRule="atLeast"/>
          <w:tblHeader/>
          <w:jc w:val="center"/>
        </w:trPr>
        <w:tc>
          <w:tcPr>
            <w:tcW w:w="0" w:type="auto"/>
            <w:vMerge w:val="continue"/>
            <w:tcBorders>
              <w:top w:val="single" w:color="auto" w:sz="4" w:space="0"/>
              <w:left w:val="single" w:color="auto" w:sz="4" w:space="0"/>
              <w:bottom w:val="double" w:color="auto" w:sz="4" w:space="0"/>
              <w:right w:val="single" w:color="auto" w:sz="4" w:space="0"/>
            </w:tcBorders>
            <w:vAlign w:val="center"/>
          </w:tcPr>
          <w:p w14:paraId="16F306AF">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tcBorders>
              <w:top w:val="single" w:color="auto" w:sz="4" w:space="0"/>
              <w:left w:val="single" w:color="auto" w:sz="4" w:space="0"/>
              <w:bottom w:val="double" w:color="auto" w:sz="4" w:space="0"/>
              <w:right w:val="single" w:color="auto" w:sz="4" w:space="0"/>
            </w:tcBorders>
            <w:vAlign w:val="center"/>
          </w:tcPr>
          <w:p w14:paraId="2227479D">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tcBorders>
              <w:top w:val="single" w:color="auto" w:sz="4" w:space="0"/>
              <w:left w:val="single" w:color="auto" w:sz="4" w:space="0"/>
              <w:bottom w:val="double" w:color="auto" w:sz="4" w:space="0"/>
              <w:right w:val="single" w:color="auto" w:sz="4" w:space="0"/>
            </w:tcBorders>
            <w:vAlign w:val="center"/>
          </w:tcPr>
          <w:p w14:paraId="30F39557">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tcBorders>
              <w:top w:val="single" w:color="auto" w:sz="4" w:space="0"/>
              <w:left w:val="single" w:color="auto" w:sz="4" w:space="0"/>
              <w:bottom w:val="double" w:color="auto" w:sz="4" w:space="0"/>
              <w:right w:val="single" w:color="auto" w:sz="4" w:space="0"/>
            </w:tcBorders>
            <w:vAlign w:val="center"/>
          </w:tcPr>
          <w:p w14:paraId="654AEA74">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tcBorders>
              <w:top w:val="nil"/>
              <w:left w:val="nil"/>
              <w:bottom w:val="double" w:color="auto" w:sz="4" w:space="0"/>
              <w:right w:val="single" w:color="auto" w:sz="4" w:space="0"/>
            </w:tcBorders>
            <w:shd w:val="clear" w:color="auto" w:fill="auto"/>
            <w:vAlign w:val="center"/>
          </w:tcPr>
          <w:p w14:paraId="60E402F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第1年</w:t>
            </w:r>
          </w:p>
        </w:tc>
        <w:tc>
          <w:tcPr>
            <w:tcW w:w="0" w:type="auto"/>
            <w:tcBorders>
              <w:top w:val="nil"/>
              <w:left w:val="nil"/>
              <w:bottom w:val="double" w:color="auto" w:sz="4" w:space="0"/>
              <w:right w:val="single" w:color="auto" w:sz="4" w:space="0"/>
            </w:tcBorders>
            <w:shd w:val="clear" w:color="auto" w:fill="auto"/>
            <w:vAlign w:val="center"/>
          </w:tcPr>
          <w:p w14:paraId="1B82DE4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第2年</w:t>
            </w:r>
          </w:p>
        </w:tc>
        <w:tc>
          <w:tcPr>
            <w:tcW w:w="0" w:type="auto"/>
            <w:gridSpan w:val="2"/>
            <w:tcBorders>
              <w:top w:val="nil"/>
              <w:left w:val="nil"/>
              <w:bottom w:val="double" w:color="auto" w:sz="4" w:space="0"/>
              <w:right w:val="single" w:color="auto" w:sz="4" w:space="0"/>
            </w:tcBorders>
            <w:shd w:val="clear" w:color="auto" w:fill="auto"/>
            <w:vAlign w:val="center"/>
          </w:tcPr>
          <w:p w14:paraId="4BF8D2A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第3年</w:t>
            </w:r>
          </w:p>
        </w:tc>
        <w:tc>
          <w:tcPr>
            <w:tcW w:w="0" w:type="auto"/>
            <w:tcBorders>
              <w:top w:val="nil"/>
              <w:left w:val="nil"/>
              <w:bottom w:val="double" w:color="auto" w:sz="4" w:space="0"/>
              <w:right w:val="single" w:color="auto" w:sz="4" w:space="0"/>
            </w:tcBorders>
            <w:shd w:val="clear" w:color="auto" w:fill="auto"/>
            <w:vAlign w:val="center"/>
          </w:tcPr>
          <w:p w14:paraId="3EBC8A9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第4年</w:t>
            </w:r>
          </w:p>
        </w:tc>
        <w:tc>
          <w:tcPr>
            <w:tcW w:w="0" w:type="auto"/>
            <w:gridSpan w:val="2"/>
            <w:tcBorders>
              <w:top w:val="nil"/>
              <w:left w:val="nil"/>
              <w:bottom w:val="double" w:color="auto" w:sz="4" w:space="0"/>
              <w:right w:val="single" w:color="auto" w:sz="4" w:space="0"/>
            </w:tcBorders>
            <w:shd w:val="clear" w:color="auto" w:fill="auto"/>
            <w:vAlign w:val="center"/>
          </w:tcPr>
          <w:p w14:paraId="39C39FD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第5年</w:t>
            </w:r>
          </w:p>
        </w:tc>
        <w:tc>
          <w:tcPr>
            <w:tcW w:w="0" w:type="auto"/>
            <w:tcBorders>
              <w:top w:val="nil"/>
              <w:left w:val="nil"/>
              <w:bottom w:val="double" w:color="auto" w:sz="4" w:space="0"/>
              <w:right w:val="single" w:color="auto" w:sz="4" w:space="0"/>
            </w:tcBorders>
            <w:shd w:val="clear" w:color="auto" w:fill="auto"/>
            <w:vAlign w:val="center"/>
          </w:tcPr>
          <w:p w14:paraId="635CDA4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第1年</w:t>
            </w:r>
          </w:p>
        </w:tc>
        <w:tc>
          <w:tcPr>
            <w:tcW w:w="0" w:type="auto"/>
            <w:gridSpan w:val="2"/>
            <w:tcBorders>
              <w:top w:val="nil"/>
              <w:left w:val="nil"/>
              <w:bottom w:val="double" w:color="auto" w:sz="4" w:space="0"/>
              <w:right w:val="single" w:color="auto" w:sz="4" w:space="0"/>
            </w:tcBorders>
            <w:shd w:val="clear" w:color="auto" w:fill="auto"/>
            <w:vAlign w:val="center"/>
          </w:tcPr>
          <w:p w14:paraId="4329EC3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第2年</w:t>
            </w:r>
          </w:p>
        </w:tc>
        <w:tc>
          <w:tcPr>
            <w:tcW w:w="0" w:type="auto"/>
            <w:tcBorders>
              <w:top w:val="nil"/>
              <w:left w:val="nil"/>
              <w:bottom w:val="double" w:color="auto" w:sz="4" w:space="0"/>
              <w:right w:val="single" w:color="auto" w:sz="4" w:space="0"/>
            </w:tcBorders>
            <w:shd w:val="clear" w:color="auto" w:fill="auto"/>
            <w:vAlign w:val="center"/>
          </w:tcPr>
          <w:p w14:paraId="1D63A3B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第3年</w:t>
            </w:r>
          </w:p>
        </w:tc>
        <w:tc>
          <w:tcPr>
            <w:tcW w:w="0" w:type="auto"/>
            <w:gridSpan w:val="2"/>
            <w:tcBorders>
              <w:top w:val="nil"/>
              <w:left w:val="nil"/>
              <w:bottom w:val="double" w:color="auto" w:sz="4" w:space="0"/>
              <w:right w:val="single" w:color="auto" w:sz="4" w:space="0"/>
            </w:tcBorders>
            <w:shd w:val="clear" w:color="auto" w:fill="auto"/>
            <w:vAlign w:val="center"/>
          </w:tcPr>
          <w:p w14:paraId="3DF4103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第4年</w:t>
            </w:r>
          </w:p>
        </w:tc>
        <w:tc>
          <w:tcPr>
            <w:tcW w:w="0" w:type="auto"/>
            <w:tcBorders>
              <w:top w:val="nil"/>
              <w:left w:val="nil"/>
              <w:bottom w:val="double" w:color="auto" w:sz="4" w:space="0"/>
              <w:right w:val="single" w:color="auto" w:sz="4" w:space="0"/>
            </w:tcBorders>
            <w:shd w:val="clear" w:color="auto" w:fill="auto"/>
            <w:vAlign w:val="center"/>
          </w:tcPr>
          <w:p w14:paraId="72D0731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第5年</w:t>
            </w:r>
          </w:p>
        </w:tc>
      </w:tr>
      <w:tr w14:paraId="648BC4E1">
        <w:tblPrEx>
          <w:tblCellMar>
            <w:top w:w="0" w:type="dxa"/>
            <w:left w:w="108" w:type="dxa"/>
            <w:bottom w:w="0" w:type="dxa"/>
            <w:right w:w="108" w:type="dxa"/>
          </w:tblCellMar>
        </w:tblPrEx>
        <w:trPr>
          <w:trHeight w:val="397" w:hRule="atLeast"/>
          <w:jc w:val="center"/>
        </w:trPr>
        <w:tc>
          <w:tcPr>
            <w:tcW w:w="0" w:type="auto"/>
            <w:tcBorders>
              <w:top w:val="double" w:color="auto" w:sz="4" w:space="0"/>
              <w:left w:val="single" w:color="auto" w:sz="4" w:space="0"/>
              <w:bottom w:val="single" w:color="auto" w:sz="4" w:space="0"/>
              <w:right w:val="single" w:color="auto" w:sz="4" w:space="0"/>
            </w:tcBorders>
            <w:shd w:val="clear" w:color="auto" w:fill="auto"/>
            <w:vAlign w:val="center"/>
          </w:tcPr>
          <w:p w14:paraId="3165F3C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0" w:type="auto"/>
            <w:tcBorders>
              <w:top w:val="double" w:color="auto" w:sz="4" w:space="0"/>
              <w:left w:val="nil"/>
              <w:bottom w:val="single" w:color="auto" w:sz="4" w:space="0"/>
              <w:right w:val="single" w:color="auto" w:sz="4" w:space="0"/>
            </w:tcBorders>
            <w:shd w:val="clear" w:color="auto" w:fill="auto"/>
            <w:vAlign w:val="center"/>
          </w:tcPr>
          <w:p w14:paraId="0E7BD88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一般扰动地表</w:t>
            </w:r>
          </w:p>
        </w:tc>
        <w:tc>
          <w:tcPr>
            <w:tcW w:w="0" w:type="auto"/>
            <w:tcBorders>
              <w:top w:val="double" w:color="auto" w:sz="4" w:space="0"/>
              <w:left w:val="nil"/>
              <w:bottom w:val="single" w:color="auto" w:sz="4" w:space="0"/>
              <w:right w:val="single" w:color="auto" w:sz="4" w:space="0"/>
            </w:tcBorders>
            <w:shd w:val="clear" w:color="auto" w:fill="auto"/>
            <w:vAlign w:val="center"/>
          </w:tcPr>
          <w:p w14:paraId="57F5F2E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Mf</w:t>
            </w:r>
          </w:p>
        </w:tc>
        <w:tc>
          <w:tcPr>
            <w:tcW w:w="0" w:type="auto"/>
            <w:tcBorders>
              <w:top w:val="double" w:color="auto" w:sz="4" w:space="0"/>
              <w:left w:val="nil"/>
              <w:bottom w:val="single" w:color="auto" w:sz="4" w:space="0"/>
              <w:right w:val="single" w:color="auto" w:sz="4" w:space="0"/>
            </w:tcBorders>
            <w:shd w:val="clear" w:color="auto" w:fill="auto"/>
            <w:vAlign w:val="center"/>
          </w:tcPr>
          <w:p w14:paraId="1E7BED4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Mf=QIJGf</w:t>
            </w:r>
          </w:p>
        </w:tc>
        <w:tc>
          <w:tcPr>
            <w:tcW w:w="0" w:type="auto"/>
            <w:tcBorders>
              <w:top w:val="double" w:color="auto" w:sz="4" w:space="0"/>
              <w:left w:val="nil"/>
              <w:bottom w:val="single" w:color="auto" w:sz="4" w:space="0"/>
              <w:right w:val="single" w:color="auto" w:sz="4" w:space="0"/>
            </w:tcBorders>
            <w:shd w:val="clear" w:color="auto" w:fill="auto"/>
            <w:vAlign w:val="center"/>
          </w:tcPr>
          <w:p w14:paraId="5DB420F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6912</w:t>
            </w:r>
          </w:p>
        </w:tc>
        <w:tc>
          <w:tcPr>
            <w:tcW w:w="0" w:type="auto"/>
            <w:tcBorders>
              <w:top w:val="double" w:color="auto" w:sz="4" w:space="0"/>
              <w:left w:val="nil"/>
              <w:bottom w:val="single" w:color="auto" w:sz="4" w:space="0"/>
              <w:right w:val="single" w:color="auto" w:sz="4" w:space="0"/>
            </w:tcBorders>
            <w:shd w:val="clear" w:color="auto" w:fill="auto"/>
            <w:vAlign w:val="center"/>
          </w:tcPr>
          <w:p w14:paraId="65FA55D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5675</w:t>
            </w:r>
          </w:p>
        </w:tc>
        <w:tc>
          <w:tcPr>
            <w:tcW w:w="0" w:type="auto"/>
            <w:gridSpan w:val="2"/>
            <w:tcBorders>
              <w:top w:val="double" w:color="auto" w:sz="4" w:space="0"/>
              <w:left w:val="nil"/>
              <w:bottom w:val="single" w:color="auto" w:sz="4" w:space="0"/>
              <w:right w:val="single" w:color="auto" w:sz="4" w:space="0"/>
            </w:tcBorders>
            <w:shd w:val="clear" w:color="auto" w:fill="auto"/>
            <w:vAlign w:val="center"/>
          </w:tcPr>
          <w:p w14:paraId="071CEFB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4436</w:t>
            </w:r>
          </w:p>
        </w:tc>
        <w:tc>
          <w:tcPr>
            <w:tcW w:w="0" w:type="auto"/>
            <w:tcBorders>
              <w:top w:val="double" w:color="auto" w:sz="4" w:space="0"/>
              <w:left w:val="nil"/>
              <w:bottom w:val="single" w:color="auto" w:sz="4" w:space="0"/>
              <w:right w:val="single" w:color="auto" w:sz="4" w:space="0"/>
            </w:tcBorders>
            <w:shd w:val="clear" w:color="auto" w:fill="auto"/>
            <w:vAlign w:val="center"/>
          </w:tcPr>
          <w:p w14:paraId="379F6A2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3125</w:t>
            </w:r>
          </w:p>
        </w:tc>
        <w:tc>
          <w:tcPr>
            <w:tcW w:w="0" w:type="auto"/>
            <w:gridSpan w:val="2"/>
            <w:tcBorders>
              <w:top w:val="double" w:color="auto" w:sz="4" w:space="0"/>
              <w:left w:val="nil"/>
              <w:bottom w:val="single" w:color="auto" w:sz="4" w:space="0"/>
              <w:right w:val="single" w:color="auto" w:sz="4" w:space="0"/>
            </w:tcBorders>
            <w:shd w:val="clear" w:color="auto" w:fill="auto"/>
            <w:vAlign w:val="center"/>
          </w:tcPr>
          <w:p w14:paraId="6B6EC7F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2112</w:t>
            </w:r>
          </w:p>
        </w:tc>
        <w:tc>
          <w:tcPr>
            <w:tcW w:w="0" w:type="auto"/>
            <w:tcBorders>
              <w:top w:val="double" w:color="auto" w:sz="4" w:space="0"/>
              <w:left w:val="nil"/>
              <w:bottom w:val="single" w:color="auto" w:sz="4" w:space="0"/>
              <w:right w:val="single" w:color="auto" w:sz="4" w:space="0"/>
            </w:tcBorders>
            <w:shd w:val="clear" w:color="auto" w:fill="auto"/>
            <w:vAlign w:val="center"/>
          </w:tcPr>
          <w:p w14:paraId="1B3C45E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6912</w:t>
            </w:r>
          </w:p>
        </w:tc>
        <w:tc>
          <w:tcPr>
            <w:tcW w:w="0" w:type="auto"/>
            <w:gridSpan w:val="2"/>
            <w:tcBorders>
              <w:top w:val="double" w:color="auto" w:sz="4" w:space="0"/>
              <w:left w:val="nil"/>
              <w:bottom w:val="single" w:color="auto" w:sz="4" w:space="0"/>
              <w:right w:val="single" w:color="auto" w:sz="4" w:space="0"/>
            </w:tcBorders>
            <w:shd w:val="clear" w:color="auto" w:fill="auto"/>
            <w:vAlign w:val="center"/>
          </w:tcPr>
          <w:p w14:paraId="4AB36AB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5675</w:t>
            </w:r>
          </w:p>
        </w:tc>
        <w:tc>
          <w:tcPr>
            <w:tcW w:w="0" w:type="auto"/>
            <w:tcBorders>
              <w:top w:val="double" w:color="auto" w:sz="4" w:space="0"/>
              <w:left w:val="nil"/>
              <w:bottom w:val="single" w:color="auto" w:sz="4" w:space="0"/>
              <w:right w:val="single" w:color="auto" w:sz="4" w:space="0"/>
            </w:tcBorders>
            <w:shd w:val="clear" w:color="auto" w:fill="auto"/>
            <w:vAlign w:val="center"/>
          </w:tcPr>
          <w:p w14:paraId="3A9617C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4436</w:t>
            </w:r>
          </w:p>
        </w:tc>
        <w:tc>
          <w:tcPr>
            <w:tcW w:w="0" w:type="auto"/>
            <w:gridSpan w:val="2"/>
            <w:tcBorders>
              <w:top w:val="double" w:color="auto" w:sz="4" w:space="0"/>
              <w:left w:val="nil"/>
              <w:bottom w:val="single" w:color="auto" w:sz="4" w:space="0"/>
              <w:right w:val="single" w:color="auto" w:sz="4" w:space="0"/>
            </w:tcBorders>
            <w:shd w:val="clear" w:color="auto" w:fill="auto"/>
            <w:vAlign w:val="center"/>
          </w:tcPr>
          <w:p w14:paraId="37752F6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3125</w:t>
            </w:r>
          </w:p>
        </w:tc>
        <w:tc>
          <w:tcPr>
            <w:tcW w:w="0" w:type="auto"/>
            <w:tcBorders>
              <w:top w:val="double" w:color="auto" w:sz="4" w:space="0"/>
              <w:left w:val="nil"/>
              <w:bottom w:val="single" w:color="auto" w:sz="4" w:space="0"/>
              <w:right w:val="single" w:color="auto" w:sz="4" w:space="0"/>
            </w:tcBorders>
            <w:shd w:val="clear" w:color="auto" w:fill="auto"/>
            <w:vAlign w:val="center"/>
          </w:tcPr>
          <w:p w14:paraId="2D90708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2112</w:t>
            </w:r>
          </w:p>
        </w:tc>
      </w:tr>
      <w:tr w14:paraId="75C1D64E">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04D6099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w:t>
            </w:r>
          </w:p>
        </w:tc>
        <w:tc>
          <w:tcPr>
            <w:tcW w:w="0" w:type="auto"/>
            <w:tcBorders>
              <w:top w:val="nil"/>
              <w:left w:val="nil"/>
              <w:bottom w:val="single" w:color="auto" w:sz="4" w:space="0"/>
              <w:right w:val="single" w:color="auto" w:sz="4" w:space="0"/>
            </w:tcBorders>
            <w:shd w:val="clear" w:color="auto" w:fill="auto"/>
            <w:vAlign w:val="center"/>
          </w:tcPr>
          <w:p w14:paraId="54ECDD7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风蚀率</w:t>
            </w:r>
          </w:p>
        </w:tc>
        <w:tc>
          <w:tcPr>
            <w:tcW w:w="0" w:type="auto"/>
            <w:tcBorders>
              <w:top w:val="nil"/>
              <w:left w:val="nil"/>
              <w:bottom w:val="single" w:color="auto" w:sz="4" w:space="0"/>
              <w:right w:val="single" w:color="auto" w:sz="4" w:space="0"/>
            </w:tcBorders>
            <w:shd w:val="clear" w:color="auto" w:fill="auto"/>
            <w:vAlign w:val="center"/>
          </w:tcPr>
          <w:p w14:paraId="667C764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Q</w:t>
            </w:r>
          </w:p>
        </w:tc>
        <w:tc>
          <w:tcPr>
            <w:tcW w:w="0" w:type="auto"/>
            <w:tcBorders>
              <w:top w:val="nil"/>
              <w:left w:val="nil"/>
              <w:bottom w:val="single" w:color="auto" w:sz="4" w:space="0"/>
              <w:right w:val="single" w:color="auto" w:sz="4" w:space="0"/>
            </w:tcBorders>
            <w:shd w:val="clear" w:color="auto" w:fill="auto"/>
            <w:vAlign w:val="center"/>
          </w:tcPr>
          <w:p w14:paraId="5517165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7605529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35CA505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gridSpan w:val="2"/>
            <w:tcBorders>
              <w:top w:val="nil"/>
              <w:left w:val="nil"/>
              <w:bottom w:val="single" w:color="auto" w:sz="4" w:space="0"/>
              <w:right w:val="single" w:color="auto" w:sz="4" w:space="0"/>
            </w:tcBorders>
            <w:shd w:val="clear" w:color="auto" w:fill="auto"/>
            <w:vAlign w:val="center"/>
          </w:tcPr>
          <w:p w14:paraId="553D7FC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0AEC374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gridSpan w:val="2"/>
            <w:tcBorders>
              <w:top w:val="nil"/>
              <w:left w:val="nil"/>
              <w:bottom w:val="single" w:color="auto" w:sz="4" w:space="0"/>
              <w:right w:val="single" w:color="auto" w:sz="4" w:space="0"/>
            </w:tcBorders>
            <w:shd w:val="clear" w:color="auto" w:fill="auto"/>
            <w:vAlign w:val="center"/>
          </w:tcPr>
          <w:p w14:paraId="41A1173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5A2079B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gridSpan w:val="2"/>
            <w:tcBorders>
              <w:top w:val="nil"/>
              <w:left w:val="nil"/>
              <w:bottom w:val="single" w:color="auto" w:sz="4" w:space="0"/>
              <w:right w:val="single" w:color="auto" w:sz="4" w:space="0"/>
            </w:tcBorders>
            <w:shd w:val="clear" w:color="auto" w:fill="auto"/>
            <w:vAlign w:val="center"/>
          </w:tcPr>
          <w:p w14:paraId="22E0D0E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48C7772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gridSpan w:val="2"/>
            <w:tcBorders>
              <w:top w:val="nil"/>
              <w:left w:val="nil"/>
              <w:bottom w:val="single" w:color="auto" w:sz="4" w:space="0"/>
              <w:right w:val="single" w:color="auto" w:sz="4" w:space="0"/>
            </w:tcBorders>
            <w:shd w:val="clear" w:color="auto" w:fill="auto"/>
            <w:vAlign w:val="center"/>
          </w:tcPr>
          <w:p w14:paraId="7EE0119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426BBFF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r>
      <w:tr w14:paraId="3FE30013">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0DEC170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w:t>
            </w:r>
          </w:p>
        </w:tc>
        <w:tc>
          <w:tcPr>
            <w:tcW w:w="0" w:type="auto"/>
            <w:tcBorders>
              <w:top w:val="nil"/>
              <w:left w:val="nil"/>
              <w:bottom w:val="single" w:color="auto" w:sz="4" w:space="0"/>
              <w:right w:val="single" w:color="auto" w:sz="4" w:space="0"/>
            </w:tcBorders>
            <w:shd w:val="clear" w:color="auto" w:fill="auto"/>
            <w:vAlign w:val="center"/>
          </w:tcPr>
          <w:p w14:paraId="0C24D30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粗糙干扰因子</w:t>
            </w:r>
          </w:p>
        </w:tc>
        <w:tc>
          <w:tcPr>
            <w:tcW w:w="0" w:type="auto"/>
            <w:tcBorders>
              <w:top w:val="nil"/>
              <w:left w:val="nil"/>
              <w:bottom w:val="single" w:color="auto" w:sz="4" w:space="0"/>
              <w:right w:val="single" w:color="auto" w:sz="4" w:space="0"/>
            </w:tcBorders>
            <w:shd w:val="clear" w:color="auto" w:fill="auto"/>
            <w:vAlign w:val="center"/>
          </w:tcPr>
          <w:p w14:paraId="29EFDF2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I</w:t>
            </w:r>
          </w:p>
        </w:tc>
        <w:tc>
          <w:tcPr>
            <w:tcW w:w="0" w:type="auto"/>
            <w:tcBorders>
              <w:top w:val="nil"/>
              <w:left w:val="nil"/>
              <w:bottom w:val="single" w:color="auto" w:sz="4" w:space="0"/>
              <w:right w:val="single" w:color="auto" w:sz="4" w:space="0"/>
            </w:tcBorders>
            <w:shd w:val="clear" w:color="auto" w:fill="auto"/>
            <w:vAlign w:val="center"/>
          </w:tcPr>
          <w:p w14:paraId="66CD658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I=e-0.045υ</w:t>
            </w:r>
          </w:p>
        </w:tc>
        <w:tc>
          <w:tcPr>
            <w:tcW w:w="0" w:type="auto"/>
            <w:tcBorders>
              <w:top w:val="nil"/>
              <w:left w:val="nil"/>
              <w:bottom w:val="single" w:color="auto" w:sz="4" w:space="0"/>
              <w:right w:val="single" w:color="auto" w:sz="4" w:space="0"/>
            </w:tcBorders>
            <w:shd w:val="clear" w:color="auto" w:fill="auto"/>
            <w:vAlign w:val="center"/>
          </w:tcPr>
          <w:p w14:paraId="34211B7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0.7984</w:t>
            </w:r>
          </w:p>
        </w:tc>
        <w:tc>
          <w:tcPr>
            <w:tcW w:w="0" w:type="auto"/>
            <w:tcBorders>
              <w:top w:val="nil"/>
              <w:left w:val="nil"/>
              <w:bottom w:val="single" w:color="auto" w:sz="4" w:space="0"/>
              <w:right w:val="single" w:color="auto" w:sz="4" w:space="0"/>
            </w:tcBorders>
            <w:shd w:val="clear" w:color="auto" w:fill="auto"/>
            <w:vAlign w:val="center"/>
          </w:tcPr>
          <w:p w14:paraId="2010D1E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0.6975</w:t>
            </w:r>
          </w:p>
        </w:tc>
        <w:tc>
          <w:tcPr>
            <w:tcW w:w="0" w:type="auto"/>
            <w:gridSpan w:val="2"/>
            <w:tcBorders>
              <w:top w:val="nil"/>
              <w:left w:val="nil"/>
              <w:bottom w:val="single" w:color="auto" w:sz="4" w:space="0"/>
              <w:right w:val="single" w:color="auto" w:sz="4" w:space="0"/>
            </w:tcBorders>
            <w:shd w:val="clear" w:color="auto" w:fill="auto"/>
            <w:vAlign w:val="center"/>
          </w:tcPr>
          <w:p w14:paraId="77B5BFE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0.5825</w:t>
            </w:r>
          </w:p>
        </w:tc>
        <w:tc>
          <w:tcPr>
            <w:tcW w:w="0" w:type="auto"/>
            <w:tcBorders>
              <w:top w:val="nil"/>
              <w:left w:val="nil"/>
              <w:bottom w:val="single" w:color="auto" w:sz="4" w:space="0"/>
              <w:right w:val="single" w:color="auto" w:sz="4" w:space="0"/>
            </w:tcBorders>
            <w:shd w:val="clear" w:color="auto" w:fill="auto"/>
            <w:vAlign w:val="center"/>
          </w:tcPr>
          <w:p w14:paraId="391EFA6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0.4446</w:t>
            </w:r>
          </w:p>
        </w:tc>
        <w:tc>
          <w:tcPr>
            <w:tcW w:w="0" w:type="auto"/>
            <w:gridSpan w:val="2"/>
            <w:tcBorders>
              <w:top w:val="nil"/>
              <w:left w:val="nil"/>
              <w:bottom w:val="single" w:color="auto" w:sz="4" w:space="0"/>
              <w:right w:val="single" w:color="auto" w:sz="4" w:space="0"/>
            </w:tcBorders>
            <w:shd w:val="clear" w:color="auto" w:fill="auto"/>
            <w:vAlign w:val="center"/>
          </w:tcPr>
          <w:p w14:paraId="3722F64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0.3244</w:t>
            </w:r>
          </w:p>
        </w:tc>
        <w:tc>
          <w:tcPr>
            <w:tcW w:w="0" w:type="auto"/>
            <w:tcBorders>
              <w:top w:val="nil"/>
              <w:left w:val="nil"/>
              <w:bottom w:val="single" w:color="auto" w:sz="4" w:space="0"/>
              <w:right w:val="single" w:color="auto" w:sz="4" w:space="0"/>
            </w:tcBorders>
            <w:shd w:val="clear" w:color="auto" w:fill="auto"/>
            <w:vAlign w:val="center"/>
          </w:tcPr>
          <w:p w14:paraId="5CC2661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0.7984</w:t>
            </w:r>
          </w:p>
        </w:tc>
        <w:tc>
          <w:tcPr>
            <w:tcW w:w="0" w:type="auto"/>
            <w:gridSpan w:val="2"/>
            <w:tcBorders>
              <w:top w:val="nil"/>
              <w:left w:val="nil"/>
              <w:bottom w:val="single" w:color="auto" w:sz="4" w:space="0"/>
              <w:right w:val="single" w:color="auto" w:sz="4" w:space="0"/>
            </w:tcBorders>
            <w:shd w:val="clear" w:color="auto" w:fill="auto"/>
            <w:vAlign w:val="center"/>
          </w:tcPr>
          <w:p w14:paraId="022215E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0.6975</w:t>
            </w:r>
          </w:p>
        </w:tc>
        <w:tc>
          <w:tcPr>
            <w:tcW w:w="0" w:type="auto"/>
            <w:tcBorders>
              <w:top w:val="nil"/>
              <w:left w:val="nil"/>
              <w:bottom w:val="single" w:color="auto" w:sz="4" w:space="0"/>
              <w:right w:val="single" w:color="auto" w:sz="4" w:space="0"/>
            </w:tcBorders>
            <w:shd w:val="clear" w:color="auto" w:fill="auto"/>
            <w:vAlign w:val="center"/>
          </w:tcPr>
          <w:p w14:paraId="59C3C05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0.5825</w:t>
            </w:r>
          </w:p>
        </w:tc>
        <w:tc>
          <w:tcPr>
            <w:tcW w:w="0" w:type="auto"/>
            <w:gridSpan w:val="2"/>
            <w:tcBorders>
              <w:top w:val="nil"/>
              <w:left w:val="nil"/>
              <w:bottom w:val="single" w:color="auto" w:sz="4" w:space="0"/>
              <w:right w:val="single" w:color="auto" w:sz="4" w:space="0"/>
            </w:tcBorders>
            <w:shd w:val="clear" w:color="auto" w:fill="auto"/>
            <w:vAlign w:val="center"/>
          </w:tcPr>
          <w:p w14:paraId="110B331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0.4446</w:t>
            </w:r>
          </w:p>
        </w:tc>
        <w:tc>
          <w:tcPr>
            <w:tcW w:w="0" w:type="auto"/>
            <w:tcBorders>
              <w:top w:val="nil"/>
              <w:left w:val="nil"/>
              <w:bottom w:val="single" w:color="auto" w:sz="4" w:space="0"/>
              <w:right w:val="single" w:color="auto" w:sz="4" w:space="0"/>
            </w:tcBorders>
            <w:shd w:val="clear" w:color="auto" w:fill="auto"/>
            <w:vAlign w:val="center"/>
          </w:tcPr>
          <w:p w14:paraId="52CBE83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0.3244</w:t>
            </w:r>
          </w:p>
        </w:tc>
      </w:tr>
      <w:tr w14:paraId="56E9726C">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1EDD2F3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7F4496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地表植被覆盖度和砾石盖度（%）</w:t>
            </w:r>
          </w:p>
        </w:tc>
        <w:tc>
          <w:tcPr>
            <w:tcW w:w="0" w:type="auto"/>
            <w:tcBorders>
              <w:top w:val="nil"/>
              <w:left w:val="nil"/>
              <w:bottom w:val="single" w:color="auto" w:sz="4" w:space="0"/>
              <w:right w:val="single" w:color="auto" w:sz="4" w:space="0"/>
            </w:tcBorders>
            <w:shd w:val="clear" w:color="auto" w:fill="auto"/>
            <w:vAlign w:val="center"/>
          </w:tcPr>
          <w:p w14:paraId="4488D59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υ</w:t>
            </w:r>
          </w:p>
        </w:tc>
        <w:tc>
          <w:tcPr>
            <w:tcW w:w="0" w:type="auto"/>
            <w:tcBorders>
              <w:top w:val="nil"/>
              <w:left w:val="nil"/>
              <w:bottom w:val="single" w:color="auto" w:sz="4" w:space="0"/>
              <w:right w:val="single" w:color="auto" w:sz="4" w:space="0"/>
            </w:tcBorders>
            <w:shd w:val="clear" w:color="auto" w:fill="auto"/>
            <w:vAlign w:val="center"/>
          </w:tcPr>
          <w:p w14:paraId="479AA82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656528E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w:t>
            </w:r>
          </w:p>
        </w:tc>
        <w:tc>
          <w:tcPr>
            <w:tcW w:w="0" w:type="auto"/>
            <w:tcBorders>
              <w:top w:val="nil"/>
              <w:left w:val="nil"/>
              <w:bottom w:val="single" w:color="auto" w:sz="4" w:space="0"/>
              <w:right w:val="single" w:color="auto" w:sz="4" w:space="0"/>
            </w:tcBorders>
            <w:shd w:val="clear" w:color="auto" w:fill="auto"/>
            <w:vAlign w:val="center"/>
          </w:tcPr>
          <w:p w14:paraId="63B9B40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8</w:t>
            </w:r>
          </w:p>
        </w:tc>
        <w:tc>
          <w:tcPr>
            <w:tcW w:w="0" w:type="auto"/>
            <w:gridSpan w:val="2"/>
            <w:tcBorders>
              <w:top w:val="nil"/>
              <w:left w:val="nil"/>
              <w:bottom w:val="single" w:color="auto" w:sz="4" w:space="0"/>
              <w:right w:val="single" w:color="auto" w:sz="4" w:space="0"/>
            </w:tcBorders>
            <w:shd w:val="clear" w:color="auto" w:fill="auto"/>
            <w:vAlign w:val="center"/>
          </w:tcPr>
          <w:p w14:paraId="2DDB3B0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12</w:t>
            </w:r>
          </w:p>
        </w:tc>
        <w:tc>
          <w:tcPr>
            <w:tcW w:w="0" w:type="auto"/>
            <w:tcBorders>
              <w:top w:val="nil"/>
              <w:left w:val="nil"/>
              <w:bottom w:val="single" w:color="auto" w:sz="4" w:space="0"/>
              <w:right w:val="single" w:color="auto" w:sz="4" w:space="0"/>
            </w:tcBorders>
            <w:shd w:val="clear" w:color="auto" w:fill="auto"/>
            <w:vAlign w:val="center"/>
          </w:tcPr>
          <w:p w14:paraId="004C92C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18</w:t>
            </w:r>
          </w:p>
        </w:tc>
        <w:tc>
          <w:tcPr>
            <w:tcW w:w="0" w:type="auto"/>
            <w:gridSpan w:val="2"/>
            <w:tcBorders>
              <w:top w:val="nil"/>
              <w:left w:val="nil"/>
              <w:bottom w:val="single" w:color="auto" w:sz="4" w:space="0"/>
              <w:right w:val="single" w:color="auto" w:sz="4" w:space="0"/>
            </w:tcBorders>
            <w:shd w:val="clear" w:color="auto" w:fill="auto"/>
            <w:vAlign w:val="center"/>
          </w:tcPr>
          <w:p w14:paraId="0B117EC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25</w:t>
            </w:r>
          </w:p>
        </w:tc>
        <w:tc>
          <w:tcPr>
            <w:tcW w:w="0" w:type="auto"/>
            <w:tcBorders>
              <w:top w:val="nil"/>
              <w:left w:val="nil"/>
              <w:bottom w:val="single" w:color="auto" w:sz="4" w:space="0"/>
              <w:right w:val="single" w:color="auto" w:sz="4" w:space="0"/>
            </w:tcBorders>
            <w:shd w:val="clear" w:color="auto" w:fill="auto"/>
            <w:vAlign w:val="center"/>
          </w:tcPr>
          <w:p w14:paraId="533DE73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w:t>
            </w:r>
          </w:p>
        </w:tc>
        <w:tc>
          <w:tcPr>
            <w:tcW w:w="0" w:type="auto"/>
            <w:gridSpan w:val="2"/>
            <w:tcBorders>
              <w:top w:val="nil"/>
              <w:left w:val="nil"/>
              <w:bottom w:val="single" w:color="auto" w:sz="4" w:space="0"/>
              <w:right w:val="single" w:color="auto" w:sz="4" w:space="0"/>
            </w:tcBorders>
            <w:shd w:val="clear" w:color="auto" w:fill="auto"/>
            <w:vAlign w:val="center"/>
          </w:tcPr>
          <w:p w14:paraId="4EB7D54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8</w:t>
            </w:r>
          </w:p>
        </w:tc>
        <w:tc>
          <w:tcPr>
            <w:tcW w:w="0" w:type="auto"/>
            <w:tcBorders>
              <w:top w:val="nil"/>
              <w:left w:val="nil"/>
              <w:bottom w:val="single" w:color="auto" w:sz="4" w:space="0"/>
              <w:right w:val="single" w:color="auto" w:sz="4" w:space="0"/>
            </w:tcBorders>
            <w:shd w:val="clear" w:color="auto" w:fill="auto"/>
            <w:vAlign w:val="center"/>
          </w:tcPr>
          <w:p w14:paraId="025FD01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12</w:t>
            </w:r>
          </w:p>
        </w:tc>
        <w:tc>
          <w:tcPr>
            <w:tcW w:w="0" w:type="auto"/>
            <w:gridSpan w:val="2"/>
            <w:tcBorders>
              <w:top w:val="nil"/>
              <w:left w:val="nil"/>
              <w:bottom w:val="single" w:color="auto" w:sz="4" w:space="0"/>
              <w:right w:val="single" w:color="auto" w:sz="4" w:space="0"/>
            </w:tcBorders>
            <w:shd w:val="clear" w:color="auto" w:fill="auto"/>
            <w:vAlign w:val="center"/>
          </w:tcPr>
          <w:p w14:paraId="0FDBE81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18</w:t>
            </w:r>
          </w:p>
        </w:tc>
        <w:tc>
          <w:tcPr>
            <w:tcW w:w="0" w:type="auto"/>
            <w:tcBorders>
              <w:top w:val="nil"/>
              <w:left w:val="nil"/>
              <w:bottom w:val="single" w:color="auto" w:sz="4" w:space="0"/>
              <w:right w:val="single" w:color="auto" w:sz="4" w:space="0"/>
            </w:tcBorders>
            <w:shd w:val="clear" w:color="auto" w:fill="auto"/>
            <w:vAlign w:val="center"/>
          </w:tcPr>
          <w:p w14:paraId="0D1B510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25</w:t>
            </w:r>
          </w:p>
        </w:tc>
      </w:tr>
      <w:tr w14:paraId="0B3C1200">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417AAE4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4</w:t>
            </w:r>
          </w:p>
        </w:tc>
        <w:tc>
          <w:tcPr>
            <w:tcW w:w="0" w:type="auto"/>
            <w:tcBorders>
              <w:top w:val="nil"/>
              <w:left w:val="nil"/>
              <w:bottom w:val="single" w:color="auto" w:sz="4" w:space="0"/>
              <w:right w:val="single" w:color="auto" w:sz="4" w:space="0"/>
            </w:tcBorders>
            <w:shd w:val="clear" w:color="auto" w:fill="auto"/>
            <w:vAlign w:val="center"/>
          </w:tcPr>
          <w:p w14:paraId="310477B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地表物质紧实程度系数</w:t>
            </w:r>
          </w:p>
        </w:tc>
        <w:tc>
          <w:tcPr>
            <w:tcW w:w="0" w:type="auto"/>
            <w:tcBorders>
              <w:top w:val="nil"/>
              <w:left w:val="nil"/>
              <w:bottom w:val="single" w:color="auto" w:sz="4" w:space="0"/>
              <w:right w:val="single" w:color="auto" w:sz="4" w:space="0"/>
            </w:tcBorders>
            <w:shd w:val="clear" w:color="auto" w:fill="auto"/>
            <w:vAlign w:val="center"/>
          </w:tcPr>
          <w:p w14:paraId="078364D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J</w:t>
            </w:r>
          </w:p>
        </w:tc>
        <w:tc>
          <w:tcPr>
            <w:tcW w:w="0" w:type="auto"/>
            <w:tcBorders>
              <w:top w:val="nil"/>
              <w:left w:val="nil"/>
              <w:bottom w:val="single" w:color="auto" w:sz="4" w:space="0"/>
              <w:right w:val="single" w:color="auto" w:sz="4" w:space="0"/>
            </w:tcBorders>
            <w:shd w:val="clear" w:color="auto" w:fill="auto"/>
            <w:vAlign w:val="center"/>
          </w:tcPr>
          <w:p w14:paraId="0FE5CBD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1CE683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1.33</w:t>
            </w:r>
          </w:p>
        </w:tc>
        <w:tc>
          <w:tcPr>
            <w:tcW w:w="0" w:type="auto"/>
            <w:tcBorders>
              <w:top w:val="nil"/>
              <w:left w:val="nil"/>
              <w:bottom w:val="single" w:color="auto" w:sz="4" w:space="0"/>
              <w:right w:val="single" w:color="auto" w:sz="4" w:space="0"/>
            </w:tcBorders>
            <w:shd w:val="clear" w:color="auto" w:fill="auto"/>
            <w:vAlign w:val="center"/>
          </w:tcPr>
          <w:p w14:paraId="366D630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1.25</w:t>
            </w:r>
          </w:p>
        </w:tc>
        <w:tc>
          <w:tcPr>
            <w:tcW w:w="0" w:type="auto"/>
            <w:gridSpan w:val="2"/>
            <w:tcBorders>
              <w:top w:val="nil"/>
              <w:left w:val="nil"/>
              <w:bottom w:val="single" w:color="auto" w:sz="4" w:space="0"/>
              <w:right w:val="single" w:color="auto" w:sz="4" w:space="0"/>
            </w:tcBorders>
            <w:shd w:val="clear" w:color="auto" w:fill="auto"/>
            <w:vAlign w:val="center"/>
          </w:tcPr>
          <w:p w14:paraId="11676C8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1.17</w:t>
            </w:r>
          </w:p>
        </w:tc>
        <w:tc>
          <w:tcPr>
            <w:tcW w:w="0" w:type="auto"/>
            <w:tcBorders>
              <w:top w:val="nil"/>
              <w:left w:val="nil"/>
              <w:bottom w:val="single" w:color="auto" w:sz="4" w:space="0"/>
              <w:right w:val="single" w:color="auto" w:sz="4" w:space="0"/>
            </w:tcBorders>
            <w:shd w:val="clear" w:color="auto" w:fill="auto"/>
            <w:vAlign w:val="center"/>
          </w:tcPr>
          <w:p w14:paraId="4D053C9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1.08</w:t>
            </w:r>
          </w:p>
        </w:tc>
        <w:tc>
          <w:tcPr>
            <w:tcW w:w="0" w:type="auto"/>
            <w:gridSpan w:val="2"/>
            <w:tcBorders>
              <w:top w:val="nil"/>
              <w:left w:val="nil"/>
              <w:bottom w:val="single" w:color="auto" w:sz="4" w:space="0"/>
              <w:right w:val="single" w:color="auto" w:sz="4" w:space="0"/>
            </w:tcBorders>
            <w:shd w:val="clear" w:color="auto" w:fill="auto"/>
            <w:vAlign w:val="center"/>
          </w:tcPr>
          <w:p w14:paraId="2C252D3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0" w:type="auto"/>
            <w:tcBorders>
              <w:top w:val="nil"/>
              <w:left w:val="nil"/>
              <w:bottom w:val="single" w:color="auto" w:sz="4" w:space="0"/>
              <w:right w:val="single" w:color="auto" w:sz="4" w:space="0"/>
            </w:tcBorders>
            <w:shd w:val="clear" w:color="auto" w:fill="auto"/>
            <w:vAlign w:val="center"/>
          </w:tcPr>
          <w:p w14:paraId="6A0A31D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1.33</w:t>
            </w:r>
          </w:p>
        </w:tc>
        <w:tc>
          <w:tcPr>
            <w:tcW w:w="0" w:type="auto"/>
            <w:gridSpan w:val="2"/>
            <w:tcBorders>
              <w:top w:val="nil"/>
              <w:left w:val="nil"/>
              <w:bottom w:val="single" w:color="auto" w:sz="4" w:space="0"/>
              <w:right w:val="single" w:color="auto" w:sz="4" w:space="0"/>
            </w:tcBorders>
            <w:shd w:val="clear" w:color="auto" w:fill="auto"/>
            <w:vAlign w:val="center"/>
          </w:tcPr>
          <w:p w14:paraId="633127F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1.25</w:t>
            </w:r>
          </w:p>
        </w:tc>
        <w:tc>
          <w:tcPr>
            <w:tcW w:w="0" w:type="auto"/>
            <w:tcBorders>
              <w:top w:val="nil"/>
              <w:left w:val="nil"/>
              <w:bottom w:val="single" w:color="auto" w:sz="4" w:space="0"/>
              <w:right w:val="single" w:color="auto" w:sz="4" w:space="0"/>
            </w:tcBorders>
            <w:shd w:val="clear" w:color="auto" w:fill="auto"/>
            <w:vAlign w:val="center"/>
          </w:tcPr>
          <w:p w14:paraId="05F080B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1.17</w:t>
            </w:r>
          </w:p>
        </w:tc>
        <w:tc>
          <w:tcPr>
            <w:tcW w:w="0" w:type="auto"/>
            <w:gridSpan w:val="2"/>
            <w:tcBorders>
              <w:top w:val="nil"/>
              <w:left w:val="nil"/>
              <w:bottom w:val="single" w:color="auto" w:sz="4" w:space="0"/>
              <w:right w:val="single" w:color="auto" w:sz="4" w:space="0"/>
            </w:tcBorders>
            <w:shd w:val="clear" w:color="auto" w:fill="auto"/>
            <w:vAlign w:val="center"/>
          </w:tcPr>
          <w:p w14:paraId="164DC3B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1.08</w:t>
            </w:r>
          </w:p>
        </w:tc>
        <w:tc>
          <w:tcPr>
            <w:tcW w:w="0" w:type="auto"/>
            <w:tcBorders>
              <w:top w:val="nil"/>
              <w:left w:val="nil"/>
              <w:bottom w:val="single" w:color="auto" w:sz="4" w:space="0"/>
              <w:right w:val="single" w:color="auto" w:sz="4" w:space="0"/>
            </w:tcBorders>
            <w:shd w:val="clear" w:color="auto" w:fill="auto"/>
            <w:vAlign w:val="center"/>
          </w:tcPr>
          <w:p w14:paraId="32D9555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r>
      <w:tr w14:paraId="5E89B163">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4C5EF03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w:t>
            </w:r>
          </w:p>
        </w:tc>
        <w:tc>
          <w:tcPr>
            <w:tcW w:w="0" w:type="auto"/>
            <w:tcBorders>
              <w:top w:val="nil"/>
              <w:left w:val="nil"/>
              <w:bottom w:val="single" w:color="auto" w:sz="4" w:space="0"/>
              <w:right w:val="single" w:color="auto" w:sz="4" w:space="0"/>
            </w:tcBorders>
            <w:shd w:val="clear" w:color="auto" w:fill="auto"/>
            <w:vAlign w:val="center"/>
          </w:tcPr>
          <w:p w14:paraId="724C22A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风蚀可蚀性因子</w:t>
            </w:r>
          </w:p>
        </w:tc>
        <w:tc>
          <w:tcPr>
            <w:tcW w:w="0" w:type="auto"/>
            <w:tcBorders>
              <w:top w:val="nil"/>
              <w:left w:val="nil"/>
              <w:bottom w:val="single" w:color="auto" w:sz="4" w:space="0"/>
              <w:right w:val="single" w:color="auto" w:sz="4" w:space="0"/>
            </w:tcBorders>
            <w:shd w:val="clear" w:color="auto" w:fill="auto"/>
            <w:vAlign w:val="center"/>
          </w:tcPr>
          <w:p w14:paraId="5AFD56C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Gf</w:t>
            </w:r>
          </w:p>
        </w:tc>
        <w:tc>
          <w:tcPr>
            <w:tcW w:w="0" w:type="auto"/>
            <w:tcBorders>
              <w:top w:val="nil"/>
              <w:left w:val="nil"/>
              <w:bottom w:val="single" w:color="auto" w:sz="4" w:space="0"/>
              <w:right w:val="single" w:color="auto" w:sz="4" w:space="0"/>
            </w:tcBorders>
            <w:shd w:val="clear" w:color="auto" w:fill="auto"/>
            <w:vAlign w:val="center"/>
          </w:tcPr>
          <w:p w14:paraId="0EB7D38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3CB394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7195835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gridSpan w:val="2"/>
            <w:tcBorders>
              <w:top w:val="nil"/>
              <w:left w:val="nil"/>
              <w:bottom w:val="single" w:color="auto" w:sz="4" w:space="0"/>
              <w:right w:val="single" w:color="auto" w:sz="4" w:space="0"/>
            </w:tcBorders>
            <w:shd w:val="clear" w:color="auto" w:fill="auto"/>
            <w:vAlign w:val="center"/>
          </w:tcPr>
          <w:p w14:paraId="325D173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39A28DD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gridSpan w:val="2"/>
            <w:tcBorders>
              <w:top w:val="nil"/>
              <w:left w:val="nil"/>
              <w:bottom w:val="single" w:color="auto" w:sz="4" w:space="0"/>
              <w:right w:val="single" w:color="auto" w:sz="4" w:space="0"/>
            </w:tcBorders>
            <w:shd w:val="clear" w:color="auto" w:fill="auto"/>
            <w:vAlign w:val="center"/>
          </w:tcPr>
          <w:p w14:paraId="2636BCF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6761430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gridSpan w:val="2"/>
            <w:tcBorders>
              <w:top w:val="nil"/>
              <w:left w:val="nil"/>
              <w:bottom w:val="single" w:color="auto" w:sz="4" w:space="0"/>
              <w:right w:val="single" w:color="auto" w:sz="4" w:space="0"/>
            </w:tcBorders>
            <w:shd w:val="clear" w:color="auto" w:fill="auto"/>
            <w:vAlign w:val="center"/>
          </w:tcPr>
          <w:p w14:paraId="634EC62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40B9C85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gridSpan w:val="2"/>
            <w:tcBorders>
              <w:top w:val="nil"/>
              <w:left w:val="nil"/>
              <w:bottom w:val="single" w:color="auto" w:sz="4" w:space="0"/>
              <w:right w:val="single" w:color="auto" w:sz="4" w:space="0"/>
            </w:tcBorders>
            <w:shd w:val="clear" w:color="auto" w:fill="auto"/>
            <w:vAlign w:val="center"/>
          </w:tcPr>
          <w:p w14:paraId="3AA85E2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5DB3B73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r>
      <w:tr w14:paraId="67C8A055">
        <w:tblPrEx>
          <w:tblCellMar>
            <w:top w:w="0" w:type="dxa"/>
            <w:left w:w="108" w:type="dxa"/>
            <w:bottom w:w="0" w:type="dxa"/>
            <w:right w:w="108" w:type="dxa"/>
          </w:tblCellMar>
        </w:tblPrEx>
        <w:trPr>
          <w:trHeight w:val="397" w:hRule="atLeast"/>
          <w:jc w:val="center"/>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4BAAFA9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序号</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1867B9C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项目</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3759112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因子</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2135D9D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公式</w:t>
            </w:r>
          </w:p>
        </w:tc>
        <w:tc>
          <w:tcPr>
            <w:tcW w:w="0" w:type="auto"/>
            <w:gridSpan w:val="7"/>
            <w:tcBorders>
              <w:top w:val="single" w:color="auto" w:sz="4" w:space="0"/>
              <w:left w:val="nil"/>
              <w:bottom w:val="single" w:color="auto" w:sz="4" w:space="0"/>
              <w:right w:val="single" w:color="auto" w:sz="4" w:space="0"/>
            </w:tcBorders>
            <w:shd w:val="clear" w:color="auto" w:fill="auto"/>
            <w:vAlign w:val="center"/>
          </w:tcPr>
          <w:p w14:paraId="4C74FB4A">
            <w:pPr>
              <w:spacing w:line="240" w:lineRule="auto"/>
              <w:ind w:firstLine="600" w:firstLineChars="3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工矿用地</w:t>
            </w:r>
          </w:p>
        </w:tc>
        <w:tc>
          <w:tcPr>
            <w:tcW w:w="0" w:type="auto"/>
            <w:gridSpan w:val="7"/>
            <w:tcBorders>
              <w:top w:val="single" w:color="auto" w:sz="4" w:space="0"/>
              <w:left w:val="nil"/>
              <w:bottom w:val="single" w:color="auto" w:sz="4" w:space="0"/>
              <w:right w:val="single" w:color="auto" w:sz="4" w:space="0"/>
            </w:tcBorders>
            <w:shd w:val="clear" w:color="auto" w:fill="auto"/>
            <w:vAlign w:val="center"/>
          </w:tcPr>
          <w:p w14:paraId="4018E085">
            <w:pPr>
              <w:spacing w:line="240" w:lineRule="auto"/>
              <w:ind w:firstLine="4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交通运输用地</w:t>
            </w:r>
          </w:p>
        </w:tc>
      </w:tr>
      <w:tr w14:paraId="1CE3E510">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286CEBFF">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08339887">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31493F10">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2C51C14D">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vAlign w:val="center"/>
          </w:tcPr>
          <w:p w14:paraId="0EABA6F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第1年</w:t>
            </w:r>
          </w:p>
        </w:tc>
        <w:tc>
          <w:tcPr>
            <w:tcW w:w="0" w:type="auto"/>
            <w:tcBorders>
              <w:top w:val="nil"/>
              <w:left w:val="nil"/>
              <w:bottom w:val="single" w:color="auto" w:sz="4" w:space="0"/>
              <w:right w:val="single" w:color="auto" w:sz="4" w:space="0"/>
            </w:tcBorders>
            <w:shd w:val="clear" w:color="auto" w:fill="auto"/>
            <w:vAlign w:val="center"/>
          </w:tcPr>
          <w:p w14:paraId="12C7933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第2年</w:t>
            </w:r>
          </w:p>
        </w:tc>
        <w:tc>
          <w:tcPr>
            <w:tcW w:w="0" w:type="auto"/>
            <w:gridSpan w:val="2"/>
            <w:tcBorders>
              <w:top w:val="nil"/>
              <w:left w:val="nil"/>
              <w:bottom w:val="single" w:color="auto" w:sz="4" w:space="0"/>
              <w:right w:val="single" w:color="auto" w:sz="4" w:space="0"/>
            </w:tcBorders>
            <w:shd w:val="clear" w:color="auto" w:fill="auto"/>
            <w:vAlign w:val="center"/>
          </w:tcPr>
          <w:p w14:paraId="07168A2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第3年</w:t>
            </w:r>
          </w:p>
        </w:tc>
        <w:tc>
          <w:tcPr>
            <w:tcW w:w="0" w:type="auto"/>
            <w:tcBorders>
              <w:top w:val="nil"/>
              <w:left w:val="nil"/>
              <w:bottom w:val="single" w:color="auto" w:sz="4" w:space="0"/>
              <w:right w:val="single" w:color="auto" w:sz="4" w:space="0"/>
            </w:tcBorders>
            <w:shd w:val="clear" w:color="auto" w:fill="auto"/>
            <w:vAlign w:val="center"/>
          </w:tcPr>
          <w:p w14:paraId="20F4FFB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第4年</w:t>
            </w:r>
          </w:p>
        </w:tc>
        <w:tc>
          <w:tcPr>
            <w:tcW w:w="0" w:type="auto"/>
            <w:gridSpan w:val="2"/>
            <w:tcBorders>
              <w:top w:val="nil"/>
              <w:left w:val="nil"/>
              <w:bottom w:val="single" w:color="auto" w:sz="4" w:space="0"/>
              <w:right w:val="single" w:color="auto" w:sz="4" w:space="0"/>
            </w:tcBorders>
            <w:shd w:val="clear" w:color="auto" w:fill="auto"/>
            <w:vAlign w:val="center"/>
          </w:tcPr>
          <w:p w14:paraId="1FB9D45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第5年</w:t>
            </w:r>
          </w:p>
        </w:tc>
        <w:tc>
          <w:tcPr>
            <w:tcW w:w="0" w:type="auto"/>
            <w:tcBorders>
              <w:top w:val="nil"/>
              <w:left w:val="nil"/>
              <w:bottom w:val="single" w:color="auto" w:sz="4" w:space="0"/>
              <w:right w:val="single" w:color="auto" w:sz="4" w:space="0"/>
            </w:tcBorders>
            <w:shd w:val="clear" w:color="auto" w:fill="auto"/>
            <w:vAlign w:val="center"/>
          </w:tcPr>
          <w:p w14:paraId="5671AEC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第1年</w:t>
            </w:r>
          </w:p>
        </w:tc>
        <w:tc>
          <w:tcPr>
            <w:tcW w:w="0" w:type="auto"/>
            <w:gridSpan w:val="2"/>
            <w:tcBorders>
              <w:top w:val="nil"/>
              <w:left w:val="nil"/>
              <w:bottom w:val="single" w:color="auto" w:sz="4" w:space="0"/>
              <w:right w:val="single" w:color="auto" w:sz="4" w:space="0"/>
            </w:tcBorders>
            <w:shd w:val="clear" w:color="auto" w:fill="auto"/>
            <w:vAlign w:val="center"/>
          </w:tcPr>
          <w:p w14:paraId="755CAF8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第2年</w:t>
            </w:r>
          </w:p>
        </w:tc>
        <w:tc>
          <w:tcPr>
            <w:tcW w:w="0" w:type="auto"/>
            <w:tcBorders>
              <w:top w:val="nil"/>
              <w:left w:val="nil"/>
              <w:bottom w:val="single" w:color="auto" w:sz="4" w:space="0"/>
              <w:right w:val="single" w:color="auto" w:sz="4" w:space="0"/>
            </w:tcBorders>
            <w:shd w:val="clear" w:color="auto" w:fill="auto"/>
            <w:vAlign w:val="center"/>
          </w:tcPr>
          <w:p w14:paraId="05F7D6F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第3年</w:t>
            </w:r>
          </w:p>
        </w:tc>
        <w:tc>
          <w:tcPr>
            <w:tcW w:w="0" w:type="auto"/>
            <w:gridSpan w:val="2"/>
            <w:tcBorders>
              <w:top w:val="nil"/>
              <w:left w:val="nil"/>
              <w:bottom w:val="single" w:color="auto" w:sz="4" w:space="0"/>
              <w:right w:val="single" w:color="auto" w:sz="4" w:space="0"/>
            </w:tcBorders>
            <w:shd w:val="clear" w:color="auto" w:fill="auto"/>
            <w:vAlign w:val="center"/>
          </w:tcPr>
          <w:p w14:paraId="4A52156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第4年</w:t>
            </w:r>
          </w:p>
        </w:tc>
        <w:tc>
          <w:tcPr>
            <w:tcW w:w="0" w:type="auto"/>
            <w:tcBorders>
              <w:top w:val="nil"/>
              <w:left w:val="nil"/>
              <w:bottom w:val="single" w:color="auto" w:sz="4" w:space="0"/>
              <w:right w:val="single" w:color="auto" w:sz="4" w:space="0"/>
            </w:tcBorders>
            <w:shd w:val="clear" w:color="auto" w:fill="auto"/>
            <w:vAlign w:val="center"/>
          </w:tcPr>
          <w:p w14:paraId="0ED8092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第5年</w:t>
            </w:r>
          </w:p>
        </w:tc>
      </w:tr>
      <w:tr w14:paraId="1833682F">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3809CF0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0" w:type="auto"/>
            <w:tcBorders>
              <w:top w:val="nil"/>
              <w:left w:val="nil"/>
              <w:bottom w:val="single" w:color="auto" w:sz="4" w:space="0"/>
              <w:right w:val="single" w:color="auto" w:sz="4" w:space="0"/>
            </w:tcBorders>
            <w:shd w:val="clear" w:color="auto" w:fill="auto"/>
            <w:vAlign w:val="center"/>
          </w:tcPr>
          <w:p w14:paraId="72ED01A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一般扰动地表</w:t>
            </w:r>
          </w:p>
        </w:tc>
        <w:tc>
          <w:tcPr>
            <w:tcW w:w="0" w:type="auto"/>
            <w:tcBorders>
              <w:top w:val="nil"/>
              <w:left w:val="nil"/>
              <w:bottom w:val="single" w:color="auto" w:sz="4" w:space="0"/>
              <w:right w:val="single" w:color="auto" w:sz="4" w:space="0"/>
            </w:tcBorders>
            <w:shd w:val="clear" w:color="auto" w:fill="auto"/>
            <w:vAlign w:val="center"/>
          </w:tcPr>
          <w:p w14:paraId="14F8D0C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Mf</w:t>
            </w:r>
          </w:p>
        </w:tc>
        <w:tc>
          <w:tcPr>
            <w:tcW w:w="0" w:type="auto"/>
            <w:tcBorders>
              <w:top w:val="nil"/>
              <w:left w:val="nil"/>
              <w:bottom w:val="single" w:color="auto" w:sz="4" w:space="0"/>
              <w:right w:val="single" w:color="auto" w:sz="4" w:space="0"/>
            </w:tcBorders>
            <w:shd w:val="clear" w:color="auto" w:fill="auto"/>
            <w:vAlign w:val="center"/>
          </w:tcPr>
          <w:p w14:paraId="08BB563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Mf=QIJGf</w:t>
            </w:r>
          </w:p>
        </w:tc>
        <w:tc>
          <w:tcPr>
            <w:tcW w:w="0" w:type="auto"/>
            <w:tcBorders>
              <w:top w:val="nil"/>
              <w:left w:val="nil"/>
              <w:bottom w:val="single" w:color="auto" w:sz="4" w:space="0"/>
              <w:right w:val="single" w:color="auto" w:sz="4" w:space="0"/>
            </w:tcBorders>
            <w:shd w:val="clear" w:color="auto" w:fill="auto"/>
            <w:vAlign w:val="center"/>
          </w:tcPr>
          <w:p w14:paraId="13BA0BB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6912</w:t>
            </w:r>
          </w:p>
        </w:tc>
        <w:tc>
          <w:tcPr>
            <w:tcW w:w="0" w:type="auto"/>
            <w:tcBorders>
              <w:top w:val="nil"/>
              <w:left w:val="nil"/>
              <w:bottom w:val="single" w:color="auto" w:sz="4" w:space="0"/>
              <w:right w:val="single" w:color="auto" w:sz="4" w:space="0"/>
            </w:tcBorders>
            <w:shd w:val="clear" w:color="auto" w:fill="auto"/>
            <w:vAlign w:val="center"/>
          </w:tcPr>
          <w:p w14:paraId="0688DC6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5675</w:t>
            </w:r>
          </w:p>
        </w:tc>
        <w:tc>
          <w:tcPr>
            <w:tcW w:w="0" w:type="auto"/>
            <w:gridSpan w:val="2"/>
            <w:tcBorders>
              <w:top w:val="nil"/>
              <w:left w:val="nil"/>
              <w:bottom w:val="single" w:color="auto" w:sz="4" w:space="0"/>
              <w:right w:val="single" w:color="auto" w:sz="4" w:space="0"/>
            </w:tcBorders>
            <w:shd w:val="clear" w:color="auto" w:fill="auto"/>
            <w:vAlign w:val="center"/>
          </w:tcPr>
          <w:p w14:paraId="489A9CF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4436</w:t>
            </w:r>
          </w:p>
        </w:tc>
        <w:tc>
          <w:tcPr>
            <w:tcW w:w="0" w:type="auto"/>
            <w:tcBorders>
              <w:top w:val="nil"/>
              <w:left w:val="nil"/>
              <w:bottom w:val="single" w:color="auto" w:sz="4" w:space="0"/>
              <w:right w:val="single" w:color="auto" w:sz="4" w:space="0"/>
            </w:tcBorders>
            <w:shd w:val="clear" w:color="auto" w:fill="auto"/>
            <w:vAlign w:val="center"/>
          </w:tcPr>
          <w:p w14:paraId="5196834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3125</w:t>
            </w:r>
          </w:p>
        </w:tc>
        <w:tc>
          <w:tcPr>
            <w:tcW w:w="0" w:type="auto"/>
            <w:gridSpan w:val="2"/>
            <w:tcBorders>
              <w:top w:val="nil"/>
              <w:left w:val="nil"/>
              <w:bottom w:val="single" w:color="auto" w:sz="4" w:space="0"/>
              <w:right w:val="single" w:color="auto" w:sz="4" w:space="0"/>
            </w:tcBorders>
            <w:shd w:val="clear" w:color="auto" w:fill="auto"/>
            <w:vAlign w:val="center"/>
          </w:tcPr>
          <w:p w14:paraId="35359FE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2112</w:t>
            </w:r>
          </w:p>
        </w:tc>
        <w:tc>
          <w:tcPr>
            <w:tcW w:w="0" w:type="auto"/>
            <w:tcBorders>
              <w:top w:val="nil"/>
              <w:left w:val="nil"/>
              <w:bottom w:val="single" w:color="auto" w:sz="4" w:space="0"/>
              <w:right w:val="single" w:color="auto" w:sz="4" w:space="0"/>
            </w:tcBorders>
            <w:shd w:val="clear" w:color="auto" w:fill="auto"/>
            <w:vAlign w:val="center"/>
          </w:tcPr>
          <w:p w14:paraId="67D1402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6912</w:t>
            </w:r>
          </w:p>
        </w:tc>
        <w:tc>
          <w:tcPr>
            <w:tcW w:w="0" w:type="auto"/>
            <w:gridSpan w:val="2"/>
            <w:tcBorders>
              <w:top w:val="nil"/>
              <w:left w:val="nil"/>
              <w:bottom w:val="single" w:color="auto" w:sz="4" w:space="0"/>
              <w:right w:val="single" w:color="auto" w:sz="4" w:space="0"/>
            </w:tcBorders>
            <w:shd w:val="clear" w:color="auto" w:fill="auto"/>
            <w:vAlign w:val="center"/>
          </w:tcPr>
          <w:p w14:paraId="7B5EE30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5675</w:t>
            </w:r>
          </w:p>
        </w:tc>
        <w:tc>
          <w:tcPr>
            <w:tcW w:w="0" w:type="auto"/>
            <w:tcBorders>
              <w:top w:val="nil"/>
              <w:left w:val="nil"/>
              <w:bottom w:val="single" w:color="auto" w:sz="4" w:space="0"/>
              <w:right w:val="single" w:color="auto" w:sz="4" w:space="0"/>
            </w:tcBorders>
            <w:shd w:val="clear" w:color="auto" w:fill="auto"/>
            <w:vAlign w:val="center"/>
          </w:tcPr>
          <w:p w14:paraId="6F35F53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4436</w:t>
            </w:r>
          </w:p>
        </w:tc>
        <w:tc>
          <w:tcPr>
            <w:tcW w:w="0" w:type="auto"/>
            <w:gridSpan w:val="2"/>
            <w:tcBorders>
              <w:top w:val="nil"/>
              <w:left w:val="nil"/>
              <w:bottom w:val="single" w:color="auto" w:sz="4" w:space="0"/>
              <w:right w:val="single" w:color="auto" w:sz="4" w:space="0"/>
            </w:tcBorders>
            <w:shd w:val="clear" w:color="auto" w:fill="auto"/>
            <w:vAlign w:val="center"/>
          </w:tcPr>
          <w:p w14:paraId="4C9D4F4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3125</w:t>
            </w:r>
          </w:p>
        </w:tc>
        <w:tc>
          <w:tcPr>
            <w:tcW w:w="0" w:type="auto"/>
            <w:tcBorders>
              <w:top w:val="nil"/>
              <w:left w:val="nil"/>
              <w:bottom w:val="single" w:color="auto" w:sz="4" w:space="0"/>
              <w:right w:val="single" w:color="auto" w:sz="4" w:space="0"/>
            </w:tcBorders>
            <w:shd w:val="clear" w:color="auto" w:fill="auto"/>
            <w:vAlign w:val="center"/>
          </w:tcPr>
          <w:p w14:paraId="0059977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2112</w:t>
            </w:r>
          </w:p>
        </w:tc>
      </w:tr>
      <w:tr w14:paraId="6BA9ADF5">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07C2DA9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w:t>
            </w:r>
          </w:p>
        </w:tc>
        <w:tc>
          <w:tcPr>
            <w:tcW w:w="0" w:type="auto"/>
            <w:tcBorders>
              <w:top w:val="nil"/>
              <w:left w:val="nil"/>
              <w:bottom w:val="single" w:color="auto" w:sz="4" w:space="0"/>
              <w:right w:val="single" w:color="auto" w:sz="4" w:space="0"/>
            </w:tcBorders>
            <w:shd w:val="clear" w:color="auto" w:fill="auto"/>
            <w:vAlign w:val="center"/>
          </w:tcPr>
          <w:p w14:paraId="669FF06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风蚀率</w:t>
            </w:r>
          </w:p>
        </w:tc>
        <w:tc>
          <w:tcPr>
            <w:tcW w:w="0" w:type="auto"/>
            <w:tcBorders>
              <w:top w:val="nil"/>
              <w:left w:val="nil"/>
              <w:bottom w:val="single" w:color="auto" w:sz="4" w:space="0"/>
              <w:right w:val="single" w:color="auto" w:sz="4" w:space="0"/>
            </w:tcBorders>
            <w:shd w:val="clear" w:color="auto" w:fill="auto"/>
            <w:vAlign w:val="center"/>
          </w:tcPr>
          <w:p w14:paraId="235B666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Q</w:t>
            </w:r>
          </w:p>
        </w:tc>
        <w:tc>
          <w:tcPr>
            <w:tcW w:w="0" w:type="auto"/>
            <w:tcBorders>
              <w:top w:val="nil"/>
              <w:left w:val="nil"/>
              <w:bottom w:val="single" w:color="auto" w:sz="4" w:space="0"/>
              <w:right w:val="single" w:color="auto" w:sz="4" w:space="0"/>
            </w:tcBorders>
            <w:shd w:val="clear" w:color="auto" w:fill="auto"/>
            <w:vAlign w:val="center"/>
          </w:tcPr>
          <w:p w14:paraId="24C9B7F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48A637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4AD9225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gridSpan w:val="2"/>
            <w:tcBorders>
              <w:top w:val="nil"/>
              <w:left w:val="nil"/>
              <w:bottom w:val="single" w:color="auto" w:sz="4" w:space="0"/>
              <w:right w:val="single" w:color="auto" w:sz="4" w:space="0"/>
            </w:tcBorders>
            <w:shd w:val="clear" w:color="auto" w:fill="auto"/>
            <w:vAlign w:val="center"/>
          </w:tcPr>
          <w:p w14:paraId="2D2D211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416FDAD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gridSpan w:val="2"/>
            <w:tcBorders>
              <w:top w:val="nil"/>
              <w:left w:val="nil"/>
              <w:bottom w:val="single" w:color="auto" w:sz="4" w:space="0"/>
              <w:right w:val="single" w:color="auto" w:sz="4" w:space="0"/>
            </w:tcBorders>
            <w:shd w:val="clear" w:color="auto" w:fill="auto"/>
            <w:vAlign w:val="center"/>
          </w:tcPr>
          <w:p w14:paraId="060F8A1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7BBA564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gridSpan w:val="2"/>
            <w:tcBorders>
              <w:top w:val="nil"/>
              <w:left w:val="nil"/>
              <w:bottom w:val="single" w:color="auto" w:sz="4" w:space="0"/>
              <w:right w:val="single" w:color="auto" w:sz="4" w:space="0"/>
            </w:tcBorders>
            <w:shd w:val="clear" w:color="auto" w:fill="auto"/>
            <w:vAlign w:val="center"/>
          </w:tcPr>
          <w:p w14:paraId="5CB9A8A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0BF2751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gridSpan w:val="2"/>
            <w:tcBorders>
              <w:top w:val="nil"/>
              <w:left w:val="nil"/>
              <w:bottom w:val="single" w:color="auto" w:sz="4" w:space="0"/>
              <w:right w:val="single" w:color="auto" w:sz="4" w:space="0"/>
            </w:tcBorders>
            <w:shd w:val="clear" w:color="auto" w:fill="auto"/>
            <w:vAlign w:val="center"/>
          </w:tcPr>
          <w:p w14:paraId="433DA8D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4620122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r>
      <w:tr w14:paraId="3008624A">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64978E4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w:t>
            </w:r>
          </w:p>
        </w:tc>
        <w:tc>
          <w:tcPr>
            <w:tcW w:w="0" w:type="auto"/>
            <w:tcBorders>
              <w:top w:val="nil"/>
              <w:left w:val="nil"/>
              <w:bottom w:val="single" w:color="auto" w:sz="4" w:space="0"/>
              <w:right w:val="single" w:color="auto" w:sz="4" w:space="0"/>
            </w:tcBorders>
            <w:shd w:val="clear" w:color="auto" w:fill="auto"/>
            <w:vAlign w:val="center"/>
          </w:tcPr>
          <w:p w14:paraId="70752C1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粗糙干扰因子</w:t>
            </w:r>
          </w:p>
        </w:tc>
        <w:tc>
          <w:tcPr>
            <w:tcW w:w="0" w:type="auto"/>
            <w:tcBorders>
              <w:top w:val="nil"/>
              <w:left w:val="nil"/>
              <w:bottom w:val="single" w:color="auto" w:sz="4" w:space="0"/>
              <w:right w:val="single" w:color="auto" w:sz="4" w:space="0"/>
            </w:tcBorders>
            <w:shd w:val="clear" w:color="auto" w:fill="auto"/>
            <w:vAlign w:val="center"/>
          </w:tcPr>
          <w:p w14:paraId="2C6B1D2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I</w:t>
            </w:r>
          </w:p>
        </w:tc>
        <w:tc>
          <w:tcPr>
            <w:tcW w:w="0" w:type="auto"/>
            <w:tcBorders>
              <w:top w:val="nil"/>
              <w:left w:val="nil"/>
              <w:bottom w:val="single" w:color="auto" w:sz="4" w:space="0"/>
              <w:right w:val="single" w:color="auto" w:sz="4" w:space="0"/>
            </w:tcBorders>
            <w:shd w:val="clear" w:color="auto" w:fill="auto"/>
            <w:vAlign w:val="center"/>
          </w:tcPr>
          <w:p w14:paraId="2578190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I=e-0.045υ</w:t>
            </w:r>
          </w:p>
        </w:tc>
        <w:tc>
          <w:tcPr>
            <w:tcW w:w="0" w:type="auto"/>
            <w:tcBorders>
              <w:top w:val="nil"/>
              <w:left w:val="nil"/>
              <w:bottom w:val="single" w:color="auto" w:sz="4" w:space="0"/>
              <w:right w:val="single" w:color="auto" w:sz="4" w:space="0"/>
            </w:tcBorders>
            <w:shd w:val="clear" w:color="auto" w:fill="auto"/>
            <w:vAlign w:val="center"/>
          </w:tcPr>
          <w:p w14:paraId="46F0186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0.7984</w:t>
            </w:r>
          </w:p>
        </w:tc>
        <w:tc>
          <w:tcPr>
            <w:tcW w:w="0" w:type="auto"/>
            <w:tcBorders>
              <w:top w:val="nil"/>
              <w:left w:val="nil"/>
              <w:bottom w:val="single" w:color="auto" w:sz="4" w:space="0"/>
              <w:right w:val="single" w:color="auto" w:sz="4" w:space="0"/>
            </w:tcBorders>
            <w:shd w:val="clear" w:color="auto" w:fill="auto"/>
            <w:vAlign w:val="center"/>
          </w:tcPr>
          <w:p w14:paraId="677F78A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0.6975</w:t>
            </w:r>
          </w:p>
        </w:tc>
        <w:tc>
          <w:tcPr>
            <w:tcW w:w="0" w:type="auto"/>
            <w:gridSpan w:val="2"/>
            <w:tcBorders>
              <w:top w:val="nil"/>
              <w:left w:val="nil"/>
              <w:bottom w:val="single" w:color="auto" w:sz="4" w:space="0"/>
              <w:right w:val="single" w:color="auto" w:sz="4" w:space="0"/>
            </w:tcBorders>
            <w:shd w:val="clear" w:color="auto" w:fill="auto"/>
            <w:vAlign w:val="center"/>
          </w:tcPr>
          <w:p w14:paraId="3E7A31E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0.5825</w:t>
            </w:r>
          </w:p>
        </w:tc>
        <w:tc>
          <w:tcPr>
            <w:tcW w:w="0" w:type="auto"/>
            <w:tcBorders>
              <w:top w:val="nil"/>
              <w:left w:val="nil"/>
              <w:bottom w:val="single" w:color="auto" w:sz="4" w:space="0"/>
              <w:right w:val="single" w:color="auto" w:sz="4" w:space="0"/>
            </w:tcBorders>
            <w:shd w:val="clear" w:color="auto" w:fill="auto"/>
            <w:vAlign w:val="center"/>
          </w:tcPr>
          <w:p w14:paraId="19C86C9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0.4446</w:t>
            </w:r>
          </w:p>
        </w:tc>
        <w:tc>
          <w:tcPr>
            <w:tcW w:w="0" w:type="auto"/>
            <w:gridSpan w:val="2"/>
            <w:tcBorders>
              <w:top w:val="nil"/>
              <w:left w:val="nil"/>
              <w:bottom w:val="single" w:color="auto" w:sz="4" w:space="0"/>
              <w:right w:val="single" w:color="auto" w:sz="4" w:space="0"/>
            </w:tcBorders>
            <w:shd w:val="clear" w:color="auto" w:fill="auto"/>
            <w:vAlign w:val="center"/>
          </w:tcPr>
          <w:p w14:paraId="223274A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0.3244</w:t>
            </w:r>
          </w:p>
        </w:tc>
        <w:tc>
          <w:tcPr>
            <w:tcW w:w="0" w:type="auto"/>
            <w:tcBorders>
              <w:top w:val="nil"/>
              <w:left w:val="nil"/>
              <w:bottom w:val="single" w:color="auto" w:sz="4" w:space="0"/>
              <w:right w:val="single" w:color="auto" w:sz="4" w:space="0"/>
            </w:tcBorders>
            <w:shd w:val="clear" w:color="auto" w:fill="auto"/>
            <w:vAlign w:val="center"/>
          </w:tcPr>
          <w:p w14:paraId="799669D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0.7984</w:t>
            </w:r>
          </w:p>
        </w:tc>
        <w:tc>
          <w:tcPr>
            <w:tcW w:w="0" w:type="auto"/>
            <w:gridSpan w:val="2"/>
            <w:tcBorders>
              <w:top w:val="nil"/>
              <w:left w:val="nil"/>
              <w:bottom w:val="single" w:color="auto" w:sz="4" w:space="0"/>
              <w:right w:val="single" w:color="auto" w:sz="4" w:space="0"/>
            </w:tcBorders>
            <w:shd w:val="clear" w:color="auto" w:fill="auto"/>
            <w:vAlign w:val="center"/>
          </w:tcPr>
          <w:p w14:paraId="427CBAD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0.6975</w:t>
            </w:r>
          </w:p>
        </w:tc>
        <w:tc>
          <w:tcPr>
            <w:tcW w:w="0" w:type="auto"/>
            <w:tcBorders>
              <w:top w:val="nil"/>
              <w:left w:val="nil"/>
              <w:bottom w:val="single" w:color="auto" w:sz="4" w:space="0"/>
              <w:right w:val="single" w:color="auto" w:sz="4" w:space="0"/>
            </w:tcBorders>
            <w:shd w:val="clear" w:color="auto" w:fill="auto"/>
            <w:vAlign w:val="center"/>
          </w:tcPr>
          <w:p w14:paraId="5186774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0.5825</w:t>
            </w:r>
          </w:p>
        </w:tc>
        <w:tc>
          <w:tcPr>
            <w:tcW w:w="0" w:type="auto"/>
            <w:gridSpan w:val="2"/>
            <w:tcBorders>
              <w:top w:val="nil"/>
              <w:left w:val="nil"/>
              <w:bottom w:val="single" w:color="auto" w:sz="4" w:space="0"/>
              <w:right w:val="single" w:color="auto" w:sz="4" w:space="0"/>
            </w:tcBorders>
            <w:shd w:val="clear" w:color="auto" w:fill="auto"/>
            <w:vAlign w:val="center"/>
          </w:tcPr>
          <w:p w14:paraId="6F49271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0.4446</w:t>
            </w:r>
          </w:p>
        </w:tc>
        <w:tc>
          <w:tcPr>
            <w:tcW w:w="0" w:type="auto"/>
            <w:tcBorders>
              <w:top w:val="nil"/>
              <w:left w:val="nil"/>
              <w:bottom w:val="single" w:color="auto" w:sz="4" w:space="0"/>
              <w:right w:val="single" w:color="auto" w:sz="4" w:space="0"/>
            </w:tcBorders>
            <w:shd w:val="clear" w:color="auto" w:fill="auto"/>
            <w:vAlign w:val="center"/>
          </w:tcPr>
          <w:p w14:paraId="30CA867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0.3244</w:t>
            </w:r>
          </w:p>
        </w:tc>
      </w:tr>
      <w:tr w14:paraId="2C5BD29D">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5DD79C1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7971F95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地表植被覆盖度和砾石盖度（%）</w:t>
            </w:r>
          </w:p>
        </w:tc>
        <w:tc>
          <w:tcPr>
            <w:tcW w:w="0" w:type="auto"/>
            <w:tcBorders>
              <w:top w:val="nil"/>
              <w:left w:val="nil"/>
              <w:bottom w:val="single" w:color="auto" w:sz="4" w:space="0"/>
              <w:right w:val="single" w:color="auto" w:sz="4" w:space="0"/>
            </w:tcBorders>
            <w:shd w:val="clear" w:color="auto" w:fill="auto"/>
            <w:vAlign w:val="center"/>
          </w:tcPr>
          <w:p w14:paraId="7D87C6A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υ</w:t>
            </w:r>
          </w:p>
        </w:tc>
        <w:tc>
          <w:tcPr>
            <w:tcW w:w="0" w:type="auto"/>
            <w:tcBorders>
              <w:top w:val="nil"/>
              <w:left w:val="nil"/>
              <w:bottom w:val="single" w:color="auto" w:sz="4" w:space="0"/>
              <w:right w:val="single" w:color="auto" w:sz="4" w:space="0"/>
            </w:tcBorders>
            <w:shd w:val="clear" w:color="auto" w:fill="auto"/>
            <w:vAlign w:val="center"/>
          </w:tcPr>
          <w:p w14:paraId="6A98C45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6CC8D90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w:t>
            </w:r>
          </w:p>
        </w:tc>
        <w:tc>
          <w:tcPr>
            <w:tcW w:w="0" w:type="auto"/>
            <w:tcBorders>
              <w:top w:val="nil"/>
              <w:left w:val="nil"/>
              <w:bottom w:val="single" w:color="auto" w:sz="4" w:space="0"/>
              <w:right w:val="single" w:color="auto" w:sz="4" w:space="0"/>
            </w:tcBorders>
            <w:shd w:val="clear" w:color="auto" w:fill="auto"/>
            <w:vAlign w:val="center"/>
          </w:tcPr>
          <w:p w14:paraId="6EC1BFB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8</w:t>
            </w:r>
          </w:p>
        </w:tc>
        <w:tc>
          <w:tcPr>
            <w:tcW w:w="0" w:type="auto"/>
            <w:gridSpan w:val="2"/>
            <w:tcBorders>
              <w:top w:val="nil"/>
              <w:left w:val="nil"/>
              <w:bottom w:val="single" w:color="auto" w:sz="4" w:space="0"/>
              <w:right w:val="single" w:color="auto" w:sz="4" w:space="0"/>
            </w:tcBorders>
            <w:shd w:val="clear" w:color="auto" w:fill="auto"/>
            <w:vAlign w:val="center"/>
          </w:tcPr>
          <w:p w14:paraId="33C4BB8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12</w:t>
            </w:r>
          </w:p>
        </w:tc>
        <w:tc>
          <w:tcPr>
            <w:tcW w:w="0" w:type="auto"/>
            <w:tcBorders>
              <w:top w:val="nil"/>
              <w:left w:val="nil"/>
              <w:bottom w:val="single" w:color="auto" w:sz="4" w:space="0"/>
              <w:right w:val="single" w:color="auto" w:sz="4" w:space="0"/>
            </w:tcBorders>
            <w:shd w:val="clear" w:color="auto" w:fill="auto"/>
            <w:vAlign w:val="center"/>
          </w:tcPr>
          <w:p w14:paraId="2063B69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18</w:t>
            </w:r>
          </w:p>
        </w:tc>
        <w:tc>
          <w:tcPr>
            <w:tcW w:w="0" w:type="auto"/>
            <w:gridSpan w:val="2"/>
            <w:tcBorders>
              <w:top w:val="nil"/>
              <w:left w:val="nil"/>
              <w:bottom w:val="single" w:color="auto" w:sz="4" w:space="0"/>
              <w:right w:val="single" w:color="auto" w:sz="4" w:space="0"/>
            </w:tcBorders>
            <w:shd w:val="clear" w:color="auto" w:fill="auto"/>
            <w:vAlign w:val="center"/>
          </w:tcPr>
          <w:p w14:paraId="5C48360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25</w:t>
            </w:r>
          </w:p>
        </w:tc>
        <w:tc>
          <w:tcPr>
            <w:tcW w:w="0" w:type="auto"/>
            <w:tcBorders>
              <w:top w:val="nil"/>
              <w:left w:val="nil"/>
              <w:bottom w:val="single" w:color="auto" w:sz="4" w:space="0"/>
              <w:right w:val="single" w:color="auto" w:sz="4" w:space="0"/>
            </w:tcBorders>
            <w:shd w:val="clear" w:color="auto" w:fill="auto"/>
            <w:vAlign w:val="center"/>
          </w:tcPr>
          <w:p w14:paraId="3CDA72E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w:t>
            </w:r>
          </w:p>
        </w:tc>
        <w:tc>
          <w:tcPr>
            <w:tcW w:w="0" w:type="auto"/>
            <w:gridSpan w:val="2"/>
            <w:tcBorders>
              <w:top w:val="nil"/>
              <w:left w:val="nil"/>
              <w:bottom w:val="single" w:color="auto" w:sz="4" w:space="0"/>
              <w:right w:val="single" w:color="auto" w:sz="4" w:space="0"/>
            </w:tcBorders>
            <w:shd w:val="clear" w:color="auto" w:fill="auto"/>
            <w:vAlign w:val="center"/>
          </w:tcPr>
          <w:p w14:paraId="104543D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8</w:t>
            </w:r>
          </w:p>
        </w:tc>
        <w:tc>
          <w:tcPr>
            <w:tcW w:w="0" w:type="auto"/>
            <w:tcBorders>
              <w:top w:val="nil"/>
              <w:left w:val="nil"/>
              <w:bottom w:val="single" w:color="auto" w:sz="4" w:space="0"/>
              <w:right w:val="single" w:color="auto" w:sz="4" w:space="0"/>
            </w:tcBorders>
            <w:shd w:val="clear" w:color="auto" w:fill="auto"/>
            <w:vAlign w:val="center"/>
          </w:tcPr>
          <w:p w14:paraId="7F4ACA0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12</w:t>
            </w:r>
          </w:p>
        </w:tc>
        <w:tc>
          <w:tcPr>
            <w:tcW w:w="0" w:type="auto"/>
            <w:gridSpan w:val="2"/>
            <w:tcBorders>
              <w:top w:val="nil"/>
              <w:left w:val="nil"/>
              <w:bottom w:val="single" w:color="auto" w:sz="4" w:space="0"/>
              <w:right w:val="single" w:color="auto" w:sz="4" w:space="0"/>
            </w:tcBorders>
            <w:shd w:val="clear" w:color="auto" w:fill="auto"/>
            <w:vAlign w:val="center"/>
          </w:tcPr>
          <w:p w14:paraId="133CB4A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18</w:t>
            </w:r>
          </w:p>
        </w:tc>
        <w:tc>
          <w:tcPr>
            <w:tcW w:w="0" w:type="auto"/>
            <w:tcBorders>
              <w:top w:val="nil"/>
              <w:left w:val="nil"/>
              <w:bottom w:val="single" w:color="auto" w:sz="4" w:space="0"/>
              <w:right w:val="single" w:color="auto" w:sz="4" w:space="0"/>
            </w:tcBorders>
            <w:shd w:val="clear" w:color="auto" w:fill="auto"/>
            <w:vAlign w:val="center"/>
          </w:tcPr>
          <w:p w14:paraId="763A51B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25</w:t>
            </w:r>
          </w:p>
        </w:tc>
      </w:tr>
      <w:tr w14:paraId="70DF873C">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776DAF1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4</w:t>
            </w:r>
          </w:p>
        </w:tc>
        <w:tc>
          <w:tcPr>
            <w:tcW w:w="0" w:type="auto"/>
            <w:tcBorders>
              <w:top w:val="nil"/>
              <w:left w:val="nil"/>
              <w:bottom w:val="single" w:color="auto" w:sz="4" w:space="0"/>
              <w:right w:val="single" w:color="auto" w:sz="4" w:space="0"/>
            </w:tcBorders>
            <w:shd w:val="clear" w:color="auto" w:fill="auto"/>
            <w:vAlign w:val="center"/>
          </w:tcPr>
          <w:p w14:paraId="207E7E9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地表物质紧实程度系数</w:t>
            </w:r>
          </w:p>
        </w:tc>
        <w:tc>
          <w:tcPr>
            <w:tcW w:w="0" w:type="auto"/>
            <w:tcBorders>
              <w:top w:val="nil"/>
              <w:left w:val="nil"/>
              <w:bottom w:val="single" w:color="auto" w:sz="4" w:space="0"/>
              <w:right w:val="single" w:color="auto" w:sz="4" w:space="0"/>
            </w:tcBorders>
            <w:shd w:val="clear" w:color="auto" w:fill="auto"/>
            <w:vAlign w:val="center"/>
          </w:tcPr>
          <w:p w14:paraId="22080F6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J</w:t>
            </w:r>
          </w:p>
        </w:tc>
        <w:tc>
          <w:tcPr>
            <w:tcW w:w="0" w:type="auto"/>
            <w:tcBorders>
              <w:top w:val="nil"/>
              <w:left w:val="nil"/>
              <w:bottom w:val="single" w:color="auto" w:sz="4" w:space="0"/>
              <w:right w:val="single" w:color="auto" w:sz="4" w:space="0"/>
            </w:tcBorders>
            <w:shd w:val="clear" w:color="auto" w:fill="auto"/>
            <w:vAlign w:val="center"/>
          </w:tcPr>
          <w:p w14:paraId="61E0CD7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4FE8360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1.33</w:t>
            </w:r>
          </w:p>
        </w:tc>
        <w:tc>
          <w:tcPr>
            <w:tcW w:w="0" w:type="auto"/>
            <w:tcBorders>
              <w:top w:val="nil"/>
              <w:left w:val="nil"/>
              <w:bottom w:val="single" w:color="auto" w:sz="4" w:space="0"/>
              <w:right w:val="single" w:color="auto" w:sz="4" w:space="0"/>
            </w:tcBorders>
            <w:shd w:val="clear" w:color="auto" w:fill="auto"/>
            <w:vAlign w:val="center"/>
          </w:tcPr>
          <w:p w14:paraId="55693DE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1.25</w:t>
            </w:r>
          </w:p>
        </w:tc>
        <w:tc>
          <w:tcPr>
            <w:tcW w:w="0" w:type="auto"/>
            <w:gridSpan w:val="2"/>
            <w:tcBorders>
              <w:top w:val="nil"/>
              <w:left w:val="nil"/>
              <w:bottom w:val="single" w:color="auto" w:sz="4" w:space="0"/>
              <w:right w:val="single" w:color="auto" w:sz="4" w:space="0"/>
            </w:tcBorders>
            <w:shd w:val="clear" w:color="auto" w:fill="auto"/>
            <w:vAlign w:val="center"/>
          </w:tcPr>
          <w:p w14:paraId="3771B9D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1.17</w:t>
            </w:r>
          </w:p>
        </w:tc>
        <w:tc>
          <w:tcPr>
            <w:tcW w:w="0" w:type="auto"/>
            <w:tcBorders>
              <w:top w:val="nil"/>
              <w:left w:val="nil"/>
              <w:bottom w:val="single" w:color="auto" w:sz="4" w:space="0"/>
              <w:right w:val="single" w:color="auto" w:sz="4" w:space="0"/>
            </w:tcBorders>
            <w:shd w:val="clear" w:color="auto" w:fill="auto"/>
            <w:vAlign w:val="center"/>
          </w:tcPr>
          <w:p w14:paraId="065783E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1.08</w:t>
            </w:r>
          </w:p>
        </w:tc>
        <w:tc>
          <w:tcPr>
            <w:tcW w:w="0" w:type="auto"/>
            <w:gridSpan w:val="2"/>
            <w:tcBorders>
              <w:top w:val="nil"/>
              <w:left w:val="nil"/>
              <w:bottom w:val="single" w:color="auto" w:sz="4" w:space="0"/>
              <w:right w:val="single" w:color="auto" w:sz="4" w:space="0"/>
            </w:tcBorders>
            <w:shd w:val="clear" w:color="auto" w:fill="auto"/>
            <w:vAlign w:val="center"/>
          </w:tcPr>
          <w:p w14:paraId="45858C1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0" w:type="auto"/>
            <w:tcBorders>
              <w:top w:val="nil"/>
              <w:left w:val="nil"/>
              <w:bottom w:val="single" w:color="auto" w:sz="4" w:space="0"/>
              <w:right w:val="single" w:color="auto" w:sz="4" w:space="0"/>
            </w:tcBorders>
            <w:shd w:val="clear" w:color="auto" w:fill="auto"/>
            <w:vAlign w:val="center"/>
          </w:tcPr>
          <w:p w14:paraId="1A72C97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1.33</w:t>
            </w:r>
          </w:p>
        </w:tc>
        <w:tc>
          <w:tcPr>
            <w:tcW w:w="0" w:type="auto"/>
            <w:gridSpan w:val="2"/>
            <w:tcBorders>
              <w:top w:val="nil"/>
              <w:left w:val="nil"/>
              <w:bottom w:val="single" w:color="auto" w:sz="4" w:space="0"/>
              <w:right w:val="single" w:color="auto" w:sz="4" w:space="0"/>
            </w:tcBorders>
            <w:shd w:val="clear" w:color="auto" w:fill="auto"/>
            <w:vAlign w:val="center"/>
          </w:tcPr>
          <w:p w14:paraId="440A195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1.25</w:t>
            </w:r>
          </w:p>
        </w:tc>
        <w:tc>
          <w:tcPr>
            <w:tcW w:w="0" w:type="auto"/>
            <w:tcBorders>
              <w:top w:val="nil"/>
              <w:left w:val="nil"/>
              <w:bottom w:val="single" w:color="auto" w:sz="4" w:space="0"/>
              <w:right w:val="single" w:color="auto" w:sz="4" w:space="0"/>
            </w:tcBorders>
            <w:shd w:val="clear" w:color="auto" w:fill="auto"/>
            <w:vAlign w:val="center"/>
          </w:tcPr>
          <w:p w14:paraId="5FAAD47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1.17</w:t>
            </w:r>
          </w:p>
        </w:tc>
        <w:tc>
          <w:tcPr>
            <w:tcW w:w="0" w:type="auto"/>
            <w:gridSpan w:val="2"/>
            <w:tcBorders>
              <w:top w:val="nil"/>
              <w:left w:val="nil"/>
              <w:bottom w:val="single" w:color="auto" w:sz="4" w:space="0"/>
              <w:right w:val="single" w:color="auto" w:sz="4" w:space="0"/>
            </w:tcBorders>
            <w:shd w:val="clear" w:color="auto" w:fill="auto"/>
            <w:vAlign w:val="center"/>
          </w:tcPr>
          <w:p w14:paraId="5400240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1.08</w:t>
            </w:r>
          </w:p>
        </w:tc>
        <w:tc>
          <w:tcPr>
            <w:tcW w:w="0" w:type="auto"/>
            <w:tcBorders>
              <w:top w:val="nil"/>
              <w:left w:val="nil"/>
              <w:bottom w:val="single" w:color="auto" w:sz="4" w:space="0"/>
              <w:right w:val="single" w:color="auto" w:sz="4" w:space="0"/>
            </w:tcBorders>
            <w:shd w:val="clear" w:color="auto" w:fill="auto"/>
            <w:vAlign w:val="center"/>
          </w:tcPr>
          <w:p w14:paraId="40EA70F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r>
      <w:tr w14:paraId="25EB0584">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3F5F9D9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w:t>
            </w:r>
          </w:p>
        </w:tc>
        <w:tc>
          <w:tcPr>
            <w:tcW w:w="0" w:type="auto"/>
            <w:tcBorders>
              <w:top w:val="nil"/>
              <w:left w:val="nil"/>
              <w:bottom w:val="single" w:color="auto" w:sz="4" w:space="0"/>
              <w:right w:val="single" w:color="auto" w:sz="4" w:space="0"/>
            </w:tcBorders>
            <w:shd w:val="clear" w:color="auto" w:fill="auto"/>
            <w:vAlign w:val="center"/>
          </w:tcPr>
          <w:p w14:paraId="3A765DA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风蚀可蚀性因子</w:t>
            </w:r>
          </w:p>
        </w:tc>
        <w:tc>
          <w:tcPr>
            <w:tcW w:w="0" w:type="auto"/>
            <w:tcBorders>
              <w:top w:val="nil"/>
              <w:left w:val="nil"/>
              <w:bottom w:val="single" w:color="auto" w:sz="4" w:space="0"/>
              <w:right w:val="single" w:color="auto" w:sz="4" w:space="0"/>
            </w:tcBorders>
            <w:shd w:val="clear" w:color="auto" w:fill="auto"/>
            <w:vAlign w:val="center"/>
          </w:tcPr>
          <w:p w14:paraId="3A560C0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Gf</w:t>
            </w:r>
          </w:p>
        </w:tc>
        <w:tc>
          <w:tcPr>
            <w:tcW w:w="0" w:type="auto"/>
            <w:tcBorders>
              <w:top w:val="nil"/>
              <w:left w:val="nil"/>
              <w:bottom w:val="single" w:color="auto" w:sz="4" w:space="0"/>
              <w:right w:val="single" w:color="auto" w:sz="4" w:space="0"/>
            </w:tcBorders>
            <w:shd w:val="clear" w:color="auto" w:fill="auto"/>
            <w:vAlign w:val="center"/>
          </w:tcPr>
          <w:p w14:paraId="563C02D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25E970A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72EF9F9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gridSpan w:val="2"/>
            <w:tcBorders>
              <w:top w:val="nil"/>
              <w:left w:val="nil"/>
              <w:bottom w:val="single" w:color="auto" w:sz="4" w:space="0"/>
              <w:right w:val="single" w:color="auto" w:sz="4" w:space="0"/>
            </w:tcBorders>
            <w:shd w:val="clear" w:color="auto" w:fill="auto"/>
            <w:vAlign w:val="center"/>
          </w:tcPr>
          <w:p w14:paraId="3D4FCF5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6CCAAB0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gridSpan w:val="2"/>
            <w:tcBorders>
              <w:top w:val="nil"/>
              <w:left w:val="nil"/>
              <w:bottom w:val="single" w:color="auto" w:sz="4" w:space="0"/>
              <w:right w:val="single" w:color="auto" w:sz="4" w:space="0"/>
            </w:tcBorders>
            <w:shd w:val="clear" w:color="auto" w:fill="auto"/>
            <w:vAlign w:val="center"/>
          </w:tcPr>
          <w:p w14:paraId="2E30145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5715B69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gridSpan w:val="2"/>
            <w:tcBorders>
              <w:top w:val="nil"/>
              <w:left w:val="nil"/>
              <w:bottom w:val="single" w:color="auto" w:sz="4" w:space="0"/>
              <w:right w:val="single" w:color="auto" w:sz="4" w:space="0"/>
            </w:tcBorders>
            <w:shd w:val="clear" w:color="auto" w:fill="auto"/>
            <w:vAlign w:val="center"/>
          </w:tcPr>
          <w:p w14:paraId="57B1A8D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6DB3C45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gridSpan w:val="2"/>
            <w:tcBorders>
              <w:top w:val="nil"/>
              <w:left w:val="nil"/>
              <w:bottom w:val="single" w:color="auto" w:sz="4" w:space="0"/>
              <w:right w:val="single" w:color="auto" w:sz="4" w:space="0"/>
            </w:tcBorders>
            <w:shd w:val="clear" w:color="auto" w:fill="auto"/>
            <w:vAlign w:val="center"/>
          </w:tcPr>
          <w:p w14:paraId="5BF544A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7F692E4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r>
      <w:tr w14:paraId="6600F241">
        <w:tblPrEx>
          <w:tblCellMar>
            <w:top w:w="0" w:type="dxa"/>
            <w:left w:w="108" w:type="dxa"/>
            <w:bottom w:w="0" w:type="dxa"/>
            <w:right w:w="108" w:type="dxa"/>
          </w:tblCellMar>
        </w:tblPrEx>
        <w:trPr>
          <w:trHeight w:val="397" w:hRule="atLeast"/>
          <w:jc w:val="center"/>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5A07B30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序号</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4E0974F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项目</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39E4BD9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因子</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420B4B2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公式</w:t>
            </w:r>
          </w:p>
        </w:tc>
        <w:tc>
          <w:tcPr>
            <w:tcW w:w="0" w:type="auto"/>
            <w:gridSpan w:val="7"/>
            <w:tcBorders>
              <w:top w:val="single" w:color="auto" w:sz="4" w:space="0"/>
              <w:left w:val="nil"/>
              <w:bottom w:val="single" w:color="auto" w:sz="4" w:space="0"/>
              <w:right w:val="single" w:color="auto" w:sz="4" w:space="0"/>
            </w:tcBorders>
            <w:shd w:val="clear" w:color="auto" w:fill="auto"/>
            <w:vAlign w:val="center"/>
          </w:tcPr>
          <w:p w14:paraId="3D763CB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公用设施用地</w:t>
            </w:r>
          </w:p>
        </w:tc>
        <w:tc>
          <w:tcPr>
            <w:tcW w:w="0" w:type="auto"/>
            <w:gridSpan w:val="7"/>
            <w:tcBorders>
              <w:top w:val="single" w:color="auto" w:sz="4" w:space="0"/>
              <w:left w:val="nil"/>
              <w:bottom w:val="single" w:color="auto" w:sz="4" w:space="0"/>
              <w:right w:val="single" w:color="auto" w:sz="4" w:space="0"/>
            </w:tcBorders>
            <w:shd w:val="clear" w:color="auto" w:fill="auto"/>
            <w:vAlign w:val="center"/>
          </w:tcPr>
          <w:p w14:paraId="379E5F1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绿地与开敞空间用地</w:t>
            </w:r>
          </w:p>
        </w:tc>
      </w:tr>
      <w:tr w14:paraId="70CE902D">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76D06C05">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57B75841">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0E20BDEC">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6E10223F">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tcBorders>
              <w:top w:val="nil"/>
              <w:left w:val="nil"/>
              <w:bottom w:val="single" w:color="auto" w:sz="4" w:space="0"/>
              <w:right w:val="single" w:color="auto" w:sz="4" w:space="0"/>
            </w:tcBorders>
            <w:shd w:val="clear" w:color="auto" w:fill="auto"/>
            <w:vAlign w:val="center"/>
          </w:tcPr>
          <w:p w14:paraId="124E88A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第1年</w:t>
            </w:r>
          </w:p>
        </w:tc>
        <w:tc>
          <w:tcPr>
            <w:tcW w:w="0" w:type="auto"/>
            <w:tcBorders>
              <w:top w:val="nil"/>
              <w:left w:val="nil"/>
              <w:bottom w:val="single" w:color="auto" w:sz="4" w:space="0"/>
              <w:right w:val="single" w:color="auto" w:sz="4" w:space="0"/>
            </w:tcBorders>
            <w:shd w:val="clear" w:color="auto" w:fill="auto"/>
            <w:vAlign w:val="center"/>
          </w:tcPr>
          <w:p w14:paraId="7AE0EFB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第2年</w:t>
            </w:r>
          </w:p>
        </w:tc>
        <w:tc>
          <w:tcPr>
            <w:tcW w:w="0" w:type="auto"/>
            <w:gridSpan w:val="2"/>
            <w:tcBorders>
              <w:top w:val="nil"/>
              <w:left w:val="nil"/>
              <w:bottom w:val="single" w:color="auto" w:sz="4" w:space="0"/>
              <w:right w:val="single" w:color="auto" w:sz="4" w:space="0"/>
            </w:tcBorders>
            <w:shd w:val="clear" w:color="auto" w:fill="auto"/>
            <w:vAlign w:val="center"/>
          </w:tcPr>
          <w:p w14:paraId="7F88EF0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第3年</w:t>
            </w:r>
          </w:p>
        </w:tc>
        <w:tc>
          <w:tcPr>
            <w:tcW w:w="0" w:type="auto"/>
            <w:tcBorders>
              <w:top w:val="nil"/>
              <w:left w:val="nil"/>
              <w:bottom w:val="single" w:color="auto" w:sz="4" w:space="0"/>
              <w:right w:val="single" w:color="auto" w:sz="4" w:space="0"/>
            </w:tcBorders>
            <w:shd w:val="clear" w:color="auto" w:fill="auto"/>
            <w:vAlign w:val="center"/>
          </w:tcPr>
          <w:p w14:paraId="6651A8B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第4年</w:t>
            </w:r>
          </w:p>
        </w:tc>
        <w:tc>
          <w:tcPr>
            <w:tcW w:w="0" w:type="auto"/>
            <w:gridSpan w:val="2"/>
            <w:tcBorders>
              <w:top w:val="nil"/>
              <w:left w:val="nil"/>
              <w:bottom w:val="single" w:color="auto" w:sz="4" w:space="0"/>
              <w:right w:val="single" w:color="auto" w:sz="4" w:space="0"/>
            </w:tcBorders>
            <w:shd w:val="clear" w:color="auto" w:fill="auto"/>
            <w:vAlign w:val="center"/>
          </w:tcPr>
          <w:p w14:paraId="42BFD50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第5年</w:t>
            </w:r>
          </w:p>
        </w:tc>
        <w:tc>
          <w:tcPr>
            <w:tcW w:w="0" w:type="auto"/>
            <w:tcBorders>
              <w:top w:val="nil"/>
              <w:left w:val="nil"/>
              <w:bottom w:val="single" w:color="auto" w:sz="4" w:space="0"/>
              <w:right w:val="single" w:color="auto" w:sz="4" w:space="0"/>
            </w:tcBorders>
            <w:shd w:val="clear" w:color="auto" w:fill="auto"/>
            <w:vAlign w:val="center"/>
          </w:tcPr>
          <w:p w14:paraId="49119A7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第1年</w:t>
            </w:r>
          </w:p>
        </w:tc>
        <w:tc>
          <w:tcPr>
            <w:tcW w:w="0" w:type="auto"/>
            <w:gridSpan w:val="2"/>
            <w:tcBorders>
              <w:top w:val="nil"/>
              <w:left w:val="nil"/>
              <w:bottom w:val="single" w:color="auto" w:sz="4" w:space="0"/>
              <w:right w:val="single" w:color="auto" w:sz="4" w:space="0"/>
            </w:tcBorders>
            <w:shd w:val="clear" w:color="auto" w:fill="auto"/>
            <w:vAlign w:val="center"/>
          </w:tcPr>
          <w:p w14:paraId="09BD899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第2年</w:t>
            </w:r>
          </w:p>
        </w:tc>
        <w:tc>
          <w:tcPr>
            <w:tcW w:w="0" w:type="auto"/>
            <w:tcBorders>
              <w:top w:val="nil"/>
              <w:left w:val="nil"/>
              <w:bottom w:val="single" w:color="auto" w:sz="4" w:space="0"/>
              <w:right w:val="single" w:color="auto" w:sz="4" w:space="0"/>
            </w:tcBorders>
            <w:shd w:val="clear" w:color="auto" w:fill="auto"/>
            <w:vAlign w:val="center"/>
          </w:tcPr>
          <w:p w14:paraId="54C1FF6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第3年</w:t>
            </w:r>
          </w:p>
        </w:tc>
        <w:tc>
          <w:tcPr>
            <w:tcW w:w="0" w:type="auto"/>
            <w:gridSpan w:val="2"/>
            <w:tcBorders>
              <w:top w:val="nil"/>
              <w:left w:val="nil"/>
              <w:bottom w:val="single" w:color="auto" w:sz="4" w:space="0"/>
              <w:right w:val="single" w:color="auto" w:sz="4" w:space="0"/>
            </w:tcBorders>
            <w:shd w:val="clear" w:color="auto" w:fill="auto"/>
            <w:vAlign w:val="center"/>
          </w:tcPr>
          <w:p w14:paraId="3EDC936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第4年</w:t>
            </w:r>
          </w:p>
        </w:tc>
        <w:tc>
          <w:tcPr>
            <w:tcW w:w="0" w:type="auto"/>
            <w:tcBorders>
              <w:top w:val="nil"/>
              <w:left w:val="nil"/>
              <w:bottom w:val="single" w:color="auto" w:sz="4" w:space="0"/>
              <w:right w:val="single" w:color="auto" w:sz="4" w:space="0"/>
            </w:tcBorders>
            <w:shd w:val="clear" w:color="auto" w:fill="auto"/>
            <w:vAlign w:val="center"/>
          </w:tcPr>
          <w:p w14:paraId="5E957B7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第5年</w:t>
            </w:r>
          </w:p>
        </w:tc>
      </w:tr>
      <w:tr w14:paraId="7C799B5E">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555C975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0" w:type="auto"/>
            <w:tcBorders>
              <w:top w:val="nil"/>
              <w:left w:val="nil"/>
              <w:bottom w:val="single" w:color="auto" w:sz="4" w:space="0"/>
              <w:right w:val="single" w:color="auto" w:sz="4" w:space="0"/>
            </w:tcBorders>
            <w:shd w:val="clear" w:color="auto" w:fill="auto"/>
            <w:vAlign w:val="center"/>
          </w:tcPr>
          <w:p w14:paraId="071A362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一般扰动地表</w:t>
            </w:r>
          </w:p>
        </w:tc>
        <w:tc>
          <w:tcPr>
            <w:tcW w:w="0" w:type="auto"/>
            <w:tcBorders>
              <w:top w:val="nil"/>
              <w:left w:val="nil"/>
              <w:bottom w:val="single" w:color="auto" w:sz="4" w:space="0"/>
              <w:right w:val="single" w:color="auto" w:sz="4" w:space="0"/>
            </w:tcBorders>
            <w:shd w:val="clear" w:color="auto" w:fill="auto"/>
            <w:vAlign w:val="center"/>
          </w:tcPr>
          <w:p w14:paraId="78C742B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Mf</w:t>
            </w:r>
          </w:p>
        </w:tc>
        <w:tc>
          <w:tcPr>
            <w:tcW w:w="0" w:type="auto"/>
            <w:tcBorders>
              <w:top w:val="nil"/>
              <w:left w:val="nil"/>
              <w:bottom w:val="single" w:color="auto" w:sz="4" w:space="0"/>
              <w:right w:val="single" w:color="auto" w:sz="4" w:space="0"/>
            </w:tcBorders>
            <w:shd w:val="clear" w:color="auto" w:fill="auto"/>
            <w:vAlign w:val="center"/>
          </w:tcPr>
          <w:p w14:paraId="55688DB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Mf=QIJGf</w:t>
            </w:r>
          </w:p>
        </w:tc>
        <w:tc>
          <w:tcPr>
            <w:tcW w:w="0" w:type="auto"/>
            <w:tcBorders>
              <w:top w:val="nil"/>
              <w:left w:val="nil"/>
              <w:bottom w:val="single" w:color="auto" w:sz="4" w:space="0"/>
              <w:right w:val="single" w:color="auto" w:sz="4" w:space="0"/>
            </w:tcBorders>
            <w:shd w:val="clear" w:color="auto" w:fill="auto"/>
            <w:vAlign w:val="center"/>
          </w:tcPr>
          <w:p w14:paraId="4D2B51F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6912</w:t>
            </w:r>
          </w:p>
        </w:tc>
        <w:tc>
          <w:tcPr>
            <w:tcW w:w="0" w:type="auto"/>
            <w:tcBorders>
              <w:top w:val="nil"/>
              <w:left w:val="nil"/>
              <w:bottom w:val="single" w:color="auto" w:sz="4" w:space="0"/>
              <w:right w:val="single" w:color="auto" w:sz="4" w:space="0"/>
            </w:tcBorders>
            <w:shd w:val="clear" w:color="auto" w:fill="auto"/>
            <w:vAlign w:val="center"/>
          </w:tcPr>
          <w:p w14:paraId="17662EB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5675</w:t>
            </w:r>
          </w:p>
        </w:tc>
        <w:tc>
          <w:tcPr>
            <w:tcW w:w="0" w:type="auto"/>
            <w:gridSpan w:val="2"/>
            <w:tcBorders>
              <w:top w:val="nil"/>
              <w:left w:val="nil"/>
              <w:bottom w:val="single" w:color="auto" w:sz="4" w:space="0"/>
              <w:right w:val="single" w:color="auto" w:sz="4" w:space="0"/>
            </w:tcBorders>
            <w:shd w:val="clear" w:color="auto" w:fill="auto"/>
            <w:vAlign w:val="center"/>
          </w:tcPr>
          <w:p w14:paraId="04510AE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4436</w:t>
            </w:r>
          </w:p>
        </w:tc>
        <w:tc>
          <w:tcPr>
            <w:tcW w:w="0" w:type="auto"/>
            <w:tcBorders>
              <w:top w:val="nil"/>
              <w:left w:val="nil"/>
              <w:bottom w:val="single" w:color="auto" w:sz="4" w:space="0"/>
              <w:right w:val="single" w:color="auto" w:sz="4" w:space="0"/>
            </w:tcBorders>
            <w:shd w:val="clear" w:color="auto" w:fill="auto"/>
            <w:vAlign w:val="center"/>
          </w:tcPr>
          <w:p w14:paraId="3ACD830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3125</w:t>
            </w:r>
          </w:p>
        </w:tc>
        <w:tc>
          <w:tcPr>
            <w:tcW w:w="0" w:type="auto"/>
            <w:gridSpan w:val="2"/>
            <w:tcBorders>
              <w:top w:val="nil"/>
              <w:left w:val="nil"/>
              <w:bottom w:val="single" w:color="auto" w:sz="4" w:space="0"/>
              <w:right w:val="single" w:color="auto" w:sz="4" w:space="0"/>
            </w:tcBorders>
            <w:shd w:val="clear" w:color="auto" w:fill="auto"/>
            <w:vAlign w:val="center"/>
          </w:tcPr>
          <w:p w14:paraId="5D20A31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2112</w:t>
            </w:r>
          </w:p>
        </w:tc>
        <w:tc>
          <w:tcPr>
            <w:tcW w:w="0" w:type="auto"/>
            <w:tcBorders>
              <w:top w:val="nil"/>
              <w:left w:val="nil"/>
              <w:bottom w:val="single" w:color="auto" w:sz="4" w:space="0"/>
              <w:right w:val="single" w:color="auto" w:sz="4" w:space="0"/>
            </w:tcBorders>
            <w:shd w:val="clear" w:color="auto" w:fill="auto"/>
            <w:vAlign w:val="center"/>
          </w:tcPr>
          <w:p w14:paraId="0614663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6912</w:t>
            </w:r>
          </w:p>
        </w:tc>
        <w:tc>
          <w:tcPr>
            <w:tcW w:w="0" w:type="auto"/>
            <w:gridSpan w:val="2"/>
            <w:tcBorders>
              <w:top w:val="nil"/>
              <w:left w:val="nil"/>
              <w:bottom w:val="single" w:color="auto" w:sz="4" w:space="0"/>
              <w:right w:val="single" w:color="auto" w:sz="4" w:space="0"/>
            </w:tcBorders>
            <w:shd w:val="clear" w:color="auto" w:fill="auto"/>
            <w:vAlign w:val="center"/>
          </w:tcPr>
          <w:p w14:paraId="1B9F718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5675</w:t>
            </w:r>
          </w:p>
        </w:tc>
        <w:tc>
          <w:tcPr>
            <w:tcW w:w="0" w:type="auto"/>
            <w:tcBorders>
              <w:top w:val="nil"/>
              <w:left w:val="nil"/>
              <w:bottom w:val="single" w:color="auto" w:sz="4" w:space="0"/>
              <w:right w:val="single" w:color="auto" w:sz="4" w:space="0"/>
            </w:tcBorders>
            <w:shd w:val="clear" w:color="auto" w:fill="auto"/>
            <w:vAlign w:val="center"/>
          </w:tcPr>
          <w:p w14:paraId="15D42C4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4436</w:t>
            </w:r>
          </w:p>
        </w:tc>
        <w:tc>
          <w:tcPr>
            <w:tcW w:w="0" w:type="auto"/>
            <w:gridSpan w:val="2"/>
            <w:tcBorders>
              <w:top w:val="nil"/>
              <w:left w:val="nil"/>
              <w:bottom w:val="single" w:color="auto" w:sz="4" w:space="0"/>
              <w:right w:val="single" w:color="auto" w:sz="4" w:space="0"/>
            </w:tcBorders>
            <w:shd w:val="clear" w:color="auto" w:fill="auto"/>
            <w:vAlign w:val="center"/>
          </w:tcPr>
          <w:p w14:paraId="12D23E8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3125</w:t>
            </w:r>
          </w:p>
        </w:tc>
        <w:tc>
          <w:tcPr>
            <w:tcW w:w="0" w:type="auto"/>
            <w:tcBorders>
              <w:top w:val="nil"/>
              <w:left w:val="nil"/>
              <w:bottom w:val="single" w:color="auto" w:sz="4" w:space="0"/>
              <w:right w:val="single" w:color="auto" w:sz="4" w:space="0"/>
            </w:tcBorders>
            <w:shd w:val="clear" w:color="auto" w:fill="auto"/>
            <w:vAlign w:val="center"/>
          </w:tcPr>
          <w:p w14:paraId="59F6A2A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2112</w:t>
            </w:r>
          </w:p>
        </w:tc>
      </w:tr>
      <w:tr w14:paraId="1B37C80D">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4D14DCB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w:t>
            </w:r>
          </w:p>
        </w:tc>
        <w:tc>
          <w:tcPr>
            <w:tcW w:w="0" w:type="auto"/>
            <w:tcBorders>
              <w:top w:val="nil"/>
              <w:left w:val="nil"/>
              <w:bottom w:val="single" w:color="auto" w:sz="4" w:space="0"/>
              <w:right w:val="single" w:color="auto" w:sz="4" w:space="0"/>
            </w:tcBorders>
            <w:shd w:val="clear" w:color="auto" w:fill="auto"/>
            <w:vAlign w:val="center"/>
          </w:tcPr>
          <w:p w14:paraId="50A1D59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风蚀率</w:t>
            </w:r>
          </w:p>
        </w:tc>
        <w:tc>
          <w:tcPr>
            <w:tcW w:w="0" w:type="auto"/>
            <w:tcBorders>
              <w:top w:val="nil"/>
              <w:left w:val="nil"/>
              <w:bottom w:val="single" w:color="auto" w:sz="4" w:space="0"/>
              <w:right w:val="single" w:color="auto" w:sz="4" w:space="0"/>
            </w:tcBorders>
            <w:shd w:val="clear" w:color="auto" w:fill="auto"/>
            <w:vAlign w:val="center"/>
          </w:tcPr>
          <w:p w14:paraId="6CD8DC7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Q</w:t>
            </w:r>
          </w:p>
        </w:tc>
        <w:tc>
          <w:tcPr>
            <w:tcW w:w="0" w:type="auto"/>
            <w:tcBorders>
              <w:top w:val="nil"/>
              <w:left w:val="nil"/>
              <w:bottom w:val="single" w:color="auto" w:sz="4" w:space="0"/>
              <w:right w:val="single" w:color="auto" w:sz="4" w:space="0"/>
            </w:tcBorders>
            <w:shd w:val="clear" w:color="auto" w:fill="auto"/>
            <w:vAlign w:val="center"/>
          </w:tcPr>
          <w:p w14:paraId="5627706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039B904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448FFD3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gridSpan w:val="2"/>
            <w:tcBorders>
              <w:top w:val="nil"/>
              <w:left w:val="nil"/>
              <w:bottom w:val="single" w:color="auto" w:sz="4" w:space="0"/>
              <w:right w:val="single" w:color="auto" w:sz="4" w:space="0"/>
            </w:tcBorders>
            <w:shd w:val="clear" w:color="auto" w:fill="auto"/>
            <w:vAlign w:val="center"/>
          </w:tcPr>
          <w:p w14:paraId="62632A9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13F283F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gridSpan w:val="2"/>
            <w:tcBorders>
              <w:top w:val="nil"/>
              <w:left w:val="nil"/>
              <w:bottom w:val="single" w:color="auto" w:sz="4" w:space="0"/>
              <w:right w:val="single" w:color="auto" w:sz="4" w:space="0"/>
            </w:tcBorders>
            <w:shd w:val="clear" w:color="auto" w:fill="auto"/>
            <w:vAlign w:val="center"/>
          </w:tcPr>
          <w:p w14:paraId="7262C13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2EEDD18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gridSpan w:val="2"/>
            <w:tcBorders>
              <w:top w:val="nil"/>
              <w:left w:val="nil"/>
              <w:bottom w:val="single" w:color="auto" w:sz="4" w:space="0"/>
              <w:right w:val="single" w:color="auto" w:sz="4" w:space="0"/>
            </w:tcBorders>
            <w:shd w:val="clear" w:color="auto" w:fill="auto"/>
            <w:vAlign w:val="center"/>
          </w:tcPr>
          <w:p w14:paraId="28332BF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2B3C3BD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gridSpan w:val="2"/>
            <w:tcBorders>
              <w:top w:val="nil"/>
              <w:left w:val="nil"/>
              <w:bottom w:val="single" w:color="auto" w:sz="4" w:space="0"/>
              <w:right w:val="single" w:color="auto" w:sz="4" w:space="0"/>
            </w:tcBorders>
            <w:shd w:val="clear" w:color="auto" w:fill="auto"/>
            <w:vAlign w:val="center"/>
          </w:tcPr>
          <w:p w14:paraId="4F684A2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1CACFC9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r>
      <w:tr w14:paraId="63143850">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2B02F8C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w:t>
            </w:r>
          </w:p>
        </w:tc>
        <w:tc>
          <w:tcPr>
            <w:tcW w:w="0" w:type="auto"/>
            <w:tcBorders>
              <w:top w:val="nil"/>
              <w:left w:val="nil"/>
              <w:bottom w:val="single" w:color="auto" w:sz="4" w:space="0"/>
              <w:right w:val="single" w:color="auto" w:sz="4" w:space="0"/>
            </w:tcBorders>
            <w:shd w:val="clear" w:color="auto" w:fill="auto"/>
            <w:vAlign w:val="center"/>
          </w:tcPr>
          <w:p w14:paraId="5AEFFA1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粗糙干扰因子</w:t>
            </w:r>
          </w:p>
        </w:tc>
        <w:tc>
          <w:tcPr>
            <w:tcW w:w="0" w:type="auto"/>
            <w:tcBorders>
              <w:top w:val="nil"/>
              <w:left w:val="nil"/>
              <w:bottom w:val="single" w:color="auto" w:sz="4" w:space="0"/>
              <w:right w:val="single" w:color="auto" w:sz="4" w:space="0"/>
            </w:tcBorders>
            <w:shd w:val="clear" w:color="auto" w:fill="auto"/>
            <w:vAlign w:val="center"/>
          </w:tcPr>
          <w:p w14:paraId="7C1F61E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I</w:t>
            </w:r>
          </w:p>
        </w:tc>
        <w:tc>
          <w:tcPr>
            <w:tcW w:w="0" w:type="auto"/>
            <w:tcBorders>
              <w:top w:val="nil"/>
              <w:left w:val="nil"/>
              <w:bottom w:val="single" w:color="auto" w:sz="4" w:space="0"/>
              <w:right w:val="single" w:color="auto" w:sz="4" w:space="0"/>
            </w:tcBorders>
            <w:shd w:val="clear" w:color="auto" w:fill="auto"/>
            <w:vAlign w:val="center"/>
          </w:tcPr>
          <w:p w14:paraId="2E81EE3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I=e-0.045υ</w:t>
            </w:r>
          </w:p>
        </w:tc>
        <w:tc>
          <w:tcPr>
            <w:tcW w:w="0" w:type="auto"/>
            <w:tcBorders>
              <w:top w:val="nil"/>
              <w:left w:val="nil"/>
              <w:bottom w:val="single" w:color="auto" w:sz="4" w:space="0"/>
              <w:right w:val="single" w:color="auto" w:sz="4" w:space="0"/>
            </w:tcBorders>
            <w:shd w:val="clear" w:color="auto" w:fill="auto"/>
            <w:vAlign w:val="center"/>
          </w:tcPr>
          <w:p w14:paraId="4B82BBE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0.7984</w:t>
            </w:r>
          </w:p>
        </w:tc>
        <w:tc>
          <w:tcPr>
            <w:tcW w:w="0" w:type="auto"/>
            <w:tcBorders>
              <w:top w:val="nil"/>
              <w:left w:val="nil"/>
              <w:bottom w:val="single" w:color="auto" w:sz="4" w:space="0"/>
              <w:right w:val="single" w:color="auto" w:sz="4" w:space="0"/>
            </w:tcBorders>
            <w:shd w:val="clear" w:color="auto" w:fill="auto"/>
            <w:vAlign w:val="center"/>
          </w:tcPr>
          <w:p w14:paraId="386CA41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0.6975</w:t>
            </w:r>
          </w:p>
        </w:tc>
        <w:tc>
          <w:tcPr>
            <w:tcW w:w="0" w:type="auto"/>
            <w:gridSpan w:val="2"/>
            <w:tcBorders>
              <w:top w:val="nil"/>
              <w:left w:val="nil"/>
              <w:bottom w:val="single" w:color="auto" w:sz="4" w:space="0"/>
              <w:right w:val="single" w:color="auto" w:sz="4" w:space="0"/>
            </w:tcBorders>
            <w:shd w:val="clear" w:color="auto" w:fill="auto"/>
            <w:vAlign w:val="center"/>
          </w:tcPr>
          <w:p w14:paraId="69AE7E5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0.5825</w:t>
            </w:r>
          </w:p>
        </w:tc>
        <w:tc>
          <w:tcPr>
            <w:tcW w:w="0" w:type="auto"/>
            <w:tcBorders>
              <w:top w:val="nil"/>
              <w:left w:val="nil"/>
              <w:bottom w:val="single" w:color="auto" w:sz="4" w:space="0"/>
              <w:right w:val="single" w:color="auto" w:sz="4" w:space="0"/>
            </w:tcBorders>
            <w:shd w:val="clear" w:color="auto" w:fill="auto"/>
            <w:vAlign w:val="center"/>
          </w:tcPr>
          <w:p w14:paraId="2AB3748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0.4446</w:t>
            </w:r>
          </w:p>
        </w:tc>
        <w:tc>
          <w:tcPr>
            <w:tcW w:w="0" w:type="auto"/>
            <w:gridSpan w:val="2"/>
            <w:tcBorders>
              <w:top w:val="nil"/>
              <w:left w:val="nil"/>
              <w:bottom w:val="single" w:color="auto" w:sz="4" w:space="0"/>
              <w:right w:val="single" w:color="auto" w:sz="4" w:space="0"/>
            </w:tcBorders>
            <w:shd w:val="clear" w:color="auto" w:fill="auto"/>
            <w:vAlign w:val="center"/>
          </w:tcPr>
          <w:p w14:paraId="12B3767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0.3244</w:t>
            </w:r>
          </w:p>
        </w:tc>
        <w:tc>
          <w:tcPr>
            <w:tcW w:w="0" w:type="auto"/>
            <w:tcBorders>
              <w:top w:val="nil"/>
              <w:left w:val="nil"/>
              <w:bottom w:val="single" w:color="auto" w:sz="4" w:space="0"/>
              <w:right w:val="single" w:color="auto" w:sz="4" w:space="0"/>
            </w:tcBorders>
            <w:shd w:val="clear" w:color="auto" w:fill="auto"/>
            <w:vAlign w:val="center"/>
          </w:tcPr>
          <w:p w14:paraId="3990F07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0.7984</w:t>
            </w:r>
          </w:p>
        </w:tc>
        <w:tc>
          <w:tcPr>
            <w:tcW w:w="0" w:type="auto"/>
            <w:gridSpan w:val="2"/>
            <w:tcBorders>
              <w:top w:val="nil"/>
              <w:left w:val="nil"/>
              <w:bottom w:val="single" w:color="auto" w:sz="4" w:space="0"/>
              <w:right w:val="single" w:color="auto" w:sz="4" w:space="0"/>
            </w:tcBorders>
            <w:shd w:val="clear" w:color="auto" w:fill="auto"/>
            <w:vAlign w:val="center"/>
          </w:tcPr>
          <w:p w14:paraId="1577554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0.6975</w:t>
            </w:r>
          </w:p>
        </w:tc>
        <w:tc>
          <w:tcPr>
            <w:tcW w:w="0" w:type="auto"/>
            <w:tcBorders>
              <w:top w:val="nil"/>
              <w:left w:val="nil"/>
              <w:bottom w:val="single" w:color="auto" w:sz="4" w:space="0"/>
              <w:right w:val="single" w:color="auto" w:sz="4" w:space="0"/>
            </w:tcBorders>
            <w:shd w:val="clear" w:color="auto" w:fill="auto"/>
            <w:vAlign w:val="center"/>
          </w:tcPr>
          <w:p w14:paraId="13015AB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0.5825</w:t>
            </w:r>
          </w:p>
        </w:tc>
        <w:tc>
          <w:tcPr>
            <w:tcW w:w="0" w:type="auto"/>
            <w:gridSpan w:val="2"/>
            <w:tcBorders>
              <w:top w:val="nil"/>
              <w:left w:val="nil"/>
              <w:bottom w:val="single" w:color="auto" w:sz="4" w:space="0"/>
              <w:right w:val="single" w:color="auto" w:sz="4" w:space="0"/>
            </w:tcBorders>
            <w:shd w:val="clear" w:color="auto" w:fill="auto"/>
            <w:vAlign w:val="center"/>
          </w:tcPr>
          <w:p w14:paraId="4B37079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0.4446</w:t>
            </w:r>
          </w:p>
        </w:tc>
        <w:tc>
          <w:tcPr>
            <w:tcW w:w="0" w:type="auto"/>
            <w:tcBorders>
              <w:top w:val="nil"/>
              <w:left w:val="nil"/>
              <w:bottom w:val="single" w:color="auto" w:sz="4" w:space="0"/>
              <w:right w:val="single" w:color="auto" w:sz="4" w:space="0"/>
            </w:tcBorders>
            <w:shd w:val="clear" w:color="auto" w:fill="auto"/>
            <w:vAlign w:val="center"/>
          </w:tcPr>
          <w:p w14:paraId="3BFC6DA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0.3244</w:t>
            </w:r>
          </w:p>
        </w:tc>
      </w:tr>
      <w:tr w14:paraId="109293C3">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2526D76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63FE77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地表植被覆盖度和砾石盖度（%）</w:t>
            </w:r>
          </w:p>
        </w:tc>
        <w:tc>
          <w:tcPr>
            <w:tcW w:w="0" w:type="auto"/>
            <w:tcBorders>
              <w:top w:val="nil"/>
              <w:left w:val="nil"/>
              <w:bottom w:val="single" w:color="auto" w:sz="4" w:space="0"/>
              <w:right w:val="single" w:color="auto" w:sz="4" w:space="0"/>
            </w:tcBorders>
            <w:shd w:val="clear" w:color="auto" w:fill="auto"/>
            <w:vAlign w:val="center"/>
          </w:tcPr>
          <w:p w14:paraId="1B0B0BA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υ</w:t>
            </w:r>
          </w:p>
        </w:tc>
        <w:tc>
          <w:tcPr>
            <w:tcW w:w="0" w:type="auto"/>
            <w:tcBorders>
              <w:top w:val="nil"/>
              <w:left w:val="nil"/>
              <w:bottom w:val="single" w:color="auto" w:sz="4" w:space="0"/>
              <w:right w:val="single" w:color="auto" w:sz="4" w:space="0"/>
            </w:tcBorders>
            <w:shd w:val="clear" w:color="auto" w:fill="auto"/>
            <w:vAlign w:val="center"/>
          </w:tcPr>
          <w:p w14:paraId="40C2170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10BC92B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w:t>
            </w:r>
          </w:p>
        </w:tc>
        <w:tc>
          <w:tcPr>
            <w:tcW w:w="0" w:type="auto"/>
            <w:tcBorders>
              <w:top w:val="nil"/>
              <w:left w:val="nil"/>
              <w:bottom w:val="single" w:color="auto" w:sz="4" w:space="0"/>
              <w:right w:val="single" w:color="auto" w:sz="4" w:space="0"/>
            </w:tcBorders>
            <w:shd w:val="clear" w:color="auto" w:fill="auto"/>
            <w:vAlign w:val="center"/>
          </w:tcPr>
          <w:p w14:paraId="0E13BA4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8</w:t>
            </w:r>
          </w:p>
        </w:tc>
        <w:tc>
          <w:tcPr>
            <w:tcW w:w="0" w:type="auto"/>
            <w:gridSpan w:val="2"/>
            <w:tcBorders>
              <w:top w:val="nil"/>
              <w:left w:val="nil"/>
              <w:bottom w:val="single" w:color="auto" w:sz="4" w:space="0"/>
              <w:right w:val="single" w:color="auto" w:sz="4" w:space="0"/>
            </w:tcBorders>
            <w:shd w:val="clear" w:color="auto" w:fill="auto"/>
            <w:vAlign w:val="center"/>
          </w:tcPr>
          <w:p w14:paraId="703B960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12</w:t>
            </w:r>
          </w:p>
        </w:tc>
        <w:tc>
          <w:tcPr>
            <w:tcW w:w="0" w:type="auto"/>
            <w:tcBorders>
              <w:top w:val="nil"/>
              <w:left w:val="nil"/>
              <w:bottom w:val="single" w:color="auto" w:sz="4" w:space="0"/>
              <w:right w:val="single" w:color="auto" w:sz="4" w:space="0"/>
            </w:tcBorders>
            <w:shd w:val="clear" w:color="auto" w:fill="auto"/>
            <w:vAlign w:val="center"/>
          </w:tcPr>
          <w:p w14:paraId="00D2CBE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18</w:t>
            </w:r>
          </w:p>
        </w:tc>
        <w:tc>
          <w:tcPr>
            <w:tcW w:w="0" w:type="auto"/>
            <w:gridSpan w:val="2"/>
            <w:tcBorders>
              <w:top w:val="nil"/>
              <w:left w:val="nil"/>
              <w:bottom w:val="single" w:color="auto" w:sz="4" w:space="0"/>
              <w:right w:val="single" w:color="auto" w:sz="4" w:space="0"/>
            </w:tcBorders>
            <w:shd w:val="clear" w:color="auto" w:fill="auto"/>
            <w:vAlign w:val="center"/>
          </w:tcPr>
          <w:p w14:paraId="0FF094A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25</w:t>
            </w:r>
          </w:p>
        </w:tc>
        <w:tc>
          <w:tcPr>
            <w:tcW w:w="0" w:type="auto"/>
            <w:tcBorders>
              <w:top w:val="nil"/>
              <w:left w:val="nil"/>
              <w:bottom w:val="single" w:color="auto" w:sz="4" w:space="0"/>
              <w:right w:val="single" w:color="auto" w:sz="4" w:space="0"/>
            </w:tcBorders>
            <w:shd w:val="clear" w:color="auto" w:fill="auto"/>
            <w:vAlign w:val="center"/>
          </w:tcPr>
          <w:p w14:paraId="1D438D2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w:t>
            </w:r>
          </w:p>
        </w:tc>
        <w:tc>
          <w:tcPr>
            <w:tcW w:w="0" w:type="auto"/>
            <w:gridSpan w:val="2"/>
            <w:tcBorders>
              <w:top w:val="nil"/>
              <w:left w:val="nil"/>
              <w:bottom w:val="single" w:color="auto" w:sz="4" w:space="0"/>
              <w:right w:val="single" w:color="auto" w:sz="4" w:space="0"/>
            </w:tcBorders>
            <w:shd w:val="clear" w:color="auto" w:fill="auto"/>
            <w:vAlign w:val="center"/>
          </w:tcPr>
          <w:p w14:paraId="4E3E11F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8</w:t>
            </w:r>
          </w:p>
        </w:tc>
        <w:tc>
          <w:tcPr>
            <w:tcW w:w="0" w:type="auto"/>
            <w:tcBorders>
              <w:top w:val="nil"/>
              <w:left w:val="nil"/>
              <w:bottom w:val="single" w:color="auto" w:sz="4" w:space="0"/>
              <w:right w:val="single" w:color="auto" w:sz="4" w:space="0"/>
            </w:tcBorders>
            <w:shd w:val="clear" w:color="auto" w:fill="auto"/>
            <w:vAlign w:val="center"/>
          </w:tcPr>
          <w:p w14:paraId="33ACC8C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12</w:t>
            </w:r>
          </w:p>
        </w:tc>
        <w:tc>
          <w:tcPr>
            <w:tcW w:w="0" w:type="auto"/>
            <w:gridSpan w:val="2"/>
            <w:tcBorders>
              <w:top w:val="nil"/>
              <w:left w:val="nil"/>
              <w:bottom w:val="single" w:color="auto" w:sz="4" w:space="0"/>
              <w:right w:val="single" w:color="auto" w:sz="4" w:space="0"/>
            </w:tcBorders>
            <w:shd w:val="clear" w:color="auto" w:fill="auto"/>
            <w:vAlign w:val="center"/>
          </w:tcPr>
          <w:p w14:paraId="6DF36DC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18</w:t>
            </w:r>
          </w:p>
        </w:tc>
        <w:tc>
          <w:tcPr>
            <w:tcW w:w="0" w:type="auto"/>
            <w:tcBorders>
              <w:top w:val="nil"/>
              <w:left w:val="nil"/>
              <w:bottom w:val="single" w:color="auto" w:sz="4" w:space="0"/>
              <w:right w:val="single" w:color="auto" w:sz="4" w:space="0"/>
            </w:tcBorders>
            <w:shd w:val="clear" w:color="auto" w:fill="auto"/>
            <w:vAlign w:val="center"/>
          </w:tcPr>
          <w:p w14:paraId="341E2F9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25</w:t>
            </w:r>
          </w:p>
        </w:tc>
      </w:tr>
      <w:tr w14:paraId="3A1B60CF">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24F9746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4</w:t>
            </w:r>
          </w:p>
        </w:tc>
        <w:tc>
          <w:tcPr>
            <w:tcW w:w="0" w:type="auto"/>
            <w:tcBorders>
              <w:top w:val="nil"/>
              <w:left w:val="nil"/>
              <w:bottom w:val="single" w:color="auto" w:sz="4" w:space="0"/>
              <w:right w:val="single" w:color="auto" w:sz="4" w:space="0"/>
            </w:tcBorders>
            <w:shd w:val="clear" w:color="auto" w:fill="auto"/>
            <w:vAlign w:val="center"/>
          </w:tcPr>
          <w:p w14:paraId="17B7489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地表物质紧实程度系数</w:t>
            </w:r>
          </w:p>
        </w:tc>
        <w:tc>
          <w:tcPr>
            <w:tcW w:w="0" w:type="auto"/>
            <w:tcBorders>
              <w:top w:val="nil"/>
              <w:left w:val="nil"/>
              <w:bottom w:val="single" w:color="auto" w:sz="4" w:space="0"/>
              <w:right w:val="single" w:color="auto" w:sz="4" w:space="0"/>
            </w:tcBorders>
            <w:shd w:val="clear" w:color="auto" w:fill="auto"/>
            <w:vAlign w:val="center"/>
          </w:tcPr>
          <w:p w14:paraId="0999EA6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J</w:t>
            </w:r>
          </w:p>
        </w:tc>
        <w:tc>
          <w:tcPr>
            <w:tcW w:w="0" w:type="auto"/>
            <w:tcBorders>
              <w:top w:val="nil"/>
              <w:left w:val="nil"/>
              <w:bottom w:val="single" w:color="auto" w:sz="4" w:space="0"/>
              <w:right w:val="single" w:color="auto" w:sz="4" w:space="0"/>
            </w:tcBorders>
            <w:shd w:val="clear" w:color="auto" w:fill="auto"/>
            <w:vAlign w:val="center"/>
          </w:tcPr>
          <w:p w14:paraId="301C38D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09623D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1.33</w:t>
            </w:r>
          </w:p>
        </w:tc>
        <w:tc>
          <w:tcPr>
            <w:tcW w:w="0" w:type="auto"/>
            <w:tcBorders>
              <w:top w:val="nil"/>
              <w:left w:val="nil"/>
              <w:bottom w:val="single" w:color="auto" w:sz="4" w:space="0"/>
              <w:right w:val="single" w:color="auto" w:sz="4" w:space="0"/>
            </w:tcBorders>
            <w:shd w:val="clear" w:color="auto" w:fill="auto"/>
            <w:vAlign w:val="center"/>
          </w:tcPr>
          <w:p w14:paraId="67F3E2F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1.25</w:t>
            </w:r>
          </w:p>
        </w:tc>
        <w:tc>
          <w:tcPr>
            <w:tcW w:w="0" w:type="auto"/>
            <w:gridSpan w:val="2"/>
            <w:tcBorders>
              <w:top w:val="nil"/>
              <w:left w:val="nil"/>
              <w:bottom w:val="single" w:color="auto" w:sz="4" w:space="0"/>
              <w:right w:val="single" w:color="auto" w:sz="4" w:space="0"/>
            </w:tcBorders>
            <w:shd w:val="clear" w:color="auto" w:fill="auto"/>
            <w:vAlign w:val="center"/>
          </w:tcPr>
          <w:p w14:paraId="30D7182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1.17</w:t>
            </w:r>
          </w:p>
        </w:tc>
        <w:tc>
          <w:tcPr>
            <w:tcW w:w="0" w:type="auto"/>
            <w:tcBorders>
              <w:top w:val="nil"/>
              <w:left w:val="nil"/>
              <w:bottom w:val="single" w:color="auto" w:sz="4" w:space="0"/>
              <w:right w:val="single" w:color="auto" w:sz="4" w:space="0"/>
            </w:tcBorders>
            <w:shd w:val="clear" w:color="auto" w:fill="auto"/>
            <w:vAlign w:val="center"/>
          </w:tcPr>
          <w:p w14:paraId="3AB269D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1.08</w:t>
            </w:r>
          </w:p>
        </w:tc>
        <w:tc>
          <w:tcPr>
            <w:tcW w:w="0" w:type="auto"/>
            <w:gridSpan w:val="2"/>
            <w:tcBorders>
              <w:top w:val="nil"/>
              <w:left w:val="nil"/>
              <w:bottom w:val="single" w:color="auto" w:sz="4" w:space="0"/>
              <w:right w:val="single" w:color="auto" w:sz="4" w:space="0"/>
            </w:tcBorders>
            <w:shd w:val="clear" w:color="auto" w:fill="auto"/>
            <w:vAlign w:val="center"/>
          </w:tcPr>
          <w:p w14:paraId="729A4E4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0" w:type="auto"/>
            <w:tcBorders>
              <w:top w:val="nil"/>
              <w:left w:val="nil"/>
              <w:bottom w:val="single" w:color="auto" w:sz="4" w:space="0"/>
              <w:right w:val="single" w:color="auto" w:sz="4" w:space="0"/>
            </w:tcBorders>
            <w:shd w:val="clear" w:color="auto" w:fill="auto"/>
            <w:vAlign w:val="center"/>
          </w:tcPr>
          <w:p w14:paraId="1C1F8DE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1.33</w:t>
            </w:r>
          </w:p>
        </w:tc>
        <w:tc>
          <w:tcPr>
            <w:tcW w:w="0" w:type="auto"/>
            <w:gridSpan w:val="2"/>
            <w:tcBorders>
              <w:top w:val="nil"/>
              <w:left w:val="nil"/>
              <w:bottom w:val="single" w:color="auto" w:sz="4" w:space="0"/>
              <w:right w:val="single" w:color="auto" w:sz="4" w:space="0"/>
            </w:tcBorders>
            <w:shd w:val="clear" w:color="auto" w:fill="auto"/>
            <w:vAlign w:val="center"/>
          </w:tcPr>
          <w:p w14:paraId="241901D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1.25</w:t>
            </w:r>
          </w:p>
        </w:tc>
        <w:tc>
          <w:tcPr>
            <w:tcW w:w="0" w:type="auto"/>
            <w:tcBorders>
              <w:top w:val="nil"/>
              <w:left w:val="nil"/>
              <w:bottom w:val="single" w:color="auto" w:sz="4" w:space="0"/>
              <w:right w:val="single" w:color="auto" w:sz="4" w:space="0"/>
            </w:tcBorders>
            <w:shd w:val="clear" w:color="auto" w:fill="auto"/>
            <w:vAlign w:val="center"/>
          </w:tcPr>
          <w:p w14:paraId="21F197F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1.17</w:t>
            </w:r>
          </w:p>
        </w:tc>
        <w:tc>
          <w:tcPr>
            <w:tcW w:w="0" w:type="auto"/>
            <w:gridSpan w:val="2"/>
            <w:tcBorders>
              <w:top w:val="nil"/>
              <w:left w:val="nil"/>
              <w:bottom w:val="single" w:color="auto" w:sz="4" w:space="0"/>
              <w:right w:val="single" w:color="auto" w:sz="4" w:space="0"/>
            </w:tcBorders>
            <w:shd w:val="clear" w:color="auto" w:fill="auto"/>
            <w:vAlign w:val="center"/>
          </w:tcPr>
          <w:p w14:paraId="4B1C7F4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1.08</w:t>
            </w:r>
          </w:p>
        </w:tc>
        <w:tc>
          <w:tcPr>
            <w:tcW w:w="0" w:type="auto"/>
            <w:tcBorders>
              <w:top w:val="nil"/>
              <w:left w:val="nil"/>
              <w:bottom w:val="single" w:color="auto" w:sz="4" w:space="0"/>
              <w:right w:val="single" w:color="auto" w:sz="4" w:space="0"/>
            </w:tcBorders>
            <w:shd w:val="clear" w:color="auto" w:fill="auto"/>
            <w:vAlign w:val="center"/>
          </w:tcPr>
          <w:p w14:paraId="7A3D862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r>
      <w:tr w14:paraId="1BAB040B">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46463E7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w:t>
            </w:r>
          </w:p>
        </w:tc>
        <w:tc>
          <w:tcPr>
            <w:tcW w:w="0" w:type="auto"/>
            <w:tcBorders>
              <w:top w:val="nil"/>
              <w:left w:val="nil"/>
              <w:bottom w:val="single" w:color="auto" w:sz="4" w:space="0"/>
              <w:right w:val="single" w:color="auto" w:sz="4" w:space="0"/>
            </w:tcBorders>
            <w:shd w:val="clear" w:color="auto" w:fill="auto"/>
            <w:vAlign w:val="center"/>
          </w:tcPr>
          <w:p w14:paraId="22EDA97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风蚀可蚀性因子</w:t>
            </w:r>
          </w:p>
        </w:tc>
        <w:tc>
          <w:tcPr>
            <w:tcW w:w="0" w:type="auto"/>
            <w:tcBorders>
              <w:top w:val="nil"/>
              <w:left w:val="nil"/>
              <w:bottom w:val="single" w:color="auto" w:sz="4" w:space="0"/>
              <w:right w:val="single" w:color="auto" w:sz="4" w:space="0"/>
            </w:tcBorders>
            <w:shd w:val="clear" w:color="auto" w:fill="auto"/>
            <w:vAlign w:val="center"/>
          </w:tcPr>
          <w:p w14:paraId="39591C0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Gf</w:t>
            </w:r>
          </w:p>
        </w:tc>
        <w:tc>
          <w:tcPr>
            <w:tcW w:w="0" w:type="auto"/>
            <w:tcBorders>
              <w:top w:val="nil"/>
              <w:left w:val="nil"/>
              <w:bottom w:val="single" w:color="auto" w:sz="4" w:space="0"/>
              <w:right w:val="single" w:color="auto" w:sz="4" w:space="0"/>
            </w:tcBorders>
            <w:shd w:val="clear" w:color="auto" w:fill="auto"/>
            <w:vAlign w:val="center"/>
          </w:tcPr>
          <w:p w14:paraId="354AB3C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741E246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09FC22B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gridSpan w:val="2"/>
            <w:tcBorders>
              <w:top w:val="nil"/>
              <w:left w:val="nil"/>
              <w:bottom w:val="single" w:color="auto" w:sz="4" w:space="0"/>
              <w:right w:val="single" w:color="auto" w:sz="4" w:space="0"/>
            </w:tcBorders>
            <w:shd w:val="clear" w:color="auto" w:fill="auto"/>
            <w:vAlign w:val="center"/>
          </w:tcPr>
          <w:p w14:paraId="71A1D79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33F52DB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gridSpan w:val="2"/>
            <w:tcBorders>
              <w:top w:val="nil"/>
              <w:left w:val="nil"/>
              <w:bottom w:val="single" w:color="auto" w:sz="4" w:space="0"/>
              <w:right w:val="single" w:color="auto" w:sz="4" w:space="0"/>
            </w:tcBorders>
            <w:shd w:val="clear" w:color="auto" w:fill="auto"/>
            <w:vAlign w:val="center"/>
          </w:tcPr>
          <w:p w14:paraId="7029896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218DC61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gridSpan w:val="2"/>
            <w:tcBorders>
              <w:top w:val="nil"/>
              <w:left w:val="nil"/>
              <w:bottom w:val="single" w:color="auto" w:sz="4" w:space="0"/>
              <w:right w:val="single" w:color="auto" w:sz="4" w:space="0"/>
            </w:tcBorders>
            <w:shd w:val="clear" w:color="auto" w:fill="auto"/>
            <w:vAlign w:val="center"/>
          </w:tcPr>
          <w:p w14:paraId="116B009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7BD40D4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gridSpan w:val="2"/>
            <w:tcBorders>
              <w:top w:val="nil"/>
              <w:left w:val="nil"/>
              <w:bottom w:val="single" w:color="auto" w:sz="4" w:space="0"/>
              <w:right w:val="single" w:color="auto" w:sz="4" w:space="0"/>
            </w:tcBorders>
            <w:shd w:val="clear" w:color="auto" w:fill="auto"/>
            <w:vAlign w:val="center"/>
          </w:tcPr>
          <w:p w14:paraId="1153244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685D5E1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r>
      <w:tr w14:paraId="78B61B86">
        <w:tblPrEx>
          <w:tblCellMar>
            <w:top w:w="0" w:type="dxa"/>
            <w:left w:w="108" w:type="dxa"/>
            <w:bottom w:w="0" w:type="dxa"/>
            <w:right w:w="108" w:type="dxa"/>
          </w:tblCellMar>
        </w:tblPrEx>
        <w:trPr>
          <w:trHeight w:val="397" w:hRule="atLeast"/>
          <w:jc w:val="center"/>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6CB36ED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序号</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45AED40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项目</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43E6288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因子</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5342935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公式</w:t>
            </w:r>
          </w:p>
        </w:tc>
        <w:tc>
          <w:tcPr>
            <w:tcW w:w="0" w:type="auto"/>
            <w:gridSpan w:val="14"/>
            <w:tcBorders>
              <w:top w:val="single" w:color="auto" w:sz="4" w:space="0"/>
              <w:left w:val="nil"/>
              <w:bottom w:val="single" w:color="auto" w:sz="4" w:space="0"/>
              <w:right w:val="single" w:color="auto" w:sz="4" w:space="0"/>
            </w:tcBorders>
            <w:shd w:val="clear" w:color="auto" w:fill="auto"/>
            <w:vAlign w:val="center"/>
          </w:tcPr>
          <w:p w14:paraId="57EF53D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陆地水域　</w:t>
            </w:r>
          </w:p>
        </w:tc>
      </w:tr>
      <w:tr w14:paraId="141D69A8">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05DC9BB3">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69A55E38">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432BA17C">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4D9C7CF2">
            <w:pPr>
              <w:spacing w:line="240" w:lineRule="auto"/>
              <w:ind w:firstLine="0" w:firstLineChars="0"/>
              <w:jc w:val="center"/>
              <w:rPr>
                <w:rFonts w:cs="Times New Roman"/>
                <w:color w:val="000000" w:themeColor="text1"/>
                <w:sz w:val="20"/>
                <w:szCs w:val="20"/>
                <w14:textFill>
                  <w14:solidFill>
                    <w14:schemeClr w14:val="tx1"/>
                  </w14:solidFill>
                </w14:textFill>
              </w:rPr>
            </w:pPr>
          </w:p>
        </w:tc>
        <w:tc>
          <w:tcPr>
            <w:tcW w:w="1756" w:type="dxa"/>
            <w:gridSpan w:val="3"/>
            <w:tcBorders>
              <w:top w:val="nil"/>
              <w:left w:val="nil"/>
              <w:bottom w:val="single" w:color="auto" w:sz="4" w:space="0"/>
              <w:right w:val="single" w:color="auto" w:sz="4" w:space="0"/>
            </w:tcBorders>
            <w:shd w:val="clear" w:color="auto" w:fill="auto"/>
            <w:vAlign w:val="center"/>
          </w:tcPr>
          <w:p w14:paraId="1802BEB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第1年</w:t>
            </w:r>
          </w:p>
        </w:tc>
        <w:tc>
          <w:tcPr>
            <w:tcW w:w="1912" w:type="dxa"/>
            <w:gridSpan w:val="3"/>
            <w:tcBorders>
              <w:top w:val="nil"/>
              <w:left w:val="nil"/>
              <w:bottom w:val="single" w:color="auto" w:sz="4" w:space="0"/>
              <w:right w:val="single" w:color="auto" w:sz="4" w:space="0"/>
            </w:tcBorders>
            <w:shd w:val="clear" w:color="auto" w:fill="auto"/>
            <w:vAlign w:val="center"/>
          </w:tcPr>
          <w:p w14:paraId="0EE721C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第2年</w:t>
            </w:r>
          </w:p>
        </w:tc>
        <w:tc>
          <w:tcPr>
            <w:tcW w:w="1748" w:type="dxa"/>
            <w:gridSpan w:val="3"/>
            <w:tcBorders>
              <w:top w:val="nil"/>
              <w:left w:val="nil"/>
              <w:bottom w:val="single" w:color="auto" w:sz="4" w:space="0"/>
              <w:right w:val="single" w:color="auto" w:sz="4" w:space="0"/>
            </w:tcBorders>
            <w:shd w:val="clear" w:color="auto" w:fill="auto"/>
            <w:vAlign w:val="center"/>
          </w:tcPr>
          <w:p w14:paraId="03A4D88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第3年</w:t>
            </w:r>
          </w:p>
        </w:tc>
        <w:tc>
          <w:tcPr>
            <w:tcW w:w="1682" w:type="dxa"/>
            <w:gridSpan w:val="3"/>
            <w:tcBorders>
              <w:top w:val="nil"/>
              <w:left w:val="nil"/>
              <w:bottom w:val="single" w:color="auto" w:sz="4" w:space="0"/>
              <w:right w:val="single" w:color="auto" w:sz="4" w:space="0"/>
            </w:tcBorders>
            <w:shd w:val="clear" w:color="auto" w:fill="auto"/>
            <w:vAlign w:val="center"/>
          </w:tcPr>
          <w:p w14:paraId="471E6CF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第4年</w:t>
            </w:r>
          </w:p>
        </w:tc>
        <w:tc>
          <w:tcPr>
            <w:tcW w:w="1483" w:type="dxa"/>
            <w:gridSpan w:val="2"/>
            <w:tcBorders>
              <w:top w:val="nil"/>
              <w:left w:val="nil"/>
              <w:bottom w:val="single" w:color="auto" w:sz="4" w:space="0"/>
              <w:right w:val="single" w:color="auto" w:sz="4" w:space="0"/>
            </w:tcBorders>
            <w:shd w:val="clear" w:color="auto" w:fill="auto"/>
            <w:vAlign w:val="center"/>
          </w:tcPr>
          <w:p w14:paraId="74821A2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第5年</w:t>
            </w:r>
          </w:p>
        </w:tc>
      </w:tr>
      <w:tr w14:paraId="7D6ED8CF">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01FE50D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0" w:type="auto"/>
            <w:tcBorders>
              <w:top w:val="nil"/>
              <w:left w:val="nil"/>
              <w:bottom w:val="single" w:color="auto" w:sz="4" w:space="0"/>
              <w:right w:val="single" w:color="auto" w:sz="4" w:space="0"/>
            </w:tcBorders>
            <w:shd w:val="clear" w:color="auto" w:fill="auto"/>
            <w:vAlign w:val="center"/>
          </w:tcPr>
          <w:p w14:paraId="6E563A7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一般扰动地表</w:t>
            </w:r>
          </w:p>
        </w:tc>
        <w:tc>
          <w:tcPr>
            <w:tcW w:w="0" w:type="auto"/>
            <w:tcBorders>
              <w:top w:val="nil"/>
              <w:left w:val="nil"/>
              <w:bottom w:val="single" w:color="auto" w:sz="4" w:space="0"/>
              <w:right w:val="single" w:color="auto" w:sz="4" w:space="0"/>
            </w:tcBorders>
            <w:shd w:val="clear" w:color="auto" w:fill="auto"/>
            <w:vAlign w:val="center"/>
          </w:tcPr>
          <w:p w14:paraId="71DFBA0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Mf</w:t>
            </w:r>
          </w:p>
        </w:tc>
        <w:tc>
          <w:tcPr>
            <w:tcW w:w="0" w:type="auto"/>
            <w:tcBorders>
              <w:top w:val="nil"/>
              <w:left w:val="nil"/>
              <w:bottom w:val="single" w:color="auto" w:sz="4" w:space="0"/>
              <w:right w:val="single" w:color="auto" w:sz="4" w:space="0"/>
            </w:tcBorders>
            <w:shd w:val="clear" w:color="auto" w:fill="auto"/>
            <w:vAlign w:val="center"/>
          </w:tcPr>
          <w:p w14:paraId="785D1B0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Mf=QIJGf</w:t>
            </w:r>
          </w:p>
        </w:tc>
        <w:tc>
          <w:tcPr>
            <w:tcW w:w="1756" w:type="dxa"/>
            <w:gridSpan w:val="3"/>
            <w:tcBorders>
              <w:top w:val="nil"/>
              <w:left w:val="nil"/>
              <w:bottom w:val="single" w:color="auto" w:sz="4" w:space="0"/>
              <w:right w:val="single" w:color="auto" w:sz="4" w:space="0"/>
            </w:tcBorders>
            <w:shd w:val="clear" w:color="auto" w:fill="auto"/>
            <w:vAlign w:val="center"/>
          </w:tcPr>
          <w:p w14:paraId="560F3B0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6912</w:t>
            </w:r>
          </w:p>
        </w:tc>
        <w:tc>
          <w:tcPr>
            <w:tcW w:w="1912" w:type="dxa"/>
            <w:gridSpan w:val="3"/>
            <w:tcBorders>
              <w:top w:val="nil"/>
              <w:left w:val="nil"/>
              <w:bottom w:val="single" w:color="auto" w:sz="4" w:space="0"/>
              <w:right w:val="single" w:color="auto" w:sz="4" w:space="0"/>
            </w:tcBorders>
            <w:shd w:val="clear" w:color="auto" w:fill="auto"/>
            <w:vAlign w:val="center"/>
          </w:tcPr>
          <w:p w14:paraId="1BC87D5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5675</w:t>
            </w:r>
          </w:p>
        </w:tc>
        <w:tc>
          <w:tcPr>
            <w:tcW w:w="1748" w:type="dxa"/>
            <w:gridSpan w:val="3"/>
            <w:tcBorders>
              <w:top w:val="nil"/>
              <w:left w:val="nil"/>
              <w:bottom w:val="single" w:color="auto" w:sz="4" w:space="0"/>
              <w:right w:val="single" w:color="auto" w:sz="4" w:space="0"/>
            </w:tcBorders>
            <w:shd w:val="clear" w:color="auto" w:fill="auto"/>
            <w:vAlign w:val="center"/>
          </w:tcPr>
          <w:p w14:paraId="72BE624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4436</w:t>
            </w:r>
          </w:p>
        </w:tc>
        <w:tc>
          <w:tcPr>
            <w:tcW w:w="1682" w:type="dxa"/>
            <w:gridSpan w:val="3"/>
            <w:tcBorders>
              <w:top w:val="nil"/>
              <w:left w:val="nil"/>
              <w:bottom w:val="single" w:color="auto" w:sz="4" w:space="0"/>
              <w:right w:val="single" w:color="auto" w:sz="4" w:space="0"/>
            </w:tcBorders>
            <w:shd w:val="clear" w:color="auto" w:fill="auto"/>
            <w:vAlign w:val="center"/>
          </w:tcPr>
          <w:p w14:paraId="4A41520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3125</w:t>
            </w:r>
          </w:p>
        </w:tc>
        <w:tc>
          <w:tcPr>
            <w:tcW w:w="1483" w:type="dxa"/>
            <w:gridSpan w:val="2"/>
            <w:tcBorders>
              <w:top w:val="nil"/>
              <w:left w:val="nil"/>
              <w:bottom w:val="single" w:color="auto" w:sz="4" w:space="0"/>
              <w:right w:val="single" w:color="auto" w:sz="4" w:space="0"/>
            </w:tcBorders>
            <w:shd w:val="clear" w:color="auto" w:fill="auto"/>
            <w:vAlign w:val="center"/>
          </w:tcPr>
          <w:p w14:paraId="615703D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2112</w:t>
            </w:r>
          </w:p>
        </w:tc>
      </w:tr>
      <w:tr w14:paraId="0FBE8634">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4CABEC2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w:t>
            </w:r>
          </w:p>
        </w:tc>
        <w:tc>
          <w:tcPr>
            <w:tcW w:w="0" w:type="auto"/>
            <w:tcBorders>
              <w:top w:val="nil"/>
              <w:left w:val="nil"/>
              <w:bottom w:val="single" w:color="auto" w:sz="4" w:space="0"/>
              <w:right w:val="single" w:color="auto" w:sz="4" w:space="0"/>
            </w:tcBorders>
            <w:shd w:val="clear" w:color="auto" w:fill="auto"/>
            <w:vAlign w:val="center"/>
          </w:tcPr>
          <w:p w14:paraId="4A32138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风蚀率</w:t>
            </w:r>
          </w:p>
        </w:tc>
        <w:tc>
          <w:tcPr>
            <w:tcW w:w="0" w:type="auto"/>
            <w:tcBorders>
              <w:top w:val="nil"/>
              <w:left w:val="nil"/>
              <w:bottom w:val="single" w:color="auto" w:sz="4" w:space="0"/>
              <w:right w:val="single" w:color="auto" w:sz="4" w:space="0"/>
            </w:tcBorders>
            <w:shd w:val="clear" w:color="auto" w:fill="auto"/>
            <w:vAlign w:val="center"/>
          </w:tcPr>
          <w:p w14:paraId="5798C23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Q</w:t>
            </w:r>
          </w:p>
        </w:tc>
        <w:tc>
          <w:tcPr>
            <w:tcW w:w="0" w:type="auto"/>
            <w:tcBorders>
              <w:top w:val="nil"/>
              <w:left w:val="nil"/>
              <w:bottom w:val="single" w:color="auto" w:sz="4" w:space="0"/>
              <w:right w:val="single" w:color="auto" w:sz="4" w:space="0"/>
            </w:tcBorders>
            <w:shd w:val="clear" w:color="auto" w:fill="auto"/>
            <w:vAlign w:val="center"/>
          </w:tcPr>
          <w:p w14:paraId="20302BF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1756" w:type="dxa"/>
            <w:gridSpan w:val="3"/>
            <w:tcBorders>
              <w:top w:val="nil"/>
              <w:left w:val="nil"/>
              <w:bottom w:val="single" w:color="auto" w:sz="4" w:space="0"/>
              <w:right w:val="single" w:color="auto" w:sz="4" w:space="0"/>
            </w:tcBorders>
            <w:shd w:val="clear" w:color="auto" w:fill="auto"/>
            <w:vAlign w:val="center"/>
          </w:tcPr>
          <w:p w14:paraId="603FD8A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1912" w:type="dxa"/>
            <w:gridSpan w:val="3"/>
            <w:tcBorders>
              <w:top w:val="nil"/>
              <w:left w:val="nil"/>
              <w:bottom w:val="single" w:color="auto" w:sz="4" w:space="0"/>
              <w:right w:val="single" w:color="auto" w:sz="4" w:space="0"/>
            </w:tcBorders>
            <w:shd w:val="clear" w:color="auto" w:fill="auto"/>
            <w:vAlign w:val="center"/>
          </w:tcPr>
          <w:p w14:paraId="5F895BC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1748" w:type="dxa"/>
            <w:gridSpan w:val="3"/>
            <w:tcBorders>
              <w:top w:val="nil"/>
              <w:left w:val="nil"/>
              <w:bottom w:val="single" w:color="auto" w:sz="4" w:space="0"/>
              <w:right w:val="single" w:color="auto" w:sz="4" w:space="0"/>
            </w:tcBorders>
            <w:shd w:val="clear" w:color="auto" w:fill="auto"/>
            <w:vAlign w:val="center"/>
          </w:tcPr>
          <w:p w14:paraId="7E3FB09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1682" w:type="dxa"/>
            <w:gridSpan w:val="3"/>
            <w:tcBorders>
              <w:top w:val="nil"/>
              <w:left w:val="nil"/>
              <w:bottom w:val="single" w:color="auto" w:sz="4" w:space="0"/>
              <w:right w:val="single" w:color="auto" w:sz="4" w:space="0"/>
            </w:tcBorders>
            <w:shd w:val="clear" w:color="auto" w:fill="auto"/>
            <w:vAlign w:val="center"/>
          </w:tcPr>
          <w:p w14:paraId="14835EF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1483" w:type="dxa"/>
            <w:gridSpan w:val="2"/>
            <w:tcBorders>
              <w:top w:val="nil"/>
              <w:left w:val="nil"/>
              <w:bottom w:val="single" w:color="auto" w:sz="4" w:space="0"/>
              <w:right w:val="single" w:color="auto" w:sz="4" w:space="0"/>
            </w:tcBorders>
            <w:shd w:val="clear" w:color="auto" w:fill="auto"/>
            <w:vAlign w:val="center"/>
          </w:tcPr>
          <w:p w14:paraId="103A7BE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r>
      <w:tr w14:paraId="6BCA7878">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42E7531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w:t>
            </w:r>
          </w:p>
        </w:tc>
        <w:tc>
          <w:tcPr>
            <w:tcW w:w="0" w:type="auto"/>
            <w:tcBorders>
              <w:top w:val="nil"/>
              <w:left w:val="nil"/>
              <w:bottom w:val="single" w:color="auto" w:sz="4" w:space="0"/>
              <w:right w:val="single" w:color="auto" w:sz="4" w:space="0"/>
            </w:tcBorders>
            <w:shd w:val="clear" w:color="auto" w:fill="auto"/>
            <w:vAlign w:val="center"/>
          </w:tcPr>
          <w:p w14:paraId="03549CA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粗糙干扰因子</w:t>
            </w:r>
          </w:p>
        </w:tc>
        <w:tc>
          <w:tcPr>
            <w:tcW w:w="0" w:type="auto"/>
            <w:tcBorders>
              <w:top w:val="nil"/>
              <w:left w:val="nil"/>
              <w:bottom w:val="single" w:color="auto" w:sz="4" w:space="0"/>
              <w:right w:val="single" w:color="auto" w:sz="4" w:space="0"/>
            </w:tcBorders>
            <w:shd w:val="clear" w:color="auto" w:fill="auto"/>
            <w:vAlign w:val="center"/>
          </w:tcPr>
          <w:p w14:paraId="5517AD1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I</w:t>
            </w:r>
          </w:p>
        </w:tc>
        <w:tc>
          <w:tcPr>
            <w:tcW w:w="0" w:type="auto"/>
            <w:tcBorders>
              <w:top w:val="nil"/>
              <w:left w:val="nil"/>
              <w:bottom w:val="single" w:color="auto" w:sz="4" w:space="0"/>
              <w:right w:val="single" w:color="auto" w:sz="4" w:space="0"/>
            </w:tcBorders>
            <w:shd w:val="clear" w:color="auto" w:fill="auto"/>
            <w:vAlign w:val="center"/>
          </w:tcPr>
          <w:p w14:paraId="51404BC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I=e-0.045υ</w:t>
            </w:r>
          </w:p>
        </w:tc>
        <w:tc>
          <w:tcPr>
            <w:tcW w:w="1756" w:type="dxa"/>
            <w:gridSpan w:val="3"/>
            <w:tcBorders>
              <w:top w:val="nil"/>
              <w:left w:val="nil"/>
              <w:bottom w:val="single" w:color="auto" w:sz="4" w:space="0"/>
              <w:right w:val="single" w:color="auto" w:sz="4" w:space="0"/>
            </w:tcBorders>
            <w:shd w:val="clear" w:color="auto" w:fill="auto"/>
            <w:vAlign w:val="center"/>
          </w:tcPr>
          <w:p w14:paraId="71C0BDA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0.7984</w:t>
            </w:r>
          </w:p>
        </w:tc>
        <w:tc>
          <w:tcPr>
            <w:tcW w:w="1912" w:type="dxa"/>
            <w:gridSpan w:val="3"/>
            <w:tcBorders>
              <w:top w:val="nil"/>
              <w:left w:val="nil"/>
              <w:bottom w:val="single" w:color="auto" w:sz="4" w:space="0"/>
              <w:right w:val="single" w:color="auto" w:sz="4" w:space="0"/>
            </w:tcBorders>
            <w:shd w:val="clear" w:color="auto" w:fill="auto"/>
            <w:vAlign w:val="center"/>
          </w:tcPr>
          <w:p w14:paraId="788C853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0.6975</w:t>
            </w:r>
          </w:p>
        </w:tc>
        <w:tc>
          <w:tcPr>
            <w:tcW w:w="1748" w:type="dxa"/>
            <w:gridSpan w:val="3"/>
            <w:tcBorders>
              <w:top w:val="nil"/>
              <w:left w:val="nil"/>
              <w:bottom w:val="single" w:color="auto" w:sz="4" w:space="0"/>
              <w:right w:val="single" w:color="auto" w:sz="4" w:space="0"/>
            </w:tcBorders>
            <w:shd w:val="clear" w:color="auto" w:fill="auto"/>
            <w:vAlign w:val="center"/>
          </w:tcPr>
          <w:p w14:paraId="07C8765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0.5825</w:t>
            </w:r>
          </w:p>
        </w:tc>
        <w:tc>
          <w:tcPr>
            <w:tcW w:w="1682" w:type="dxa"/>
            <w:gridSpan w:val="3"/>
            <w:tcBorders>
              <w:top w:val="nil"/>
              <w:left w:val="nil"/>
              <w:bottom w:val="single" w:color="auto" w:sz="4" w:space="0"/>
              <w:right w:val="single" w:color="auto" w:sz="4" w:space="0"/>
            </w:tcBorders>
            <w:shd w:val="clear" w:color="auto" w:fill="auto"/>
            <w:vAlign w:val="center"/>
          </w:tcPr>
          <w:p w14:paraId="12A515E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0.4446</w:t>
            </w:r>
          </w:p>
        </w:tc>
        <w:tc>
          <w:tcPr>
            <w:tcW w:w="1483" w:type="dxa"/>
            <w:gridSpan w:val="2"/>
            <w:tcBorders>
              <w:top w:val="nil"/>
              <w:left w:val="nil"/>
              <w:bottom w:val="single" w:color="auto" w:sz="4" w:space="0"/>
              <w:right w:val="single" w:color="auto" w:sz="4" w:space="0"/>
            </w:tcBorders>
            <w:shd w:val="clear" w:color="auto" w:fill="auto"/>
            <w:vAlign w:val="center"/>
          </w:tcPr>
          <w:p w14:paraId="0986D0C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0.3244</w:t>
            </w:r>
          </w:p>
        </w:tc>
      </w:tr>
      <w:tr w14:paraId="02AAE540">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62D46D0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7F9975B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地表植被覆盖度和砾石盖度（%）</w:t>
            </w:r>
          </w:p>
        </w:tc>
        <w:tc>
          <w:tcPr>
            <w:tcW w:w="0" w:type="auto"/>
            <w:tcBorders>
              <w:top w:val="nil"/>
              <w:left w:val="nil"/>
              <w:bottom w:val="single" w:color="auto" w:sz="4" w:space="0"/>
              <w:right w:val="single" w:color="auto" w:sz="4" w:space="0"/>
            </w:tcBorders>
            <w:shd w:val="clear" w:color="auto" w:fill="auto"/>
            <w:vAlign w:val="center"/>
          </w:tcPr>
          <w:p w14:paraId="5EAA80B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υ</w:t>
            </w:r>
          </w:p>
        </w:tc>
        <w:tc>
          <w:tcPr>
            <w:tcW w:w="0" w:type="auto"/>
            <w:tcBorders>
              <w:top w:val="nil"/>
              <w:left w:val="nil"/>
              <w:bottom w:val="single" w:color="auto" w:sz="4" w:space="0"/>
              <w:right w:val="single" w:color="auto" w:sz="4" w:space="0"/>
            </w:tcBorders>
            <w:shd w:val="clear" w:color="auto" w:fill="auto"/>
            <w:vAlign w:val="center"/>
          </w:tcPr>
          <w:p w14:paraId="1143B18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1756" w:type="dxa"/>
            <w:gridSpan w:val="3"/>
            <w:tcBorders>
              <w:top w:val="nil"/>
              <w:left w:val="nil"/>
              <w:bottom w:val="single" w:color="auto" w:sz="4" w:space="0"/>
              <w:right w:val="single" w:color="auto" w:sz="4" w:space="0"/>
            </w:tcBorders>
            <w:shd w:val="clear" w:color="auto" w:fill="auto"/>
            <w:vAlign w:val="center"/>
          </w:tcPr>
          <w:p w14:paraId="6BA8C27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w:t>
            </w:r>
          </w:p>
        </w:tc>
        <w:tc>
          <w:tcPr>
            <w:tcW w:w="1912" w:type="dxa"/>
            <w:gridSpan w:val="3"/>
            <w:tcBorders>
              <w:top w:val="nil"/>
              <w:left w:val="nil"/>
              <w:bottom w:val="single" w:color="auto" w:sz="4" w:space="0"/>
              <w:right w:val="single" w:color="auto" w:sz="4" w:space="0"/>
            </w:tcBorders>
            <w:shd w:val="clear" w:color="auto" w:fill="auto"/>
            <w:vAlign w:val="center"/>
          </w:tcPr>
          <w:p w14:paraId="512A5E7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8</w:t>
            </w:r>
          </w:p>
        </w:tc>
        <w:tc>
          <w:tcPr>
            <w:tcW w:w="1748" w:type="dxa"/>
            <w:gridSpan w:val="3"/>
            <w:tcBorders>
              <w:top w:val="nil"/>
              <w:left w:val="nil"/>
              <w:bottom w:val="single" w:color="auto" w:sz="4" w:space="0"/>
              <w:right w:val="single" w:color="auto" w:sz="4" w:space="0"/>
            </w:tcBorders>
            <w:shd w:val="clear" w:color="auto" w:fill="auto"/>
            <w:vAlign w:val="center"/>
          </w:tcPr>
          <w:p w14:paraId="709A60E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12</w:t>
            </w:r>
          </w:p>
        </w:tc>
        <w:tc>
          <w:tcPr>
            <w:tcW w:w="1682" w:type="dxa"/>
            <w:gridSpan w:val="3"/>
            <w:tcBorders>
              <w:top w:val="nil"/>
              <w:left w:val="nil"/>
              <w:bottom w:val="single" w:color="auto" w:sz="4" w:space="0"/>
              <w:right w:val="single" w:color="auto" w:sz="4" w:space="0"/>
            </w:tcBorders>
            <w:shd w:val="clear" w:color="auto" w:fill="auto"/>
            <w:vAlign w:val="center"/>
          </w:tcPr>
          <w:p w14:paraId="293D9FB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18</w:t>
            </w:r>
          </w:p>
        </w:tc>
        <w:tc>
          <w:tcPr>
            <w:tcW w:w="1483" w:type="dxa"/>
            <w:gridSpan w:val="2"/>
            <w:tcBorders>
              <w:top w:val="nil"/>
              <w:left w:val="nil"/>
              <w:bottom w:val="single" w:color="auto" w:sz="4" w:space="0"/>
              <w:right w:val="single" w:color="auto" w:sz="4" w:space="0"/>
            </w:tcBorders>
            <w:shd w:val="clear" w:color="auto" w:fill="auto"/>
            <w:vAlign w:val="center"/>
          </w:tcPr>
          <w:p w14:paraId="7F7479F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25</w:t>
            </w:r>
          </w:p>
        </w:tc>
      </w:tr>
      <w:tr w14:paraId="29A378B9">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3BD4BBD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4</w:t>
            </w:r>
          </w:p>
        </w:tc>
        <w:tc>
          <w:tcPr>
            <w:tcW w:w="0" w:type="auto"/>
            <w:tcBorders>
              <w:top w:val="nil"/>
              <w:left w:val="nil"/>
              <w:bottom w:val="single" w:color="auto" w:sz="4" w:space="0"/>
              <w:right w:val="single" w:color="auto" w:sz="4" w:space="0"/>
            </w:tcBorders>
            <w:shd w:val="clear" w:color="auto" w:fill="auto"/>
            <w:vAlign w:val="center"/>
          </w:tcPr>
          <w:p w14:paraId="4589DD7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地表物质紧实程度系数</w:t>
            </w:r>
          </w:p>
        </w:tc>
        <w:tc>
          <w:tcPr>
            <w:tcW w:w="0" w:type="auto"/>
            <w:tcBorders>
              <w:top w:val="nil"/>
              <w:left w:val="nil"/>
              <w:bottom w:val="single" w:color="auto" w:sz="4" w:space="0"/>
              <w:right w:val="single" w:color="auto" w:sz="4" w:space="0"/>
            </w:tcBorders>
            <w:shd w:val="clear" w:color="auto" w:fill="auto"/>
            <w:vAlign w:val="center"/>
          </w:tcPr>
          <w:p w14:paraId="651E8B6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J</w:t>
            </w:r>
          </w:p>
        </w:tc>
        <w:tc>
          <w:tcPr>
            <w:tcW w:w="0" w:type="auto"/>
            <w:tcBorders>
              <w:top w:val="nil"/>
              <w:left w:val="nil"/>
              <w:bottom w:val="single" w:color="auto" w:sz="4" w:space="0"/>
              <w:right w:val="single" w:color="auto" w:sz="4" w:space="0"/>
            </w:tcBorders>
            <w:shd w:val="clear" w:color="auto" w:fill="auto"/>
            <w:vAlign w:val="center"/>
          </w:tcPr>
          <w:p w14:paraId="70C1718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1756" w:type="dxa"/>
            <w:gridSpan w:val="3"/>
            <w:tcBorders>
              <w:top w:val="nil"/>
              <w:left w:val="nil"/>
              <w:bottom w:val="single" w:color="auto" w:sz="4" w:space="0"/>
              <w:right w:val="single" w:color="auto" w:sz="4" w:space="0"/>
            </w:tcBorders>
            <w:shd w:val="clear" w:color="auto" w:fill="auto"/>
            <w:vAlign w:val="center"/>
          </w:tcPr>
          <w:p w14:paraId="36BD42D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1.33</w:t>
            </w:r>
          </w:p>
        </w:tc>
        <w:tc>
          <w:tcPr>
            <w:tcW w:w="1912" w:type="dxa"/>
            <w:gridSpan w:val="3"/>
            <w:tcBorders>
              <w:top w:val="nil"/>
              <w:left w:val="nil"/>
              <w:bottom w:val="single" w:color="auto" w:sz="4" w:space="0"/>
              <w:right w:val="single" w:color="auto" w:sz="4" w:space="0"/>
            </w:tcBorders>
            <w:shd w:val="clear" w:color="auto" w:fill="auto"/>
            <w:vAlign w:val="center"/>
          </w:tcPr>
          <w:p w14:paraId="2028D9A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1.25</w:t>
            </w:r>
          </w:p>
        </w:tc>
        <w:tc>
          <w:tcPr>
            <w:tcW w:w="1748" w:type="dxa"/>
            <w:gridSpan w:val="3"/>
            <w:tcBorders>
              <w:top w:val="nil"/>
              <w:left w:val="nil"/>
              <w:bottom w:val="single" w:color="auto" w:sz="4" w:space="0"/>
              <w:right w:val="single" w:color="auto" w:sz="4" w:space="0"/>
            </w:tcBorders>
            <w:shd w:val="clear" w:color="auto" w:fill="auto"/>
            <w:vAlign w:val="center"/>
          </w:tcPr>
          <w:p w14:paraId="29DD930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1.17</w:t>
            </w:r>
          </w:p>
        </w:tc>
        <w:tc>
          <w:tcPr>
            <w:tcW w:w="1682" w:type="dxa"/>
            <w:gridSpan w:val="3"/>
            <w:tcBorders>
              <w:top w:val="nil"/>
              <w:left w:val="nil"/>
              <w:bottom w:val="single" w:color="auto" w:sz="4" w:space="0"/>
              <w:right w:val="single" w:color="auto" w:sz="4" w:space="0"/>
            </w:tcBorders>
            <w:shd w:val="clear" w:color="auto" w:fill="auto"/>
            <w:vAlign w:val="center"/>
          </w:tcPr>
          <w:p w14:paraId="0428017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1.08</w:t>
            </w:r>
          </w:p>
        </w:tc>
        <w:tc>
          <w:tcPr>
            <w:tcW w:w="1483" w:type="dxa"/>
            <w:gridSpan w:val="2"/>
            <w:tcBorders>
              <w:top w:val="nil"/>
              <w:left w:val="nil"/>
              <w:bottom w:val="single" w:color="auto" w:sz="4" w:space="0"/>
              <w:right w:val="single" w:color="auto" w:sz="4" w:space="0"/>
            </w:tcBorders>
            <w:shd w:val="clear" w:color="auto" w:fill="auto"/>
            <w:vAlign w:val="center"/>
          </w:tcPr>
          <w:p w14:paraId="3315FDD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r>
      <w:tr w14:paraId="682C6715">
        <w:tblPrEx>
          <w:tblCellMar>
            <w:top w:w="0" w:type="dxa"/>
            <w:left w:w="108" w:type="dxa"/>
            <w:bottom w:w="0" w:type="dxa"/>
            <w:right w:w="108" w:type="dxa"/>
          </w:tblCellMar>
        </w:tblPrEx>
        <w:trPr>
          <w:trHeight w:val="397" w:hRule="atLeast"/>
          <w:jc w:val="center"/>
        </w:trPr>
        <w:tc>
          <w:tcPr>
            <w:tcW w:w="0" w:type="auto"/>
            <w:tcBorders>
              <w:top w:val="nil"/>
              <w:left w:val="single" w:color="auto" w:sz="4" w:space="0"/>
              <w:bottom w:val="single" w:color="auto" w:sz="4" w:space="0"/>
              <w:right w:val="single" w:color="auto" w:sz="4" w:space="0"/>
            </w:tcBorders>
            <w:shd w:val="clear" w:color="auto" w:fill="auto"/>
            <w:vAlign w:val="center"/>
          </w:tcPr>
          <w:p w14:paraId="58A2C39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w:t>
            </w:r>
          </w:p>
        </w:tc>
        <w:tc>
          <w:tcPr>
            <w:tcW w:w="0" w:type="auto"/>
            <w:tcBorders>
              <w:top w:val="nil"/>
              <w:left w:val="nil"/>
              <w:bottom w:val="single" w:color="auto" w:sz="4" w:space="0"/>
              <w:right w:val="single" w:color="auto" w:sz="4" w:space="0"/>
            </w:tcBorders>
            <w:shd w:val="clear" w:color="auto" w:fill="auto"/>
            <w:vAlign w:val="center"/>
          </w:tcPr>
          <w:p w14:paraId="3EE2762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风蚀可蚀性因子</w:t>
            </w:r>
          </w:p>
        </w:tc>
        <w:tc>
          <w:tcPr>
            <w:tcW w:w="0" w:type="auto"/>
            <w:tcBorders>
              <w:top w:val="nil"/>
              <w:left w:val="nil"/>
              <w:bottom w:val="single" w:color="auto" w:sz="4" w:space="0"/>
              <w:right w:val="single" w:color="auto" w:sz="4" w:space="0"/>
            </w:tcBorders>
            <w:shd w:val="clear" w:color="auto" w:fill="auto"/>
            <w:vAlign w:val="center"/>
          </w:tcPr>
          <w:p w14:paraId="0468252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Gf</w:t>
            </w:r>
          </w:p>
        </w:tc>
        <w:tc>
          <w:tcPr>
            <w:tcW w:w="0" w:type="auto"/>
            <w:tcBorders>
              <w:top w:val="nil"/>
              <w:left w:val="nil"/>
              <w:bottom w:val="single" w:color="auto" w:sz="4" w:space="0"/>
              <w:right w:val="single" w:color="auto" w:sz="4" w:space="0"/>
            </w:tcBorders>
            <w:shd w:val="clear" w:color="auto" w:fill="auto"/>
            <w:vAlign w:val="center"/>
          </w:tcPr>
          <w:p w14:paraId="52D5DB5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1756" w:type="dxa"/>
            <w:gridSpan w:val="3"/>
            <w:tcBorders>
              <w:top w:val="nil"/>
              <w:left w:val="nil"/>
              <w:bottom w:val="single" w:color="auto" w:sz="4" w:space="0"/>
              <w:right w:val="single" w:color="auto" w:sz="4" w:space="0"/>
            </w:tcBorders>
            <w:shd w:val="clear" w:color="auto" w:fill="auto"/>
            <w:vAlign w:val="center"/>
          </w:tcPr>
          <w:p w14:paraId="335605F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1912" w:type="dxa"/>
            <w:gridSpan w:val="3"/>
            <w:tcBorders>
              <w:top w:val="nil"/>
              <w:left w:val="nil"/>
              <w:bottom w:val="single" w:color="auto" w:sz="4" w:space="0"/>
              <w:right w:val="single" w:color="auto" w:sz="4" w:space="0"/>
            </w:tcBorders>
            <w:shd w:val="clear" w:color="auto" w:fill="auto"/>
            <w:vAlign w:val="center"/>
          </w:tcPr>
          <w:p w14:paraId="43C32C2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1748" w:type="dxa"/>
            <w:gridSpan w:val="3"/>
            <w:tcBorders>
              <w:top w:val="nil"/>
              <w:left w:val="nil"/>
              <w:bottom w:val="single" w:color="auto" w:sz="4" w:space="0"/>
              <w:right w:val="single" w:color="auto" w:sz="4" w:space="0"/>
            </w:tcBorders>
            <w:shd w:val="clear" w:color="auto" w:fill="auto"/>
            <w:vAlign w:val="center"/>
          </w:tcPr>
          <w:p w14:paraId="7FB70A8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1682" w:type="dxa"/>
            <w:gridSpan w:val="3"/>
            <w:tcBorders>
              <w:top w:val="nil"/>
              <w:left w:val="nil"/>
              <w:bottom w:val="single" w:color="auto" w:sz="4" w:space="0"/>
              <w:right w:val="single" w:color="auto" w:sz="4" w:space="0"/>
            </w:tcBorders>
            <w:shd w:val="clear" w:color="auto" w:fill="auto"/>
            <w:vAlign w:val="center"/>
          </w:tcPr>
          <w:p w14:paraId="6E3B144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1483" w:type="dxa"/>
            <w:gridSpan w:val="2"/>
            <w:tcBorders>
              <w:top w:val="nil"/>
              <w:left w:val="nil"/>
              <w:bottom w:val="single" w:color="auto" w:sz="4" w:space="0"/>
              <w:right w:val="single" w:color="auto" w:sz="4" w:space="0"/>
            </w:tcBorders>
            <w:shd w:val="clear" w:color="auto" w:fill="auto"/>
            <w:vAlign w:val="center"/>
          </w:tcPr>
          <w:p w14:paraId="467BF96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r>
    </w:tbl>
    <w:p w14:paraId="48F5ADCC">
      <w:pPr>
        <w:pStyle w:val="66"/>
        <w:sectPr>
          <w:footerReference r:id="rId68" w:type="default"/>
          <w:pgSz w:w="16840" w:h="11910" w:orient="landscape"/>
          <w:pgMar w:top="1360" w:right="1580" w:bottom="1360" w:left="1380" w:header="876" w:footer="1444" w:gutter="0"/>
          <w:cols w:space="720" w:num="1"/>
          <w:docGrid w:linePitch="326" w:charSpace="0"/>
        </w:sectPr>
      </w:pPr>
    </w:p>
    <w:p w14:paraId="7899A6AE">
      <w:pPr>
        <w:pStyle w:val="5"/>
      </w:pPr>
      <w:r>
        <w:rPr>
          <w:rFonts w:hint="eastAsia"/>
        </w:rPr>
        <w:t>原地貌土壤侵蚀模数确定</w:t>
      </w:r>
    </w:p>
    <w:p w14:paraId="71E9FAFB">
      <w:pPr>
        <w:pStyle w:val="66"/>
      </w:pPr>
      <w:r>
        <w:rPr>
          <w:rFonts w:hint="eastAsia"/>
        </w:rPr>
        <w:t>（1）</w:t>
      </w:r>
      <w:r>
        <w:t>水蚀土壤侵蚀模数</w:t>
      </w:r>
    </w:p>
    <w:p w14:paraId="252EBF87">
      <w:pPr>
        <w:pStyle w:val="66"/>
      </w:pPr>
      <w:r>
        <w:t>水力作用下一般扰动地表土壤侵蚀模数水力作用下植被破坏型一般扰动地表土壤侵蚀模数（可选取作为土壤侵蚀模数背景值）原有植被遭受破坏，地表植被覆盖减少或裸露，未扰动地表土壤，维持原有整体地形的扰动，属于植被破坏型。</w:t>
      </w:r>
    </w:p>
    <w:p w14:paraId="1F4DD017">
      <w:pPr>
        <w:pStyle w:val="66"/>
      </w:pPr>
      <w:r>
        <w:t>1）水力作用下植被破坏型一般扰动地表土壤侵蚀模数按下式计算：</w:t>
      </w:r>
    </w:p>
    <w:p w14:paraId="3D8E2C6C">
      <w:pPr>
        <w:pStyle w:val="66"/>
        <w:jc w:val="center"/>
      </w:pPr>
      <w:r>
        <w:t>M=100RKLySyBET</w:t>
      </w:r>
    </w:p>
    <w:p w14:paraId="2AC2DFEC">
      <w:pPr>
        <w:pStyle w:val="66"/>
      </w:pPr>
      <w:r>
        <w:t>式中：</w:t>
      </w:r>
    </w:p>
    <w:p w14:paraId="468F2B18">
      <w:pPr>
        <w:pStyle w:val="66"/>
      </w:pPr>
      <w:r>
        <w:t>M——植被破坏型一般扰动地表测算单元土壤侵蚀模数，t/（km²·a）；</w:t>
      </w:r>
    </w:p>
    <w:p w14:paraId="45535929">
      <w:pPr>
        <w:pStyle w:val="66"/>
      </w:pPr>
      <w:r>
        <w:t>R——</w:t>
      </w:r>
      <w:bookmarkStart w:id="279" w:name="_Hlk152671415"/>
      <w:r>
        <w:t>降雨侵蚀力因子</w:t>
      </w:r>
      <w:bookmarkEnd w:id="279"/>
      <w:r>
        <w:t>，MJ·mm/（hm²·h），按照《生产建设项目土壤流失量测算导则》（SL773-2018）</w:t>
      </w:r>
      <w:r>
        <w:rPr>
          <w:rFonts w:hint="eastAsia"/>
        </w:rPr>
        <w:t>中降雨侵蚀力因子计算公式，利用固阳县</w:t>
      </w:r>
      <w:r>
        <w:t>行政单元多年平均逐月和年降雨侵蚀力因子及土壤可蚀性因子</w:t>
      </w:r>
      <w:r>
        <w:rPr>
          <w:rFonts w:hint="eastAsia"/>
        </w:rPr>
        <w:t>计算，固阳县多年平均降雨量为3</w:t>
      </w:r>
      <w:r>
        <w:t>09.8</w:t>
      </w:r>
      <w:r>
        <w:rPr>
          <w:rFonts w:hint="eastAsia"/>
        </w:rPr>
        <w:t>mm，降雨侵蚀力因子为7</w:t>
      </w:r>
      <w:r>
        <w:t>57 MJ·mm/</w:t>
      </w:r>
      <w:r>
        <w:rPr>
          <w:rFonts w:hint="eastAsia"/>
        </w:rPr>
        <w:t>（</w:t>
      </w:r>
      <w:r>
        <w:t>hm²·h</w:t>
      </w:r>
      <w:r>
        <w:rPr>
          <w:rFonts w:hint="eastAsia"/>
        </w:rPr>
        <w:t>）。</w:t>
      </w:r>
    </w:p>
    <w:p w14:paraId="295F1760">
      <w:pPr>
        <w:pStyle w:val="66"/>
      </w:pPr>
      <w:r>
        <w:t>K——土壤可蚀性因子，t·hm²·h/（hm²·MJ·mm）</w:t>
      </w:r>
      <w:r>
        <w:rPr>
          <w:rFonts w:hint="eastAsia"/>
        </w:rPr>
        <w:t>，参考附录C选用土壤可蚀性因子值取0</w:t>
      </w:r>
      <w:r>
        <w:t>.0175；</w:t>
      </w:r>
    </w:p>
    <w:p w14:paraId="66DE87E2">
      <w:pPr>
        <w:pStyle w:val="66"/>
      </w:pPr>
      <w:r>
        <w:t>Ly——一般扰动地表坡长因子，无量纲；</w:t>
      </w:r>
    </w:p>
    <w:p w14:paraId="346E8B43">
      <w:pPr>
        <w:pStyle w:val="66"/>
      </w:pPr>
      <w:r>
        <w:t>Sy——一般扰动地表坡度因子，无量纲；</w:t>
      </w:r>
    </w:p>
    <w:p w14:paraId="66D6B5BE">
      <w:pPr>
        <w:pStyle w:val="66"/>
      </w:pPr>
      <w:r>
        <w:t>B——植被覆盖因子，无量纲</w:t>
      </w:r>
      <w:r>
        <w:rPr>
          <w:rFonts w:hint="eastAsia"/>
        </w:rPr>
        <w:t>，原地貌植被覆盖度20%，对应值为0.242。</w:t>
      </w:r>
    </w:p>
    <w:p w14:paraId="10A74758">
      <w:pPr>
        <w:pStyle w:val="66"/>
      </w:pPr>
      <w:r>
        <w:t>E——工程措施因子，无量纲</w:t>
      </w:r>
      <w:r>
        <w:rPr>
          <w:rFonts w:hint="eastAsia"/>
        </w:rPr>
        <w:t>，取1。</w:t>
      </w:r>
    </w:p>
    <w:p w14:paraId="37EBB045">
      <w:pPr>
        <w:pStyle w:val="66"/>
      </w:pPr>
      <w:r>
        <w:t>T——耕作措施因子，无量纲</w:t>
      </w:r>
      <w:r>
        <w:rPr>
          <w:rFonts w:hint="eastAsia"/>
        </w:rPr>
        <w:t>，取1。</w:t>
      </w:r>
    </w:p>
    <w:p w14:paraId="7513E8C3">
      <w:pPr>
        <w:pStyle w:val="66"/>
      </w:pPr>
      <w:r>
        <w:t>根据上式计算，水力作用下植被破坏型一般扰动地表土壤侵蚀模数计算见表4-12。</w:t>
      </w:r>
    </w:p>
    <w:p w14:paraId="75E3E585">
      <w:pPr>
        <w:pStyle w:val="66"/>
      </w:pPr>
    </w:p>
    <w:p w14:paraId="5A01BE1A">
      <w:pPr>
        <w:ind w:firstLine="480"/>
        <w:rPr>
          <w:rFonts w:cs="Times New Roman"/>
          <w:color w:val="000000" w:themeColor="text1"/>
          <w14:textFill>
            <w14:solidFill>
              <w14:schemeClr w14:val="tx1"/>
            </w14:solidFill>
          </w14:textFill>
        </w:rPr>
        <w:sectPr>
          <w:headerReference r:id="rId69" w:type="default"/>
          <w:pgSz w:w="11910" w:h="16840"/>
          <w:pgMar w:top="1380" w:right="1360" w:bottom="1580" w:left="1360" w:header="876" w:footer="1444" w:gutter="0"/>
          <w:cols w:space="720" w:num="1"/>
        </w:sectPr>
      </w:pPr>
    </w:p>
    <w:p w14:paraId="494DBA5F">
      <w:pPr>
        <w:pStyle w:val="12"/>
        <w:spacing w:line="20" w:lineRule="exact"/>
        <w:ind w:left="2880" w:firstLine="40"/>
        <w:rPr>
          <w:rFonts w:ascii="Times New Roman" w:hAnsi="Times New Roman" w:eastAsia="仿宋_GB2312"/>
          <w:color w:val="000000" w:themeColor="text1"/>
          <w:sz w:val="2"/>
          <w14:textFill>
            <w14:solidFill>
              <w14:schemeClr w14:val="tx1"/>
            </w14:solidFill>
          </w14:textFill>
        </w:rPr>
      </w:pPr>
    </w:p>
    <w:p w14:paraId="036F38CF">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表4-12                                               水力作用下植被破坏型一般扰动地表土壤侵蚀模数计算表</w:t>
      </w:r>
      <w:r>
        <w:rPr>
          <w:rFonts w:hint="eastAsia"/>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                                 单位：t/km²·a</w:t>
      </w:r>
    </w:p>
    <w:tbl>
      <w:tblPr>
        <w:tblStyle w:val="27"/>
        <w:tblW w:w="5000" w:type="pct"/>
        <w:tblInd w:w="0" w:type="dxa"/>
        <w:tblLayout w:type="autofit"/>
        <w:tblCellMar>
          <w:top w:w="0" w:type="dxa"/>
          <w:left w:w="108" w:type="dxa"/>
          <w:bottom w:w="0" w:type="dxa"/>
          <w:right w:w="108" w:type="dxa"/>
        </w:tblCellMar>
      </w:tblPr>
      <w:tblGrid>
        <w:gridCol w:w="850"/>
        <w:gridCol w:w="1727"/>
        <w:gridCol w:w="877"/>
        <w:gridCol w:w="2330"/>
        <w:gridCol w:w="1208"/>
        <w:gridCol w:w="1222"/>
        <w:gridCol w:w="1222"/>
        <w:gridCol w:w="1208"/>
        <w:gridCol w:w="1208"/>
        <w:gridCol w:w="1208"/>
        <w:gridCol w:w="1216"/>
      </w:tblGrid>
      <w:tr w14:paraId="0FC4E58D">
        <w:tblPrEx>
          <w:tblCellMar>
            <w:top w:w="0" w:type="dxa"/>
            <w:left w:w="108" w:type="dxa"/>
            <w:bottom w:w="0" w:type="dxa"/>
            <w:right w:w="108" w:type="dxa"/>
          </w:tblCellMar>
        </w:tblPrEx>
        <w:trPr>
          <w:trHeight w:val="397" w:hRule="atLeast"/>
        </w:trPr>
        <w:tc>
          <w:tcPr>
            <w:tcW w:w="298" w:type="pct"/>
            <w:tcBorders>
              <w:top w:val="single" w:color="auto" w:sz="4" w:space="0"/>
              <w:left w:val="single" w:color="auto" w:sz="4" w:space="0"/>
              <w:bottom w:val="double" w:color="auto" w:sz="4" w:space="0"/>
              <w:right w:val="single" w:color="auto" w:sz="4" w:space="0"/>
            </w:tcBorders>
            <w:shd w:val="clear" w:color="auto" w:fill="auto"/>
            <w:vAlign w:val="center"/>
          </w:tcPr>
          <w:p w14:paraId="21876C5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序号</w:t>
            </w:r>
          </w:p>
        </w:tc>
        <w:tc>
          <w:tcPr>
            <w:tcW w:w="605" w:type="pct"/>
            <w:tcBorders>
              <w:top w:val="single" w:color="auto" w:sz="4" w:space="0"/>
              <w:left w:val="nil"/>
              <w:bottom w:val="double" w:color="auto" w:sz="4" w:space="0"/>
              <w:right w:val="single" w:color="auto" w:sz="4" w:space="0"/>
            </w:tcBorders>
            <w:shd w:val="clear" w:color="auto" w:fill="auto"/>
            <w:vAlign w:val="center"/>
          </w:tcPr>
          <w:p w14:paraId="7FBB518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w:t>
            </w:r>
          </w:p>
        </w:tc>
        <w:tc>
          <w:tcPr>
            <w:tcW w:w="307" w:type="pct"/>
            <w:tcBorders>
              <w:top w:val="single" w:color="auto" w:sz="4" w:space="0"/>
              <w:left w:val="nil"/>
              <w:bottom w:val="double" w:color="auto" w:sz="4" w:space="0"/>
              <w:right w:val="single" w:color="auto" w:sz="4" w:space="0"/>
            </w:tcBorders>
            <w:shd w:val="clear" w:color="auto" w:fill="auto"/>
            <w:vAlign w:val="center"/>
          </w:tcPr>
          <w:p w14:paraId="79018B8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因子</w:t>
            </w:r>
          </w:p>
        </w:tc>
        <w:tc>
          <w:tcPr>
            <w:tcW w:w="816" w:type="pct"/>
            <w:tcBorders>
              <w:top w:val="single" w:color="auto" w:sz="4" w:space="0"/>
              <w:left w:val="nil"/>
              <w:bottom w:val="double" w:color="auto" w:sz="4" w:space="0"/>
              <w:right w:val="single" w:color="auto" w:sz="4" w:space="0"/>
            </w:tcBorders>
            <w:shd w:val="clear" w:color="auto" w:fill="auto"/>
            <w:vAlign w:val="center"/>
          </w:tcPr>
          <w:p w14:paraId="4748BBD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公式</w:t>
            </w:r>
          </w:p>
        </w:tc>
        <w:tc>
          <w:tcPr>
            <w:tcW w:w="423" w:type="pct"/>
            <w:tcBorders>
              <w:top w:val="single" w:color="auto" w:sz="4" w:space="0"/>
              <w:left w:val="nil"/>
              <w:bottom w:val="double" w:color="auto" w:sz="4" w:space="0"/>
              <w:right w:val="single" w:color="auto" w:sz="4" w:space="0"/>
            </w:tcBorders>
            <w:shd w:val="clear" w:color="auto" w:fill="auto"/>
            <w:vAlign w:val="center"/>
          </w:tcPr>
          <w:p w14:paraId="3D39346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公共管理与公共服务用地</w:t>
            </w:r>
          </w:p>
        </w:tc>
        <w:tc>
          <w:tcPr>
            <w:tcW w:w="428" w:type="pct"/>
            <w:tcBorders>
              <w:top w:val="single" w:color="auto" w:sz="4" w:space="0"/>
              <w:left w:val="nil"/>
              <w:bottom w:val="double" w:color="auto" w:sz="4" w:space="0"/>
              <w:right w:val="single" w:color="auto" w:sz="4" w:space="0"/>
            </w:tcBorders>
            <w:shd w:val="clear" w:color="auto" w:fill="auto"/>
            <w:vAlign w:val="center"/>
          </w:tcPr>
          <w:p w14:paraId="4E2EA9FE">
            <w:pPr>
              <w:spacing w:line="240" w:lineRule="auto"/>
              <w:ind w:firstLine="210" w:firstLineChars="10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商业服务业用地</w:t>
            </w:r>
          </w:p>
        </w:tc>
        <w:tc>
          <w:tcPr>
            <w:tcW w:w="428" w:type="pct"/>
            <w:tcBorders>
              <w:top w:val="single" w:color="auto" w:sz="4" w:space="0"/>
              <w:left w:val="nil"/>
              <w:bottom w:val="double" w:color="auto" w:sz="4" w:space="0"/>
              <w:right w:val="single" w:color="auto" w:sz="4" w:space="0"/>
            </w:tcBorders>
            <w:shd w:val="clear" w:color="auto" w:fill="auto"/>
            <w:vAlign w:val="center"/>
          </w:tcPr>
          <w:p w14:paraId="16AC6EE2">
            <w:pPr>
              <w:spacing w:line="240" w:lineRule="auto"/>
              <w:ind w:firstLine="210" w:firstLineChars="10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423" w:type="pct"/>
            <w:tcBorders>
              <w:top w:val="single" w:color="auto" w:sz="4" w:space="0"/>
              <w:left w:val="nil"/>
              <w:bottom w:val="double" w:color="auto" w:sz="4" w:space="0"/>
              <w:right w:val="single" w:color="auto" w:sz="4" w:space="0"/>
            </w:tcBorders>
            <w:shd w:val="clear" w:color="auto" w:fill="auto"/>
            <w:vAlign w:val="center"/>
          </w:tcPr>
          <w:p w14:paraId="4E26958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423" w:type="pct"/>
            <w:tcBorders>
              <w:top w:val="single" w:color="auto" w:sz="4" w:space="0"/>
              <w:left w:val="nil"/>
              <w:bottom w:val="double" w:color="auto" w:sz="4" w:space="0"/>
              <w:right w:val="single" w:color="auto" w:sz="4" w:space="0"/>
            </w:tcBorders>
            <w:shd w:val="clear" w:color="auto" w:fill="auto"/>
            <w:vAlign w:val="center"/>
          </w:tcPr>
          <w:p w14:paraId="3446413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公用设施用地</w:t>
            </w:r>
          </w:p>
        </w:tc>
        <w:tc>
          <w:tcPr>
            <w:tcW w:w="423" w:type="pct"/>
            <w:tcBorders>
              <w:top w:val="single" w:color="auto" w:sz="4" w:space="0"/>
              <w:left w:val="nil"/>
              <w:bottom w:val="double" w:color="auto" w:sz="4" w:space="0"/>
              <w:right w:val="single" w:color="auto" w:sz="4" w:space="0"/>
            </w:tcBorders>
            <w:shd w:val="clear" w:color="auto" w:fill="auto"/>
            <w:vAlign w:val="center"/>
          </w:tcPr>
          <w:p w14:paraId="684FAAF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426" w:type="pct"/>
            <w:tcBorders>
              <w:top w:val="single" w:color="auto" w:sz="4" w:space="0"/>
              <w:left w:val="nil"/>
              <w:bottom w:val="double" w:color="auto" w:sz="4" w:space="0"/>
              <w:right w:val="single" w:color="auto" w:sz="4" w:space="0"/>
            </w:tcBorders>
            <w:shd w:val="clear" w:color="auto" w:fill="auto"/>
            <w:vAlign w:val="center"/>
          </w:tcPr>
          <w:p w14:paraId="0E0E2465">
            <w:pPr>
              <w:spacing w:line="240" w:lineRule="auto"/>
              <w:ind w:firstLine="210" w:firstLineChars="10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陆地水域</w:t>
            </w:r>
          </w:p>
        </w:tc>
      </w:tr>
      <w:tr w14:paraId="394F4BD3">
        <w:tblPrEx>
          <w:tblCellMar>
            <w:top w:w="0" w:type="dxa"/>
            <w:left w:w="108" w:type="dxa"/>
            <w:bottom w:w="0" w:type="dxa"/>
            <w:right w:w="108" w:type="dxa"/>
          </w:tblCellMar>
        </w:tblPrEx>
        <w:trPr>
          <w:trHeight w:val="397" w:hRule="atLeast"/>
        </w:trPr>
        <w:tc>
          <w:tcPr>
            <w:tcW w:w="298" w:type="pct"/>
            <w:tcBorders>
              <w:top w:val="double" w:color="auto" w:sz="4" w:space="0"/>
              <w:left w:val="single" w:color="auto" w:sz="4" w:space="0"/>
              <w:bottom w:val="single" w:color="auto" w:sz="4" w:space="0"/>
              <w:right w:val="single" w:color="auto" w:sz="4" w:space="0"/>
            </w:tcBorders>
            <w:shd w:val="clear" w:color="auto" w:fill="auto"/>
            <w:vAlign w:val="center"/>
          </w:tcPr>
          <w:p w14:paraId="34E7FCE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605" w:type="pct"/>
            <w:tcBorders>
              <w:top w:val="double" w:color="auto" w:sz="4" w:space="0"/>
              <w:left w:val="nil"/>
              <w:bottom w:val="single" w:color="auto" w:sz="4" w:space="0"/>
              <w:right w:val="single" w:color="auto" w:sz="4" w:space="0"/>
            </w:tcBorders>
            <w:shd w:val="clear" w:color="auto" w:fill="auto"/>
            <w:vAlign w:val="center"/>
          </w:tcPr>
          <w:p w14:paraId="0ABFFBB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植被破坏型</w:t>
            </w:r>
          </w:p>
        </w:tc>
        <w:tc>
          <w:tcPr>
            <w:tcW w:w="307" w:type="pct"/>
            <w:tcBorders>
              <w:top w:val="double" w:color="auto" w:sz="4" w:space="0"/>
              <w:left w:val="nil"/>
              <w:bottom w:val="single" w:color="auto" w:sz="4" w:space="0"/>
              <w:right w:val="single" w:color="auto" w:sz="4" w:space="0"/>
            </w:tcBorders>
            <w:shd w:val="clear" w:color="auto" w:fill="auto"/>
            <w:vAlign w:val="center"/>
          </w:tcPr>
          <w:p w14:paraId="4F851E0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Myz</w:t>
            </w:r>
          </w:p>
        </w:tc>
        <w:tc>
          <w:tcPr>
            <w:tcW w:w="816" w:type="pct"/>
            <w:tcBorders>
              <w:top w:val="double" w:color="auto" w:sz="4" w:space="0"/>
              <w:left w:val="nil"/>
              <w:bottom w:val="single" w:color="auto" w:sz="4" w:space="0"/>
              <w:right w:val="single" w:color="auto" w:sz="4" w:space="0"/>
            </w:tcBorders>
            <w:shd w:val="clear" w:color="auto" w:fill="auto"/>
            <w:vAlign w:val="center"/>
          </w:tcPr>
          <w:p w14:paraId="0828804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Myz=RKLySyBET*100</w:t>
            </w:r>
          </w:p>
        </w:tc>
        <w:tc>
          <w:tcPr>
            <w:tcW w:w="423" w:type="pct"/>
            <w:tcBorders>
              <w:top w:val="double" w:color="auto" w:sz="4" w:space="0"/>
              <w:left w:val="nil"/>
              <w:bottom w:val="single" w:color="auto" w:sz="4" w:space="0"/>
              <w:right w:val="single" w:color="auto" w:sz="4" w:space="0"/>
            </w:tcBorders>
            <w:shd w:val="clear" w:color="auto" w:fill="auto"/>
            <w:noWrap/>
            <w:vAlign w:val="center"/>
          </w:tcPr>
          <w:p w14:paraId="7E3527C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737 </w:t>
            </w:r>
          </w:p>
        </w:tc>
        <w:tc>
          <w:tcPr>
            <w:tcW w:w="428" w:type="pct"/>
            <w:tcBorders>
              <w:top w:val="double" w:color="auto" w:sz="4" w:space="0"/>
              <w:left w:val="nil"/>
              <w:bottom w:val="single" w:color="auto" w:sz="4" w:space="0"/>
              <w:right w:val="single" w:color="auto" w:sz="4" w:space="0"/>
            </w:tcBorders>
            <w:shd w:val="clear" w:color="auto" w:fill="auto"/>
            <w:noWrap/>
            <w:vAlign w:val="center"/>
          </w:tcPr>
          <w:p w14:paraId="0D352ED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737 </w:t>
            </w:r>
          </w:p>
        </w:tc>
        <w:tc>
          <w:tcPr>
            <w:tcW w:w="428" w:type="pct"/>
            <w:tcBorders>
              <w:top w:val="double" w:color="auto" w:sz="4" w:space="0"/>
              <w:left w:val="nil"/>
              <w:bottom w:val="single" w:color="auto" w:sz="4" w:space="0"/>
              <w:right w:val="single" w:color="auto" w:sz="4" w:space="0"/>
            </w:tcBorders>
            <w:shd w:val="clear" w:color="auto" w:fill="auto"/>
            <w:noWrap/>
            <w:vAlign w:val="center"/>
          </w:tcPr>
          <w:p w14:paraId="38AE269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737 </w:t>
            </w:r>
          </w:p>
        </w:tc>
        <w:tc>
          <w:tcPr>
            <w:tcW w:w="423" w:type="pct"/>
            <w:tcBorders>
              <w:top w:val="double" w:color="auto" w:sz="4" w:space="0"/>
              <w:left w:val="nil"/>
              <w:bottom w:val="single" w:color="auto" w:sz="4" w:space="0"/>
              <w:right w:val="single" w:color="auto" w:sz="4" w:space="0"/>
            </w:tcBorders>
            <w:shd w:val="clear" w:color="auto" w:fill="auto"/>
            <w:noWrap/>
            <w:vAlign w:val="center"/>
          </w:tcPr>
          <w:p w14:paraId="6DDCA63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595 </w:t>
            </w:r>
          </w:p>
        </w:tc>
        <w:tc>
          <w:tcPr>
            <w:tcW w:w="423" w:type="pct"/>
            <w:tcBorders>
              <w:top w:val="double" w:color="auto" w:sz="4" w:space="0"/>
              <w:left w:val="nil"/>
              <w:bottom w:val="single" w:color="auto" w:sz="4" w:space="0"/>
              <w:right w:val="single" w:color="auto" w:sz="4" w:space="0"/>
            </w:tcBorders>
            <w:shd w:val="clear" w:color="auto" w:fill="auto"/>
            <w:noWrap/>
            <w:vAlign w:val="center"/>
          </w:tcPr>
          <w:p w14:paraId="723B286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737 </w:t>
            </w:r>
          </w:p>
        </w:tc>
        <w:tc>
          <w:tcPr>
            <w:tcW w:w="423" w:type="pct"/>
            <w:tcBorders>
              <w:top w:val="double" w:color="auto" w:sz="4" w:space="0"/>
              <w:left w:val="nil"/>
              <w:bottom w:val="single" w:color="auto" w:sz="4" w:space="0"/>
              <w:right w:val="single" w:color="auto" w:sz="4" w:space="0"/>
            </w:tcBorders>
            <w:shd w:val="clear" w:color="auto" w:fill="auto"/>
            <w:noWrap/>
            <w:vAlign w:val="center"/>
          </w:tcPr>
          <w:p w14:paraId="0B4151B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595 </w:t>
            </w:r>
          </w:p>
        </w:tc>
        <w:tc>
          <w:tcPr>
            <w:tcW w:w="426" w:type="pct"/>
            <w:tcBorders>
              <w:top w:val="double" w:color="auto" w:sz="4" w:space="0"/>
              <w:left w:val="nil"/>
              <w:bottom w:val="single" w:color="auto" w:sz="4" w:space="0"/>
              <w:right w:val="single" w:color="auto" w:sz="4" w:space="0"/>
            </w:tcBorders>
            <w:shd w:val="clear" w:color="auto" w:fill="auto"/>
            <w:noWrap/>
            <w:vAlign w:val="center"/>
          </w:tcPr>
          <w:p w14:paraId="43B1267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595 </w:t>
            </w:r>
          </w:p>
        </w:tc>
      </w:tr>
      <w:tr w14:paraId="6439284B">
        <w:tblPrEx>
          <w:tblCellMar>
            <w:top w:w="0" w:type="dxa"/>
            <w:left w:w="108" w:type="dxa"/>
            <w:bottom w:w="0" w:type="dxa"/>
            <w:right w:w="108" w:type="dxa"/>
          </w:tblCellMar>
        </w:tblPrEx>
        <w:trPr>
          <w:trHeight w:val="397" w:hRule="atLeast"/>
        </w:trPr>
        <w:tc>
          <w:tcPr>
            <w:tcW w:w="298" w:type="pct"/>
            <w:tcBorders>
              <w:top w:val="nil"/>
              <w:left w:val="single" w:color="auto" w:sz="4" w:space="0"/>
              <w:bottom w:val="single" w:color="auto" w:sz="4" w:space="0"/>
              <w:right w:val="single" w:color="auto" w:sz="4" w:space="0"/>
            </w:tcBorders>
            <w:shd w:val="clear" w:color="auto" w:fill="auto"/>
            <w:vAlign w:val="center"/>
          </w:tcPr>
          <w:p w14:paraId="3F27888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w:t>
            </w:r>
          </w:p>
        </w:tc>
        <w:tc>
          <w:tcPr>
            <w:tcW w:w="605" w:type="pct"/>
            <w:tcBorders>
              <w:top w:val="nil"/>
              <w:left w:val="nil"/>
              <w:bottom w:val="single" w:color="auto" w:sz="4" w:space="0"/>
              <w:right w:val="single" w:color="auto" w:sz="4" w:space="0"/>
            </w:tcBorders>
            <w:shd w:val="clear" w:color="auto" w:fill="auto"/>
            <w:vAlign w:val="center"/>
          </w:tcPr>
          <w:p w14:paraId="7250C48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降雨侵蚀力因子</w:t>
            </w:r>
          </w:p>
        </w:tc>
        <w:tc>
          <w:tcPr>
            <w:tcW w:w="307" w:type="pct"/>
            <w:tcBorders>
              <w:top w:val="nil"/>
              <w:left w:val="nil"/>
              <w:bottom w:val="single" w:color="auto" w:sz="4" w:space="0"/>
              <w:right w:val="single" w:color="auto" w:sz="4" w:space="0"/>
            </w:tcBorders>
            <w:shd w:val="clear" w:color="auto" w:fill="auto"/>
            <w:vAlign w:val="center"/>
          </w:tcPr>
          <w:p w14:paraId="6A27EB5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R</w:t>
            </w:r>
          </w:p>
        </w:tc>
        <w:tc>
          <w:tcPr>
            <w:tcW w:w="816" w:type="pct"/>
            <w:tcBorders>
              <w:top w:val="nil"/>
              <w:left w:val="nil"/>
              <w:bottom w:val="single" w:color="auto" w:sz="4" w:space="0"/>
              <w:right w:val="single" w:color="auto" w:sz="4" w:space="0"/>
            </w:tcBorders>
            <w:shd w:val="clear" w:color="auto" w:fill="auto"/>
            <w:vAlign w:val="center"/>
          </w:tcPr>
          <w:p w14:paraId="2630345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R=0.067pd1.627</w:t>
            </w:r>
          </w:p>
        </w:tc>
        <w:tc>
          <w:tcPr>
            <w:tcW w:w="423" w:type="pct"/>
            <w:tcBorders>
              <w:top w:val="nil"/>
              <w:left w:val="nil"/>
              <w:bottom w:val="single" w:color="auto" w:sz="4" w:space="0"/>
              <w:right w:val="single" w:color="auto" w:sz="4" w:space="0"/>
            </w:tcBorders>
            <w:shd w:val="clear" w:color="auto" w:fill="auto"/>
            <w:vAlign w:val="center"/>
          </w:tcPr>
          <w:p w14:paraId="71BDAA3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428" w:type="pct"/>
            <w:tcBorders>
              <w:top w:val="nil"/>
              <w:left w:val="nil"/>
              <w:bottom w:val="single" w:color="auto" w:sz="4" w:space="0"/>
              <w:right w:val="single" w:color="auto" w:sz="4" w:space="0"/>
            </w:tcBorders>
            <w:shd w:val="clear" w:color="auto" w:fill="auto"/>
            <w:vAlign w:val="center"/>
          </w:tcPr>
          <w:p w14:paraId="0EB46A8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428" w:type="pct"/>
            <w:tcBorders>
              <w:top w:val="nil"/>
              <w:left w:val="nil"/>
              <w:bottom w:val="single" w:color="auto" w:sz="4" w:space="0"/>
              <w:right w:val="single" w:color="auto" w:sz="4" w:space="0"/>
            </w:tcBorders>
            <w:shd w:val="clear" w:color="auto" w:fill="auto"/>
            <w:vAlign w:val="center"/>
          </w:tcPr>
          <w:p w14:paraId="451860A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423" w:type="pct"/>
            <w:tcBorders>
              <w:top w:val="nil"/>
              <w:left w:val="nil"/>
              <w:bottom w:val="single" w:color="auto" w:sz="4" w:space="0"/>
              <w:right w:val="single" w:color="auto" w:sz="4" w:space="0"/>
            </w:tcBorders>
            <w:shd w:val="clear" w:color="auto" w:fill="auto"/>
            <w:vAlign w:val="center"/>
          </w:tcPr>
          <w:p w14:paraId="6D346EC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423" w:type="pct"/>
            <w:tcBorders>
              <w:top w:val="nil"/>
              <w:left w:val="nil"/>
              <w:bottom w:val="single" w:color="auto" w:sz="4" w:space="0"/>
              <w:right w:val="single" w:color="auto" w:sz="4" w:space="0"/>
            </w:tcBorders>
            <w:shd w:val="clear" w:color="auto" w:fill="auto"/>
            <w:vAlign w:val="center"/>
          </w:tcPr>
          <w:p w14:paraId="186A000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423" w:type="pct"/>
            <w:tcBorders>
              <w:top w:val="nil"/>
              <w:left w:val="nil"/>
              <w:bottom w:val="single" w:color="auto" w:sz="4" w:space="0"/>
              <w:right w:val="single" w:color="auto" w:sz="4" w:space="0"/>
            </w:tcBorders>
            <w:shd w:val="clear" w:color="auto" w:fill="auto"/>
            <w:vAlign w:val="center"/>
          </w:tcPr>
          <w:p w14:paraId="05E54F4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c>
          <w:tcPr>
            <w:tcW w:w="426" w:type="pct"/>
            <w:tcBorders>
              <w:top w:val="nil"/>
              <w:left w:val="nil"/>
              <w:bottom w:val="single" w:color="auto" w:sz="4" w:space="0"/>
              <w:right w:val="single" w:color="auto" w:sz="4" w:space="0"/>
            </w:tcBorders>
            <w:shd w:val="clear" w:color="auto" w:fill="auto"/>
            <w:vAlign w:val="center"/>
          </w:tcPr>
          <w:p w14:paraId="6648316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757</w:t>
            </w:r>
          </w:p>
        </w:tc>
      </w:tr>
      <w:tr w14:paraId="3F874970">
        <w:tblPrEx>
          <w:tblCellMar>
            <w:top w:w="0" w:type="dxa"/>
            <w:left w:w="108" w:type="dxa"/>
            <w:bottom w:w="0" w:type="dxa"/>
            <w:right w:w="108" w:type="dxa"/>
          </w:tblCellMar>
        </w:tblPrEx>
        <w:trPr>
          <w:trHeight w:val="397" w:hRule="atLeast"/>
        </w:trPr>
        <w:tc>
          <w:tcPr>
            <w:tcW w:w="298" w:type="pct"/>
            <w:tcBorders>
              <w:top w:val="nil"/>
              <w:left w:val="single" w:color="auto" w:sz="4" w:space="0"/>
              <w:bottom w:val="single" w:color="auto" w:sz="4" w:space="0"/>
              <w:right w:val="single" w:color="auto" w:sz="4" w:space="0"/>
            </w:tcBorders>
            <w:shd w:val="clear" w:color="auto" w:fill="auto"/>
            <w:vAlign w:val="center"/>
          </w:tcPr>
          <w:p w14:paraId="6E95520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w:t>
            </w:r>
          </w:p>
        </w:tc>
        <w:tc>
          <w:tcPr>
            <w:tcW w:w="605" w:type="pct"/>
            <w:tcBorders>
              <w:top w:val="nil"/>
              <w:left w:val="nil"/>
              <w:bottom w:val="single" w:color="auto" w:sz="4" w:space="0"/>
              <w:right w:val="single" w:color="auto" w:sz="4" w:space="0"/>
            </w:tcBorders>
            <w:shd w:val="clear" w:color="auto" w:fill="auto"/>
            <w:vAlign w:val="center"/>
          </w:tcPr>
          <w:p w14:paraId="4AE3657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土壤可蚀性因子</w:t>
            </w:r>
          </w:p>
        </w:tc>
        <w:tc>
          <w:tcPr>
            <w:tcW w:w="307" w:type="pct"/>
            <w:tcBorders>
              <w:top w:val="nil"/>
              <w:left w:val="nil"/>
              <w:bottom w:val="single" w:color="auto" w:sz="4" w:space="0"/>
              <w:right w:val="single" w:color="auto" w:sz="4" w:space="0"/>
            </w:tcBorders>
            <w:shd w:val="clear" w:color="auto" w:fill="auto"/>
            <w:vAlign w:val="center"/>
          </w:tcPr>
          <w:p w14:paraId="18A0972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K</w:t>
            </w:r>
          </w:p>
        </w:tc>
        <w:tc>
          <w:tcPr>
            <w:tcW w:w="816" w:type="pct"/>
            <w:tcBorders>
              <w:top w:val="nil"/>
              <w:left w:val="nil"/>
              <w:bottom w:val="single" w:color="auto" w:sz="4" w:space="0"/>
              <w:right w:val="single" w:color="auto" w:sz="4" w:space="0"/>
            </w:tcBorders>
            <w:shd w:val="clear" w:color="auto" w:fill="auto"/>
            <w:vAlign w:val="center"/>
          </w:tcPr>
          <w:p w14:paraId="5DA1C8C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423" w:type="pct"/>
            <w:tcBorders>
              <w:top w:val="nil"/>
              <w:left w:val="nil"/>
              <w:bottom w:val="single" w:color="auto" w:sz="4" w:space="0"/>
              <w:right w:val="single" w:color="auto" w:sz="4" w:space="0"/>
            </w:tcBorders>
            <w:shd w:val="clear" w:color="auto" w:fill="auto"/>
            <w:vAlign w:val="center"/>
          </w:tcPr>
          <w:p w14:paraId="34B3353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0.0175</w:t>
            </w:r>
          </w:p>
        </w:tc>
        <w:tc>
          <w:tcPr>
            <w:tcW w:w="428" w:type="pct"/>
            <w:tcBorders>
              <w:top w:val="nil"/>
              <w:left w:val="nil"/>
              <w:bottom w:val="single" w:color="auto" w:sz="4" w:space="0"/>
              <w:right w:val="single" w:color="auto" w:sz="4" w:space="0"/>
            </w:tcBorders>
            <w:shd w:val="clear" w:color="auto" w:fill="auto"/>
            <w:vAlign w:val="center"/>
          </w:tcPr>
          <w:p w14:paraId="7535225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0.0175</w:t>
            </w:r>
          </w:p>
        </w:tc>
        <w:tc>
          <w:tcPr>
            <w:tcW w:w="428" w:type="pct"/>
            <w:tcBorders>
              <w:top w:val="nil"/>
              <w:left w:val="nil"/>
              <w:bottom w:val="single" w:color="auto" w:sz="4" w:space="0"/>
              <w:right w:val="single" w:color="auto" w:sz="4" w:space="0"/>
            </w:tcBorders>
            <w:shd w:val="clear" w:color="auto" w:fill="auto"/>
            <w:vAlign w:val="center"/>
          </w:tcPr>
          <w:p w14:paraId="7A9EC74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0.0175</w:t>
            </w:r>
          </w:p>
        </w:tc>
        <w:tc>
          <w:tcPr>
            <w:tcW w:w="423" w:type="pct"/>
            <w:tcBorders>
              <w:top w:val="nil"/>
              <w:left w:val="nil"/>
              <w:bottom w:val="single" w:color="auto" w:sz="4" w:space="0"/>
              <w:right w:val="single" w:color="auto" w:sz="4" w:space="0"/>
            </w:tcBorders>
            <w:shd w:val="clear" w:color="auto" w:fill="auto"/>
            <w:vAlign w:val="center"/>
          </w:tcPr>
          <w:p w14:paraId="299C665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0.0175</w:t>
            </w:r>
          </w:p>
        </w:tc>
        <w:tc>
          <w:tcPr>
            <w:tcW w:w="423" w:type="pct"/>
            <w:tcBorders>
              <w:top w:val="nil"/>
              <w:left w:val="nil"/>
              <w:bottom w:val="single" w:color="auto" w:sz="4" w:space="0"/>
              <w:right w:val="single" w:color="auto" w:sz="4" w:space="0"/>
            </w:tcBorders>
            <w:shd w:val="clear" w:color="auto" w:fill="auto"/>
            <w:vAlign w:val="center"/>
          </w:tcPr>
          <w:p w14:paraId="6C60A5E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0.0175</w:t>
            </w:r>
          </w:p>
        </w:tc>
        <w:tc>
          <w:tcPr>
            <w:tcW w:w="423" w:type="pct"/>
            <w:tcBorders>
              <w:top w:val="nil"/>
              <w:left w:val="nil"/>
              <w:bottom w:val="single" w:color="auto" w:sz="4" w:space="0"/>
              <w:right w:val="single" w:color="auto" w:sz="4" w:space="0"/>
            </w:tcBorders>
            <w:shd w:val="clear" w:color="auto" w:fill="auto"/>
            <w:vAlign w:val="center"/>
          </w:tcPr>
          <w:p w14:paraId="319F278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0.0175</w:t>
            </w:r>
          </w:p>
        </w:tc>
        <w:tc>
          <w:tcPr>
            <w:tcW w:w="426" w:type="pct"/>
            <w:tcBorders>
              <w:top w:val="nil"/>
              <w:left w:val="nil"/>
              <w:bottom w:val="single" w:color="auto" w:sz="4" w:space="0"/>
              <w:right w:val="single" w:color="auto" w:sz="4" w:space="0"/>
            </w:tcBorders>
            <w:shd w:val="clear" w:color="auto" w:fill="auto"/>
            <w:vAlign w:val="center"/>
          </w:tcPr>
          <w:p w14:paraId="1DA330A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0.0175</w:t>
            </w:r>
          </w:p>
        </w:tc>
      </w:tr>
      <w:tr w14:paraId="5844EAB8">
        <w:tblPrEx>
          <w:tblCellMar>
            <w:top w:w="0" w:type="dxa"/>
            <w:left w:w="108" w:type="dxa"/>
            <w:bottom w:w="0" w:type="dxa"/>
            <w:right w:w="108" w:type="dxa"/>
          </w:tblCellMar>
        </w:tblPrEx>
        <w:trPr>
          <w:trHeight w:val="397" w:hRule="atLeast"/>
        </w:trPr>
        <w:tc>
          <w:tcPr>
            <w:tcW w:w="298" w:type="pct"/>
            <w:tcBorders>
              <w:top w:val="nil"/>
              <w:left w:val="single" w:color="auto" w:sz="4" w:space="0"/>
              <w:bottom w:val="single" w:color="auto" w:sz="4" w:space="0"/>
              <w:right w:val="single" w:color="auto" w:sz="4" w:space="0"/>
            </w:tcBorders>
            <w:shd w:val="clear" w:color="auto" w:fill="auto"/>
            <w:vAlign w:val="center"/>
          </w:tcPr>
          <w:p w14:paraId="3E6658E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w:t>
            </w:r>
          </w:p>
        </w:tc>
        <w:tc>
          <w:tcPr>
            <w:tcW w:w="605" w:type="pct"/>
            <w:tcBorders>
              <w:top w:val="nil"/>
              <w:left w:val="nil"/>
              <w:bottom w:val="single" w:color="auto" w:sz="4" w:space="0"/>
              <w:right w:val="single" w:color="auto" w:sz="4" w:space="0"/>
            </w:tcBorders>
            <w:shd w:val="clear" w:color="auto" w:fill="auto"/>
            <w:vAlign w:val="center"/>
          </w:tcPr>
          <w:p w14:paraId="55EC8B9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坡长因子</w:t>
            </w:r>
          </w:p>
        </w:tc>
        <w:tc>
          <w:tcPr>
            <w:tcW w:w="307" w:type="pct"/>
            <w:tcBorders>
              <w:top w:val="nil"/>
              <w:left w:val="nil"/>
              <w:bottom w:val="single" w:color="auto" w:sz="4" w:space="0"/>
              <w:right w:val="single" w:color="auto" w:sz="4" w:space="0"/>
            </w:tcBorders>
            <w:shd w:val="clear" w:color="auto" w:fill="auto"/>
            <w:vAlign w:val="center"/>
          </w:tcPr>
          <w:p w14:paraId="1F9404C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Ly</w:t>
            </w:r>
          </w:p>
        </w:tc>
        <w:tc>
          <w:tcPr>
            <w:tcW w:w="816" w:type="pct"/>
            <w:tcBorders>
              <w:top w:val="nil"/>
              <w:left w:val="nil"/>
              <w:bottom w:val="single" w:color="auto" w:sz="4" w:space="0"/>
              <w:right w:val="single" w:color="auto" w:sz="4" w:space="0"/>
            </w:tcBorders>
            <w:shd w:val="clear" w:color="auto" w:fill="auto"/>
            <w:vAlign w:val="center"/>
          </w:tcPr>
          <w:p w14:paraId="78F5024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Ly=(λ/20）</w:t>
            </w:r>
            <w:r>
              <w:rPr>
                <w:rFonts w:cs="Times New Roman"/>
                <w:color w:val="000000" w:themeColor="text1"/>
                <w:sz w:val="21"/>
                <w:szCs w:val="21"/>
                <w:vertAlign w:val="superscript"/>
                <w14:textFill>
                  <w14:solidFill>
                    <w14:schemeClr w14:val="tx1"/>
                  </w14:solidFill>
                </w14:textFill>
              </w:rPr>
              <w:t>m</w:t>
            </w:r>
          </w:p>
        </w:tc>
        <w:tc>
          <w:tcPr>
            <w:tcW w:w="423" w:type="pct"/>
            <w:tcBorders>
              <w:top w:val="nil"/>
              <w:left w:val="nil"/>
              <w:bottom w:val="single" w:color="auto" w:sz="4" w:space="0"/>
              <w:right w:val="single" w:color="auto" w:sz="4" w:space="0"/>
            </w:tcBorders>
            <w:shd w:val="clear" w:color="auto" w:fill="auto"/>
            <w:vAlign w:val="center"/>
          </w:tcPr>
          <w:p w14:paraId="7A98461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1.90 </w:t>
            </w:r>
          </w:p>
        </w:tc>
        <w:tc>
          <w:tcPr>
            <w:tcW w:w="428" w:type="pct"/>
            <w:tcBorders>
              <w:top w:val="nil"/>
              <w:left w:val="nil"/>
              <w:bottom w:val="single" w:color="auto" w:sz="4" w:space="0"/>
              <w:right w:val="single" w:color="auto" w:sz="4" w:space="0"/>
            </w:tcBorders>
            <w:shd w:val="clear" w:color="auto" w:fill="auto"/>
            <w:vAlign w:val="center"/>
          </w:tcPr>
          <w:p w14:paraId="5108BA1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1.90 </w:t>
            </w:r>
          </w:p>
        </w:tc>
        <w:tc>
          <w:tcPr>
            <w:tcW w:w="428" w:type="pct"/>
            <w:tcBorders>
              <w:top w:val="nil"/>
              <w:left w:val="nil"/>
              <w:bottom w:val="single" w:color="auto" w:sz="4" w:space="0"/>
              <w:right w:val="single" w:color="auto" w:sz="4" w:space="0"/>
            </w:tcBorders>
            <w:shd w:val="clear" w:color="auto" w:fill="auto"/>
            <w:vAlign w:val="center"/>
          </w:tcPr>
          <w:p w14:paraId="4219022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1.90 </w:t>
            </w:r>
          </w:p>
        </w:tc>
        <w:tc>
          <w:tcPr>
            <w:tcW w:w="423" w:type="pct"/>
            <w:tcBorders>
              <w:top w:val="nil"/>
              <w:left w:val="nil"/>
              <w:bottom w:val="single" w:color="auto" w:sz="4" w:space="0"/>
              <w:right w:val="single" w:color="auto" w:sz="4" w:space="0"/>
            </w:tcBorders>
            <w:shd w:val="clear" w:color="auto" w:fill="auto"/>
            <w:vAlign w:val="center"/>
          </w:tcPr>
          <w:p w14:paraId="230386A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1.90 </w:t>
            </w:r>
          </w:p>
        </w:tc>
        <w:tc>
          <w:tcPr>
            <w:tcW w:w="423" w:type="pct"/>
            <w:tcBorders>
              <w:top w:val="nil"/>
              <w:left w:val="nil"/>
              <w:bottom w:val="single" w:color="auto" w:sz="4" w:space="0"/>
              <w:right w:val="single" w:color="auto" w:sz="4" w:space="0"/>
            </w:tcBorders>
            <w:shd w:val="clear" w:color="auto" w:fill="auto"/>
            <w:vAlign w:val="center"/>
          </w:tcPr>
          <w:p w14:paraId="5E88B3B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1.90 </w:t>
            </w:r>
          </w:p>
        </w:tc>
        <w:tc>
          <w:tcPr>
            <w:tcW w:w="423" w:type="pct"/>
            <w:tcBorders>
              <w:top w:val="nil"/>
              <w:left w:val="nil"/>
              <w:bottom w:val="single" w:color="auto" w:sz="4" w:space="0"/>
              <w:right w:val="single" w:color="auto" w:sz="4" w:space="0"/>
            </w:tcBorders>
            <w:shd w:val="clear" w:color="auto" w:fill="auto"/>
            <w:vAlign w:val="center"/>
          </w:tcPr>
          <w:p w14:paraId="5B32510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1.90 </w:t>
            </w:r>
          </w:p>
        </w:tc>
        <w:tc>
          <w:tcPr>
            <w:tcW w:w="426" w:type="pct"/>
            <w:tcBorders>
              <w:top w:val="nil"/>
              <w:left w:val="nil"/>
              <w:bottom w:val="single" w:color="auto" w:sz="4" w:space="0"/>
              <w:right w:val="single" w:color="auto" w:sz="4" w:space="0"/>
            </w:tcBorders>
            <w:shd w:val="clear" w:color="auto" w:fill="auto"/>
            <w:vAlign w:val="center"/>
          </w:tcPr>
          <w:p w14:paraId="53079A9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1.90 </w:t>
            </w:r>
          </w:p>
        </w:tc>
      </w:tr>
      <w:tr w14:paraId="4933315A">
        <w:tblPrEx>
          <w:tblCellMar>
            <w:top w:w="0" w:type="dxa"/>
            <w:left w:w="108" w:type="dxa"/>
            <w:bottom w:w="0" w:type="dxa"/>
            <w:right w:w="108" w:type="dxa"/>
          </w:tblCellMar>
        </w:tblPrEx>
        <w:trPr>
          <w:trHeight w:val="397" w:hRule="atLeast"/>
        </w:trPr>
        <w:tc>
          <w:tcPr>
            <w:tcW w:w="298" w:type="pct"/>
            <w:tcBorders>
              <w:top w:val="nil"/>
              <w:left w:val="single" w:color="auto" w:sz="4" w:space="0"/>
              <w:bottom w:val="single" w:color="auto" w:sz="4" w:space="0"/>
              <w:right w:val="single" w:color="auto" w:sz="4" w:space="0"/>
            </w:tcBorders>
            <w:shd w:val="clear" w:color="auto" w:fill="auto"/>
            <w:vAlign w:val="center"/>
          </w:tcPr>
          <w:p w14:paraId="126E041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5" w:type="pct"/>
            <w:tcBorders>
              <w:top w:val="nil"/>
              <w:left w:val="nil"/>
              <w:bottom w:val="single" w:color="auto" w:sz="4" w:space="0"/>
              <w:right w:val="single" w:color="auto" w:sz="4" w:space="0"/>
            </w:tcBorders>
            <w:shd w:val="clear" w:color="auto" w:fill="auto"/>
            <w:vAlign w:val="center"/>
          </w:tcPr>
          <w:p w14:paraId="280CCE6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水平投影坡坡长（m）</w:t>
            </w:r>
          </w:p>
        </w:tc>
        <w:tc>
          <w:tcPr>
            <w:tcW w:w="307" w:type="pct"/>
            <w:tcBorders>
              <w:top w:val="nil"/>
              <w:left w:val="nil"/>
              <w:bottom w:val="single" w:color="auto" w:sz="4" w:space="0"/>
              <w:right w:val="single" w:color="auto" w:sz="4" w:space="0"/>
            </w:tcBorders>
            <w:shd w:val="clear" w:color="auto" w:fill="auto"/>
            <w:vAlign w:val="center"/>
          </w:tcPr>
          <w:p w14:paraId="0AE04AC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λ</w:t>
            </w:r>
          </w:p>
        </w:tc>
        <w:tc>
          <w:tcPr>
            <w:tcW w:w="816" w:type="pct"/>
            <w:tcBorders>
              <w:top w:val="nil"/>
              <w:left w:val="nil"/>
              <w:bottom w:val="single" w:color="auto" w:sz="4" w:space="0"/>
              <w:right w:val="single" w:color="auto" w:sz="4" w:space="0"/>
            </w:tcBorders>
            <w:shd w:val="clear" w:color="auto" w:fill="auto"/>
            <w:vAlign w:val="center"/>
          </w:tcPr>
          <w:p w14:paraId="0A7FFE4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λ=λxcosθ</w:t>
            </w:r>
          </w:p>
        </w:tc>
        <w:tc>
          <w:tcPr>
            <w:tcW w:w="423" w:type="pct"/>
            <w:tcBorders>
              <w:top w:val="nil"/>
              <w:left w:val="nil"/>
              <w:bottom w:val="single" w:color="auto" w:sz="4" w:space="0"/>
              <w:right w:val="single" w:color="auto" w:sz="4" w:space="0"/>
            </w:tcBorders>
            <w:shd w:val="clear" w:color="auto" w:fill="auto"/>
            <w:vAlign w:val="center"/>
          </w:tcPr>
          <w:p w14:paraId="5C1F0D5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99.62 </w:t>
            </w:r>
          </w:p>
        </w:tc>
        <w:tc>
          <w:tcPr>
            <w:tcW w:w="428" w:type="pct"/>
            <w:tcBorders>
              <w:top w:val="nil"/>
              <w:left w:val="nil"/>
              <w:bottom w:val="single" w:color="auto" w:sz="4" w:space="0"/>
              <w:right w:val="single" w:color="auto" w:sz="4" w:space="0"/>
            </w:tcBorders>
            <w:shd w:val="clear" w:color="auto" w:fill="auto"/>
            <w:vAlign w:val="center"/>
          </w:tcPr>
          <w:p w14:paraId="6AA3398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99.62 </w:t>
            </w:r>
          </w:p>
        </w:tc>
        <w:tc>
          <w:tcPr>
            <w:tcW w:w="428" w:type="pct"/>
            <w:tcBorders>
              <w:top w:val="nil"/>
              <w:left w:val="nil"/>
              <w:bottom w:val="single" w:color="auto" w:sz="4" w:space="0"/>
              <w:right w:val="single" w:color="auto" w:sz="4" w:space="0"/>
            </w:tcBorders>
            <w:shd w:val="clear" w:color="auto" w:fill="auto"/>
            <w:vAlign w:val="center"/>
          </w:tcPr>
          <w:p w14:paraId="4B2B922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99.62 </w:t>
            </w:r>
          </w:p>
        </w:tc>
        <w:tc>
          <w:tcPr>
            <w:tcW w:w="423" w:type="pct"/>
            <w:tcBorders>
              <w:top w:val="nil"/>
              <w:left w:val="nil"/>
              <w:bottom w:val="single" w:color="auto" w:sz="4" w:space="0"/>
              <w:right w:val="single" w:color="auto" w:sz="4" w:space="0"/>
            </w:tcBorders>
            <w:shd w:val="clear" w:color="auto" w:fill="auto"/>
            <w:vAlign w:val="center"/>
          </w:tcPr>
          <w:p w14:paraId="3D0B19B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99.62 </w:t>
            </w:r>
          </w:p>
        </w:tc>
        <w:tc>
          <w:tcPr>
            <w:tcW w:w="423" w:type="pct"/>
            <w:tcBorders>
              <w:top w:val="nil"/>
              <w:left w:val="nil"/>
              <w:bottom w:val="single" w:color="auto" w:sz="4" w:space="0"/>
              <w:right w:val="single" w:color="auto" w:sz="4" w:space="0"/>
            </w:tcBorders>
            <w:shd w:val="clear" w:color="auto" w:fill="auto"/>
            <w:vAlign w:val="center"/>
          </w:tcPr>
          <w:p w14:paraId="7C4E0A3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99.62 </w:t>
            </w:r>
          </w:p>
        </w:tc>
        <w:tc>
          <w:tcPr>
            <w:tcW w:w="423" w:type="pct"/>
            <w:tcBorders>
              <w:top w:val="nil"/>
              <w:left w:val="nil"/>
              <w:bottom w:val="single" w:color="auto" w:sz="4" w:space="0"/>
              <w:right w:val="single" w:color="auto" w:sz="4" w:space="0"/>
            </w:tcBorders>
            <w:shd w:val="clear" w:color="auto" w:fill="auto"/>
            <w:vAlign w:val="center"/>
          </w:tcPr>
          <w:p w14:paraId="309BF46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99.62 </w:t>
            </w:r>
          </w:p>
        </w:tc>
        <w:tc>
          <w:tcPr>
            <w:tcW w:w="426" w:type="pct"/>
            <w:tcBorders>
              <w:top w:val="nil"/>
              <w:left w:val="nil"/>
              <w:bottom w:val="single" w:color="auto" w:sz="4" w:space="0"/>
              <w:right w:val="single" w:color="auto" w:sz="4" w:space="0"/>
            </w:tcBorders>
            <w:shd w:val="clear" w:color="auto" w:fill="auto"/>
            <w:vAlign w:val="center"/>
          </w:tcPr>
          <w:p w14:paraId="67DF166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99.62 </w:t>
            </w:r>
          </w:p>
        </w:tc>
      </w:tr>
      <w:tr w14:paraId="2EB94C8F">
        <w:tblPrEx>
          <w:tblCellMar>
            <w:top w:w="0" w:type="dxa"/>
            <w:left w:w="108" w:type="dxa"/>
            <w:bottom w:w="0" w:type="dxa"/>
            <w:right w:w="108" w:type="dxa"/>
          </w:tblCellMar>
        </w:tblPrEx>
        <w:trPr>
          <w:trHeight w:val="397" w:hRule="atLeast"/>
        </w:trPr>
        <w:tc>
          <w:tcPr>
            <w:tcW w:w="298" w:type="pct"/>
            <w:tcBorders>
              <w:top w:val="nil"/>
              <w:left w:val="single" w:color="auto" w:sz="4" w:space="0"/>
              <w:bottom w:val="single" w:color="auto" w:sz="4" w:space="0"/>
              <w:right w:val="single" w:color="auto" w:sz="4" w:space="0"/>
            </w:tcBorders>
            <w:shd w:val="clear" w:color="auto" w:fill="auto"/>
            <w:vAlign w:val="center"/>
          </w:tcPr>
          <w:p w14:paraId="160EDF8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5" w:type="pct"/>
            <w:tcBorders>
              <w:top w:val="nil"/>
              <w:left w:val="nil"/>
              <w:bottom w:val="single" w:color="auto" w:sz="4" w:space="0"/>
              <w:right w:val="single" w:color="auto" w:sz="4" w:space="0"/>
            </w:tcBorders>
            <w:shd w:val="clear" w:color="auto" w:fill="auto"/>
            <w:vAlign w:val="center"/>
          </w:tcPr>
          <w:p w14:paraId="1C563A7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斜坡长度（m）</w:t>
            </w:r>
          </w:p>
        </w:tc>
        <w:tc>
          <w:tcPr>
            <w:tcW w:w="307" w:type="pct"/>
            <w:tcBorders>
              <w:top w:val="nil"/>
              <w:left w:val="nil"/>
              <w:bottom w:val="single" w:color="auto" w:sz="4" w:space="0"/>
              <w:right w:val="single" w:color="auto" w:sz="4" w:space="0"/>
            </w:tcBorders>
            <w:shd w:val="clear" w:color="auto" w:fill="auto"/>
            <w:vAlign w:val="center"/>
          </w:tcPr>
          <w:p w14:paraId="75C3C3D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λx</w:t>
            </w:r>
          </w:p>
        </w:tc>
        <w:tc>
          <w:tcPr>
            <w:tcW w:w="816" w:type="pct"/>
            <w:tcBorders>
              <w:top w:val="nil"/>
              <w:left w:val="nil"/>
              <w:bottom w:val="single" w:color="auto" w:sz="4" w:space="0"/>
              <w:right w:val="single" w:color="auto" w:sz="4" w:space="0"/>
            </w:tcBorders>
            <w:shd w:val="clear" w:color="auto" w:fill="auto"/>
            <w:vAlign w:val="center"/>
          </w:tcPr>
          <w:p w14:paraId="075BC3E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423" w:type="pct"/>
            <w:tcBorders>
              <w:top w:val="nil"/>
              <w:left w:val="nil"/>
              <w:bottom w:val="single" w:color="auto" w:sz="4" w:space="0"/>
              <w:right w:val="single" w:color="auto" w:sz="4" w:space="0"/>
            </w:tcBorders>
            <w:shd w:val="clear" w:color="auto" w:fill="auto"/>
            <w:vAlign w:val="center"/>
          </w:tcPr>
          <w:p w14:paraId="5BC474E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100</w:t>
            </w:r>
          </w:p>
        </w:tc>
        <w:tc>
          <w:tcPr>
            <w:tcW w:w="428" w:type="pct"/>
            <w:tcBorders>
              <w:top w:val="nil"/>
              <w:left w:val="nil"/>
              <w:bottom w:val="single" w:color="auto" w:sz="4" w:space="0"/>
              <w:right w:val="single" w:color="auto" w:sz="4" w:space="0"/>
            </w:tcBorders>
            <w:shd w:val="clear" w:color="auto" w:fill="auto"/>
            <w:vAlign w:val="center"/>
          </w:tcPr>
          <w:p w14:paraId="0153896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100</w:t>
            </w:r>
          </w:p>
        </w:tc>
        <w:tc>
          <w:tcPr>
            <w:tcW w:w="428" w:type="pct"/>
            <w:tcBorders>
              <w:top w:val="nil"/>
              <w:left w:val="nil"/>
              <w:bottom w:val="single" w:color="auto" w:sz="4" w:space="0"/>
              <w:right w:val="single" w:color="auto" w:sz="4" w:space="0"/>
            </w:tcBorders>
            <w:shd w:val="clear" w:color="auto" w:fill="auto"/>
            <w:vAlign w:val="center"/>
          </w:tcPr>
          <w:p w14:paraId="74FC027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100</w:t>
            </w:r>
          </w:p>
        </w:tc>
        <w:tc>
          <w:tcPr>
            <w:tcW w:w="423" w:type="pct"/>
            <w:tcBorders>
              <w:top w:val="nil"/>
              <w:left w:val="nil"/>
              <w:bottom w:val="single" w:color="auto" w:sz="4" w:space="0"/>
              <w:right w:val="single" w:color="auto" w:sz="4" w:space="0"/>
            </w:tcBorders>
            <w:shd w:val="clear" w:color="auto" w:fill="auto"/>
            <w:vAlign w:val="center"/>
          </w:tcPr>
          <w:p w14:paraId="1443EF4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100</w:t>
            </w:r>
          </w:p>
        </w:tc>
        <w:tc>
          <w:tcPr>
            <w:tcW w:w="423" w:type="pct"/>
            <w:tcBorders>
              <w:top w:val="nil"/>
              <w:left w:val="nil"/>
              <w:bottom w:val="single" w:color="auto" w:sz="4" w:space="0"/>
              <w:right w:val="single" w:color="auto" w:sz="4" w:space="0"/>
            </w:tcBorders>
            <w:shd w:val="clear" w:color="auto" w:fill="auto"/>
            <w:vAlign w:val="center"/>
          </w:tcPr>
          <w:p w14:paraId="3B97EC1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100</w:t>
            </w:r>
          </w:p>
        </w:tc>
        <w:tc>
          <w:tcPr>
            <w:tcW w:w="423" w:type="pct"/>
            <w:tcBorders>
              <w:top w:val="nil"/>
              <w:left w:val="nil"/>
              <w:bottom w:val="single" w:color="auto" w:sz="4" w:space="0"/>
              <w:right w:val="single" w:color="auto" w:sz="4" w:space="0"/>
            </w:tcBorders>
            <w:shd w:val="clear" w:color="auto" w:fill="auto"/>
            <w:vAlign w:val="center"/>
          </w:tcPr>
          <w:p w14:paraId="36DE30D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100</w:t>
            </w:r>
          </w:p>
        </w:tc>
        <w:tc>
          <w:tcPr>
            <w:tcW w:w="426" w:type="pct"/>
            <w:tcBorders>
              <w:top w:val="nil"/>
              <w:left w:val="nil"/>
              <w:bottom w:val="single" w:color="auto" w:sz="4" w:space="0"/>
              <w:right w:val="single" w:color="auto" w:sz="4" w:space="0"/>
            </w:tcBorders>
            <w:shd w:val="clear" w:color="auto" w:fill="auto"/>
            <w:vAlign w:val="center"/>
          </w:tcPr>
          <w:p w14:paraId="15D657A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100</w:t>
            </w:r>
          </w:p>
        </w:tc>
      </w:tr>
      <w:tr w14:paraId="568E1528">
        <w:tblPrEx>
          <w:tblCellMar>
            <w:top w:w="0" w:type="dxa"/>
            <w:left w:w="108" w:type="dxa"/>
            <w:bottom w:w="0" w:type="dxa"/>
            <w:right w:w="108" w:type="dxa"/>
          </w:tblCellMar>
        </w:tblPrEx>
        <w:trPr>
          <w:trHeight w:val="397" w:hRule="atLeast"/>
        </w:trPr>
        <w:tc>
          <w:tcPr>
            <w:tcW w:w="298" w:type="pct"/>
            <w:tcBorders>
              <w:top w:val="nil"/>
              <w:left w:val="single" w:color="auto" w:sz="4" w:space="0"/>
              <w:bottom w:val="single" w:color="auto" w:sz="4" w:space="0"/>
              <w:right w:val="single" w:color="auto" w:sz="4" w:space="0"/>
            </w:tcBorders>
            <w:shd w:val="clear" w:color="auto" w:fill="auto"/>
            <w:vAlign w:val="center"/>
          </w:tcPr>
          <w:p w14:paraId="24899BF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5" w:type="pct"/>
            <w:tcBorders>
              <w:top w:val="nil"/>
              <w:left w:val="nil"/>
              <w:bottom w:val="single" w:color="auto" w:sz="4" w:space="0"/>
              <w:right w:val="single" w:color="auto" w:sz="4" w:space="0"/>
            </w:tcBorders>
            <w:shd w:val="clear" w:color="auto" w:fill="auto"/>
            <w:vAlign w:val="center"/>
          </w:tcPr>
          <w:p w14:paraId="03DE8A8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坡长指数</w:t>
            </w:r>
          </w:p>
        </w:tc>
        <w:tc>
          <w:tcPr>
            <w:tcW w:w="307" w:type="pct"/>
            <w:tcBorders>
              <w:top w:val="nil"/>
              <w:left w:val="nil"/>
              <w:bottom w:val="single" w:color="auto" w:sz="4" w:space="0"/>
              <w:right w:val="single" w:color="auto" w:sz="4" w:space="0"/>
            </w:tcBorders>
            <w:shd w:val="clear" w:color="auto" w:fill="auto"/>
            <w:vAlign w:val="center"/>
          </w:tcPr>
          <w:p w14:paraId="00EA982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m</w:t>
            </w:r>
          </w:p>
        </w:tc>
        <w:tc>
          <w:tcPr>
            <w:tcW w:w="816" w:type="pct"/>
            <w:tcBorders>
              <w:top w:val="nil"/>
              <w:left w:val="nil"/>
              <w:bottom w:val="single" w:color="auto" w:sz="4" w:space="0"/>
              <w:right w:val="single" w:color="auto" w:sz="4" w:space="0"/>
            </w:tcBorders>
            <w:shd w:val="clear" w:color="auto" w:fill="auto"/>
            <w:vAlign w:val="center"/>
          </w:tcPr>
          <w:p w14:paraId="55D2248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423" w:type="pct"/>
            <w:tcBorders>
              <w:top w:val="nil"/>
              <w:left w:val="nil"/>
              <w:bottom w:val="single" w:color="auto" w:sz="4" w:space="0"/>
              <w:right w:val="single" w:color="auto" w:sz="4" w:space="0"/>
            </w:tcBorders>
            <w:shd w:val="clear" w:color="auto" w:fill="auto"/>
            <w:vAlign w:val="center"/>
          </w:tcPr>
          <w:p w14:paraId="05A9B78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0.4</w:t>
            </w:r>
          </w:p>
        </w:tc>
        <w:tc>
          <w:tcPr>
            <w:tcW w:w="428" w:type="pct"/>
            <w:tcBorders>
              <w:top w:val="nil"/>
              <w:left w:val="nil"/>
              <w:bottom w:val="single" w:color="auto" w:sz="4" w:space="0"/>
              <w:right w:val="single" w:color="auto" w:sz="4" w:space="0"/>
            </w:tcBorders>
            <w:shd w:val="clear" w:color="auto" w:fill="auto"/>
            <w:vAlign w:val="center"/>
          </w:tcPr>
          <w:p w14:paraId="4A4A4F8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0.4</w:t>
            </w:r>
          </w:p>
        </w:tc>
        <w:tc>
          <w:tcPr>
            <w:tcW w:w="428" w:type="pct"/>
            <w:tcBorders>
              <w:top w:val="nil"/>
              <w:left w:val="nil"/>
              <w:bottom w:val="single" w:color="auto" w:sz="4" w:space="0"/>
              <w:right w:val="single" w:color="auto" w:sz="4" w:space="0"/>
            </w:tcBorders>
            <w:shd w:val="clear" w:color="auto" w:fill="auto"/>
            <w:vAlign w:val="center"/>
          </w:tcPr>
          <w:p w14:paraId="7830E0F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0.4</w:t>
            </w:r>
          </w:p>
        </w:tc>
        <w:tc>
          <w:tcPr>
            <w:tcW w:w="423" w:type="pct"/>
            <w:tcBorders>
              <w:top w:val="nil"/>
              <w:left w:val="nil"/>
              <w:bottom w:val="single" w:color="auto" w:sz="4" w:space="0"/>
              <w:right w:val="single" w:color="auto" w:sz="4" w:space="0"/>
            </w:tcBorders>
            <w:shd w:val="clear" w:color="auto" w:fill="auto"/>
            <w:vAlign w:val="center"/>
          </w:tcPr>
          <w:p w14:paraId="5F7A4D2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0.4</w:t>
            </w:r>
          </w:p>
        </w:tc>
        <w:tc>
          <w:tcPr>
            <w:tcW w:w="423" w:type="pct"/>
            <w:tcBorders>
              <w:top w:val="nil"/>
              <w:left w:val="nil"/>
              <w:bottom w:val="single" w:color="auto" w:sz="4" w:space="0"/>
              <w:right w:val="single" w:color="auto" w:sz="4" w:space="0"/>
            </w:tcBorders>
            <w:shd w:val="clear" w:color="auto" w:fill="auto"/>
            <w:vAlign w:val="center"/>
          </w:tcPr>
          <w:p w14:paraId="66F4FDA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0.4</w:t>
            </w:r>
          </w:p>
        </w:tc>
        <w:tc>
          <w:tcPr>
            <w:tcW w:w="423" w:type="pct"/>
            <w:tcBorders>
              <w:top w:val="nil"/>
              <w:left w:val="nil"/>
              <w:bottom w:val="single" w:color="auto" w:sz="4" w:space="0"/>
              <w:right w:val="single" w:color="auto" w:sz="4" w:space="0"/>
            </w:tcBorders>
            <w:shd w:val="clear" w:color="auto" w:fill="auto"/>
            <w:vAlign w:val="center"/>
          </w:tcPr>
          <w:p w14:paraId="61DA87F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0.4</w:t>
            </w:r>
          </w:p>
        </w:tc>
        <w:tc>
          <w:tcPr>
            <w:tcW w:w="426" w:type="pct"/>
            <w:tcBorders>
              <w:top w:val="nil"/>
              <w:left w:val="nil"/>
              <w:bottom w:val="single" w:color="auto" w:sz="4" w:space="0"/>
              <w:right w:val="single" w:color="auto" w:sz="4" w:space="0"/>
            </w:tcBorders>
            <w:shd w:val="clear" w:color="auto" w:fill="auto"/>
            <w:vAlign w:val="center"/>
          </w:tcPr>
          <w:p w14:paraId="264F51C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0.4</w:t>
            </w:r>
          </w:p>
        </w:tc>
      </w:tr>
      <w:tr w14:paraId="512CE50C">
        <w:tblPrEx>
          <w:tblCellMar>
            <w:top w:w="0" w:type="dxa"/>
            <w:left w:w="108" w:type="dxa"/>
            <w:bottom w:w="0" w:type="dxa"/>
            <w:right w:w="108" w:type="dxa"/>
          </w:tblCellMar>
        </w:tblPrEx>
        <w:trPr>
          <w:trHeight w:val="397" w:hRule="atLeast"/>
        </w:trPr>
        <w:tc>
          <w:tcPr>
            <w:tcW w:w="298" w:type="pct"/>
            <w:tcBorders>
              <w:top w:val="nil"/>
              <w:left w:val="single" w:color="auto" w:sz="4" w:space="0"/>
              <w:bottom w:val="single" w:color="auto" w:sz="4" w:space="0"/>
              <w:right w:val="single" w:color="auto" w:sz="4" w:space="0"/>
            </w:tcBorders>
            <w:shd w:val="clear" w:color="auto" w:fill="auto"/>
            <w:vAlign w:val="center"/>
          </w:tcPr>
          <w:p w14:paraId="7D77942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c>
          <w:tcPr>
            <w:tcW w:w="605" w:type="pct"/>
            <w:tcBorders>
              <w:top w:val="nil"/>
              <w:left w:val="nil"/>
              <w:bottom w:val="single" w:color="auto" w:sz="4" w:space="0"/>
              <w:right w:val="single" w:color="auto" w:sz="4" w:space="0"/>
            </w:tcBorders>
            <w:shd w:val="clear" w:color="auto" w:fill="auto"/>
            <w:vAlign w:val="center"/>
          </w:tcPr>
          <w:p w14:paraId="5C90BE8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坡度因子</w:t>
            </w:r>
          </w:p>
        </w:tc>
        <w:tc>
          <w:tcPr>
            <w:tcW w:w="307" w:type="pct"/>
            <w:tcBorders>
              <w:top w:val="nil"/>
              <w:left w:val="nil"/>
              <w:bottom w:val="single" w:color="auto" w:sz="4" w:space="0"/>
              <w:right w:val="single" w:color="auto" w:sz="4" w:space="0"/>
            </w:tcBorders>
            <w:shd w:val="clear" w:color="auto" w:fill="auto"/>
            <w:vAlign w:val="center"/>
          </w:tcPr>
          <w:p w14:paraId="79012AE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Sy</w:t>
            </w:r>
          </w:p>
        </w:tc>
        <w:tc>
          <w:tcPr>
            <w:tcW w:w="816" w:type="pct"/>
            <w:tcBorders>
              <w:top w:val="nil"/>
              <w:left w:val="nil"/>
              <w:bottom w:val="single" w:color="auto" w:sz="4" w:space="0"/>
              <w:right w:val="single" w:color="auto" w:sz="4" w:space="0"/>
            </w:tcBorders>
            <w:shd w:val="clear" w:color="auto" w:fill="auto"/>
            <w:vAlign w:val="center"/>
          </w:tcPr>
          <w:p w14:paraId="6DE13DA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Sy=-1.5+17/[1+e</w:t>
            </w:r>
            <w:r>
              <w:rPr>
                <w:rFonts w:cs="Times New Roman"/>
                <w:color w:val="000000" w:themeColor="text1"/>
                <w:sz w:val="21"/>
                <w:szCs w:val="21"/>
                <w:vertAlign w:val="superscript"/>
                <w14:textFill>
                  <w14:solidFill>
                    <w14:schemeClr w14:val="tx1"/>
                  </w14:solidFill>
                </w14:textFill>
              </w:rPr>
              <w:t>(2.3-6.1sinθ)</w:t>
            </w:r>
            <w:r>
              <w:rPr>
                <w:rFonts w:cs="Times New Roman"/>
                <w:color w:val="000000" w:themeColor="text1"/>
                <w:sz w:val="21"/>
                <w:szCs w:val="21"/>
                <w14:textFill>
                  <w14:solidFill>
                    <w14:schemeClr w14:val="tx1"/>
                  </w14:solidFill>
                </w14:textFill>
              </w:rPr>
              <w:t>]</w:t>
            </w:r>
          </w:p>
        </w:tc>
        <w:tc>
          <w:tcPr>
            <w:tcW w:w="423" w:type="pct"/>
            <w:tcBorders>
              <w:top w:val="nil"/>
              <w:left w:val="nil"/>
              <w:bottom w:val="single" w:color="auto" w:sz="4" w:space="0"/>
              <w:right w:val="single" w:color="auto" w:sz="4" w:space="0"/>
            </w:tcBorders>
            <w:shd w:val="clear" w:color="auto" w:fill="auto"/>
            <w:vAlign w:val="center"/>
          </w:tcPr>
          <w:p w14:paraId="6CE2B88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1.21 </w:t>
            </w:r>
          </w:p>
        </w:tc>
        <w:tc>
          <w:tcPr>
            <w:tcW w:w="428" w:type="pct"/>
            <w:tcBorders>
              <w:top w:val="nil"/>
              <w:left w:val="nil"/>
              <w:bottom w:val="single" w:color="auto" w:sz="4" w:space="0"/>
              <w:right w:val="single" w:color="auto" w:sz="4" w:space="0"/>
            </w:tcBorders>
            <w:shd w:val="clear" w:color="auto" w:fill="auto"/>
            <w:vAlign w:val="center"/>
          </w:tcPr>
          <w:p w14:paraId="704FB6A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1.21 </w:t>
            </w:r>
          </w:p>
        </w:tc>
        <w:tc>
          <w:tcPr>
            <w:tcW w:w="428" w:type="pct"/>
            <w:tcBorders>
              <w:top w:val="nil"/>
              <w:left w:val="nil"/>
              <w:bottom w:val="single" w:color="auto" w:sz="4" w:space="0"/>
              <w:right w:val="single" w:color="auto" w:sz="4" w:space="0"/>
            </w:tcBorders>
            <w:shd w:val="clear" w:color="auto" w:fill="auto"/>
            <w:vAlign w:val="center"/>
          </w:tcPr>
          <w:p w14:paraId="29484B3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1.21 </w:t>
            </w:r>
          </w:p>
        </w:tc>
        <w:tc>
          <w:tcPr>
            <w:tcW w:w="423" w:type="pct"/>
            <w:tcBorders>
              <w:top w:val="nil"/>
              <w:left w:val="nil"/>
              <w:bottom w:val="single" w:color="auto" w:sz="4" w:space="0"/>
              <w:right w:val="single" w:color="auto" w:sz="4" w:space="0"/>
            </w:tcBorders>
            <w:shd w:val="clear" w:color="auto" w:fill="auto"/>
            <w:vAlign w:val="center"/>
          </w:tcPr>
          <w:p w14:paraId="67A90FB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0.98 </w:t>
            </w:r>
          </w:p>
        </w:tc>
        <w:tc>
          <w:tcPr>
            <w:tcW w:w="423" w:type="pct"/>
            <w:tcBorders>
              <w:top w:val="nil"/>
              <w:left w:val="nil"/>
              <w:bottom w:val="single" w:color="auto" w:sz="4" w:space="0"/>
              <w:right w:val="single" w:color="auto" w:sz="4" w:space="0"/>
            </w:tcBorders>
            <w:shd w:val="clear" w:color="auto" w:fill="auto"/>
            <w:vAlign w:val="center"/>
          </w:tcPr>
          <w:p w14:paraId="5ED309A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1.21 </w:t>
            </w:r>
          </w:p>
        </w:tc>
        <w:tc>
          <w:tcPr>
            <w:tcW w:w="423" w:type="pct"/>
            <w:tcBorders>
              <w:top w:val="nil"/>
              <w:left w:val="nil"/>
              <w:bottom w:val="single" w:color="auto" w:sz="4" w:space="0"/>
              <w:right w:val="single" w:color="auto" w:sz="4" w:space="0"/>
            </w:tcBorders>
            <w:shd w:val="clear" w:color="auto" w:fill="auto"/>
            <w:vAlign w:val="center"/>
          </w:tcPr>
          <w:p w14:paraId="3C16E1F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0.98 </w:t>
            </w:r>
          </w:p>
        </w:tc>
        <w:tc>
          <w:tcPr>
            <w:tcW w:w="426" w:type="pct"/>
            <w:tcBorders>
              <w:top w:val="nil"/>
              <w:left w:val="nil"/>
              <w:bottom w:val="single" w:color="auto" w:sz="4" w:space="0"/>
              <w:right w:val="single" w:color="auto" w:sz="4" w:space="0"/>
            </w:tcBorders>
            <w:shd w:val="clear" w:color="auto" w:fill="auto"/>
            <w:vAlign w:val="center"/>
          </w:tcPr>
          <w:p w14:paraId="77821A0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 xml:space="preserve">0.98 </w:t>
            </w:r>
          </w:p>
        </w:tc>
      </w:tr>
      <w:tr w14:paraId="3A17E589">
        <w:tblPrEx>
          <w:tblCellMar>
            <w:top w:w="0" w:type="dxa"/>
            <w:left w:w="108" w:type="dxa"/>
            <w:bottom w:w="0" w:type="dxa"/>
            <w:right w:w="108" w:type="dxa"/>
          </w:tblCellMar>
        </w:tblPrEx>
        <w:trPr>
          <w:trHeight w:val="397" w:hRule="atLeast"/>
        </w:trPr>
        <w:tc>
          <w:tcPr>
            <w:tcW w:w="298" w:type="pct"/>
            <w:tcBorders>
              <w:top w:val="nil"/>
              <w:left w:val="single" w:color="auto" w:sz="4" w:space="0"/>
              <w:bottom w:val="single" w:color="auto" w:sz="4" w:space="0"/>
              <w:right w:val="single" w:color="auto" w:sz="4" w:space="0"/>
            </w:tcBorders>
            <w:shd w:val="clear" w:color="auto" w:fill="auto"/>
            <w:vAlign w:val="center"/>
          </w:tcPr>
          <w:p w14:paraId="6E14A38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605" w:type="pct"/>
            <w:tcBorders>
              <w:top w:val="nil"/>
              <w:left w:val="nil"/>
              <w:bottom w:val="single" w:color="auto" w:sz="4" w:space="0"/>
              <w:right w:val="single" w:color="auto" w:sz="4" w:space="0"/>
            </w:tcBorders>
            <w:shd w:val="clear" w:color="auto" w:fill="auto"/>
            <w:vAlign w:val="center"/>
          </w:tcPr>
          <w:p w14:paraId="47447F0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坡度（°）</w:t>
            </w:r>
          </w:p>
        </w:tc>
        <w:tc>
          <w:tcPr>
            <w:tcW w:w="307" w:type="pct"/>
            <w:tcBorders>
              <w:top w:val="nil"/>
              <w:left w:val="nil"/>
              <w:bottom w:val="single" w:color="auto" w:sz="4" w:space="0"/>
              <w:right w:val="single" w:color="auto" w:sz="4" w:space="0"/>
            </w:tcBorders>
            <w:shd w:val="clear" w:color="auto" w:fill="auto"/>
            <w:vAlign w:val="center"/>
          </w:tcPr>
          <w:p w14:paraId="06738FB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θ</w:t>
            </w:r>
          </w:p>
        </w:tc>
        <w:tc>
          <w:tcPr>
            <w:tcW w:w="816" w:type="pct"/>
            <w:tcBorders>
              <w:top w:val="nil"/>
              <w:left w:val="nil"/>
              <w:bottom w:val="single" w:color="auto" w:sz="4" w:space="0"/>
              <w:right w:val="single" w:color="auto" w:sz="4" w:space="0"/>
            </w:tcBorders>
            <w:shd w:val="clear" w:color="auto" w:fill="auto"/>
            <w:vAlign w:val="center"/>
          </w:tcPr>
          <w:p w14:paraId="15E310D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423" w:type="pct"/>
            <w:tcBorders>
              <w:top w:val="nil"/>
              <w:left w:val="nil"/>
              <w:bottom w:val="single" w:color="auto" w:sz="4" w:space="0"/>
              <w:right w:val="single" w:color="auto" w:sz="4" w:space="0"/>
            </w:tcBorders>
            <w:shd w:val="clear" w:color="auto" w:fill="auto"/>
            <w:vAlign w:val="center"/>
          </w:tcPr>
          <w:p w14:paraId="457B380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6</w:t>
            </w:r>
          </w:p>
        </w:tc>
        <w:tc>
          <w:tcPr>
            <w:tcW w:w="428" w:type="pct"/>
            <w:tcBorders>
              <w:top w:val="nil"/>
              <w:left w:val="nil"/>
              <w:bottom w:val="single" w:color="auto" w:sz="4" w:space="0"/>
              <w:right w:val="single" w:color="auto" w:sz="4" w:space="0"/>
            </w:tcBorders>
            <w:shd w:val="clear" w:color="auto" w:fill="auto"/>
            <w:vAlign w:val="center"/>
          </w:tcPr>
          <w:p w14:paraId="5628F89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6</w:t>
            </w:r>
          </w:p>
        </w:tc>
        <w:tc>
          <w:tcPr>
            <w:tcW w:w="428" w:type="pct"/>
            <w:tcBorders>
              <w:top w:val="nil"/>
              <w:left w:val="nil"/>
              <w:bottom w:val="single" w:color="auto" w:sz="4" w:space="0"/>
              <w:right w:val="single" w:color="auto" w:sz="4" w:space="0"/>
            </w:tcBorders>
            <w:shd w:val="clear" w:color="auto" w:fill="auto"/>
            <w:vAlign w:val="center"/>
          </w:tcPr>
          <w:p w14:paraId="116F0F4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6</w:t>
            </w:r>
          </w:p>
        </w:tc>
        <w:tc>
          <w:tcPr>
            <w:tcW w:w="423" w:type="pct"/>
            <w:tcBorders>
              <w:top w:val="nil"/>
              <w:left w:val="nil"/>
              <w:bottom w:val="single" w:color="auto" w:sz="4" w:space="0"/>
              <w:right w:val="single" w:color="auto" w:sz="4" w:space="0"/>
            </w:tcBorders>
            <w:shd w:val="clear" w:color="auto" w:fill="auto"/>
            <w:vAlign w:val="center"/>
          </w:tcPr>
          <w:p w14:paraId="0988E1D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5</w:t>
            </w:r>
          </w:p>
        </w:tc>
        <w:tc>
          <w:tcPr>
            <w:tcW w:w="423" w:type="pct"/>
            <w:tcBorders>
              <w:top w:val="nil"/>
              <w:left w:val="nil"/>
              <w:bottom w:val="single" w:color="auto" w:sz="4" w:space="0"/>
              <w:right w:val="single" w:color="auto" w:sz="4" w:space="0"/>
            </w:tcBorders>
            <w:shd w:val="clear" w:color="auto" w:fill="auto"/>
            <w:vAlign w:val="center"/>
          </w:tcPr>
          <w:p w14:paraId="4377F7B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6</w:t>
            </w:r>
          </w:p>
        </w:tc>
        <w:tc>
          <w:tcPr>
            <w:tcW w:w="423" w:type="pct"/>
            <w:tcBorders>
              <w:top w:val="nil"/>
              <w:left w:val="nil"/>
              <w:bottom w:val="single" w:color="auto" w:sz="4" w:space="0"/>
              <w:right w:val="single" w:color="auto" w:sz="4" w:space="0"/>
            </w:tcBorders>
            <w:shd w:val="clear" w:color="auto" w:fill="auto"/>
            <w:vAlign w:val="center"/>
          </w:tcPr>
          <w:p w14:paraId="5FAE301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5</w:t>
            </w:r>
          </w:p>
        </w:tc>
        <w:tc>
          <w:tcPr>
            <w:tcW w:w="426" w:type="pct"/>
            <w:tcBorders>
              <w:top w:val="nil"/>
              <w:left w:val="nil"/>
              <w:bottom w:val="single" w:color="auto" w:sz="4" w:space="0"/>
              <w:right w:val="single" w:color="auto" w:sz="4" w:space="0"/>
            </w:tcBorders>
            <w:shd w:val="clear" w:color="auto" w:fill="auto"/>
            <w:vAlign w:val="center"/>
          </w:tcPr>
          <w:p w14:paraId="24E60E6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5</w:t>
            </w:r>
          </w:p>
        </w:tc>
      </w:tr>
      <w:tr w14:paraId="7170C2AB">
        <w:tblPrEx>
          <w:tblCellMar>
            <w:top w:w="0" w:type="dxa"/>
            <w:left w:w="108" w:type="dxa"/>
            <w:bottom w:w="0" w:type="dxa"/>
            <w:right w:w="108" w:type="dxa"/>
          </w:tblCellMar>
        </w:tblPrEx>
        <w:trPr>
          <w:trHeight w:val="397" w:hRule="atLeast"/>
        </w:trPr>
        <w:tc>
          <w:tcPr>
            <w:tcW w:w="298" w:type="pct"/>
            <w:tcBorders>
              <w:top w:val="nil"/>
              <w:left w:val="single" w:color="auto" w:sz="4" w:space="0"/>
              <w:bottom w:val="single" w:color="auto" w:sz="4" w:space="0"/>
              <w:right w:val="single" w:color="auto" w:sz="4" w:space="0"/>
            </w:tcBorders>
            <w:shd w:val="clear" w:color="auto" w:fill="auto"/>
            <w:vAlign w:val="center"/>
          </w:tcPr>
          <w:p w14:paraId="46D0C90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6</w:t>
            </w:r>
          </w:p>
        </w:tc>
        <w:tc>
          <w:tcPr>
            <w:tcW w:w="605" w:type="pct"/>
            <w:tcBorders>
              <w:top w:val="nil"/>
              <w:left w:val="nil"/>
              <w:bottom w:val="single" w:color="auto" w:sz="4" w:space="0"/>
              <w:right w:val="single" w:color="auto" w:sz="4" w:space="0"/>
            </w:tcBorders>
            <w:shd w:val="clear" w:color="auto" w:fill="auto"/>
            <w:vAlign w:val="center"/>
          </w:tcPr>
          <w:p w14:paraId="6AC765D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植被覆盖因子</w:t>
            </w:r>
          </w:p>
        </w:tc>
        <w:tc>
          <w:tcPr>
            <w:tcW w:w="307" w:type="pct"/>
            <w:tcBorders>
              <w:top w:val="nil"/>
              <w:left w:val="nil"/>
              <w:bottom w:val="single" w:color="auto" w:sz="4" w:space="0"/>
              <w:right w:val="single" w:color="auto" w:sz="4" w:space="0"/>
            </w:tcBorders>
            <w:shd w:val="clear" w:color="auto" w:fill="auto"/>
            <w:vAlign w:val="center"/>
          </w:tcPr>
          <w:p w14:paraId="3E19273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B</w:t>
            </w:r>
          </w:p>
        </w:tc>
        <w:tc>
          <w:tcPr>
            <w:tcW w:w="816" w:type="pct"/>
            <w:tcBorders>
              <w:top w:val="nil"/>
              <w:left w:val="nil"/>
              <w:bottom w:val="single" w:color="auto" w:sz="4" w:space="0"/>
              <w:right w:val="single" w:color="auto" w:sz="4" w:space="0"/>
            </w:tcBorders>
            <w:shd w:val="clear" w:color="auto" w:fill="auto"/>
            <w:vAlign w:val="center"/>
          </w:tcPr>
          <w:p w14:paraId="48C5E22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423" w:type="pct"/>
            <w:tcBorders>
              <w:top w:val="nil"/>
              <w:left w:val="nil"/>
              <w:bottom w:val="single" w:color="auto" w:sz="4" w:space="0"/>
              <w:right w:val="single" w:color="auto" w:sz="4" w:space="0"/>
            </w:tcBorders>
            <w:shd w:val="clear" w:color="auto" w:fill="auto"/>
            <w:vAlign w:val="center"/>
          </w:tcPr>
          <w:p w14:paraId="74677E8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0.242</w:t>
            </w:r>
          </w:p>
        </w:tc>
        <w:tc>
          <w:tcPr>
            <w:tcW w:w="428" w:type="pct"/>
            <w:tcBorders>
              <w:top w:val="nil"/>
              <w:left w:val="nil"/>
              <w:bottom w:val="single" w:color="auto" w:sz="4" w:space="0"/>
              <w:right w:val="single" w:color="auto" w:sz="4" w:space="0"/>
            </w:tcBorders>
            <w:shd w:val="clear" w:color="auto" w:fill="auto"/>
            <w:vAlign w:val="center"/>
          </w:tcPr>
          <w:p w14:paraId="2A5A6C7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0.242</w:t>
            </w:r>
          </w:p>
        </w:tc>
        <w:tc>
          <w:tcPr>
            <w:tcW w:w="428" w:type="pct"/>
            <w:tcBorders>
              <w:top w:val="nil"/>
              <w:left w:val="nil"/>
              <w:bottom w:val="single" w:color="auto" w:sz="4" w:space="0"/>
              <w:right w:val="single" w:color="auto" w:sz="4" w:space="0"/>
            </w:tcBorders>
            <w:shd w:val="clear" w:color="auto" w:fill="auto"/>
            <w:vAlign w:val="center"/>
          </w:tcPr>
          <w:p w14:paraId="5A56303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0.242</w:t>
            </w:r>
          </w:p>
        </w:tc>
        <w:tc>
          <w:tcPr>
            <w:tcW w:w="423" w:type="pct"/>
            <w:tcBorders>
              <w:top w:val="nil"/>
              <w:left w:val="nil"/>
              <w:bottom w:val="single" w:color="auto" w:sz="4" w:space="0"/>
              <w:right w:val="single" w:color="auto" w:sz="4" w:space="0"/>
            </w:tcBorders>
            <w:shd w:val="clear" w:color="auto" w:fill="auto"/>
            <w:vAlign w:val="center"/>
          </w:tcPr>
          <w:p w14:paraId="7531ADC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0.242</w:t>
            </w:r>
          </w:p>
        </w:tc>
        <w:tc>
          <w:tcPr>
            <w:tcW w:w="423" w:type="pct"/>
            <w:tcBorders>
              <w:top w:val="nil"/>
              <w:left w:val="nil"/>
              <w:bottom w:val="single" w:color="auto" w:sz="4" w:space="0"/>
              <w:right w:val="single" w:color="auto" w:sz="4" w:space="0"/>
            </w:tcBorders>
            <w:shd w:val="clear" w:color="auto" w:fill="auto"/>
            <w:vAlign w:val="center"/>
          </w:tcPr>
          <w:p w14:paraId="72C927F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0.242</w:t>
            </w:r>
          </w:p>
        </w:tc>
        <w:tc>
          <w:tcPr>
            <w:tcW w:w="423" w:type="pct"/>
            <w:tcBorders>
              <w:top w:val="nil"/>
              <w:left w:val="nil"/>
              <w:bottom w:val="single" w:color="auto" w:sz="4" w:space="0"/>
              <w:right w:val="single" w:color="auto" w:sz="4" w:space="0"/>
            </w:tcBorders>
            <w:shd w:val="clear" w:color="auto" w:fill="auto"/>
            <w:vAlign w:val="center"/>
          </w:tcPr>
          <w:p w14:paraId="16ED9A0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0.242</w:t>
            </w:r>
          </w:p>
        </w:tc>
        <w:tc>
          <w:tcPr>
            <w:tcW w:w="426" w:type="pct"/>
            <w:tcBorders>
              <w:top w:val="nil"/>
              <w:left w:val="nil"/>
              <w:bottom w:val="single" w:color="auto" w:sz="4" w:space="0"/>
              <w:right w:val="single" w:color="auto" w:sz="4" w:space="0"/>
            </w:tcBorders>
            <w:shd w:val="clear" w:color="auto" w:fill="auto"/>
            <w:vAlign w:val="center"/>
          </w:tcPr>
          <w:p w14:paraId="655B18F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0.242</w:t>
            </w:r>
          </w:p>
        </w:tc>
      </w:tr>
      <w:tr w14:paraId="659E3C2F">
        <w:tblPrEx>
          <w:tblCellMar>
            <w:top w:w="0" w:type="dxa"/>
            <w:left w:w="108" w:type="dxa"/>
            <w:bottom w:w="0" w:type="dxa"/>
            <w:right w:w="108" w:type="dxa"/>
          </w:tblCellMar>
        </w:tblPrEx>
        <w:trPr>
          <w:trHeight w:val="397" w:hRule="atLeast"/>
        </w:trPr>
        <w:tc>
          <w:tcPr>
            <w:tcW w:w="298" w:type="pct"/>
            <w:tcBorders>
              <w:top w:val="nil"/>
              <w:left w:val="single" w:color="auto" w:sz="4" w:space="0"/>
              <w:bottom w:val="single" w:color="auto" w:sz="4" w:space="0"/>
              <w:right w:val="single" w:color="auto" w:sz="4" w:space="0"/>
            </w:tcBorders>
            <w:shd w:val="clear" w:color="auto" w:fill="auto"/>
            <w:vAlign w:val="center"/>
          </w:tcPr>
          <w:p w14:paraId="6C30CA9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7</w:t>
            </w:r>
          </w:p>
        </w:tc>
        <w:tc>
          <w:tcPr>
            <w:tcW w:w="605" w:type="pct"/>
            <w:tcBorders>
              <w:top w:val="nil"/>
              <w:left w:val="nil"/>
              <w:bottom w:val="single" w:color="auto" w:sz="4" w:space="0"/>
              <w:right w:val="single" w:color="auto" w:sz="4" w:space="0"/>
            </w:tcBorders>
            <w:shd w:val="clear" w:color="auto" w:fill="auto"/>
            <w:vAlign w:val="center"/>
          </w:tcPr>
          <w:p w14:paraId="52F8656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工程措施因子</w:t>
            </w:r>
          </w:p>
        </w:tc>
        <w:tc>
          <w:tcPr>
            <w:tcW w:w="307" w:type="pct"/>
            <w:tcBorders>
              <w:top w:val="nil"/>
              <w:left w:val="nil"/>
              <w:bottom w:val="single" w:color="auto" w:sz="4" w:space="0"/>
              <w:right w:val="single" w:color="auto" w:sz="4" w:space="0"/>
            </w:tcBorders>
            <w:shd w:val="clear" w:color="auto" w:fill="auto"/>
            <w:vAlign w:val="center"/>
          </w:tcPr>
          <w:p w14:paraId="160B593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E</w:t>
            </w:r>
          </w:p>
        </w:tc>
        <w:tc>
          <w:tcPr>
            <w:tcW w:w="816" w:type="pct"/>
            <w:tcBorders>
              <w:top w:val="nil"/>
              <w:left w:val="nil"/>
              <w:bottom w:val="single" w:color="auto" w:sz="4" w:space="0"/>
              <w:right w:val="single" w:color="auto" w:sz="4" w:space="0"/>
            </w:tcBorders>
            <w:shd w:val="clear" w:color="auto" w:fill="auto"/>
            <w:vAlign w:val="center"/>
          </w:tcPr>
          <w:p w14:paraId="2CCEA81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423" w:type="pct"/>
            <w:tcBorders>
              <w:top w:val="nil"/>
              <w:left w:val="nil"/>
              <w:bottom w:val="single" w:color="auto" w:sz="4" w:space="0"/>
              <w:right w:val="single" w:color="auto" w:sz="4" w:space="0"/>
            </w:tcBorders>
            <w:shd w:val="clear" w:color="auto" w:fill="auto"/>
            <w:vAlign w:val="center"/>
          </w:tcPr>
          <w:p w14:paraId="067BDC0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428" w:type="pct"/>
            <w:tcBorders>
              <w:top w:val="nil"/>
              <w:left w:val="nil"/>
              <w:bottom w:val="single" w:color="auto" w:sz="4" w:space="0"/>
              <w:right w:val="single" w:color="auto" w:sz="4" w:space="0"/>
            </w:tcBorders>
            <w:shd w:val="clear" w:color="auto" w:fill="auto"/>
            <w:vAlign w:val="center"/>
          </w:tcPr>
          <w:p w14:paraId="709464D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428" w:type="pct"/>
            <w:tcBorders>
              <w:top w:val="nil"/>
              <w:left w:val="nil"/>
              <w:bottom w:val="single" w:color="auto" w:sz="4" w:space="0"/>
              <w:right w:val="single" w:color="auto" w:sz="4" w:space="0"/>
            </w:tcBorders>
            <w:shd w:val="clear" w:color="auto" w:fill="auto"/>
            <w:vAlign w:val="center"/>
          </w:tcPr>
          <w:p w14:paraId="2D27EEE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423" w:type="pct"/>
            <w:tcBorders>
              <w:top w:val="nil"/>
              <w:left w:val="nil"/>
              <w:bottom w:val="single" w:color="auto" w:sz="4" w:space="0"/>
              <w:right w:val="single" w:color="auto" w:sz="4" w:space="0"/>
            </w:tcBorders>
            <w:shd w:val="clear" w:color="auto" w:fill="auto"/>
            <w:vAlign w:val="center"/>
          </w:tcPr>
          <w:p w14:paraId="43121B2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423" w:type="pct"/>
            <w:tcBorders>
              <w:top w:val="nil"/>
              <w:left w:val="nil"/>
              <w:bottom w:val="single" w:color="auto" w:sz="4" w:space="0"/>
              <w:right w:val="single" w:color="auto" w:sz="4" w:space="0"/>
            </w:tcBorders>
            <w:shd w:val="clear" w:color="auto" w:fill="auto"/>
            <w:vAlign w:val="center"/>
          </w:tcPr>
          <w:p w14:paraId="089D5E6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423" w:type="pct"/>
            <w:tcBorders>
              <w:top w:val="nil"/>
              <w:left w:val="nil"/>
              <w:bottom w:val="single" w:color="auto" w:sz="4" w:space="0"/>
              <w:right w:val="single" w:color="auto" w:sz="4" w:space="0"/>
            </w:tcBorders>
            <w:shd w:val="clear" w:color="auto" w:fill="auto"/>
            <w:vAlign w:val="center"/>
          </w:tcPr>
          <w:p w14:paraId="7D144EF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426" w:type="pct"/>
            <w:tcBorders>
              <w:top w:val="nil"/>
              <w:left w:val="nil"/>
              <w:bottom w:val="single" w:color="auto" w:sz="4" w:space="0"/>
              <w:right w:val="single" w:color="auto" w:sz="4" w:space="0"/>
            </w:tcBorders>
            <w:shd w:val="clear" w:color="auto" w:fill="auto"/>
            <w:vAlign w:val="center"/>
          </w:tcPr>
          <w:p w14:paraId="2F7BD16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r>
      <w:tr w14:paraId="72504C56">
        <w:tblPrEx>
          <w:tblCellMar>
            <w:top w:w="0" w:type="dxa"/>
            <w:left w:w="108" w:type="dxa"/>
            <w:bottom w:w="0" w:type="dxa"/>
            <w:right w:w="108" w:type="dxa"/>
          </w:tblCellMar>
        </w:tblPrEx>
        <w:trPr>
          <w:trHeight w:val="397" w:hRule="atLeast"/>
        </w:trPr>
        <w:tc>
          <w:tcPr>
            <w:tcW w:w="298" w:type="pct"/>
            <w:tcBorders>
              <w:top w:val="nil"/>
              <w:left w:val="single" w:color="auto" w:sz="4" w:space="0"/>
              <w:bottom w:val="single" w:color="auto" w:sz="4" w:space="0"/>
              <w:right w:val="single" w:color="auto" w:sz="4" w:space="0"/>
            </w:tcBorders>
            <w:shd w:val="clear" w:color="auto" w:fill="auto"/>
            <w:vAlign w:val="center"/>
          </w:tcPr>
          <w:p w14:paraId="2235CD2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8</w:t>
            </w:r>
          </w:p>
        </w:tc>
        <w:tc>
          <w:tcPr>
            <w:tcW w:w="605" w:type="pct"/>
            <w:tcBorders>
              <w:top w:val="nil"/>
              <w:left w:val="nil"/>
              <w:bottom w:val="single" w:color="auto" w:sz="4" w:space="0"/>
              <w:right w:val="single" w:color="auto" w:sz="4" w:space="0"/>
            </w:tcBorders>
            <w:shd w:val="clear" w:color="auto" w:fill="auto"/>
            <w:vAlign w:val="center"/>
          </w:tcPr>
          <w:p w14:paraId="60C434F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耕作措施因子</w:t>
            </w:r>
          </w:p>
        </w:tc>
        <w:tc>
          <w:tcPr>
            <w:tcW w:w="307" w:type="pct"/>
            <w:tcBorders>
              <w:top w:val="nil"/>
              <w:left w:val="nil"/>
              <w:bottom w:val="single" w:color="auto" w:sz="4" w:space="0"/>
              <w:right w:val="single" w:color="auto" w:sz="4" w:space="0"/>
            </w:tcBorders>
            <w:shd w:val="clear" w:color="auto" w:fill="auto"/>
            <w:vAlign w:val="center"/>
          </w:tcPr>
          <w:p w14:paraId="452D6AE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T</w:t>
            </w:r>
          </w:p>
        </w:tc>
        <w:tc>
          <w:tcPr>
            <w:tcW w:w="816" w:type="pct"/>
            <w:tcBorders>
              <w:top w:val="nil"/>
              <w:left w:val="nil"/>
              <w:bottom w:val="single" w:color="auto" w:sz="4" w:space="0"/>
              <w:right w:val="single" w:color="auto" w:sz="4" w:space="0"/>
            </w:tcBorders>
            <w:shd w:val="clear" w:color="auto" w:fill="auto"/>
            <w:vAlign w:val="center"/>
          </w:tcPr>
          <w:p w14:paraId="43DB37F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423" w:type="pct"/>
            <w:tcBorders>
              <w:top w:val="nil"/>
              <w:left w:val="nil"/>
              <w:bottom w:val="single" w:color="auto" w:sz="4" w:space="0"/>
              <w:right w:val="single" w:color="auto" w:sz="4" w:space="0"/>
            </w:tcBorders>
            <w:shd w:val="clear" w:color="auto" w:fill="auto"/>
            <w:vAlign w:val="center"/>
          </w:tcPr>
          <w:p w14:paraId="124DC8C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428" w:type="pct"/>
            <w:tcBorders>
              <w:top w:val="nil"/>
              <w:left w:val="nil"/>
              <w:bottom w:val="single" w:color="auto" w:sz="4" w:space="0"/>
              <w:right w:val="single" w:color="auto" w:sz="4" w:space="0"/>
            </w:tcBorders>
            <w:shd w:val="clear" w:color="auto" w:fill="auto"/>
            <w:vAlign w:val="center"/>
          </w:tcPr>
          <w:p w14:paraId="732BA6B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428" w:type="pct"/>
            <w:tcBorders>
              <w:top w:val="nil"/>
              <w:left w:val="nil"/>
              <w:bottom w:val="single" w:color="auto" w:sz="4" w:space="0"/>
              <w:right w:val="single" w:color="auto" w:sz="4" w:space="0"/>
            </w:tcBorders>
            <w:shd w:val="clear" w:color="auto" w:fill="auto"/>
            <w:vAlign w:val="center"/>
          </w:tcPr>
          <w:p w14:paraId="6C2758B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423" w:type="pct"/>
            <w:tcBorders>
              <w:top w:val="nil"/>
              <w:left w:val="nil"/>
              <w:bottom w:val="single" w:color="auto" w:sz="4" w:space="0"/>
              <w:right w:val="single" w:color="auto" w:sz="4" w:space="0"/>
            </w:tcBorders>
            <w:shd w:val="clear" w:color="auto" w:fill="auto"/>
            <w:vAlign w:val="center"/>
          </w:tcPr>
          <w:p w14:paraId="1012BFE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423" w:type="pct"/>
            <w:tcBorders>
              <w:top w:val="nil"/>
              <w:left w:val="nil"/>
              <w:bottom w:val="single" w:color="auto" w:sz="4" w:space="0"/>
              <w:right w:val="single" w:color="auto" w:sz="4" w:space="0"/>
            </w:tcBorders>
            <w:shd w:val="clear" w:color="auto" w:fill="auto"/>
            <w:vAlign w:val="center"/>
          </w:tcPr>
          <w:p w14:paraId="3884D40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423" w:type="pct"/>
            <w:tcBorders>
              <w:top w:val="nil"/>
              <w:left w:val="nil"/>
              <w:bottom w:val="single" w:color="auto" w:sz="4" w:space="0"/>
              <w:right w:val="single" w:color="auto" w:sz="4" w:space="0"/>
            </w:tcBorders>
            <w:shd w:val="clear" w:color="auto" w:fill="auto"/>
            <w:vAlign w:val="center"/>
          </w:tcPr>
          <w:p w14:paraId="2E1C586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c>
          <w:tcPr>
            <w:tcW w:w="426" w:type="pct"/>
            <w:tcBorders>
              <w:top w:val="nil"/>
              <w:left w:val="nil"/>
              <w:bottom w:val="single" w:color="auto" w:sz="4" w:space="0"/>
              <w:right w:val="single" w:color="auto" w:sz="4" w:space="0"/>
            </w:tcBorders>
            <w:shd w:val="clear" w:color="auto" w:fill="auto"/>
            <w:vAlign w:val="center"/>
          </w:tcPr>
          <w:p w14:paraId="644C246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1"/>
                <w:szCs w:val="21"/>
              </w:rPr>
              <w:t>1</w:t>
            </w:r>
          </w:p>
        </w:tc>
      </w:tr>
    </w:tbl>
    <w:p w14:paraId="42DF4B57">
      <w:pPr>
        <w:ind w:left="480" w:firstLine="0" w:firstLineChars="0"/>
        <w:rPr>
          <w:rFonts w:cs="Times New Roman"/>
          <w:color w:val="000000" w:themeColor="text1"/>
          <w14:textFill>
            <w14:solidFill>
              <w14:schemeClr w14:val="tx1"/>
            </w14:solidFill>
          </w14:textFill>
        </w:rPr>
        <w:sectPr>
          <w:footerReference r:id="rId70" w:type="default"/>
          <w:pgSz w:w="16840" w:h="11910" w:orient="landscape"/>
          <w:pgMar w:top="1340" w:right="1420" w:bottom="1560" w:left="1360" w:header="876" w:footer="1227" w:gutter="0"/>
          <w:cols w:space="720" w:num="1"/>
          <w:docGrid w:linePitch="326" w:charSpace="0"/>
        </w:sectPr>
      </w:pPr>
    </w:p>
    <w:p w14:paraId="1B64B52E">
      <w:pPr>
        <w:pStyle w:val="66"/>
      </w:pPr>
      <w:r>
        <w:rPr>
          <w:rFonts w:hint="eastAsia"/>
        </w:rPr>
        <w:t>（2）</w:t>
      </w:r>
      <w:r>
        <w:t>风蚀土壤侵蚀模数</w:t>
      </w:r>
    </w:p>
    <w:p w14:paraId="2808EF51">
      <w:pPr>
        <w:pStyle w:val="66"/>
      </w:pPr>
      <w:r>
        <w:t>1）风力作用下一般扰动地表土壤侵蚀模数按下式计算：</w:t>
      </w:r>
    </w:p>
    <w:p w14:paraId="2FDC64CF">
      <w:pPr>
        <w:pStyle w:val="66"/>
        <w:jc w:val="center"/>
      </w:pPr>
      <w:r>
        <w:t>Mf=100QIJGf</w:t>
      </w:r>
    </w:p>
    <w:p w14:paraId="199EFEAB">
      <w:pPr>
        <w:pStyle w:val="66"/>
      </w:pPr>
      <w:r>
        <w:t>式中：</w:t>
      </w:r>
    </w:p>
    <w:p w14:paraId="0D04E8FC">
      <w:pPr>
        <w:pStyle w:val="66"/>
      </w:pPr>
      <w:r>
        <w:t>Mf——一般扰动地表测算单元土壤侵蚀模数，t/（km²·a）；</w:t>
      </w:r>
    </w:p>
    <w:p w14:paraId="4099D5F6">
      <w:pPr>
        <w:pStyle w:val="66"/>
      </w:pPr>
      <w:r>
        <w:t>Q——单位面积风蚀率，t/km²；</w:t>
      </w:r>
    </w:p>
    <w:p w14:paraId="0BCF6CEC">
      <w:pPr>
        <w:pStyle w:val="66"/>
      </w:pPr>
      <w:r>
        <w:t>I——粗糙干扰因子，无量纲，I=e-0.045υ；</w:t>
      </w:r>
    </w:p>
    <w:p w14:paraId="31A7320E">
      <w:pPr>
        <w:pStyle w:val="66"/>
      </w:pPr>
      <w:r>
        <w:t>J——地表物质紧实程度系数，无量纲；</w:t>
      </w:r>
    </w:p>
    <w:p w14:paraId="27D9AAB2">
      <w:pPr>
        <w:pStyle w:val="66"/>
      </w:pPr>
      <w:r>
        <w:t>Gf——风蚀可蚀性因子，无量纲。</w:t>
      </w:r>
    </w:p>
    <w:p w14:paraId="7D2FA0DD">
      <w:pPr>
        <w:pStyle w:val="66"/>
      </w:pPr>
      <w:r>
        <w:t>根据上式计算，风力作用下一般扰动地表土壤侵蚀模数计算</w:t>
      </w:r>
      <w:r>
        <w:rPr>
          <w:rFonts w:hint="eastAsia"/>
        </w:rPr>
        <w:t>（背景值）</w:t>
      </w:r>
      <w:r>
        <w:t>表4-13。</w:t>
      </w:r>
    </w:p>
    <w:p w14:paraId="2EEADD6D">
      <w:pPr>
        <w:pStyle w:val="66"/>
        <w:sectPr>
          <w:headerReference r:id="rId71" w:type="default"/>
          <w:footerReference r:id="rId72" w:type="default"/>
          <w:pgSz w:w="11910" w:h="16840"/>
          <w:pgMar w:top="1360" w:right="1340" w:bottom="1420" w:left="1560" w:header="876" w:footer="1227" w:gutter="0"/>
          <w:cols w:space="720" w:num="1"/>
        </w:sectPr>
      </w:pPr>
    </w:p>
    <w:p w14:paraId="652CC97E">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表4-13                                                 风力作用下一般扰动地表土壤侵蚀模数计算表</w:t>
      </w:r>
      <w:bookmarkStart w:id="280" w:name="_Hlk153216822"/>
      <w:r>
        <w:rPr>
          <w:color w:val="000000" w:themeColor="text1"/>
          <w:lang w:eastAsia="zh-CN"/>
          <w14:textFill>
            <w14:solidFill>
              <w14:schemeClr w14:val="tx1"/>
            </w14:solidFill>
          </w14:textFill>
        </w:rPr>
        <w:t>（背景值）</w:t>
      </w:r>
      <w:bookmarkEnd w:id="280"/>
      <w:r>
        <w:rPr>
          <w:color w:val="000000" w:themeColor="text1"/>
          <w:lang w:eastAsia="zh-CN"/>
          <w14:textFill>
            <w14:solidFill>
              <w14:schemeClr w14:val="tx1"/>
            </w14:solidFill>
          </w14:textFill>
        </w:rPr>
        <w:t xml:space="preserve">                             单位：t/km²·a</w:t>
      </w:r>
    </w:p>
    <w:tbl>
      <w:tblPr>
        <w:tblStyle w:val="27"/>
        <w:tblW w:w="0" w:type="auto"/>
        <w:tblInd w:w="0" w:type="dxa"/>
        <w:tblLayout w:type="autofit"/>
        <w:tblCellMar>
          <w:top w:w="0" w:type="dxa"/>
          <w:left w:w="108" w:type="dxa"/>
          <w:bottom w:w="0" w:type="dxa"/>
          <w:right w:w="108" w:type="dxa"/>
        </w:tblCellMar>
      </w:tblPr>
      <w:tblGrid>
        <w:gridCol w:w="550"/>
        <w:gridCol w:w="2385"/>
        <w:gridCol w:w="564"/>
        <w:gridCol w:w="1091"/>
        <w:gridCol w:w="1867"/>
        <w:gridCol w:w="1494"/>
        <w:gridCol w:w="1093"/>
        <w:gridCol w:w="1280"/>
        <w:gridCol w:w="1200"/>
        <w:gridCol w:w="1600"/>
        <w:gridCol w:w="1094"/>
      </w:tblGrid>
      <w:tr w14:paraId="4B82D8AE">
        <w:tblPrEx>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double" w:color="auto" w:sz="4" w:space="0"/>
              <w:right w:val="single" w:color="auto" w:sz="4" w:space="0"/>
            </w:tcBorders>
            <w:shd w:val="clear" w:color="auto" w:fill="auto"/>
            <w:vAlign w:val="center"/>
          </w:tcPr>
          <w:p w14:paraId="537068C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序号</w:t>
            </w:r>
          </w:p>
        </w:tc>
        <w:tc>
          <w:tcPr>
            <w:tcW w:w="0" w:type="auto"/>
            <w:tcBorders>
              <w:top w:val="single" w:color="auto" w:sz="4" w:space="0"/>
              <w:left w:val="nil"/>
              <w:bottom w:val="double" w:color="auto" w:sz="4" w:space="0"/>
              <w:right w:val="single" w:color="auto" w:sz="4" w:space="0"/>
            </w:tcBorders>
            <w:shd w:val="clear" w:color="auto" w:fill="auto"/>
            <w:vAlign w:val="center"/>
          </w:tcPr>
          <w:p w14:paraId="49F5926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项目</w:t>
            </w:r>
          </w:p>
        </w:tc>
        <w:tc>
          <w:tcPr>
            <w:tcW w:w="0" w:type="auto"/>
            <w:tcBorders>
              <w:top w:val="single" w:color="auto" w:sz="4" w:space="0"/>
              <w:left w:val="nil"/>
              <w:bottom w:val="double" w:color="auto" w:sz="4" w:space="0"/>
              <w:right w:val="single" w:color="auto" w:sz="4" w:space="0"/>
            </w:tcBorders>
            <w:shd w:val="clear" w:color="auto" w:fill="auto"/>
            <w:vAlign w:val="center"/>
          </w:tcPr>
          <w:p w14:paraId="57FB800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因子</w:t>
            </w:r>
          </w:p>
        </w:tc>
        <w:tc>
          <w:tcPr>
            <w:tcW w:w="0" w:type="auto"/>
            <w:tcBorders>
              <w:top w:val="single" w:color="auto" w:sz="4" w:space="0"/>
              <w:left w:val="nil"/>
              <w:bottom w:val="double" w:color="auto" w:sz="4" w:space="0"/>
              <w:right w:val="single" w:color="auto" w:sz="4" w:space="0"/>
            </w:tcBorders>
            <w:shd w:val="clear" w:color="auto" w:fill="auto"/>
            <w:vAlign w:val="center"/>
          </w:tcPr>
          <w:p w14:paraId="25F5FD0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公式</w:t>
            </w:r>
          </w:p>
        </w:tc>
        <w:tc>
          <w:tcPr>
            <w:tcW w:w="0" w:type="auto"/>
            <w:tcBorders>
              <w:top w:val="single" w:color="auto" w:sz="4" w:space="0"/>
              <w:left w:val="nil"/>
              <w:bottom w:val="double" w:color="auto" w:sz="4" w:space="0"/>
              <w:right w:val="single" w:color="auto" w:sz="4" w:space="0"/>
            </w:tcBorders>
            <w:shd w:val="clear" w:color="auto" w:fill="auto"/>
            <w:vAlign w:val="center"/>
          </w:tcPr>
          <w:p w14:paraId="11B1A05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公共管理与公共服务用地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3A6CE643">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商业服务业用地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7615FA42">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工矿用地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7EA7B85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交通运输用地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30BFB37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公用设施用地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1892319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绿地与开敞空间用地</w:t>
            </w:r>
          </w:p>
        </w:tc>
        <w:tc>
          <w:tcPr>
            <w:tcW w:w="0" w:type="auto"/>
            <w:tcBorders>
              <w:top w:val="single" w:color="auto" w:sz="4" w:space="0"/>
              <w:left w:val="nil"/>
              <w:bottom w:val="double" w:color="auto" w:sz="4" w:space="0"/>
              <w:right w:val="single" w:color="auto" w:sz="4" w:space="0"/>
            </w:tcBorders>
            <w:shd w:val="clear" w:color="auto" w:fill="auto"/>
            <w:vAlign w:val="center"/>
          </w:tcPr>
          <w:p w14:paraId="5D4D69E9">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陆地水域</w:t>
            </w:r>
          </w:p>
        </w:tc>
      </w:tr>
      <w:tr w14:paraId="5F4231CF">
        <w:tblPrEx>
          <w:tblCellMar>
            <w:top w:w="0" w:type="dxa"/>
            <w:left w:w="108" w:type="dxa"/>
            <w:bottom w:w="0" w:type="dxa"/>
            <w:right w:w="108" w:type="dxa"/>
          </w:tblCellMar>
        </w:tblPrEx>
        <w:trPr>
          <w:trHeight w:val="397" w:hRule="atLeast"/>
        </w:trPr>
        <w:tc>
          <w:tcPr>
            <w:tcW w:w="0" w:type="auto"/>
            <w:tcBorders>
              <w:top w:val="double" w:color="auto" w:sz="4" w:space="0"/>
              <w:left w:val="single" w:color="auto" w:sz="4" w:space="0"/>
              <w:bottom w:val="single" w:color="auto" w:sz="4" w:space="0"/>
              <w:right w:val="single" w:color="auto" w:sz="4" w:space="0"/>
            </w:tcBorders>
            <w:shd w:val="clear" w:color="auto" w:fill="auto"/>
            <w:vAlign w:val="center"/>
          </w:tcPr>
          <w:p w14:paraId="10E0F68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0" w:type="auto"/>
            <w:tcBorders>
              <w:top w:val="double" w:color="auto" w:sz="4" w:space="0"/>
              <w:left w:val="nil"/>
              <w:bottom w:val="single" w:color="auto" w:sz="4" w:space="0"/>
              <w:right w:val="single" w:color="auto" w:sz="4" w:space="0"/>
            </w:tcBorders>
            <w:shd w:val="clear" w:color="auto" w:fill="auto"/>
            <w:vAlign w:val="center"/>
          </w:tcPr>
          <w:p w14:paraId="162FC57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一般扰动地表</w:t>
            </w:r>
          </w:p>
        </w:tc>
        <w:tc>
          <w:tcPr>
            <w:tcW w:w="0" w:type="auto"/>
            <w:tcBorders>
              <w:top w:val="double" w:color="auto" w:sz="4" w:space="0"/>
              <w:left w:val="nil"/>
              <w:bottom w:val="single" w:color="auto" w:sz="4" w:space="0"/>
              <w:right w:val="single" w:color="auto" w:sz="4" w:space="0"/>
            </w:tcBorders>
            <w:shd w:val="clear" w:color="auto" w:fill="auto"/>
            <w:vAlign w:val="center"/>
          </w:tcPr>
          <w:p w14:paraId="44E6DE3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Mf</w:t>
            </w:r>
          </w:p>
        </w:tc>
        <w:tc>
          <w:tcPr>
            <w:tcW w:w="0" w:type="auto"/>
            <w:tcBorders>
              <w:top w:val="double" w:color="auto" w:sz="4" w:space="0"/>
              <w:left w:val="nil"/>
              <w:bottom w:val="single" w:color="auto" w:sz="4" w:space="0"/>
              <w:right w:val="single" w:color="auto" w:sz="4" w:space="0"/>
            </w:tcBorders>
            <w:shd w:val="clear" w:color="auto" w:fill="auto"/>
            <w:vAlign w:val="center"/>
          </w:tcPr>
          <w:p w14:paraId="626B7C9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Mf=QIJGf</w:t>
            </w:r>
          </w:p>
        </w:tc>
        <w:tc>
          <w:tcPr>
            <w:tcW w:w="0" w:type="auto"/>
            <w:tcBorders>
              <w:top w:val="double" w:color="auto" w:sz="4" w:space="0"/>
              <w:left w:val="nil"/>
              <w:bottom w:val="single" w:color="auto" w:sz="4" w:space="0"/>
              <w:right w:val="single" w:color="auto" w:sz="4" w:space="0"/>
            </w:tcBorders>
            <w:shd w:val="clear" w:color="auto" w:fill="auto"/>
            <w:vAlign w:val="center"/>
          </w:tcPr>
          <w:p w14:paraId="3594C84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2112</w:t>
            </w:r>
          </w:p>
        </w:tc>
        <w:tc>
          <w:tcPr>
            <w:tcW w:w="0" w:type="auto"/>
            <w:tcBorders>
              <w:top w:val="double" w:color="auto" w:sz="4" w:space="0"/>
              <w:left w:val="nil"/>
              <w:bottom w:val="single" w:color="auto" w:sz="4" w:space="0"/>
              <w:right w:val="single" w:color="auto" w:sz="4" w:space="0"/>
            </w:tcBorders>
            <w:shd w:val="clear" w:color="auto" w:fill="auto"/>
            <w:vAlign w:val="center"/>
          </w:tcPr>
          <w:p w14:paraId="075B88A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2112</w:t>
            </w:r>
          </w:p>
        </w:tc>
        <w:tc>
          <w:tcPr>
            <w:tcW w:w="0" w:type="auto"/>
            <w:tcBorders>
              <w:top w:val="double" w:color="auto" w:sz="4" w:space="0"/>
              <w:left w:val="nil"/>
              <w:bottom w:val="single" w:color="auto" w:sz="4" w:space="0"/>
              <w:right w:val="single" w:color="auto" w:sz="4" w:space="0"/>
            </w:tcBorders>
            <w:shd w:val="clear" w:color="auto" w:fill="auto"/>
            <w:vAlign w:val="center"/>
          </w:tcPr>
          <w:p w14:paraId="1D2F2E5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2112</w:t>
            </w:r>
          </w:p>
        </w:tc>
        <w:tc>
          <w:tcPr>
            <w:tcW w:w="0" w:type="auto"/>
            <w:tcBorders>
              <w:top w:val="double" w:color="auto" w:sz="4" w:space="0"/>
              <w:left w:val="nil"/>
              <w:bottom w:val="single" w:color="auto" w:sz="4" w:space="0"/>
              <w:right w:val="single" w:color="auto" w:sz="4" w:space="0"/>
            </w:tcBorders>
            <w:shd w:val="clear" w:color="auto" w:fill="auto"/>
            <w:vAlign w:val="center"/>
          </w:tcPr>
          <w:p w14:paraId="0107352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2112</w:t>
            </w:r>
          </w:p>
        </w:tc>
        <w:tc>
          <w:tcPr>
            <w:tcW w:w="0" w:type="auto"/>
            <w:tcBorders>
              <w:top w:val="double" w:color="auto" w:sz="4" w:space="0"/>
              <w:left w:val="nil"/>
              <w:bottom w:val="single" w:color="auto" w:sz="4" w:space="0"/>
              <w:right w:val="single" w:color="auto" w:sz="4" w:space="0"/>
            </w:tcBorders>
            <w:shd w:val="clear" w:color="auto" w:fill="auto"/>
            <w:vAlign w:val="center"/>
          </w:tcPr>
          <w:p w14:paraId="4368769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2112</w:t>
            </w:r>
          </w:p>
        </w:tc>
        <w:tc>
          <w:tcPr>
            <w:tcW w:w="0" w:type="auto"/>
            <w:tcBorders>
              <w:top w:val="double" w:color="auto" w:sz="4" w:space="0"/>
              <w:left w:val="nil"/>
              <w:bottom w:val="single" w:color="auto" w:sz="4" w:space="0"/>
              <w:right w:val="single" w:color="auto" w:sz="4" w:space="0"/>
            </w:tcBorders>
            <w:shd w:val="clear" w:color="auto" w:fill="auto"/>
            <w:vAlign w:val="center"/>
          </w:tcPr>
          <w:p w14:paraId="0CF9F65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2112</w:t>
            </w:r>
          </w:p>
        </w:tc>
        <w:tc>
          <w:tcPr>
            <w:tcW w:w="0" w:type="auto"/>
            <w:tcBorders>
              <w:top w:val="double" w:color="auto" w:sz="4" w:space="0"/>
              <w:left w:val="nil"/>
              <w:bottom w:val="single" w:color="auto" w:sz="4" w:space="0"/>
              <w:right w:val="single" w:color="auto" w:sz="4" w:space="0"/>
            </w:tcBorders>
            <w:shd w:val="clear" w:color="auto" w:fill="auto"/>
            <w:vAlign w:val="center"/>
          </w:tcPr>
          <w:p w14:paraId="40401E0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2112</w:t>
            </w:r>
          </w:p>
        </w:tc>
      </w:tr>
      <w:tr w14:paraId="2B5ACB8D">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7318380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w:t>
            </w:r>
          </w:p>
        </w:tc>
        <w:tc>
          <w:tcPr>
            <w:tcW w:w="0" w:type="auto"/>
            <w:tcBorders>
              <w:top w:val="nil"/>
              <w:left w:val="nil"/>
              <w:bottom w:val="single" w:color="auto" w:sz="4" w:space="0"/>
              <w:right w:val="single" w:color="auto" w:sz="4" w:space="0"/>
            </w:tcBorders>
            <w:shd w:val="clear" w:color="auto" w:fill="auto"/>
            <w:vAlign w:val="center"/>
          </w:tcPr>
          <w:p w14:paraId="517F2BB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风蚀率</w:t>
            </w:r>
          </w:p>
        </w:tc>
        <w:tc>
          <w:tcPr>
            <w:tcW w:w="0" w:type="auto"/>
            <w:tcBorders>
              <w:top w:val="nil"/>
              <w:left w:val="nil"/>
              <w:bottom w:val="single" w:color="auto" w:sz="4" w:space="0"/>
              <w:right w:val="single" w:color="auto" w:sz="4" w:space="0"/>
            </w:tcBorders>
            <w:shd w:val="clear" w:color="auto" w:fill="auto"/>
            <w:vAlign w:val="center"/>
          </w:tcPr>
          <w:p w14:paraId="7B8004B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Q</w:t>
            </w:r>
          </w:p>
        </w:tc>
        <w:tc>
          <w:tcPr>
            <w:tcW w:w="0" w:type="auto"/>
            <w:tcBorders>
              <w:top w:val="nil"/>
              <w:left w:val="nil"/>
              <w:bottom w:val="single" w:color="auto" w:sz="4" w:space="0"/>
              <w:right w:val="single" w:color="auto" w:sz="4" w:space="0"/>
            </w:tcBorders>
            <w:shd w:val="clear" w:color="auto" w:fill="auto"/>
            <w:vAlign w:val="center"/>
          </w:tcPr>
          <w:p w14:paraId="6DBEEF9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384CD8D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2F73713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5C643061">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1B18940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34CC472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15B880D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c>
          <w:tcPr>
            <w:tcW w:w="0" w:type="auto"/>
            <w:tcBorders>
              <w:top w:val="nil"/>
              <w:left w:val="nil"/>
              <w:bottom w:val="single" w:color="auto" w:sz="4" w:space="0"/>
              <w:right w:val="single" w:color="auto" w:sz="4" w:space="0"/>
            </w:tcBorders>
            <w:shd w:val="clear" w:color="auto" w:fill="auto"/>
            <w:vAlign w:val="center"/>
          </w:tcPr>
          <w:p w14:paraId="4B32B9D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29587</w:t>
            </w:r>
          </w:p>
        </w:tc>
      </w:tr>
      <w:tr w14:paraId="369CFB0F">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3D8426A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3</w:t>
            </w:r>
          </w:p>
        </w:tc>
        <w:tc>
          <w:tcPr>
            <w:tcW w:w="0" w:type="auto"/>
            <w:tcBorders>
              <w:top w:val="nil"/>
              <w:left w:val="nil"/>
              <w:bottom w:val="single" w:color="auto" w:sz="4" w:space="0"/>
              <w:right w:val="single" w:color="auto" w:sz="4" w:space="0"/>
            </w:tcBorders>
            <w:shd w:val="clear" w:color="auto" w:fill="auto"/>
            <w:vAlign w:val="center"/>
          </w:tcPr>
          <w:p w14:paraId="13D2D5D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粗糙干扰因子</w:t>
            </w:r>
          </w:p>
        </w:tc>
        <w:tc>
          <w:tcPr>
            <w:tcW w:w="0" w:type="auto"/>
            <w:tcBorders>
              <w:top w:val="nil"/>
              <w:left w:val="nil"/>
              <w:bottom w:val="single" w:color="auto" w:sz="4" w:space="0"/>
              <w:right w:val="single" w:color="auto" w:sz="4" w:space="0"/>
            </w:tcBorders>
            <w:shd w:val="clear" w:color="auto" w:fill="auto"/>
            <w:vAlign w:val="center"/>
          </w:tcPr>
          <w:p w14:paraId="48F9D54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I</w:t>
            </w:r>
          </w:p>
        </w:tc>
        <w:tc>
          <w:tcPr>
            <w:tcW w:w="0" w:type="auto"/>
            <w:tcBorders>
              <w:top w:val="nil"/>
              <w:left w:val="nil"/>
              <w:bottom w:val="single" w:color="auto" w:sz="4" w:space="0"/>
              <w:right w:val="single" w:color="auto" w:sz="4" w:space="0"/>
            </w:tcBorders>
            <w:shd w:val="clear" w:color="auto" w:fill="auto"/>
            <w:vAlign w:val="center"/>
          </w:tcPr>
          <w:p w14:paraId="64E9AD7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I=e-0.045υ</w:t>
            </w:r>
          </w:p>
        </w:tc>
        <w:tc>
          <w:tcPr>
            <w:tcW w:w="0" w:type="auto"/>
            <w:tcBorders>
              <w:top w:val="nil"/>
              <w:left w:val="nil"/>
              <w:bottom w:val="single" w:color="auto" w:sz="4" w:space="0"/>
              <w:right w:val="single" w:color="auto" w:sz="4" w:space="0"/>
            </w:tcBorders>
            <w:shd w:val="clear" w:color="auto" w:fill="auto"/>
            <w:vAlign w:val="center"/>
          </w:tcPr>
          <w:p w14:paraId="47B3504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0.3244</w:t>
            </w:r>
          </w:p>
        </w:tc>
        <w:tc>
          <w:tcPr>
            <w:tcW w:w="0" w:type="auto"/>
            <w:tcBorders>
              <w:top w:val="nil"/>
              <w:left w:val="nil"/>
              <w:bottom w:val="single" w:color="auto" w:sz="4" w:space="0"/>
              <w:right w:val="single" w:color="auto" w:sz="4" w:space="0"/>
            </w:tcBorders>
            <w:shd w:val="clear" w:color="auto" w:fill="auto"/>
            <w:vAlign w:val="center"/>
          </w:tcPr>
          <w:p w14:paraId="3B3AC3D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0.3244</w:t>
            </w:r>
          </w:p>
        </w:tc>
        <w:tc>
          <w:tcPr>
            <w:tcW w:w="0" w:type="auto"/>
            <w:tcBorders>
              <w:top w:val="nil"/>
              <w:left w:val="nil"/>
              <w:bottom w:val="single" w:color="auto" w:sz="4" w:space="0"/>
              <w:right w:val="single" w:color="auto" w:sz="4" w:space="0"/>
            </w:tcBorders>
            <w:shd w:val="clear" w:color="auto" w:fill="auto"/>
            <w:vAlign w:val="center"/>
          </w:tcPr>
          <w:p w14:paraId="46A7BDC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0.3244</w:t>
            </w:r>
          </w:p>
        </w:tc>
        <w:tc>
          <w:tcPr>
            <w:tcW w:w="0" w:type="auto"/>
            <w:tcBorders>
              <w:top w:val="nil"/>
              <w:left w:val="nil"/>
              <w:bottom w:val="single" w:color="auto" w:sz="4" w:space="0"/>
              <w:right w:val="single" w:color="auto" w:sz="4" w:space="0"/>
            </w:tcBorders>
            <w:shd w:val="clear" w:color="auto" w:fill="auto"/>
            <w:vAlign w:val="center"/>
          </w:tcPr>
          <w:p w14:paraId="2A7627E1">
            <w:pPr>
              <w:spacing w:line="240" w:lineRule="auto"/>
              <w:ind w:firstLineChars="10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0.3244</w:t>
            </w:r>
          </w:p>
        </w:tc>
        <w:tc>
          <w:tcPr>
            <w:tcW w:w="0" w:type="auto"/>
            <w:tcBorders>
              <w:top w:val="nil"/>
              <w:left w:val="nil"/>
              <w:bottom w:val="single" w:color="auto" w:sz="4" w:space="0"/>
              <w:right w:val="single" w:color="auto" w:sz="4" w:space="0"/>
            </w:tcBorders>
            <w:shd w:val="clear" w:color="auto" w:fill="auto"/>
            <w:vAlign w:val="center"/>
          </w:tcPr>
          <w:p w14:paraId="328D345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0.3244</w:t>
            </w:r>
          </w:p>
        </w:tc>
        <w:tc>
          <w:tcPr>
            <w:tcW w:w="0" w:type="auto"/>
            <w:tcBorders>
              <w:top w:val="nil"/>
              <w:left w:val="nil"/>
              <w:bottom w:val="single" w:color="auto" w:sz="4" w:space="0"/>
              <w:right w:val="single" w:color="auto" w:sz="4" w:space="0"/>
            </w:tcBorders>
            <w:shd w:val="clear" w:color="auto" w:fill="auto"/>
            <w:vAlign w:val="center"/>
          </w:tcPr>
          <w:p w14:paraId="12A6C31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0.3244</w:t>
            </w:r>
          </w:p>
        </w:tc>
        <w:tc>
          <w:tcPr>
            <w:tcW w:w="0" w:type="auto"/>
            <w:tcBorders>
              <w:top w:val="nil"/>
              <w:left w:val="nil"/>
              <w:bottom w:val="single" w:color="auto" w:sz="4" w:space="0"/>
              <w:right w:val="single" w:color="auto" w:sz="4" w:space="0"/>
            </w:tcBorders>
            <w:shd w:val="clear" w:color="auto" w:fill="auto"/>
            <w:vAlign w:val="center"/>
          </w:tcPr>
          <w:p w14:paraId="37997D4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0.3244</w:t>
            </w:r>
          </w:p>
        </w:tc>
      </w:tr>
      <w:tr w14:paraId="6A8DAAA3">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44CCE46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49673BA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地表植被覆盖度和砾石盖度（%）</w:t>
            </w:r>
          </w:p>
        </w:tc>
        <w:tc>
          <w:tcPr>
            <w:tcW w:w="0" w:type="auto"/>
            <w:tcBorders>
              <w:top w:val="nil"/>
              <w:left w:val="nil"/>
              <w:bottom w:val="single" w:color="auto" w:sz="4" w:space="0"/>
              <w:right w:val="single" w:color="auto" w:sz="4" w:space="0"/>
            </w:tcBorders>
            <w:shd w:val="clear" w:color="auto" w:fill="auto"/>
            <w:vAlign w:val="center"/>
          </w:tcPr>
          <w:p w14:paraId="1B06F2E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υ</w:t>
            </w:r>
          </w:p>
        </w:tc>
        <w:tc>
          <w:tcPr>
            <w:tcW w:w="0" w:type="auto"/>
            <w:tcBorders>
              <w:top w:val="nil"/>
              <w:left w:val="nil"/>
              <w:bottom w:val="single" w:color="auto" w:sz="4" w:space="0"/>
              <w:right w:val="single" w:color="auto" w:sz="4" w:space="0"/>
            </w:tcBorders>
            <w:shd w:val="clear" w:color="auto" w:fill="auto"/>
            <w:vAlign w:val="center"/>
          </w:tcPr>
          <w:p w14:paraId="4BB02CEF">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78F40934">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25</w:t>
            </w:r>
          </w:p>
        </w:tc>
        <w:tc>
          <w:tcPr>
            <w:tcW w:w="0" w:type="auto"/>
            <w:tcBorders>
              <w:top w:val="nil"/>
              <w:left w:val="nil"/>
              <w:bottom w:val="single" w:color="auto" w:sz="4" w:space="0"/>
              <w:right w:val="single" w:color="auto" w:sz="4" w:space="0"/>
            </w:tcBorders>
            <w:shd w:val="clear" w:color="auto" w:fill="auto"/>
            <w:vAlign w:val="center"/>
          </w:tcPr>
          <w:p w14:paraId="3C87252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25</w:t>
            </w:r>
          </w:p>
        </w:tc>
        <w:tc>
          <w:tcPr>
            <w:tcW w:w="0" w:type="auto"/>
            <w:tcBorders>
              <w:top w:val="nil"/>
              <w:left w:val="nil"/>
              <w:bottom w:val="single" w:color="auto" w:sz="4" w:space="0"/>
              <w:right w:val="single" w:color="auto" w:sz="4" w:space="0"/>
            </w:tcBorders>
            <w:shd w:val="clear" w:color="auto" w:fill="auto"/>
            <w:vAlign w:val="center"/>
          </w:tcPr>
          <w:p w14:paraId="09FD13C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25</w:t>
            </w:r>
          </w:p>
        </w:tc>
        <w:tc>
          <w:tcPr>
            <w:tcW w:w="0" w:type="auto"/>
            <w:tcBorders>
              <w:top w:val="nil"/>
              <w:left w:val="nil"/>
              <w:bottom w:val="single" w:color="auto" w:sz="4" w:space="0"/>
              <w:right w:val="single" w:color="auto" w:sz="4" w:space="0"/>
            </w:tcBorders>
            <w:shd w:val="clear" w:color="auto" w:fill="auto"/>
            <w:vAlign w:val="center"/>
          </w:tcPr>
          <w:p w14:paraId="140396D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25</w:t>
            </w:r>
          </w:p>
        </w:tc>
        <w:tc>
          <w:tcPr>
            <w:tcW w:w="0" w:type="auto"/>
            <w:tcBorders>
              <w:top w:val="nil"/>
              <w:left w:val="nil"/>
              <w:bottom w:val="single" w:color="auto" w:sz="4" w:space="0"/>
              <w:right w:val="single" w:color="auto" w:sz="4" w:space="0"/>
            </w:tcBorders>
            <w:shd w:val="clear" w:color="auto" w:fill="auto"/>
            <w:vAlign w:val="center"/>
          </w:tcPr>
          <w:p w14:paraId="675B99E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25</w:t>
            </w:r>
          </w:p>
        </w:tc>
        <w:tc>
          <w:tcPr>
            <w:tcW w:w="0" w:type="auto"/>
            <w:tcBorders>
              <w:top w:val="nil"/>
              <w:left w:val="nil"/>
              <w:bottom w:val="single" w:color="auto" w:sz="4" w:space="0"/>
              <w:right w:val="single" w:color="auto" w:sz="4" w:space="0"/>
            </w:tcBorders>
            <w:shd w:val="clear" w:color="auto" w:fill="auto"/>
            <w:vAlign w:val="center"/>
          </w:tcPr>
          <w:p w14:paraId="0C73498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25</w:t>
            </w:r>
          </w:p>
        </w:tc>
        <w:tc>
          <w:tcPr>
            <w:tcW w:w="0" w:type="auto"/>
            <w:tcBorders>
              <w:top w:val="nil"/>
              <w:left w:val="nil"/>
              <w:bottom w:val="single" w:color="auto" w:sz="4" w:space="0"/>
              <w:right w:val="single" w:color="auto" w:sz="4" w:space="0"/>
            </w:tcBorders>
            <w:shd w:val="clear" w:color="auto" w:fill="auto"/>
            <w:vAlign w:val="center"/>
          </w:tcPr>
          <w:p w14:paraId="7BC6873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25</w:t>
            </w:r>
          </w:p>
        </w:tc>
      </w:tr>
      <w:tr w14:paraId="582AF7DE">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006EB542">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4</w:t>
            </w:r>
          </w:p>
        </w:tc>
        <w:tc>
          <w:tcPr>
            <w:tcW w:w="0" w:type="auto"/>
            <w:tcBorders>
              <w:top w:val="nil"/>
              <w:left w:val="nil"/>
              <w:bottom w:val="single" w:color="auto" w:sz="4" w:space="0"/>
              <w:right w:val="single" w:color="auto" w:sz="4" w:space="0"/>
            </w:tcBorders>
            <w:shd w:val="clear" w:color="auto" w:fill="auto"/>
            <w:vAlign w:val="center"/>
          </w:tcPr>
          <w:p w14:paraId="034650F3">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地表物质紧实程度系数</w:t>
            </w:r>
          </w:p>
        </w:tc>
        <w:tc>
          <w:tcPr>
            <w:tcW w:w="0" w:type="auto"/>
            <w:tcBorders>
              <w:top w:val="nil"/>
              <w:left w:val="nil"/>
              <w:bottom w:val="single" w:color="auto" w:sz="4" w:space="0"/>
              <w:right w:val="single" w:color="auto" w:sz="4" w:space="0"/>
            </w:tcBorders>
            <w:shd w:val="clear" w:color="auto" w:fill="auto"/>
            <w:vAlign w:val="center"/>
          </w:tcPr>
          <w:p w14:paraId="10F326F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J</w:t>
            </w:r>
          </w:p>
        </w:tc>
        <w:tc>
          <w:tcPr>
            <w:tcW w:w="0" w:type="auto"/>
            <w:tcBorders>
              <w:top w:val="nil"/>
              <w:left w:val="nil"/>
              <w:bottom w:val="single" w:color="auto" w:sz="4" w:space="0"/>
              <w:right w:val="single" w:color="auto" w:sz="4" w:space="0"/>
            </w:tcBorders>
            <w:shd w:val="clear" w:color="auto" w:fill="auto"/>
            <w:vAlign w:val="center"/>
          </w:tcPr>
          <w:p w14:paraId="2D05295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5B32799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0" w:type="auto"/>
            <w:tcBorders>
              <w:top w:val="nil"/>
              <w:left w:val="nil"/>
              <w:bottom w:val="single" w:color="auto" w:sz="4" w:space="0"/>
              <w:right w:val="single" w:color="auto" w:sz="4" w:space="0"/>
            </w:tcBorders>
            <w:shd w:val="clear" w:color="auto" w:fill="auto"/>
            <w:vAlign w:val="center"/>
          </w:tcPr>
          <w:p w14:paraId="6501F22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0" w:type="auto"/>
            <w:tcBorders>
              <w:top w:val="nil"/>
              <w:left w:val="nil"/>
              <w:bottom w:val="single" w:color="auto" w:sz="4" w:space="0"/>
              <w:right w:val="single" w:color="auto" w:sz="4" w:space="0"/>
            </w:tcBorders>
            <w:shd w:val="clear" w:color="auto" w:fill="auto"/>
            <w:vAlign w:val="center"/>
          </w:tcPr>
          <w:p w14:paraId="3702FDB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0" w:type="auto"/>
            <w:tcBorders>
              <w:top w:val="nil"/>
              <w:left w:val="nil"/>
              <w:bottom w:val="single" w:color="auto" w:sz="4" w:space="0"/>
              <w:right w:val="single" w:color="auto" w:sz="4" w:space="0"/>
            </w:tcBorders>
            <w:shd w:val="clear" w:color="auto" w:fill="auto"/>
            <w:vAlign w:val="center"/>
          </w:tcPr>
          <w:p w14:paraId="3674583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0" w:type="auto"/>
            <w:tcBorders>
              <w:top w:val="nil"/>
              <w:left w:val="nil"/>
              <w:bottom w:val="single" w:color="auto" w:sz="4" w:space="0"/>
              <w:right w:val="single" w:color="auto" w:sz="4" w:space="0"/>
            </w:tcBorders>
            <w:shd w:val="clear" w:color="auto" w:fill="auto"/>
            <w:vAlign w:val="center"/>
          </w:tcPr>
          <w:p w14:paraId="79B71CA0">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0" w:type="auto"/>
            <w:tcBorders>
              <w:top w:val="nil"/>
              <w:left w:val="nil"/>
              <w:bottom w:val="single" w:color="auto" w:sz="4" w:space="0"/>
              <w:right w:val="single" w:color="auto" w:sz="4" w:space="0"/>
            </w:tcBorders>
            <w:shd w:val="clear" w:color="auto" w:fill="auto"/>
            <w:vAlign w:val="center"/>
          </w:tcPr>
          <w:p w14:paraId="73CCF0A7">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c>
          <w:tcPr>
            <w:tcW w:w="0" w:type="auto"/>
            <w:tcBorders>
              <w:top w:val="nil"/>
              <w:left w:val="nil"/>
              <w:bottom w:val="single" w:color="auto" w:sz="4" w:space="0"/>
              <w:right w:val="single" w:color="auto" w:sz="4" w:space="0"/>
            </w:tcBorders>
            <w:shd w:val="clear" w:color="auto" w:fill="auto"/>
            <w:vAlign w:val="center"/>
          </w:tcPr>
          <w:p w14:paraId="6E74207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1</w:t>
            </w:r>
          </w:p>
        </w:tc>
      </w:tr>
      <w:tr w14:paraId="3C9416B9">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7232286">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5</w:t>
            </w:r>
          </w:p>
        </w:tc>
        <w:tc>
          <w:tcPr>
            <w:tcW w:w="0" w:type="auto"/>
            <w:tcBorders>
              <w:top w:val="nil"/>
              <w:left w:val="nil"/>
              <w:bottom w:val="single" w:color="auto" w:sz="4" w:space="0"/>
              <w:right w:val="single" w:color="auto" w:sz="4" w:space="0"/>
            </w:tcBorders>
            <w:shd w:val="clear" w:color="auto" w:fill="auto"/>
            <w:vAlign w:val="center"/>
          </w:tcPr>
          <w:p w14:paraId="70F015AB">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风蚀可蚀性因子</w:t>
            </w:r>
          </w:p>
        </w:tc>
        <w:tc>
          <w:tcPr>
            <w:tcW w:w="0" w:type="auto"/>
            <w:tcBorders>
              <w:top w:val="nil"/>
              <w:left w:val="nil"/>
              <w:bottom w:val="single" w:color="auto" w:sz="4" w:space="0"/>
              <w:right w:val="single" w:color="auto" w:sz="4" w:space="0"/>
            </w:tcBorders>
            <w:shd w:val="clear" w:color="auto" w:fill="auto"/>
            <w:vAlign w:val="center"/>
          </w:tcPr>
          <w:p w14:paraId="1D343249">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Gf</w:t>
            </w:r>
          </w:p>
        </w:tc>
        <w:tc>
          <w:tcPr>
            <w:tcW w:w="0" w:type="auto"/>
            <w:tcBorders>
              <w:top w:val="nil"/>
              <w:left w:val="nil"/>
              <w:bottom w:val="single" w:color="auto" w:sz="4" w:space="0"/>
              <w:right w:val="single" w:color="auto" w:sz="4" w:space="0"/>
            </w:tcBorders>
            <w:shd w:val="clear" w:color="auto" w:fill="auto"/>
            <w:vAlign w:val="center"/>
          </w:tcPr>
          <w:p w14:paraId="396F3195">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0779EE9D">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37DDE76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414949E8">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4BAF40E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1F7DCADC">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2B9C7F5A">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c>
          <w:tcPr>
            <w:tcW w:w="0" w:type="auto"/>
            <w:tcBorders>
              <w:top w:val="nil"/>
              <w:left w:val="nil"/>
              <w:bottom w:val="single" w:color="auto" w:sz="4" w:space="0"/>
              <w:right w:val="single" w:color="auto" w:sz="4" w:space="0"/>
            </w:tcBorders>
            <w:shd w:val="clear" w:color="auto" w:fill="auto"/>
            <w:vAlign w:val="center"/>
          </w:tcPr>
          <w:p w14:paraId="1E173CCE">
            <w:pPr>
              <w:spacing w:line="240" w:lineRule="auto"/>
              <w:ind w:firstLine="0" w:firstLineChars="0"/>
              <w:jc w:val="center"/>
              <w:rPr>
                <w:rFonts w:cs="Times New Roman"/>
                <w:color w:val="000000" w:themeColor="text1"/>
                <w:sz w:val="20"/>
                <w:szCs w:val="20"/>
                <w14:textFill>
                  <w14:solidFill>
                    <w14:schemeClr w14:val="tx1"/>
                  </w14:solidFill>
                </w14:textFill>
              </w:rPr>
            </w:pPr>
            <w:r>
              <w:rPr>
                <w:rFonts w:cs="Times New Roman"/>
                <w:color w:val="000000" w:themeColor="text1"/>
                <w:sz w:val="20"/>
                <w:szCs w:val="20"/>
                <w14:textFill>
                  <w14:solidFill>
                    <w14:schemeClr w14:val="tx1"/>
                  </w14:solidFill>
                </w14:textFill>
              </w:rPr>
              <w:t>0.22</w:t>
            </w:r>
          </w:p>
        </w:tc>
      </w:tr>
    </w:tbl>
    <w:p w14:paraId="24D1EA4C">
      <w:pPr>
        <w:widowControl w:val="0"/>
        <w:ind w:firstLine="480"/>
        <w:rPr>
          <w:rFonts w:cs="Times New Roman"/>
          <w:color w:val="000000" w:themeColor="text1"/>
          <w14:textFill>
            <w14:solidFill>
              <w14:schemeClr w14:val="tx1"/>
            </w14:solidFill>
          </w14:textFill>
        </w:rPr>
      </w:pPr>
    </w:p>
    <w:p w14:paraId="21C907DB">
      <w:pPr>
        <w:widowControl w:val="0"/>
        <w:ind w:firstLine="480"/>
        <w:rPr>
          <w:rFonts w:cs="Times New Roman"/>
          <w:color w:val="000000" w:themeColor="text1"/>
          <w14:textFill>
            <w14:solidFill>
              <w14:schemeClr w14:val="tx1"/>
            </w14:solidFill>
          </w14:textFill>
        </w:rPr>
        <w:sectPr>
          <w:footerReference r:id="rId73" w:type="default"/>
          <w:pgSz w:w="16838" w:h="11906" w:orient="landscape"/>
          <w:pgMar w:top="1418" w:right="1418" w:bottom="1418" w:left="1418" w:header="850" w:footer="850" w:gutter="0"/>
          <w:cols w:space="720" w:num="1"/>
          <w:docGrid w:linePitch="326" w:charSpace="0"/>
        </w:sectPr>
      </w:pPr>
    </w:p>
    <w:p w14:paraId="5AE4A4F8">
      <w:pPr>
        <w:pStyle w:val="4"/>
        <w:spacing w:before="120" w:after="120"/>
      </w:pPr>
      <w:r>
        <w:rPr>
          <w:spacing w:val="-3"/>
        </w:rPr>
        <w:t>预测结果</w:t>
      </w:r>
    </w:p>
    <w:p w14:paraId="1383783F">
      <w:pPr>
        <w:pStyle w:val="66"/>
        <w:ind w:firstLine="472"/>
        <w:rPr>
          <w:spacing w:val="-4"/>
        </w:rPr>
      </w:pPr>
      <w:r>
        <w:rPr>
          <w:rFonts w:hint="eastAsia"/>
          <w:spacing w:val="-4"/>
        </w:rPr>
        <w:t>在确定原地貌土壤侵蚀模数、扰动后地貌土壤侵蚀模数，水土流失面积及时段后计算得到工程建设的土壤流失量。</w:t>
      </w:r>
    </w:p>
    <w:p w14:paraId="2CC0D42E">
      <w:pPr>
        <w:pStyle w:val="66"/>
        <w:ind w:firstLine="472"/>
        <w:rPr>
          <w:spacing w:val="-4"/>
        </w:rPr>
      </w:pPr>
      <w:r>
        <w:rPr>
          <w:spacing w:val="-4"/>
        </w:rPr>
        <w:t xml:space="preserve"> </w:t>
      </w:r>
    </w:p>
    <w:p w14:paraId="45A60A47">
      <w:pPr>
        <w:pStyle w:val="66"/>
        <w:ind w:firstLine="472"/>
        <w:rPr>
          <w:spacing w:val="-4"/>
        </w:rPr>
      </w:pPr>
      <w:r>
        <w:rPr>
          <w:rFonts w:hint="eastAsia"/>
          <w:spacing w:val="-4"/>
        </w:rPr>
        <w:t>式中：W——土壤流失量（t）；</w:t>
      </w:r>
    </w:p>
    <w:p w14:paraId="59E4C922">
      <w:pPr>
        <w:pStyle w:val="66"/>
        <w:ind w:firstLine="472"/>
        <w:rPr>
          <w:spacing w:val="-4"/>
        </w:rPr>
      </w:pPr>
      <w:r>
        <w:rPr>
          <w:rFonts w:hint="eastAsia"/>
          <w:spacing w:val="-4"/>
        </w:rPr>
        <w:t>j——预测时段，j-1，2，即指施工期（含施工准备期）和自然恢复期两个时段；</w:t>
      </w:r>
    </w:p>
    <w:p w14:paraId="660BF18C">
      <w:pPr>
        <w:pStyle w:val="66"/>
        <w:ind w:firstLine="472"/>
        <w:rPr>
          <w:spacing w:val="-4"/>
        </w:rPr>
      </w:pPr>
      <w:r>
        <w:rPr>
          <w:rFonts w:hint="eastAsia"/>
          <w:spacing w:val="-4"/>
        </w:rPr>
        <w:t>i—预测单元，i=l，2，3，……，n-l，n；</w:t>
      </w:r>
    </w:p>
    <w:p w14:paraId="4598DD9C">
      <w:pPr>
        <w:pStyle w:val="66"/>
        <w:ind w:firstLine="472"/>
        <w:rPr>
          <w:spacing w:val="-4"/>
        </w:rPr>
      </w:pPr>
      <w:r>
        <w:rPr>
          <w:rFonts w:hint="eastAsia"/>
          <w:spacing w:val="-4"/>
        </w:rPr>
        <w:t>Fji——第j预测时段、第i预测单元的面积（km</w:t>
      </w:r>
      <w:r>
        <w:rPr>
          <w:rFonts w:ascii="Calibri" w:hAnsi="Calibri" w:cs="Calibri"/>
          <w:spacing w:val="-4"/>
        </w:rPr>
        <w:t>²</w:t>
      </w:r>
      <w:r>
        <w:rPr>
          <w:rFonts w:hint="eastAsia"/>
          <w:spacing w:val="-4"/>
        </w:rPr>
        <w:t>）；</w:t>
      </w:r>
    </w:p>
    <w:p w14:paraId="0204F3FB">
      <w:pPr>
        <w:pStyle w:val="66"/>
        <w:ind w:firstLine="472"/>
        <w:rPr>
          <w:spacing w:val="-4"/>
        </w:rPr>
      </w:pPr>
      <w:r>
        <w:rPr>
          <w:rFonts w:hint="eastAsia"/>
          <w:spacing w:val="-4"/>
        </w:rPr>
        <w:t>Mji——第j预测时段、第i预测单元的土壤侵蚀模数</w:t>
      </w:r>
      <w:r>
        <w:rPr>
          <w:rFonts w:hint="eastAsia" w:ascii="微软雅黑" w:hAnsi="微软雅黑" w:eastAsia="微软雅黑" w:cs="微软雅黑"/>
          <w:spacing w:val="-4"/>
        </w:rPr>
        <w:t>﹝</w:t>
      </w:r>
      <w:r>
        <w:rPr>
          <w:rFonts w:hint="eastAsia"/>
          <w:spacing w:val="-4"/>
        </w:rPr>
        <w:t>t/(km</w:t>
      </w:r>
      <w:r>
        <w:rPr>
          <w:rFonts w:ascii="Calibri" w:hAnsi="Calibri" w:cs="Calibri"/>
          <w:spacing w:val="-4"/>
        </w:rPr>
        <w:t>²</w:t>
      </w:r>
      <w:r>
        <w:rPr>
          <w:rFonts w:hint="eastAsia"/>
          <w:spacing w:val="-4"/>
        </w:rPr>
        <w:t>·a)</w:t>
      </w:r>
      <w:r>
        <w:rPr>
          <w:rFonts w:hint="eastAsia" w:ascii="微软雅黑" w:hAnsi="微软雅黑" w:eastAsia="微软雅黑" w:cs="微软雅黑"/>
          <w:spacing w:val="-4"/>
        </w:rPr>
        <w:t>﹞</w:t>
      </w:r>
    </w:p>
    <w:p w14:paraId="0E8CE2B0">
      <w:pPr>
        <w:pStyle w:val="66"/>
        <w:ind w:firstLine="472"/>
        <w:rPr>
          <w:spacing w:val="-4"/>
        </w:rPr>
      </w:pPr>
      <w:r>
        <w:rPr>
          <w:rFonts w:hint="eastAsia"/>
          <w:spacing w:val="-4"/>
        </w:rPr>
        <w:t>Tji——第j预测时段、第i预测单元的预测时段长（a）。</w:t>
      </w:r>
    </w:p>
    <w:p w14:paraId="17DB74ED">
      <w:pPr>
        <w:pStyle w:val="66"/>
        <w:ind w:firstLine="472"/>
        <w:rPr>
          <w:spacing w:val="-4"/>
        </w:rPr>
      </w:pPr>
      <w:r>
        <w:rPr>
          <w:rFonts w:hint="eastAsia"/>
          <w:spacing w:val="-4"/>
        </w:rPr>
        <w:t>通过工程建设的土壤流失量及原地貌土壤流失量，求得新增水土流失总量。</w:t>
      </w:r>
    </w:p>
    <w:p w14:paraId="594F6249">
      <w:pPr>
        <w:pStyle w:val="66"/>
        <w:ind w:firstLine="472"/>
        <w:rPr>
          <w:spacing w:val="-4"/>
        </w:rPr>
      </w:pPr>
      <w:r>
        <w:rPr>
          <w:rFonts w:hint="eastAsia"/>
          <w:spacing w:val="-4"/>
        </w:rPr>
        <w:t>新增水土流失量：W=Ws-Wf</w:t>
      </w:r>
    </w:p>
    <w:p w14:paraId="18B90BEB">
      <w:pPr>
        <w:pStyle w:val="66"/>
        <w:ind w:firstLine="472"/>
        <w:rPr>
          <w:spacing w:val="-4"/>
        </w:rPr>
      </w:pPr>
      <w:r>
        <w:rPr>
          <w:rFonts w:hint="eastAsia"/>
          <w:spacing w:val="-4"/>
        </w:rPr>
        <w:t>Wf——原地貌现状土壤侵蚀量；</w:t>
      </w:r>
    </w:p>
    <w:p w14:paraId="5FD4175E">
      <w:pPr>
        <w:pStyle w:val="66"/>
        <w:ind w:firstLine="472"/>
        <w:rPr>
          <w:spacing w:val="-4"/>
        </w:rPr>
      </w:pPr>
      <w:r>
        <w:rPr>
          <w:rFonts w:hint="eastAsia"/>
          <w:spacing w:val="-4"/>
        </w:rPr>
        <w:t>Ws——工程建设中土壤总量。</w:t>
      </w:r>
    </w:p>
    <w:p w14:paraId="337B0859">
      <w:pPr>
        <w:pStyle w:val="66"/>
        <w:ind w:firstLine="472"/>
        <w:rPr>
          <w:spacing w:val="-4"/>
        </w:rPr>
      </w:pPr>
      <w:r>
        <w:rPr>
          <w:rFonts w:hint="eastAsia"/>
          <w:spacing w:val="-4"/>
        </w:rPr>
        <w:t>根据确定的土壤侵蚀模数，对照各个区域的扰动面积，对园区各地块建设可能产生的水土流失情况进行预测。</w:t>
      </w:r>
    </w:p>
    <w:p w14:paraId="135ACC0B">
      <w:pPr>
        <w:pStyle w:val="66"/>
        <w:ind w:firstLine="472"/>
      </w:pPr>
      <w:r>
        <w:rPr>
          <w:spacing w:val="-4"/>
        </w:rPr>
        <w:t>根据工程建设可能造成的水土流失面积、侵蚀年限和水土流失强度，如果无</w:t>
      </w:r>
      <w:r>
        <w:rPr>
          <w:spacing w:val="-2"/>
        </w:rPr>
        <w:t>任何水土流失防治措施，</w:t>
      </w:r>
      <w:r>
        <w:rPr>
          <w:rFonts w:hint="eastAsia"/>
          <w:spacing w:val="-2"/>
        </w:rPr>
        <w:t>园区</w:t>
      </w:r>
      <w:r>
        <w:rPr>
          <w:spacing w:val="-2"/>
        </w:rPr>
        <w:t>预测期内可能造成的水土流失总量可达282916t，</w:t>
      </w:r>
      <w:r>
        <w:t>较原地貌水土流失量将增加177682t。其中施工期可能造成的水土流失总量为199639t</w:t>
      </w:r>
      <w:r>
        <w:rPr>
          <w:spacing w:val="11"/>
        </w:rPr>
        <w:t>，新增水土流失量</w:t>
      </w:r>
      <w:r>
        <w:t>134468t</w:t>
      </w:r>
      <w:r>
        <w:rPr>
          <w:spacing w:val="10"/>
        </w:rPr>
        <w:t>；自然恢复期可能造成的水土流失总量为</w:t>
      </w:r>
      <w:r>
        <w:rPr>
          <w:spacing w:val="-2"/>
        </w:rPr>
        <w:t>83478t</w:t>
      </w:r>
      <w:r>
        <w:rPr>
          <w:spacing w:val="-5"/>
        </w:rPr>
        <w:t>，新增水土流失量</w:t>
      </w:r>
      <w:r>
        <w:rPr>
          <w:spacing w:val="-2"/>
        </w:rPr>
        <w:t>43214t。</w:t>
      </w:r>
      <w:r>
        <w:rPr>
          <w:rFonts w:hint="eastAsia"/>
          <w:spacing w:val="-2"/>
        </w:rPr>
        <w:t>其中, 地块1（金山产业园北区）</w:t>
      </w:r>
      <w:r>
        <w:rPr>
          <w:spacing w:val="-2"/>
        </w:rPr>
        <w:t>预测期内可能造成的水土流失总量可达248555t，</w:t>
      </w:r>
      <w:r>
        <w:t>较原地貌水土流失量将增加155859t。其中施工期可能造成的水土流失总量为174937t</w:t>
      </w:r>
      <w:r>
        <w:rPr>
          <w:spacing w:val="11"/>
        </w:rPr>
        <w:t>，新增水土流失量</w:t>
      </w:r>
      <w:r>
        <w:t>117757t</w:t>
      </w:r>
      <w:r>
        <w:rPr>
          <w:spacing w:val="10"/>
        </w:rPr>
        <w:t>；自然恢复期可能造成的水土流失总量为</w:t>
      </w:r>
      <w:r>
        <w:rPr>
          <w:spacing w:val="-2"/>
        </w:rPr>
        <w:t>73617t</w:t>
      </w:r>
      <w:r>
        <w:rPr>
          <w:spacing w:val="-5"/>
        </w:rPr>
        <w:t>，新增水土流失量</w:t>
      </w:r>
      <w:r>
        <w:rPr>
          <w:spacing w:val="-2"/>
        </w:rPr>
        <w:t>38103t。</w:t>
      </w:r>
      <w:r>
        <w:rPr>
          <w:rFonts w:hint="eastAsia"/>
          <w:spacing w:val="-2"/>
        </w:rPr>
        <w:t>地块</w:t>
      </w:r>
      <w:r>
        <w:rPr>
          <w:spacing w:val="-2"/>
        </w:rPr>
        <w:t>2</w:t>
      </w:r>
      <w:r>
        <w:rPr>
          <w:rFonts w:hint="eastAsia"/>
          <w:spacing w:val="-2"/>
        </w:rPr>
        <w:t>（下湿壕片区）</w:t>
      </w:r>
      <w:r>
        <w:rPr>
          <w:spacing w:val="-2"/>
        </w:rPr>
        <w:t>预测期内可能造成的水土流失总量可达34362t，</w:t>
      </w:r>
      <w:r>
        <w:t>较原地貌水土流失量将增加21823t。其中施工期可能造成的水土流失总量为24501t</w:t>
      </w:r>
      <w:r>
        <w:rPr>
          <w:spacing w:val="11"/>
        </w:rPr>
        <w:t>，新增水土流失量</w:t>
      </w:r>
      <w:r>
        <w:t>16712t</w:t>
      </w:r>
      <w:r>
        <w:rPr>
          <w:spacing w:val="10"/>
        </w:rPr>
        <w:t>；自然恢复期可能造成的水土流失总量为</w:t>
      </w:r>
      <w:r>
        <w:rPr>
          <w:spacing w:val="-2"/>
        </w:rPr>
        <w:t>9860t</w:t>
      </w:r>
      <w:r>
        <w:rPr>
          <w:spacing w:val="-5"/>
        </w:rPr>
        <w:t>，新增水土流失量</w:t>
      </w:r>
      <w:r>
        <w:rPr>
          <w:spacing w:val="-2"/>
        </w:rPr>
        <w:t>5111t。由此可见水土流失防治的重要性。本</w:t>
      </w:r>
      <w:r>
        <w:rPr>
          <w:rFonts w:hint="eastAsia"/>
          <w:spacing w:val="-2"/>
        </w:rPr>
        <w:t>园区</w:t>
      </w:r>
      <w:r>
        <w:rPr>
          <w:spacing w:val="-2"/>
        </w:rPr>
        <w:t>水土流失预测结果见表</w:t>
      </w:r>
      <w:r>
        <w:t>4-14~</w:t>
      </w:r>
      <w:r>
        <w:rPr>
          <w:spacing w:val="-11"/>
        </w:rPr>
        <w:t>表</w:t>
      </w:r>
      <w:r>
        <w:t>4-16。</w:t>
      </w:r>
    </w:p>
    <w:p w14:paraId="0D13C07A">
      <w:pPr>
        <w:pStyle w:val="66"/>
        <w:sectPr>
          <w:footerReference r:id="rId74" w:type="default"/>
          <w:pgSz w:w="11910" w:h="16840"/>
          <w:pgMar w:top="1360" w:right="1340" w:bottom="1420" w:left="1560" w:header="876" w:footer="1227" w:gutter="0"/>
          <w:cols w:space="720" w:num="1"/>
        </w:sectPr>
      </w:pPr>
    </w:p>
    <w:p w14:paraId="26897E2D">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表4-14                                         包头金山经济开发区</w:t>
      </w:r>
      <w:r>
        <w:rPr>
          <w:rFonts w:hint="eastAsia"/>
          <w:color w:val="000000" w:themeColor="text1"/>
          <w:lang w:eastAsia="zh-CN"/>
          <w14:textFill>
            <w14:solidFill>
              <w14:schemeClr w14:val="tx1"/>
            </w14:solidFill>
          </w14:textFill>
        </w:rPr>
        <w:t>施工期各防治区水土流失量表</w:t>
      </w:r>
    </w:p>
    <w:tbl>
      <w:tblPr>
        <w:tblStyle w:val="27"/>
        <w:tblW w:w="0" w:type="auto"/>
        <w:tblInd w:w="0" w:type="dxa"/>
        <w:tblLayout w:type="autofit"/>
        <w:tblCellMar>
          <w:top w:w="0" w:type="dxa"/>
          <w:left w:w="108" w:type="dxa"/>
          <w:bottom w:w="0" w:type="dxa"/>
          <w:right w:w="108" w:type="dxa"/>
        </w:tblCellMar>
      </w:tblPr>
      <w:tblGrid>
        <w:gridCol w:w="745"/>
        <w:gridCol w:w="791"/>
        <w:gridCol w:w="1843"/>
        <w:gridCol w:w="1559"/>
        <w:gridCol w:w="1276"/>
        <w:gridCol w:w="1294"/>
        <w:gridCol w:w="1290"/>
        <w:gridCol w:w="1290"/>
        <w:gridCol w:w="1036"/>
        <w:gridCol w:w="1090"/>
        <w:gridCol w:w="1037"/>
        <w:gridCol w:w="1025"/>
      </w:tblGrid>
      <w:tr w14:paraId="09DE89FD">
        <w:tblPrEx>
          <w:tblCellMar>
            <w:top w:w="0" w:type="dxa"/>
            <w:left w:w="108" w:type="dxa"/>
            <w:bottom w:w="0" w:type="dxa"/>
            <w:right w:w="108" w:type="dxa"/>
          </w:tblCellMar>
        </w:tblPrEx>
        <w:trPr>
          <w:trHeight w:val="397" w:hRule="atLeast"/>
          <w:tblHeader/>
        </w:trPr>
        <w:tc>
          <w:tcPr>
            <w:tcW w:w="0" w:type="auto"/>
            <w:tcBorders>
              <w:top w:val="single" w:color="auto" w:sz="4" w:space="0"/>
              <w:left w:val="single" w:color="auto" w:sz="4" w:space="0"/>
              <w:bottom w:val="double" w:color="auto" w:sz="4" w:space="0"/>
              <w:right w:val="single" w:color="auto" w:sz="4" w:space="0"/>
            </w:tcBorders>
            <w:shd w:val="clear" w:color="auto" w:fill="auto"/>
            <w:vAlign w:val="center"/>
          </w:tcPr>
          <w:p w14:paraId="6B3D617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791" w:type="dxa"/>
            <w:tcBorders>
              <w:top w:val="single" w:color="auto" w:sz="4" w:space="0"/>
              <w:left w:val="nil"/>
              <w:bottom w:val="double" w:color="auto" w:sz="4" w:space="0"/>
              <w:right w:val="single" w:color="auto" w:sz="4" w:space="0"/>
            </w:tcBorders>
            <w:shd w:val="clear" w:color="auto" w:fill="auto"/>
            <w:vAlign w:val="center"/>
          </w:tcPr>
          <w:p w14:paraId="1FC6656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一级预测单元</w:t>
            </w:r>
          </w:p>
        </w:tc>
        <w:tc>
          <w:tcPr>
            <w:tcW w:w="1843" w:type="dxa"/>
            <w:tcBorders>
              <w:top w:val="single" w:color="auto" w:sz="4" w:space="0"/>
              <w:left w:val="nil"/>
              <w:bottom w:val="double" w:color="auto" w:sz="4" w:space="0"/>
              <w:right w:val="single" w:color="auto" w:sz="4" w:space="0"/>
            </w:tcBorders>
            <w:shd w:val="clear" w:color="auto" w:fill="auto"/>
            <w:vAlign w:val="center"/>
          </w:tcPr>
          <w:p w14:paraId="44190E4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二级预测单元</w:t>
            </w:r>
          </w:p>
        </w:tc>
        <w:tc>
          <w:tcPr>
            <w:tcW w:w="1559" w:type="dxa"/>
            <w:tcBorders>
              <w:top w:val="single" w:color="auto" w:sz="4" w:space="0"/>
              <w:left w:val="nil"/>
              <w:bottom w:val="double" w:color="auto" w:sz="4" w:space="0"/>
              <w:right w:val="single" w:color="auto" w:sz="4" w:space="0"/>
            </w:tcBorders>
            <w:shd w:val="clear" w:color="auto" w:fill="auto"/>
            <w:vAlign w:val="center"/>
          </w:tcPr>
          <w:p w14:paraId="1DFA40C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三级预测单元</w:t>
            </w:r>
          </w:p>
        </w:tc>
        <w:tc>
          <w:tcPr>
            <w:tcW w:w="1276" w:type="dxa"/>
            <w:tcBorders>
              <w:top w:val="single" w:color="auto" w:sz="4" w:space="0"/>
              <w:left w:val="nil"/>
              <w:bottom w:val="double" w:color="auto" w:sz="4" w:space="0"/>
              <w:right w:val="single" w:color="auto" w:sz="4" w:space="0"/>
            </w:tcBorders>
            <w:shd w:val="clear" w:color="auto" w:fill="auto"/>
            <w:vAlign w:val="center"/>
          </w:tcPr>
          <w:p w14:paraId="10CC6AD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四级预测单元</w:t>
            </w:r>
          </w:p>
        </w:tc>
        <w:tc>
          <w:tcPr>
            <w:tcW w:w="1294" w:type="dxa"/>
            <w:tcBorders>
              <w:top w:val="single" w:color="auto" w:sz="4" w:space="0"/>
              <w:left w:val="nil"/>
              <w:bottom w:val="double" w:color="auto" w:sz="4" w:space="0"/>
              <w:right w:val="single" w:color="auto" w:sz="4" w:space="0"/>
            </w:tcBorders>
            <w:shd w:val="clear" w:color="auto" w:fill="auto"/>
            <w:vAlign w:val="center"/>
          </w:tcPr>
          <w:p w14:paraId="566E75B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施工期水</w:t>
            </w:r>
          </w:p>
          <w:p w14:paraId="1193971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土流失面积（hm²）</w:t>
            </w:r>
          </w:p>
        </w:tc>
        <w:tc>
          <w:tcPr>
            <w:tcW w:w="1290" w:type="dxa"/>
            <w:tcBorders>
              <w:top w:val="single" w:color="auto" w:sz="4" w:space="0"/>
              <w:left w:val="nil"/>
              <w:bottom w:val="double" w:color="auto" w:sz="4" w:space="0"/>
              <w:right w:val="single" w:color="auto" w:sz="4" w:space="0"/>
            </w:tcBorders>
            <w:shd w:val="clear" w:color="auto" w:fill="auto"/>
            <w:vAlign w:val="center"/>
          </w:tcPr>
          <w:p w14:paraId="7CE1452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扰动后侵蚀</w:t>
            </w:r>
          </w:p>
          <w:p w14:paraId="5635642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模数（t/km²·a）</w:t>
            </w:r>
          </w:p>
        </w:tc>
        <w:tc>
          <w:tcPr>
            <w:tcW w:w="1290" w:type="dxa"/>
            <w:tcBorders>
              <w:top w:val="single" w:color="auto" w:sz="4" w:space="0"/>
              <w:left w:val="nil"/>
              <w:bottom w:val="double" w:color="auto" w:sz="4" w:space="0"/>
              <w:right w:val="single" w:color="auto" w:sz="4" w:space="0"/>
            </w:tcBorders>
            <w:shd w:val="clear" w:color="auto" w:fill="auto"/>
            <w:vAlign w:val="center"/>
          </w:tcPr>
          <w:p w14:paraId="336F66B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侵蚀模数</w:t>
            </w:r>
          </w:p>
          <w:p w14:paraId="52491AB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背景值（t/km²·a）</w:t>
            </w:r>
          </w:p>
        </w:tc>
        <w:tc>
          <w:tcPr>
            <w:tcW w:w="1036" w:type="dxa"/>
            <w:tcBorders>
              <w:top w:val="single" w:color="auto" w:sz="4" w:space="0"/>
              <w:left w:val="nil"/>
              <w:bottom w:val="double" w:color="auto" w:sz="4" w:space="0"/>
              <w:right w:val="single" w:color="auto" w:sz="4" w:space="0"/>
            </w:tcBorders>
            <w:shd w:val="clear" w:color="auto" w:fill="auto"/>
            <w:vAlign w:val="center"/>
          </w:tcPr>
          <w:p w14:paraId="1BD0B553">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预测时段</w:t>
            </w:r>
            <w:r>
              <w:rPr>
                <w:rFonts w:cs="Times New Roman"/>
                <w:color w:val="000000" w:themeColor="text1"/>
                <w:sz w:val="21"/>
                <w:szCs w:val="21"/>
                <w14:textFill>
                  <w14:solidFill>
                    <w14:schemeClr w14:val="tx1"/>
                  </w14:solidFill>
                </w14:textFill>
              </w:rPr>
              <w:t>（a）</w:t>
            </w:r>
          </w:p>
        </w:tc>
        <w:tc>
          <w:tcPr>
            <w:tcW w:w="1090" w:type="dxa"/>
            <w:tcBorders>
              <w:top w:val="single" w:color="auto" w:sz="4" w:space="0"/>
              <w:left w:val="nil"/>
              <w:bottom w:val="double" w:color="auto" w:sz="4" w:space="0"/>
              <w:right w:val="single" w:color="auto" w:sz="4" w:space="0"/>
            </w:tcBorders>
            <w:shd w:val="clear" w:color="auto" w:fill="auto"/>
            <w:vAlign w:val="center"/>
          </w:tcPr>
          <w:p w14:paraId="4E0DF10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水土流失</w:t>
            </w:r>
          </w:p>
          <w:p w14:paraId="705C18F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总量（t）</w:t>
            </w:r>
          </w:p>
        </w:tc>
        <w:tc>
          <w:tcPr>
            <w:tcW w:w="1037" w:type="dxa"/>
            <w:tcBorders>
              <w:top w:val="single" w:color="auto" w:sz="4" w:space="0"/>
              <w:left w:val="nil"/>
              <w:bottom w:val="double" w:color="auto" w:sz="4" w:space="0"/>
              <w:right w:val="single" w:color="auto" w:sz="4" w:space="0"/>
            </w:tcBorders>
            <w:shd w:val="clear" w:color="auto" w:fill="auto"/>
            <w:vAlign w:val="center"/>
          </w:tcPr>
          <w:p w14:paraId="134EBF23">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原地貌</w:t>
            </w:r>
            <w:r>
              <w:rPr>
                <w:rFonts w:cs="Times New Roman"/>
                <w:color w:val="000000" w:themeColor="text1"/>
                <w:sz w:val="21"/>
                <w:szCs w:val="21"/>
                <w14:textFill>
                  <w14:solidFill>
                    <w14:schemeClr w14:val="tx1"/>
                  </w14:solidFill>
                </w14:textFill>
              </w:rPr>
              <w:t>水土</w:t>
            </w:r>
          </w:p>
          <w:p w14:paraId="2441940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流失量（t）</w:t>
            </w:r>
          </w:p>
        </w:tc>
        <w:tc>
          <w:tcPr>
            <w:tcW w:w="0" w:type="auto"/>
            <w:tcBorders>
              <w:top w:val="single" w:color="auto" w:sz="4" w:space="0"/>
              <w:left w:val="nil"/>
              <w:bottom w:val="double" w:color="auto" w:sz="4" w:space="0"/>
              <w:right w:val="single" w:color="auto" w:sz="4" w:space="0"/>
            </w:tcBorders>
            <w:shd w:val="clear" w:color="auto" w:fill="auto"/>
            <w:vAlign w:val="center"/>
          </w:tcPr>
          <w:p w14:paraId="5AC5640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新增水土</w:t>
            </w:r>
          </w:p>
          <w:p w14:paraId="487ADC7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流失量（t）</w:t>
            </w:r>
          </w:p>
        </w:tc>
      </w:tr>
      <w:tr w14:paraId="0D263324">
        <w:tblPrEx>
          <w:tblCellMar>
            <w:top w:w="0" w:type="dxa"/>
            <w:left w:w="108" w:type="dxa"/>
            <w:bottom w:w="0" w:type="dxa"/>
            <w:right w:w="108" w:type="dxa"/>
          </w:tblCellMar>
        </w:tblPrEx>
        <w:trPr>
          <w:trHeight w:val="397" w:hRule="atLeast"/>
        </w:trPr>
        <w:tc>
          <w:tcPr>
            <w:tcW w:w="0" w:type="auto"/>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3302965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水力侵蚀</w:t>
            </w:r>
          </w:p>
        </w:tc>
        <w:tc>
          <w:tcPr>
            <w:tcW w:w="791"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165744F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1843"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5F265EB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公共管理与公共服务用地</w:t>
            </w:r>
          </w:p>
        </w:tc>
        <w:tc>
          <w:tcPr>
            <w:tcW w:w="1559" w:type="dxa"/>
            <w:tcBorders>
              <w:top w:val="double" w:color="auto" w:sz="4" w:space="0"/>
              <w:left w:val="nil"/>
              <w:bottom w:val="single" w:color="auto" w:sz="4" w:space="0"/>
              <w:right w:val="single" w:color="auto" w:sz="4" w:space="0"/>
            </w:tcBorders>
            <w:shd w:val="clear" w:color="auto" w:fill="auto"/>
            <w:vAlign w:val="center"/>
          </w:tcPr>
          <w:p w14:paraId="41CFF8E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1276" w:type="dxa"/>
            <w:tcBorders>
              <w:top w:val="double" w:color="auto" w:sz="4" w:space="0"/>
              <w:left w:val="nil"/>
              <w:bottom w:val="single" w:color="auto" w:sz="4" w:space="0"/>
              <w:right w:val="single" w:color="auto" w:sz="4" w:space="0"/>
            </w:tcBorders>
            <w:shd w:val="clear" w:color="auto" w:fill="auto"/>
            <w:vAlign w:val="center"/>
          </w:tcPr>
          <w:p w14:paraId="2861DE6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地表翻扰型</w:t>
            </w:r>
          </w:p>
        </w:tc>
        <w:tc>
          <w:tcPr>
            <w:tcW w:w="1294" w:type="dxa"/>
            <w:tcBorders>
              <w:top w:val="double" w:color="auto" w:sz="4" w:space="0"/>
              <w:left w:val="nil"/>
              <w:bottom w:val="single" w:color="auto" w:sz="4" w:space="0"/>
              <w:right w:val="single" w:color="auto" w:sz="4" w:space="0"/>
            </w:tcBorders>
            <w:shd w:val="clear" w:color="auto" w:fill="auto"/>
            <w:vAlign w:val="center"/>
          </w:tcPr>
          <w:p w14:paraId="4BC8AF6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0.4</w:t>
            </w:r>
          </w:p>
        </w:tc>
        <w:tc>
          <w:tcPr>
            <w:tcW w:w="1290" w:type="dxa"/>
            <w:tcBorders>
              <w:top w:val="double" w:color="auto" w:sz="4" w:space="0"/>
              <w:left w:val="nil"/>
              <w:bottom w:val="single" w:color="auto" w:sz="4" w:space="0"/>
              <w:right w:val="single" w:color="auto" w:sz="4" w:space="0"/>
            </w:tcBorders>
            <w:shd w:val="clear" w:color="auto" w:fill="auto"/>
            <w:vAlign w:val="center"/>
          </w:tcPr>
          <w:p w14:paraId="0123838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3349 </w:t>
            </w:r>
          </w:p>
        </w:tc>
        <w:tc>
          <w:tcPr>
            <w:tcW w:w="1290" w:type="dxa"/>
            <w:tcBorders>
              <w:top w:val="double" w:color="auto" w:sz="4" w:space="0"/>
              <w:left w:val="nil"/>
              <w:bottom w:val="single" w:color="auto" w:sz="4" w:space="0"/>
              <w:right w:val="single" w:color="auto" w:sz="4" w:space="0"/>
            </w:tcBorders>
            <w:shd w:val="clear" w:color="auto" w:fill="auto"/>
            <w:vAlign w:val="center"/>
          </w:tcPr>
          <w:p w14:paraId="5F711A4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737 </w:t>
            </w:r>
          </w:p>
        </w:tc>
        <w:tc>
          <w:tcPr>
            <w:tcW w:w="1036" w:type="dxa"/>
            <w:tcBorders>
              <w:top w:val="double" w:color="auto" w:sz="4" w:space="0"/>
              <w:left w:val="nil"/>
              <w:bottom w:val="single" w:color="auto" w:sz="4" w:space="0"/>
              <w:right w:val="single" w:color="auto" w:sz="4" w:space="0"/>
            </w:tcBorders>
            <w:shd w:val="clear" w:color="auto" w:fill="auto"/>
            <w:vAlign w:val="center"/>
          </w:tcPr>
          <w:p w14:paraId="2135B4F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2</w:t>
            </w:r>
          </w:p>
        </w:tc>
        <w:tc>
          <w:tcPr>
            <w:tcW w:w="1090" w:type="dxa"/>
            <w:tcBorders>
              <w:top w:val="double" w:color="auto" w:sz="4" w:space="0"/>
              <w:left w:val="nil"/>
              <w:bottom w:val="single" w:color="auto" w:sz="4" w:space="0"/>
              <w:right w:val="single" w:color="auto" w:sz="4" w:space="0"/>
            </w:tcBorders>
            <w:shd w:val="clear" w:color="auto" w:fill="auto"/>
            <w:vAlign w:val="center"/>
          </w:tcPr>
          <w:p w14:paraId="31AEFB4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27 </w:t>
            </w:r>
          </w:p>
        </w:tc>
        <w:tc>
          <w:tcPr>
            <w:tcW w:w="1037" w:type="dxa"/>
            <w:tcBorders>
              <w:top w:val="double" w:color="auto" w:sz="4" w:space="0"/>
              <w:left w:val="nil"/>
              <w:bottom w:val="single" w:color="auto" w:sz="4" w:space="0"/>
              <w:right w:val="single" w:color="auto" w:sz="4" w:space="0"/>
            </w:tcBorders>
            <w:shd w:val="clear" w:color="auto" w:fill="auto"/>
            <w:vAlign w:val="center"/>
          </w:tcPr>
          <w:p w14:paraId="385E30F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6 </w:t>
            </w:r>
          </w:p>
        </w:tc>
        <w:tc>
          <w:tcPr>
            <w:tcW w:w="0" w:type="auto"/>
            <w:tcBorders>
              <w:top w:val="double" w:color="auto" w:sz="4" w:space="0"/>
              <w:left w:val="nil"/>
              <w:bottom w:val="single" w:color="auto" w:sz="4" w:space="0"/>
              <w:right w:val="single" w:color="auto" w:sz="4" w:space="0"/>
            </w:tcBorders>
            <w:shd w:val="clear" w:color="auto" w:fill="auto"/>
            <w:vAlign w:val="center"/>
          </w:tcPr>
          <w:p w14:paraId="4CEC3EE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 </w:t>
            </w:r>
          </w:p>
        </w:tc>
      </w:tr>
      <w:tr w14:paraId="5CD07797">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12011F0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3882A2A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5733D6E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6277AFA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工程开挖面</w:t>
            </w:r>
          </w:p>
        </w:tc>
        <w:tc>
          <w:tcPr>
            <w:tcW w:w="1276" w:type="dxa"/>
            <w:tcBorders>
              <w:top w:val="nil"/>
              <w:left w:val="nil"/>
              <w:bottom w:val="single" w:color="auto" w:sz="4" w:space="0"/>
              <w:right w:val="single" w:color="auto" w:sz="4" w:space="0"/>
            </w:tcBorders>
            <w:shd w:val="clear" w:color="auto" w:fill="auto"/>
            <w:vAlign w:val="center"/>
          </w:tcPr>
          <w:p w14:paraId="019AF62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1294" w:type="dxa"/>
            <w:tcBorders>
              <w:top w:val="nil"/>
              <w:left w:val="nil"/>
              <w:bottom w:val="single" w:color="auto" w:sz="4" w:space="0"/>
              <w:right w:val="single" w:color="auto" w:sz="4" w:space="0"/>
            </w:tcBorders>
            <w:shd w:val="clear" w:color="auto" w:fill="auto"/>
            <w:vAlign w:val="center"/>
          </w:tcPr>
          <w:p w14:paraId="6D7E7EF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0.47</w:t>
            </w:r>
          </w:p>
        </w:tc>
        <w:tc>
          <w:tcPr>
            <w:tcW w:w="1290" w:type="dxa"/>
            <w:tcBorders>
              <w:top w:val="nil"/>
              <w:left w:val="nil"/>
              <w:bottom w:val="single" w:color="auto" w:sz="4" w:space="0"/>
              <w:right w:val="single" w:color="auto" w:sz="4" w:space="0"/>
            </w:tcBorders>
            <w:shd w:val="clear" w:color="auto" w:fill="auto"/>
            <w:vAlign w:val="center"/>
          </w:tcPr>
          <w:p w14:paraId="2341AD8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3071 </w:t>
            </w:r>
          </w:p>
        </w:tc>
        <w:tc>
          <w:tcPr>
            <w:tcW w:w="1290" w:type="dxa"/>
            <w:tcBorders>
              <w:top w:val="nil"/>
              <w:left w:val="nil"/>
              <w:bottom w:val="single" w:color="auto" w:sz="4" w:space="0"/>
              <w:right w:val="single" w:color="auto" w:sz="4" w:space="0"/>
            </w:tcBorders>
            <w:shd w:val="clear" w:color="auto" w:fill="auto"/>
            <w:vAlign w:val="center"/>
          </w:tcPr>
          <w:p w14:paraId="13400DC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737 </w:t>
            </w:r>
          </w:p>
        </w:tc>
        <w:tc>
          <w:tcPr>
            <w:tcW w:w="1036" w:type="dxa"/>
            <w:tcBorders>
              <w:top w:val="nil"/>
              <w:left w:val="nil"/>
              <w:bottom w:val="single" w:color="auto" w:sz="4" w:space="0"/>
              <w:right w:val="single" w:color="auto" w:sz="4" w:space="0"/>
            </w:tcBorders>
            <w:shd w:val="clear" w:color="auto" w:fill="auto"/>
            <w:vAlign w:val="center"/>
          </w:tcPr>
          <w:p w14:paraId="5AE9741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0.75</w:t>
            </w:r>
          </w:p>
        </w:tc>
        <w:tc>
          <w:tcPr>
            <w:tcW w:w="1090" w:type="dxa"/>
            <w:tcBorders>
              <w:top w:val="nil"/>
              <w:left w:val="nil"/>
              <w:bottom w:val="single" w:color="auto" w:sz="4" w:space="0"/>
              <w:right w:val="single" w:color="auto" w:sz="4" w:space="0"/>
            </w:tcBorders>
            <w:shd w:val="clear" w:color="auto" w:fill="auto"/>
            <w:vAlign w:val="center"/>
          </w:tcPr>
          <w:p w14:paraId="54C285A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11 </w:t>
            </w:r>
          </w:p>
        </w:tc>
        <w:tc>
          <w:tcPr>
            <w:tcW w:w="1037" w:type="dxa"/>
            <w:tcBorders>
              <w:top w:val="nil"/>
              <w:left w:val="nil"/>
              <w:bottom w:val="single" w:color="auto" w:sz="4" w:space="0"/>
              <w:right w:val="single" w:color="auto" w:sz="4" w:space="0"/>
            </w:tcBorders>
            <w:shd w:val="clear" w:color="auto" w:fill="auto"/>
            <w:vAlign w:val="center"/>
          </w:tcPr>
          <w:p w14:paraId="3C2328F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 </w:t>
            </w:r>
          </w:p>
        </w:tc>
        <w:tc>
          <w:tcPr>
            <w:tcW w:w="0" w:type="auto"/>
            <w:tcBorders>
              <w:top w:val="nil"/>
              <w:left w:val="nil"/>
              <w:bottom w:val="single" w:color="auto" w:sz="4" w:space="0"/>
              <w:right w:val="single" w:color="auto" w:sz="4" w:space="0"/>
            </w:tcBorders>
            <w:shd w:val="clear" w:color="auto" w:fill="auto"/>
            <w:vAlign w:val="center"/>
          </w:tcPr>
          <w:p w14:paraId="7BD47FA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8 </w:t>
            </w:r>
          </w:p>
        </w:tc>
      </w:tr>
      <w:tr w14:paraId="5302CE3C">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698DBA2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769C514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343343B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42195CA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1276" w:type="dxa"/>
            <w:tcBorders>
              <w:top w:val="nil"/>
              <w:left w:val="nil"/>
              <w:bottom w:val="single" w:color="auto" w:sz="4" w:space="0"/>
              <w:right w:val="single" w:color="auto" w:sz="4" w:space="0"/>
            </w:tcBorders>
            <w:shd w:val="clear" w:color="auto" w:fill="auto"/>
            <w:vAlign w:val="center"/>
          </w:tcPr>
          <w:p w14:paraId="312031C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1294" w:type="dxa"/>
            <w:tcBorders>
              <w:top w:val="nil"/>
              <w:left w:val="nil"/>
              <w:bottom w:val="single" w:color="auto" w:sz="4" w:space="0"/>
              <w:right w:val="single" w:color="auto" w:sz="4" w:space="0"/>
            </w:tcBorders>
            <w:shd w:val="clear" w:color="auto" w:fill="auto"/>
            <w:vAlign w:val="center"/>
          </w:tcPr>
          <w:p w14:paraId="4E1EEF5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0.2</w:t>
            </w:r>
          </w:p>
        </w:tc>
        <w:tc>
          <w:tcPr>
            <w:tcW w:w="1290" w:type="dxa"/>
            <w:tcBorders>
              <w:top w:val="nil"/>
              <w:left w:val="nil"/>
              <w:bottom w:val="single" w:color="auto" w:sz="4" w:space="0"/>
              <w:right w:val="single" w:color="auto" w:sz="4" w:space="0"/>
            </w:tcBorders>
            <w:shd w:val="clear" w:color="auto" w:fill="auto"/>
            <w:vAlign w:val="center"/>
          </w:tcPr>
          <w:p w14:paraId="55E656E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11312 </w:t>
            </w:r>
          </w:p>
        </w:tc>
        <w:tc>
          <w:tcPr>
            <w:tcW w:w="1290" w:type="dxa"/>
            <w:tcBorders>
              <w:top w:val="nil"/>
              <w:left w:val="nil"/>
              <w:bottom w:val="single" w:color="auto" w:sz="4" w:space="0"/>
              <w:right w:val="single" w:color="auto" w:sz="4" w:space="0"/>
            </w:tcBorders>
            <w:shd w:val="clear" w:color="auto" w:fill="auto"/>
            <w:vAlign w:val="center"/>
          </w:tcPr>
          <w:p w14:paraId="20F8C10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737 </w:t>
            </w:r>
          </w:p>
        </w:tc>
        <w:tc>
          <w:tcPr>
            <w:tcW w:w="1036" w:type="dxa"/>
            <w:tcBorders>
              <w:top w:val="nil"/>
              <w:left w:val="nil"/>
              <w:bottom w:val="single" w:color="auto" w:sz="4" w:space="0"/>
              <w:right w:val="single" w:color="auto" w:sz="4" w:space="0"/>
            </w:tcBorders>
            <w:shd w:val="clear" w:color="auto" w:fill="auto"/>
            <w:vAlign w:val="center"/>
          </w:tcPr>
          <w:p w14:paraId="29BF4E6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0A0F986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23 </w:t>
            </w:r>
          </w:p>
        </w:tc>
        <w:tc>
          <w:tcPr>
            <w:tcW w:w="1037" w:type="dxa"/>
            <w:tcBorders>
              <w:top w:val="nil"/>
              <w:left w:val="nil"/>
              <w:bottom w:val="single" w:color="auto" w:sz="4" w:space="0"/>
              <w:right w:val="single" w:color="auto" w:sz="4" w:space="0"/>
            </w:tcBorders>
            <w:shd w:val="clear" w:color="auto" w:fill="auto"/>
            <w:vAlign w:val="center"/>
          </w:tcPr>
          <w:p w14:paraId="7E59749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 </w:t>
            </w:r>
          </w:p>
        </w:tc>
        <w:tc>
          <w:tcPr>
            <w:tcW w:w="0" w:type="auto"/>
            <w:tcBorders>
              <w:top w:val="nil"/>
              <w:left w:val="nil"/>
              <w:bottom w:val="single" w:color="auto" w:sz="4" w:space="0"/>
              <w:right w:val="single" w:color="auto" w:sz="4" w:space="0"/>
            </w:tcBorders>
            <w:shd w:val="clear" w:color="auto" w:fill="auto"/>
            <w:vAlign w:val="center"/>
          </w:tcPr>
          <w:p w14:paraId="4F90758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 </w:t>
            </w:r>
          </w:p>
        </w:tc>
      </w:tr>
      <w:tr w14:paraId="255BE12C">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039B27B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25F0DAA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1318BD0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商业服务业用地</w:t>
            </w:r>
          </w:p>
        </w:tc>
        <w:tc>
          <w:tcPr>
            <w:tcW w:w="1559" w:type="dxa"/>
            <w:tcBorders>
              <w:top w:val="nil"/>
              <w:left w:val="nil"/>
              <w:bottom w:val="single" w:color="auto" w:sz="4" w:space="0"/>
              <w:right w:val="single" w:color="auto" w:sz="4" w:space="0"/>
            </w:tcBorders>
            <w:shd w:val="clear" w:color="auto" w:fill="auto"/>
            <w:vAlign w:val="center"/>
          </w:tcPr>
          <w:p w14:paraId="6C02A5D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1276" w:type="dxa"/>
            <w:tcBorders>
              <w:top w:val="nil"/>
              <w:left w:val="nil"/>
              <w:bottom w:val="single" w:color="auto" w:sz="4" w:space="0"/>
              <w:right w:val="single" w:color="auto" w:sz="4" w:space="0"/>
            </w:tcBorders>
            <w:shd w:val="clear" w:color="auto" w:fill="auto"/>
            <w:vAlign w:val="center"/>
          </w:tcPr>
          <w:p w14:paraId="7B90E1D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地表翻扰型</w:t>
            </w:r>
          </w:p>
        </w:tc>
        <w:tc>
          <w:tcPr>
            <w:tcW w:w="1294" w:type="dxa"/>
            <w:tcBorders>
              <w:top w:val="nil"/>
              <w:left w:val="nil"/>
              <w:bottom w:val="single" w:color="auto" w:sz="4" w:space="0"/>
              <w:right w:val="single" w:color="auto" w:sz="4" w:space="0"/>
            </w:tcBorders>
            <w:shd w:val="clear" w:color="auto" w:fill="auto"/>
            <w:vAlign w:val="center"/>
          </w:tcPr>
          <w:p w14:paraId="3B7A90D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1.311</w:t>
            </w:r>
          </w:p>
        </w:tc>
        <w:tc>
          <w:tcPr>
            <w:tcW w:w="1290" w:type="dxa"/>
            <w:tcBorders>
              <w:top w:val="nil"/>
              <w:left w:val="nil"/>
              <w:bottom w:val="single" w:color="auto" w:sz="4" w:space="0"/>
              <w:right w:val="single" w:color="auto" w:sz="4" w:space="0"/>
            </w:tcBorders>
            <w:shd w:val="clear" w:color="auto" w:fill="auto"/>
            <w:vAlign w:val="center"/>
          </w:tcPr>
          <w:p w14:paraId="70B47AB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3349 </w:t>
            </w:r>
          </w:p>
        </w:tc>
        <w:tc>
          <w:tcPr>
            <w:tcW w:w="1290" w:type="dxa"/>
            <w:tcBorders>
              <w:top w:val="nil"/>
              <w:left w:val="nil"/>
              <w:bottom w:val="single" w:color="auto" w:sz="4" w:space="0"/>
              <w:right w:val="single" w:color="auto" w:sz="4" w:space="0"/>
            </w:tcBorders>
            <w:shd w:val="clear" w:color="auto" w:fill="auto"/>
            <w:vAlign w:val="center"/>
          </w:tcPr>
          <w:p w14:paraId="2722E11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737 </w:t>
            </w:r>
          </w:p>
        </w:tc>
        <w:tc>
          <w:tcPr>
            <w:tcW w:w="1036" w:type="dxa"/>
            <w:tcBorders>
              <w:top w:val="nil"/>
              <w:left w:val="nil"/>
              <w:bottom w:val="single" w:color="auto" w:sz="4" w:space="0"/>
              <w:right w:val="single" w:color="auto" w:sz="4" w:space="0"/>
            </w:tcBorders>
            <w:shd w:val="clear" w:color="auto" w:fill="auto"/>
            <w:vAlign w:val="center"/>
          </w:tcPr>
          <w:p w14:paraId="61D6AEF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33AAFCF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44 </w:t>
            </w:r>
          </w:p>
        </w:tc>
        <w:tc>
          <w:tcPr>
            <w:tcW w:w="1037" w:type="dxa"/>
            <w:tcBorders>
              <w:top w:val="nil"/>
              <w:left w:val="nil"/>
              <w:bottom w:val="single" w:color="auto" w:sz="4" w:space="0"/>
              <w:right w:val="single" w:color="auto" w:sz="4" w:space="0"/>
            </w:tcBorders>
            <w:shd w:val="clear" w:color="auto" w:fill="auto"/>
            <w:vAlign w:val="center"/>
          </w:tcPr>
          <w:p w14:paraId="5DF6F33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10 </w:t>
            </w:r>
          </w:p>
        </w:tc>
        <w:tc>
          <w:tcPr>
            <w:tcW w:w="0" w:type="auto"/>
            <w:tcBorders>
              <w:top w:val="nil"/>
              <w:left w:val="nil"/>
              <w:bottom w:val="single" w:color="auto" w:sz="4" w:space="0"/>
              <w:right w:val="single" w:color="auto" w:sz="4" w:space="0"/>
            </w:tcBorders>
            <w:shd w:val="clear" w:color="auto" w:fill="auto"/>
            <w:vAlign w:val="center"/>
          </w:tcPr>
          <w:p w14:paraId="4B4C629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34 </w:t>
            </w:r>
          </w:p>
        </w:tc>
      </w:tr>
      <w:tr w14:paraId="053396BE">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6521619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1B74A89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1174A09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5115EE3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工程开挖面</w:t>
            </w:r>
          </w:p>
        </w:tc>
        <w:tc>
          <w:tcPr>
            <w:tcW w:w="1276" w:type="dxa"/>
            <w:tcBorders>
              <w:top w:val="nil"/>
              <w:left w:val="nil"/>
              <w:bottom w:val="single" w:color="auto" w:sz="4" w:space="0"/>
              <w:right w:val="single" w:color="auto" w:sz="4" w:space="0"/>
            </w:tcBorders>
            <w:shd w:val="clear" w:color="auto" w:fill="auto"/>
            <w:vAlign w:val="center"/>
          </w:tcPr>
          <w:p w14:paraId="60A35CD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1294" w:type="dxa"/>
            <w:tcBorders>
              <w:top w:val="nil"/>
              <w:left w:val="nil"/>
              <w:bottom w:val="single" w:color="auto" w:sz="4" w:space="0"/>
              <w:right w:val="single" w:color="auto" w:sz="4" w:space="0"/>
            </w:tcBorders>
            <w:shd w:val="clear" w:color="auto" w:fill="auto"/>
            <w:vAlign w:val="center"/>
          </w:tcPr>
          <w:p w14:paraId="4D4ED9F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2.559</w:t>
            </w:r>
          </w:p>
        </w:tc>
        <w:tc>
          <w:tcPr>
            <w:tcW w:w="1290" w:type="dxa"/>
            <w:tcBorders>
              <w:top w:val="nil"/>
              <w:left w:val="nil"/>
              <w:bottom w:val="single" w:color="auto" w:sz="4" w:space="0"/>
              <w:right w:val="single" w:color="auto" w:sz="4" w:space="0"/>
            </w:tcBorders>
            <w:shd w:val="clear" w:color="auto" w:fill="auto"/>
            <w:vAlign w:val="center"/>
          </w:tcPr>
          <w:p w14:paraId="5E3727E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3071 </w:t>
            </w:r>
          </w:p>
        </w:tc>
        <w:tc>
          <w:tcPr>
            <w:tcW w:w="1290" w:type="dxa"/>
            <w:tcBorders>
              <w:top w:val="nil"/>
              <w:left w:val="nil"/>
              <w:bottom w:val="single" w:color="auto" w:sz="4" w:space="0"/>
              <w:right w:val="single" w:color="auto" w:sz="4" w:space="0"/>
            </w:tcBorders>
            <w:shd w:val="clear" w:color="auto" w:fill="auto"/>
            <w:vAlign w:val="center"/>
          </w:tcPr>
          <w:p w14:paraId="5F91F96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737 </w:t>
            </w:r>
          </w:p>
        </w:tc>
        <w:tc>
          <w:tcPr>
            <w:tcW w:w="1036" w:type="dxa"/>
            <w:tcBorders>
              <w:top w:val="nil"/>
              <w:left w:val="nil"/>
              <w:bottom w:val="single" w:color="auto" w:sz="4" w:space="0"/>
              <w:right w:val="single" w:color="auto" w:sz="4" w:space="0"/>
            </w:tcBorders>
            <w:shd w:val="clear" w:color="auto" w:fill="auto"/>
            <w:vAlign w:val="center"/>
          </w:tcPr>
          <w:p w14:paraId="5AFF4CF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0.75</w:t>
            </w:r>
          </w:p>
        </w:tc>
        <w:tc>
          <w:tcPr>
            <w:tcW w:w="1090" w:type="dxa"/>
            <w:tcBorders>
              <w:top w:val="nil"/>
              <w:left w:val="nil"/>
              <w:bottom w:val="single" w:color="auto" w:sz="4" w:space="0"/>
              <w:right w:val="single" w:color="auto" w:sz="4" w:space="0"/>
            </w:tcBorders>
            <w:shd w:val="clear" w:color="auto" w:fill="auto"/>
            <w:vAlign w:val="center"/>
          </w:tcPr>
          <w:p w14:paraId="2C6751E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59 </w:t>
            </w:r>
          </w:p>
        </w:tc>
        <w:tc>
          <w:tcPr>
            <w:tcW w:w="1037" w:type="dxa"/>
            <w:tcBorders>
              <w:top w:val="nil"/>
              <w:left w:val="nil"/>
              <w:bottom w:val="single" w:color="auto" w:sz="4" w:space="0"/>
              <w:right w:val="single" w:color="auto" w:sz="4" w:space="0"/>
            </w:tcBorders>
            <w:shd w:val="clear" w:color="auto" w:fill="auto"/>
            <w:vAlign w:val="center"/>
          </w:tcPr>
          <w:p w14:paraId="487E458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14 </w:t>
            </w:r>
          </w:p>
        </w:tc>
        <w:tc>
          <w:tcPr>
            <w:tcW w:w="0" w:type="auto"/>
            <w:tcBorders>
              <w:top w:val="nil"/>
              <w:left w:val="nil"/>
              <w:bottom w:val="single" w:color="auto" w:sz="4" w:space="0"/>
              <w:right w:val="single" w:color="auto" w:sz="4" w:space="0"/>
            </w:tcBorders>
            <w:shd w:val="clear" w:color="auto" w:fill="auto"/>
            <w:vAlign w:val="center"/>
          </w:tcPr>
          <w:p w14:paraId="4AC2D21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45 </w:t>
            </w:r>
          </w:p>
        </w:tc>
      </w:tr>
      <w:tr w14:paraId="2A5E52BB">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003F937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42B1748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6C278B4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5231FB3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1276" w:type="dxa"/>
            <w:tcBorders>
              <w:top w:val="nil"/>
              <w:left w:val="nil"/>
              <w:bottom w:val="single" w:color="auto" w:sz="4" w:space="0"/>
              <w:right w:val="single" w:color="auto" w:sz="4" w:space="0"/>
            </w:tcBorders>
            <w:shd w:val="clear" w:color="auto" w:fill="auto"/>
            <w:vAlign w:val="center"/>
          </w:tcPr>
          <w:p w14:paraId="14BF2CE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1294" w:type="dxa"/>
            <w:tcBorders>
              <w:top w:val="nil"/>
              <w:left w:val="nil"/>
              <w:bottom w:val="single" w:color="auto" w:sz="4" w:space="0"/>
              <w:right w:val="single" w:color="auto" w:sz="4" w:space="0"/>
            </w:tcBorders>
            <w:shd w:val="clear" w:color="auto" w:fill="auto"/>
            <w:vAlign w:val="center"/>
          </w:tcPr>
          <w:p w14:paraId="5A35CBF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0.5</w:t>
            </w:r>
          </w:p>
        </w:tc>
        <w:tc>
          <w:tcPr>
            <w:tcW w:w="1290" w:type="dxa"/>
            <w:tcBorders>
              <w:top w:val="nil"/>
              <w:left w:val="nil"/>
              <w:bottom w:val="single" w:color="auto" w:sz="4" w:space="0"/>
              <w:right w:val="single" w:color="auto" w:sz="4" w:space="0"/>
            </w:tcBorders>
            <w:shd w:val="clear" w:color="auto" w:fill="auto"/>
            <w:vAlign w:val="center"/>
          </w:tcPr>
          <w:p w14:paraId="0FAB51E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11312 </w:t>
            </w:r>
          </w:p>
        </w:tc>
        <w:tc>
          <w:tcPr>
            <w:tcW w:w="1290" w:type="dxa"/>
            <w:tcBorders>
              <w:top w:val="nil"/>
              <w:left w:val="nil"/>
              <w:bottom w:val="single" w:color="auto" w:sz="4" w:space="0"/>
              <w:right w:val="single" w:color="auto" w:sz="4" w:space="0"/>
            </w:tcBorders>
            <w:shd w:val="clear" w:color="auto" w:fill="auto"/>
            <w:vAlign w:val="center"/>
          </w:tcPr>
          <w:p w14:paraId="689C074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737 </w:t>
            </w:r>
          </w:p>
        </w:tc>
        <w:tc>
          <w:tcPr>
            <w:tcW w:w="1036" w:type="dxa"/>
            <w:tcBorders>
              <w:top w:val="nil"/>
              <w:left w:val="nil"/>
              <w:bottom w:val="single" w:color="auto" w:sz="4" w:space="0"/>
              <w:right w:val="single" w:color="auto" w:sz="4" w:space="0"/>
            </w:tcBorders>
            <w:shd w:val="clear" w:color="auto" w:fill="auto"/>
            <w:vAlign w:val="center"/>
          </w:tcPr>
          <w:p w14:paraId="6031CC5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092BD3F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57 </w:t>
            </w:r>
          </w:p>
        </w:tc>
        <w:tc>
          <w:tcPr>
            <w:tcW w:w="1037" w:type="dxa"/>
            <w:tcBorders>
              <w:top w:val="nil"/>
              <w:left w:val="nil"/>
              <w:bottom w:val="single" w:color="auto" w:sz="4" w:space="0"/>
              <w:right w:val="single" w:color="auto" w:sz="4" w:space="0"/>
            </w:tcBorders>
            <w:shd w:val="clear" w:color="auto" w:fill="auto"/>
            <w:vAlign w:val="center"/>
          </w:tcPr>
          <w:p w14:paraId="020995C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4 </w:t>
            </w:r>
          </w:p>
        </w:tc>
        <w:tc>
          <w:tcPr>
            <w:tcW w:w="0" w:type="auto"/>
            <w:tcBorders>
              <w:top w:val="nil"/>
              <w:left w:val="nil"/>
              <w:bottom w:val="single" w:color="auto" w:sz="4" w:space="0"/>
              <w:right w:val="single" w:color="auto" w:sz="4" w:space="0"/>
            </w:tcBorders>
            <w:shd w:val="clear" w:color="auto" w:fill="auto"/>
            <w:vAlign w:val="center"/>
          </w:tcPr>
          <w:p w14:paraId="29BC0B9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53 </w:t>
            </w:r>
          </w:p>
        </w:tc>
      </w:tr>
      <w:tr w14:paraId="22BFBA1C">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42FB634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2C86380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634B945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1559" w:type="dxa"/>
            <w:tcBorders>
              <w:top w:val="nil"/>
              <w:left w:val="nil"/>
              <w:bottom w:val="single" w:color="auto" w:sz="4" w:space="0"/>
              <w:right w:val="single" w:color="auto" w:sz="4" w:space="0"/>
            </w:tcBorders>
            <w:shd w:val="clear" w:color="auto" w:fill="auto"/>
            <w:vAlign w:val="center"/>
          </w:tcPr>
          <w:p w14:paraId="4195C48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1276" w:type="dxa"/>
            <w:tcBorders>
              <w:top w:val="nil"/>
              <w:left w:val="nil"/>
              <w:bottom w:val="single" w:color="auto" w:sz="4" w:space="0"/>
              <w:right w:val="single" w:color="auto" w:sz="4" w:space="0"/>
            </w:tcBorders>
            <w:shd w:val="clear" w:color="auto" w:fill="auto"/>
            <w:vAlign w:val="center"/>
          </w:tcPr>
          <w:p w14:paraId="42D5E71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地表翻扰型</w:t>
            </w:r>
          </w:p>
        </w:tc>
        <w:tc>
          <w:tcPr>
            <w:tcW w:w="1294" w:type="dxa"/>
            <w:tcBorders>
              <w:top w:val="nil"/>
              <w:left w:val="nil"/>
              <w:bottom w:val="single" w:color="auto" w:sz="4" w:space="0"/>
              <w:right w:val="single" w:color="auto" w:sz="4" w:space="0"/>
            </w:tcBorders>
            <w:shd w:val="clear" w:color="auto" w:fill="auto"/>
            <w:vAlign w:val="center"/>
          </w:tcPr>
          <w:p w14:paraId="6125EC7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502.14</w:t>
            </w:r>
          </w:p>
        </w:tc>
        <w:tc>
          <w:tcPr>
            <w:tcW w:w="1290" w:type="dxa"/>
            <w:tcBorders>
              <w:top w:val="nil"/>
              <w:left w:val="nil"/>
              <w:bottom w:val="single" w:color="auto" w:sz="4" w:space="0"/>
              <w:right w:val="single" w:color="auto" w:sz="4" w:space="0"/>
            </w:tcBorders>
            <w:shd w:val="clear" w:color="auto" w:fill="auto"/>
            <w:vAlign w:val="center"/>
          </w:tcPr>
          <w:p w14:paraId="6B97001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3349 </w:t>
            </w:r>
          </w:p>
        </w:tc>
        <w:tc>
          <w:tcPr>
            <w:tcW w:w="1290" w:type="dxa"/>
            <w:tcBorders>
              <w:top w:val="nil"/>
              <w:left w:val="nil"/>
              <w:bottom w:val="single" w:color="auto" w:sz="4" w:space="0"/>
              <w:right w:val="single" w:color="auto" w:sz="4" w:space="0"/>
            </w:tcBorders>
            <w:shd w:val="clear" w:color="auto" w:fill="auto"/>
            <w:vAlign w:val="center"/>
          </w:tcPr>
          <w:p w14:paraId="3CDE385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737 </w:t>
            </w:r>
          </w:p>
        </w:tc>
        <w:tc>
          <w:tcPr>
            <w:tcW w:w="1036" w:type="dxa"/>
            <w:tcBorders>
              <w:top w:val="nil"/>
              <w:left w:val="nil"/>
              <w:bottom w:val="single" w:color="auto" w:sz="4" w:space="0"/>
              <w:right w:val="single" w:color="auto" w:sz="4" w:space="0"/>
            </w:tcBorders>
            <w:shd w:val="clear" w:color="auto" w:fill="auto"/>
            <w:vAlign w:val="center"/>
          </w:tcPr>
          <w:p w14:paraId="72DDAFF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2</w:t>
            </w:r>
          </w:p>
        </w:tc>
        <w:tc>
          <w:tcPr>
            <w:tcW w:w="1090" w:type="dxa"/>
            <w:tcBorders>
              <w:top w:val="nil"/>
              <w:left w:val="nil"/>
              <w:bottom w:val="single" w:color="auto" w:sz="4" w:space="0"/>
              <w:right w:val="single" w:color="auto" w:sz="4" w:space="0"/>
            </w:tcBorders>
            <w:shd w:val="clear" w:color="auto" w:fill="auto"/>
            <w:vAlign w:val="center"/>
          </w:tcPr>
          <w:p w14:paraId="480F8B8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33630 </w:t>
            </w:r>
          </w:p>
        </w:tc>
        <w:tc>
          <w:tcPr>
            <w:tcW w:w="1037" w:type="dxa"/>
            <w:tcBorders>
              <w:top w:val="nil"/>
              <w:left w:val="nil"/>
              <w:bottom w:val="single" w:color="auto" w:sz="4" w:space="0"/>
              <w:right w:val="single" w:color="auto" w:sz="4" w:space="0"/>
            </w:tcBorders>
            <w:shd w:val="clear" w:color="auto" w:fill="auto"/>
            <w:vAlign w:val="center"/>
          </w:tcPr>
          <w:p w14:paraId="0F684DF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7405 </w:t>
            </w:r>
          </w:p>
        </w:tc>
        <w:tc>
          <w:tcPr>
            <w:tcW w:w="0" w:type="auto"/>
            <w:tcBorders>
              <w:top w:val="nil"/>
              <w:left w:val="nil"/>
              <w:bottom w:val="single" w:color="auto" w:sz="4" w:space="0"/>
              <w:right w:val="single" w:color="auto" w:sz="4" w:space="0"/>
            </w:tcBorders>
            <w:shd w:val="clear" w:color="auto" w:fill="auto"/>
            <w:vAlign w:val="center"/>
          </w:tcPr>
          <w:p w14:paraId="3F9FCE1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26225 </w:t>
            </w:r>
          </w:p>
        </w:tc>
      </w:tr>
      <w:tr w14:paraId="04993D9E">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079206D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30F7FAC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3333B66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187D238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工程开挖面</w:t>
            </w:r>
          </w:p>
        </w:tc>
        <w:tc>
          <w:tcPr>
            <w:tcW w:w="1276" w:type="dxa"/>
            <w:tcBorders>
              <w:top w:val="nil"/>
              <w:left w:val="nil"/>
              <w:bottom w:val="single" w:color="auto" w:sz="4" w:space="0"/>
              <w:right w:val="single" w:color="auto" w:sz="4" w:space="0"/>
            </w:tcBorders>
            <w:shd w:val="clear" w:color="auto" w:fill="auto"/>
            <w:vAlign w:val="center"/>
          </w:tcPr>
          <w:p w14:paraId="076B513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1294" w:type="dxa"/>
            <w:tcBorders>
              <w:top w:val="nil"/>
              <w:left w:val="nil"/>
              <w:bottom w:val="single" w:color="auto" w:sz="4" w:space="0"/>
              <w:right w:val="single" w:color="auto" w:sz="4" w:space="0"/>
            </w:tcBorders>
            <w:shd w:val="clear" w:color="auto" w:fill="auto"/>
            <w:vAlign w:val="center"/>
          </w:tcPr>
          <w:p w14:paraId="01311FA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481.14</w:t>
            </w:r>
          </w:p>
        </w:tc>
        <w:tc>
          <w:tcPr>
            <w:tcW w:w="1290" w:type="dxa"/>
            <w:tcBorders>
              <w:top w:val="nil"/>
              <w:left w:val="nil"/>
              <w:bottom w:val="single" w:color="auto" w:sz="4" w:space="0"/>
              <w:right w:val="single" w:color="auto" w:sz="4" w:space="0"/>
            </w:tcBorders>
            <w:shd w:val="clear" w:color="auto" w:fill="auto"/>
            <w:vAlign w:val="center"/>
          </w:tcPr>
          <w:p w14:paraId="70CB37A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3071 </w:t>
            </w:r>
          </w:p>
        </w:tc>
        <w:tc>
          <w:tcPr>
            <w:tcW w:w="1290" w:type="dxa"/>
            <w:tcBorders>
              <w:top w:val="nil"/>
              <w:left w:val="nil"/>
              <w:bottom w:val="single" w:color="auto" w:sz="4" w:space="0"/>
              <w:right w:val="single" w:color="auto" w:sz="4" w:space="0"/>
            </w:tcBorders>
            <w:shd w:val="clear" w:color="auto" w:fill="auto"/>
            <w:vAlign w:val="center"/>
          </w:tcPr>
          <w:p w14:paraId="7397848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737 </w:t>
            </w:r>
          </w:p>
        </w:tc>
        <w:tc>
          <w:tcPr>
            <w:tcW w:w="1036" w:type="dxa"/>
            <w:tcBorders>
              <w:top w:val="nil"/>
              <w:left w:val="nil"/>
              <w:bottom w:val="single" w:color="auto" w:sz="4" w:space="0"/>
              <w:right w:val="single" w:color="auto" w:sz="4" w:space="0"/>
            </w:tcBorders>
            <w:shd w:val="clear" w:color="auto" w:fill="auto"/>
            <w:vAlign w:val="center"/>
          </w:tcPr>
          <w:p w14:paraId="556A6E2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0.75</w:t>
            </w:r>
          </w:p>
        </w:tc>
        <w:tc>
          <w:tcPr>
            <w:tcW w:w="1090" w:type="dxa"/>
            <w:tcBorders>
              <w:top w:val="nil"/>
              <w:left w:val="nil"/>
              <w:bottom w:val="single" w:color="auto" w:sz="4" w:space="0"/>
              <w:right w:val="single" w:color="auto" w:sz="4" w:space="0"/>
            </w:tcBorders>
            <w:shd w:val="clear" w:color="auto" w:fill="auto"/>
            <w:vAlign w:val="center"/>
          </w:tcPr>
          <w:p w14:paraId="427247D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11083 </w:t>
            </w:r>
          </w:p>
        </w:tc>
        <w:tc>
          <w:tcPr>
            <w:tcW w:w="1037" w:type="dxa"/>
            <w:tcBorders>
              <w:top w:val="nil"/>
              <w:left w:val="nil"/>
              <w:bottom w:val="single" w:color="auto" w:sz="4" w:space="0"/>
              <w:right w:val="single" w:color="auto" w:sz="4" w:space="0"/>
            </w:tcBorders>
            <w:shd w:val="clear" w:color="auto" w:fill="auto"/>
            <w:vAlign w:val="center"/>
          </w:tcPr>
          <w:p w14:paraId="05A3181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2661 </w:t>
            </w:r>
          </w:p>
        </w:tc>
        <w:tc>
          <w:tcPr>
            <w:tcW w:w="0" w:type="auto"/>
            <w:tcBorders>
              <w:top w:val="nil"/>
              <w:left w:val="nil"/>
              <w:bottom w:val="single" w:color="auto" w:sz="4" w:space="0"/>
              <w:right w:val="single" w:color="auto" w:sz="4" w:space="0"/>
            </w:tcBorders>
            <w:shd w:val="clear" w:color="auto" w:fill="auto"/>
            <w:vAlign w:val="center"/>
          </w:tcPr>
          <w:p w14:paraId="0F3419E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8422 </w:t>
            </w:r>
          </w:p>
        </w:tc>
      </w:tr>
      <w:tr w14:paraId="7DE88430">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447A934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3B7D9AD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6ACB32F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4877568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1276" w:type="dxa"/>
            <w:tcBorders>
              <w:top w:val="nil"/>
              <w:left w:val="nil"/>
              <w:bottom w:val="single" w:color="auto" w:sz="4" w:space="0"/>
              <w:right w:val="single" w:color="auto" w:sz="4" w:space="0"/>
            </w:tcBorders>
            <w:shd w:val="clear" w:color="auto" w:fill="auto"/>
            <w:vAlign w:val="center"/>
          </w:tcPr>
          <w:p w14:paraId="0377DCD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1294" w:type="dxa"/>
            <w:tcBorders>
              <w:top w:val="nil"/>
              <w:left w:val="nil"/>
              <w:bottom w:val="single" w:color="auto" w:sz="4" w:space="0"/>
              <w:right w:val="single" w:color="auto" w:sz="4" w:space="0"/>
            </w:tcBorders>
            <w:shd w:val="clear" w:color="auto" w:fill="auto"/>
            <w:vAlign w:val="center"/>
          </w:tcPr>
          <w:p w14:paraId="6927D96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21</w:t>
            </w:r>
          </w:p>
        </w:tc>
        <w:tc>
          <w:tcPr>
            <w:tcW w:w="1290" w:type="dxa"/>
            <w:tcBorders>
              <w:top w:val="nil"/>
              <w:left w:val="nil"/>
              <w:bottom w:val="single" w:color="auto" w:sz="4" w:space="0"/>
              <w:right w:val="single" w:color="auto" w:sz="4" w:space="0"/>
            </w:tcBorders>
            <w:shd w:val="clear" w:color="auto" w:fill="auto"/>
            <w:vAlign w:val="center"/>
          </w:tcPr>
          <w:p w14:paraId="75F5706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13636 </w:t>
            </w:r>
          </w:p>
        </w:tc>
        <w:tc>
          <w:tcPr>
            <w:tcW w:w="1290" w:type="dxa"/>
            <w:tcBorders>
              <w:top w:val="nil"/>
              <w:left w:val="nil"/>
              <w:bottom w:val="single" w:color="auto" w:sz="4" w:space="0"/>
              <w:right w:val="single" w:color="auto" w:sz="4" w:space="0"/>
            </w:tcBorders>
            <w:shd w:val="clear" w:color="auto" w:fill="auto"/>
            <w:vAlign w:val="center"/>
          </w:tcPr>
          <w:p w14:paraId="2B0B35E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737 </w:t>
            </w:r>
          </w:p>
        </w:tc>
        <w:tc>
          <w:tcPr>
            <w:tcW w:w="1036" w:type="dxa"/>
            <w:tcBorders>
              <w:top w:val="nil"/>
              <w:left w:val="nil"/>
              <w:bottom w:val="single" w:color="auto" w:sz="4" w:space="0"/>
              <w:right w:val="single" w:color="auto" w:sz="4" w:space="0"/>
            </w:tcBorders>
            <w:shd w:val="clear" w:color="auto" w:fill="auto"/>
            <w:vAlign w:val="center"/>
          </w:tcPr>
          <w:p w14:paraId="6B47259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01314C7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2863 </w:t>
            </w:r>
          </w:p>
        </w:tc>
        <w:tc>
          <w:tcPr>
            <w:tcW w:w="1037" w:type="dxa"/>
            <w:tcBorders>
              <w:top w:val="nil"/>
              <w:left w:val="nil"/>
              <w:bottom w:val="single" w:color="auto" w:sz="4" w:space="0"/>
              <w:right w:val="single" w:color="auto" w:sz="4" w:space="0"/>
            </w:tcBorders>
            <w:shd w:val="clear" w:color="auto" w:fill="auto"/>
            <w:vAlign w:val="center"/>
          </w:tcPr>
          <w:p w14:paraId="2DE3382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155 </w:t>
            </w:r>
          </w:p>
        </w:tc>
        <w:tc>
          <w:tcPr>
            <w:tcW w:w="0" w:type="auto"/>
            <w:tcBorders>
              <w:top w:val="nil"/>
              <w:left w:val="nil"/>
              <w:bottom w:val="single" w:color="auto" w:sz="4" w:space="0"/>
              <w:right w:val="single" w:color="auto" w:sz="4" w:space="0"/>
            </w:tcBorders>
            <w:shd w:val="clear" w:color="auto" w:fill="auto"/>
            <w:vAlign w:val="center"/>
          </w:tcPr>
          <w:p w14:paraId="06038AA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2709 </w:t>
            </w:r>
          </w:p>
        </w:tc>
      </w:tr>
      <w:tr w14:paraId="373C85C6">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35A7F40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250DE30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17A7A01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1559" w:type="dxa"/>
            <w:tcBorders>
              <w:top w:val="nil"/>
              <w:left w:val="nil"/>
              <w:bottom w:val="single" w:color="auto" w:sz="4" w:space="0"/>
              <w:right w:val="single" w:color="auto" w:sz="4" w:space="0"/>
            </w:tcBorders>
            <w:shd w:val="clear" w:color="auto" w:fill="auto"/>
            <w:vAlign w:val="center"/>
          </w:tcPr>
          <w:p w14:paraId="37CFD61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1276" w:type="dxa"/>
            <w:tcBorders>
              <w:top w:val="nil"/>
              <w:left w:val="nil"/>
              <w:bottom w:val="single" w:color="auto" w:sz="4" w:space="0"/>
              <w:right w:val="single" w:color="auto" w:sz="4" w:space="0"/>
            </w:tcBorders>
            <w:shd w:val="clear" w:color="auto" w:fill="auto"/>
            <w:vAlign w:val="center"/>
          </w:tcPr>
          <w:p w14:paraId="58A8FAC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地表翻扰型</w:t>
            </w:r>
          </w:p>
        </w:tc>
        <w:tc>
          <w:tcPr>
            <w:tcW w:w="1294" w:type="dxa"/>
            <w:tcBorders>
              <w:top w:val="nil"/>
              <w:left w:val="nil"/>
              <w:bottom w:val="single" w:color="auto" w:sz="4" w:space="0"/>
              <w:right w:val="single" w:color="auto" w:sz="4" w:space="0"/>
            </w:tcBorders>
            <w:shd w:val="clear" w:color="auto" w:fill="auto"/>
            <w:vAlign w:val="center"/>
          </w:tcPr>
          <w:p w14:paraId="3334B43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49.16</w:t>
            </w:r>
          </w:p>
        </w:tc>
        <w:tc>
          <w:tcPr>
            <w:tcW w:w="1290" w:type="dxa"/>
            <w:tcBorders>
              <w:top w:val="nil"/>
              <w:left w:val="nil"/>
              <w:bottom w:val="single" w:color="auto" w:sz="4" w:space="0"/>
              <w:right w:val="single" w:color="auto" w:sz="4" w:space="0"/>
            </w:tcBorders>
            <w:shd w:val="clear" w:color="auto" w:fill="auto"/>
            <w:vAlign w:val="center"/>
          </w:tcPr>
          <w:p w14:paraId="2EE83ED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2703 </w:t>
            </w:r>
          </w:p>
        </w:tc>
        <w:tc>
          <w:tcPr>
            <w:tcW w:w="1290" w:type="dxa"/>
            <w:tcBorders>
              <w:top w:val="nil"/>
              <w:left w:val="nil"/>
              <w:bottom w:val="single" w:color="auto" w:sz="4" w:space="0"/>
              <w:right w:val="single" w:color="auto" w:sz="4" w:space="0"/>
            </w:tcBorders>
            <w:shd w:val="clear" w:color="auto" w:fill="auto"/>
            <w:vAlign w:val="center"/>
          </w:tcPr>
          <w:p w14:paraId="289DAB5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595 </w:t>
            </w:r>
          </w:p>
        </w:tc>
        <w:tc>
          <w:tcPr>
            <w:tcW w:w="1036" w:type="dxa"/>
            <w:tcBorders>
              <w:top w:val="nil"/>
              <w:left w:val="nil"/>
              <w:bottom w:val="single" w:color="auto" w:sz="4" w:space="0"/>
              <w:right w:val="single" w:color="auto" w:sz="4" w:space="0"/>
            </w:tcBorders>
            <w:shd w:val="clear" w:color="auto" w:fill="auto"/>
            <w:vAlign w:val="center"/>
          </w:tcPr>
          <w:p w14:paraId="38D819E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2</w:t>
            </w:r>
          </w:p>
        </w:tc>
        <w:tc>
          <w:tcPr>
            <w:tcW w:w="1090" w:type="dxa"/>
            <w:tcBorders>
              <w:top w:val="nil"/>
              <w:left w:val="nil"/>
              <w:bottom w:val="single" w:color="auto" w:sz="4" w:space="0"/>
              <w:right w:val="single" w:color="auto" w:sz="4" w:space="0"/>
            </w:tcBorders>
            <w:shd w:val="clear" w:color="auto" w:fill="auto"/>
            <w:vAlign w:val="center"/>
          </w:tcPr>
          <w:p w14:paraId="0BD3C03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2658 </w:t>
            </w:r>
          </w:p>
        </w:tc>
        <w:tc>
          <w:tcPr>
            <w:tcW w:w="1037" w:type="dxa"/>
            <w:tcBorders>
              <w:top w:val="nil"/>
              <w:left w:val="nil"/>
              <w:bottom w:val="single" w:color="auto" w:sz="4" w:space="0"/>
              <w:right w:val="single" w:color="auto" w:sz="4" w:space="0"/>
            </w:tcBorders>
            <w:shd w:val="clear" w:color="auto" w:fill="auto"/>
            <w:vAlign w:val="center"/>
          </w:tcPr>
          <w:p w14:paraId="6E32F65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585 </w:t>
            </w:r>
          </w:p>
        </w:tc>
        <w:tc>
          <w:tcPr>
            <w:tcW w:w="0" w:type="auto"/>
            <w:tcBorders>
              <w:top w:val="nil"/>
              <w:left w:val="nil"/>
              <w:bottom w:val="single" w:color="auto" w:sz="4" w:space="0"/>
              <w:right w:val="single" w:color="auto" w:sz="4" w:space="0"/>
            </w:tcBorders>
            <w:shd w:val="clear" w:color="auto" w:fill="auto"/>
            <w:vAlign w:val="center"/>
          </w:tcPr>
          <w:p w14:paraId="375D521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2073 </w:t>
            </w:r>
          </w:p>
        </w:tc>
      </w:tr>
      <w:tr w14:paraId="43E7A53F">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1D980E7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0B02AE4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09F5023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2FBCB8A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工程开挖面</w:t>
            </w:r>
          </w:p>
        </w:tc>
        <w:tc>
          <w:tcPr>
            <w:tcW w:w="1276" w:type="dxa"/>
            <w:tcBorders>
              <w:top w:val="nil"/>
              <w:left w:val="nil"/>
              <w:bottom w:val="single" w:color="auto" w:sz="4" w:space="0"/>
              <w:right w:val="single" w:color="auto" w:sz="4" w:space="0"/>
            </w:tcBorders>
            <w:shd w:val="clear" w:color="auto" w:fill="auto"/>
            <w:vAlign w:val="center"/>
          </w:tcPr>
          <w:p w14:paraId="6F846AB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1294" w:type="dxa"/>
            <w:tcBorders>
              <w:top w:val="nil"/>
              <w:left w:val="nil"/>
              <w:bottom w:val="single" w:color="auto" w:sz="4" w:space="0"/>
              <w:right w:val="single" w:color="auto" w:sz="4" w:space="0"/>
            </w:tcBorders>
            <w:shd w:val="clear" w:color="auto" w:fill="auto"/>
            <w:vAlign w:val="center"/>
          </w:tcPr>
          <w:p w14:paraId="759AC65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31.54</w:t>
            </w:r>
          </w:p>
        </w:tc>
        <w:tc>
          <w:tcPr>
            <w:tcW w:w="1290" w:type="dxa"/>
            <w:tcBorders>
              <w:top w:val="nil"/>
              <w:left w:val="nil"/>
              <w:bottom w:val="single" w:color="auto" w:sz="4" w:space="0"/>
              <w:right w:val="single" w:color="auto" w:sz="4" w:space="0"/>
            </w:tcBorders>
            <w:shd w:val="clear" w:color="auto" w:fill="auto"/>
            <w:vAlign w:val="center"/>
          </w:tcPr>
          <w:p w14:paraId="7F1D868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2925 </w:t>
            </w:r>
          </w:p>
        </w:tc>
        <w:tc>
          <w:tcPr>
            <w:tcW w:w="1290" w:type="dxa"/>
            <w:tcBorders>
              <w:top w:val="nil"/>
              <w:left w:val="nil"/>
              <w:bottom w:val="single" w:color="auto" w:sz="4" w:space="0"/>
              <w:right w:val="single" w:color="auto" w:sz="4" w:space="0"/>
            </w:tcBorders>
            <w:shd w:val="clear" w:color="auto" w:fill="auto"/>
            <w:vAlign w:val="center"/>
          </w:tcPr>
          <w:p w14:paraId="4E955C4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595 </w:t>
            </w:r>
          </w:p>
        </w:tc>
        <w:tc>
          <w:tcPr>
            <w:tcW w:w="1036" w:type="dxa"/>
            <w:tcBorders>
              <w:top w:val="nil"/>
              <w:left w:val="nil"/>
              <w:bottom w:val="single" w:color="auto" w:sz="4" w:space="0"/>
              <w:right w:val="single" w:color="auto" w:sz="4" w:space="0"/>
            </w:tcBorders>
            <w:shd w:val="clear" w:color="auto" w:fill="auto"/>
            <w:vAlign w:val="center"/>
          </w:tcPr>
          <w:p w14:paraId="6EEF764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0.75</w:t>
            </w:r>
          </w:p>
        </w:tc>
        <w:tc>
          <w:tcPr>
            <w:tcW w:w="1090" w:type="dxa"/>
            <w:tcBorders>
              <w:top w:val="nil"/>
              <w:left w:val="nil"/>
              <w:bottom w:val="single" w:color="auto" w:sz="4" w:space="0"/>
              <w:right w:val="single" w:color="auto" w:sz="4" w:space="0"/>
            </w:tcBorders>
            <w:shd w:val="clear" w:color="auto" w:fill="auto"/>
            <w:vAlign w:val="center"/>
          </w:tcPr>
          <w:p w14:paraId="4E93398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692 </w:t>
            </w:r>
          </w:p>
        </w:tc>
        <w:tc>
          <w:tcPr>
            <w:tcW w:w="1037" w:type="dxa"/>
            <w:tcBorders>
              <w:top w:val="nil"/>
              <w:left w:val="nil"/>
              <w:bottom w:val="single" w:color="auto" w:sz="4" w:space="0"/>
              <w:right w:val="single" w:color="auto" w:sz="4" w:space="0"/>
            </w:tcBorders>
            <w:shd w:val="clear" w:color="auto" w:fill="auto"/>
            <w:vAlign w:val="center"/>
          </w:tcPr>
          <w:p w14:paraId="1663944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141 </w:t>
            </w:r>
          </w:p>
        </w:tc>
        <w:tc>
          <w:tcPr>
            <w:tcW w:w="0" w:type="auto"/>
            <w:tcBorders>
              <w:top w:val="nil"/>
              <w:left w:val="nil"/>
              <w:bottom w:val="single" w:color="auto" w:sz="4" w:space="0"/>
              <w:right w:val="single" w:color="auto" w:sz="4" w:space="0"/>
            </w:tcBorders>
            <w:shd w:val="clear" w:color="auto" w:fill="auto"/>
            <w:vAlign w:val="center"/>
          </w:tcPr>
          <w:p w14:paraId="5EE687C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551 </w:t>
            </w:r>
          </w:p>
        </w:tc>
      </w:tr>
      <w:tr w14:paraId="7E724F46">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60A7E57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32977FE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60ABB2B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118BC74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1276" w:type="dxa"/>
            <w:tcBorders>
              <w:top w:val="nil"/>
              <w:left w:val="nil"/>
              <w:bottom w:val="single" w:color="auto" w:sz="4" w:space="0"/>
              <w:right w:val="single" w:color="auto" w:sz="4" w:space="0"/>
            </w:tcBorders>
            <w:shd w:val="clear" w:color="auto" w:fill="auto"/>
            <w:vAlign w:val="center"/>
          </w:tcPr>
          <w:p w14:paraId="106FDCF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1294" w:type="dxa"/>
            <w:tcBorders>
              <w:top w:val="nil"/>
              <w:left w:val="nil"/>
              <w:bottom w:val="single" w:color="auto" w:sz="4" w:space="0"/>
              <w:right w:val="single" w:color="auto" w:sz="4" w:space="0"/>
            </w:tcBorders>
            <w:shd w:val="clear" w:color="auto" w:fill="auto"/>
            <w:vAlign w:val="center"/>
          </w:tcPr>
          <w:p w14:paraId="7F07F97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10</w:t>
            </w:r>
          </w:p>
        </w:tc>
        <w:tc>
          <w:tcPr>
            <w:tcW w:w="1290" w:type="dxa"/>
            <w:tcBorders>
              <w:top w:val="nil"/>
              <w:left w:val="nil"/>
              <w:bottom w:val="single" w:color="auto" w:sz="4" w:space="0"/>
              <w:right w:val="single" w:color="auto" w:sz="4" w:space="0"/>
            </w:tcBorders>
            <w:shd w:val="clear" w:color="auto" w:fill="auto"/>
            <w:vAlign w:val="center"/>
          </w:tcPr>
          <w:p w14:paraId="00D2D12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11312 </w:t>
            </w:r>
          </w:p>
        </w:tc>
        <w:tc>
          <w:tcPr>
            <w:tcW w:w="1290" w:type="dxa"/>
            <w:tcBorders>
              <w:top w:val="nil"/>
              <w:left w:val="nil"/>
              <w:bottom w:val="single" w:color="auto" w:sz="4" w:space="0"/>
              <w:right w:val="single" w:color="auto" w:sz="4" w:space="0"/>
            </w:tcBorders>
            <w:shd w:val="clear" w:color="auto" w:fill="auto"/>
            <w:vAlign w:val="center"/>
          </w:tcPr>
          <w:p w14:paraId="7996CFD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595 </w:t>
            </w:r>
          </w:p>
        </w:tc>
        <w:tc>
          <w:tcPr>
            <w:tcW w:w="1036" w:type="dxa"/>
            <w:tcBorders>
              <w:top w:val="nil"/>
              <w:left w:val="nil"/>
              <w:bottom w:val="single" w:color="auto" w:sz="4" w:space="0"/>
              <w:right w:val="single" w:color="auto" w:sz="4" w:space="0"/>
            </w:tcBorders>
            <w:shd w:val="clear" w:color="auto" w:fill="auto"/>
            <w:vAlign w:val="center"/>
          </w:tcPr>
          <w:p w14:paraId="469E762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2186106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1131 </w:t>
            </w:r>
          </w:p>
        </w:tc>
        <w:tc>
          <w:tcPr>
            <w:tcW w:w="1037" w:type="dxa"/>
            <w:tcBorders>
              <w:top w:val="nil"/>
              <w:left w:val="nil"/>
              <w:bottom w:val="single" w:color="auto" w:sz="4" w:space="0"/>
              <w:right w:val="single" w:color="auto" w:sz="4" w:space="0"/>
            </w:tcBorders>
            <w:shd w:val="clear" w:color="auto" w:fill="auto"/>
            <w:vAlign w:val="center"/>
          </w:tcPr>
          <w:p w14:paraId="78AF47C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60 </w:t>
            </w:r>
          </w:p>
        </w:tc>
        <w:tc>
          <w:tcPr>
            <w:tcW w:w="0" w:type="auto"/>
            <w:tcBorders>
              <w:top w:val="nil"/>
              <w:left w:val="nil"/>
              <w:bottom w:val="single" w:color="auto" w:sz="4" w:space="0"/>
              <w:right w:val="single" w:color="auto" w:sz="4" w:space="0"/>
            </w:tcBorders>
            <w:shd w:val="clear" w:color="auto" w:fill="auto"/>
            <w:vAlign w:val="center"/>
          </w:tcPr>
          <w:p w14:paraId="54E4D1F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1072 </w:t>
            </w:r>
          </w:p>
        </w:tc>
      </w:tr>
      <w:tr w14:paraId="68C259F0">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033BD27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4BDE4A7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6E9F78A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公用设施用地</w:t>
            </w:r>
          </w:p>
        </w:tc>
        <w:tc>
          <w:tcPr>
            <w:tcW w:w="1559" w:type="dxa"/>
            <w:tcBorders>
              <w:top w:val="nil"/>
              <w:left w:val="nil"/>
              <w:bottom w:val="single" w:color="auto" w:sz="4" w:space="0"/>
              <w:right w:val="single" w:color="auto" w:sz="4" w:space="0"/>
            </w:tcBorders>
            <w:shd w:val="clear" w:color="auto" w:fill="auto"/>
            <w:vAlign w:val="center"/>
          </w:tcPr>
          <w:p w14:paraId="101E250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1276" w:type="dxa"/>
            <w:tcBorders>
              <w:top w:val="nil"/>
              <w:left w:val="nil"/>
              <w:bottom w:val="single" w:color="auto" w:sz="4" w:space="0"/>
              <w:right w:val="single" w:color="auto" w:sz="4" w:space="0"/>
            </w:tcBorders>
            <w:shd w:val="clear" w:color="auto" w:fill="auto"/>
            <w:vAlign w:val="center"/>
          </w:tcPr>
          <w:p w14:paraId="009EB3B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地表翻扰型</w:t>
            </w:r>
          </w:p>
        </w:tc>
        <w:tc>
          <w:tcPr>
            <w:tcW w:w="1294" w:type="dxa"/>
            <w:tcBorders>
              <w:top w:val="nil"/>
              <w:left w:val="nil"/>
              <w:bottom w:val="single" w:color="auto" w:sz="4" w:space="0"/>
              <w:right w:val="single" w:color="auto" w:sz="4" w:space="0"/>
            </w:tcBorders>
            <w:shd w:val="clear" w:color="auto" w:fill="auto"/>
            <w:vAlign w:val="center"/>
          </w:tcPr>
          <w:p w14:paraId="7B19227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3.731</w:t>
            </w:r>
          </w:p>
        </w:tc>
        <w:tc>
          <w:tcPr>
            <w:tcW w:w="1290" w:type="dxa"/>
            <w:tcBorders>
              <w:top w:val="nil"/>
              <w:left w:val="nil"/>
              <w:bottom w:val="single" w:color="auto" w:sz="4" w:space="0"/>
              <w:right w:val="single" w:color="auto" w:sz="4" w:space="0"/>
            </w:tcBorders>
            <w:shd w:val="clear" w:color="auto" w:fill="auto"/>
            <w:vAlign w:val="center"/>
          </w:tcPr>
          <w:p w14:paraId="2765ABD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2703 </w:t>
            </w:r>
          </w:p>
        </w:tc>
        <w:tc>
          <w:tcPr>
            <w:tcW w:w="1290" w:type="dxa"/>
            <w:tcBorders>
              <w:top w:val="nil"/>
              <w:left w:val="nil"/>
              <w:bottom w:val="single" w:color="auto" w:sz="4" w:space="0"/>
              <w:right w:val="single" w:color="auto" w:sz="4" w:space="0"/>
            </w:tcBorders>
            <w:shd w:val="clear" w:color="auto" w:fill="auto"/>
            <w:vAlign w:val="center"/>
          </w:tcPr>
          <w:p w14:paraId="0ABFBAE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737 </w:t>
            </w:r>
          </w:p>
        </w:tc>
        <w:tc>
          <w:tcPr>
            <w:tcW w:w="1036" w:type="dxa"/>
            <w:tcBorders>
              <w:top w:val="nil"/>
              <w:left w:val="nil"/>
              <w:bottom w:val="single" w:color="auto" w:sz="4" w:space="0"/>
              <w:right w:val="single" w:color="auto" w:sz="4" w:space="0"/>
            </w:tcBorders>
            <w:shd w:val="clear" w:color="auto" w:fill="auto"/>
            <w:vAlign w:val="center"/>
          </w:tcPr>
          <w:p w14:paraId="2CA4AE3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2</w:t>
            </w:r>
          </w:p>
        </w:tc>
        <w:tc>
          <w:tcPr>
            <w:tcW w:w="1090" w:type="dxa"/>
            <w:tcBorders>
              <w:top w:val="nil"/>
              <w:left w:val="nil"/>
              <w:bottom w:val="single" w:color="auto" w:sz="4" w:space="0"/>
              <w:right w:val="single" w:color="auto" w:sz="4" w:space="0"/>
            </w:tcBorders>
            <w:shd w:val="clear" w:color="auto" w:fill="auto"/>
            <w:vAlign w:val="center"/>
          </w:tcPr>
          <w:p w14:paraId="7D737A8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202 </w:t>
            </w:r>
          </w:p>
        </w:tc>
        <w:tc>
          <w:tcPr>
            <w:tcW w:w="1037" w:type="dxa"/>
            <w:tcBorders>
              <w:top w:val="nil"/>
              <w:left w:val="nil"/>
              <w:bottom w:val="single" w:color="auto" w:sz="4" w:space="0"/>
              <w:right w:val="single" w:color="auto" w:sz="4" w:space="0"/>
            </w:tcBorders>
            <w:shd w:val="clear" w:color="auto" w:fill="auto"/>
            <w:vAlign w:val="center"/>
          </w:tcPr>
          <w:p w14:paraId="7B582D0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55 </w:t>
            </w:r>
          </w:p>
        </w:tc>
        <w:tc>
          <w:tcPr>
            <w:tcW w:w="0" w:type="auto"/>
            <w:tcBorders>
              <w:top w:val="nil"/>
              <w:left w:val="nil"/>
              <w:bottom w:val="single" w:color="auto" w:sz="4" w:space="0"/>
              <w:right w:val="single" w:color="auto" w:sz="4" w:space="0"/>
            </w:tcBorders>
            <w:shd w:val="clear" w:color="auto" w:fill="auto"/>
            <w:vAlign w:val="center"/>
          </w:tcPr>
          <w:p w14:paraId="3FF1B05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147 </w:t>
            </w:r>
          </w:p>
        </w:tc>
      </w:tr>
      <w:tr w14:paraId="07C3BF14">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11AB85F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5F56545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4F56DB5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216B416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工程开挖面</w:t>
            </w:r>
          </w:p>
        </w:tc>
        <w:tc>
          <w:tcPr>
            <w:tcW w:w="1276" w:type="dxa"/>
            <w:tcBorders>
              <w:top w:val="nil"/>
              <w:left w:val="nil"/>
              <w:bottom w:val="single" w:color="auto" w:sz="4" w:space="0"/>
              <w:right w:val="single" w:color="auto" w:sz="4" w:space="0"/>
            </w:tcBorders>
            <w:shd w:val="clear" w:color="auto" w:fill="auto"/>
            <w:vAlign w:val="center"/>
          </w:tcPr>
          <w:p w14:paraId="4F50EDF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1294" w:type="dxa"/>
            <w:tcBorders>
              <w:top w:val="nil"/>
              <w:left w:val="nil"/>
              <w:bottom w:val="single" w:color="auto" w:sz="4" w:space="0"/>
              <w:right w:val="single" w:color="auto" w:sz="4" w:space="0"/>
            </w:tcBorders>
            <w:shd w:val="clear" w:color="auto" w:fill="auto"/>
            <w:vAlign w:val="center"/>
          </w:tcPr>
          <w:p w14:paraId="6D857D0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5.929</w:t>
            </w:r>
          </w:p>
        </w:tc>
        <w:tc>
          <w:tcPr>
            <w:tcW w:w="1290" w:type="dxa"/>
            <w:tcBorders>
              <w:top w:val="nil"/>
              <w:left w:val="nil"/>
              <w:bottom w:val="single" w:color="auto" w:sz="4" w:space="0"/>
              <w:right w:val="single" w:color="auto" w:sz="4" w:space="0"/>
            </w:tcBorders>
            <w:shd w:val="clear" w:color="auto" w:fill="auto"/>
            <w:vAlign w:val="center"/>
          </w:tcPr>
          <w:p w14:paraId="170EB7C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2925 </w:t>
            </w:r>
          </w:p>
        </w:tc>
        <w:tc>
          <w:tcPr>
            <w:tcW w:w="1290" w:type="dxa"/>
            <w:tcBorders>
              <w:top w:val="nil"/>
              <w:left w:val="nil"/>
              <w:bottom w:val="single" w:color="auto" w:sz="4" w:space="0"/>
              <w:right w:val="single" w:color="auto" w:sz="4" w:space="0"/>
            </w:tcBorders>
            <w:shd w:val="clear" w:color="auto" w:fill="auto"/>
            <w:vAlign w:val="center"/>
          </w:tcPr>
          <w:p w14:paraId="08C5A58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737 </w:t>
            </w:r>
          </w:p>
        </w:tc>
        <w:tc>
          <w:tcPr>
            <w:tcW w:w="1036" w:type="dxa"/>
            <w:tcBorders>
              <w:top w:val="nil"/>
              <w:left w:val="nil"/>
              <w:bottom w:val="single" w:color="auto" w:sz="4" w:space="0"/>
              <w:right w:val="single" w:color="auto" w:sz="4" w:space="0"/>
            </w:tcBorders>
            <w:shd w:val="clear" w:color="auto" w:fill="auto"/>
            <w:vAlign w:val="center"/>
          </w:tcPr>
          <w:p w14:paraId="14F61A6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0.75</w:t>
            </w:r>
          </w:p>
        </w:tc>
        <w:tc>
          <w:tcPr>
            <w:tcW w:w="1090" w:type="dxa"/>
            <w:tcBorders>
              <w:top w:val="nil"/>
              <w:left w:val="nil"/>
              <w:bottom w:val="single" w:color="auto" w:sz="4" w:space="0"/>
              <w:right w:val="single" w:color="auto" w:sz="4" w:space="0"/>
            </w:tcBorders>
            <w:shd w:val="clear" w:color="auto" w:fill="auto"/>
            <w:vAlign w:val="center"/>
          </w:tcPr>
          <w:p w14:paraId="1F186C4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130 </w:t>
            </w:r>
          </w:p>
        </w:tc>
        <w:tc>
          <w:tcPr>
            <w:tcW w:w="1037" w:type="dxa"/>
            <w:tcBorders>
              <w:top w:val="nil"/>
              <w:left w:val="nil"/>
              <w:bottom w:val="single" w:color="auto" w:sz="4" w:space="0"/>
              <w:right w:val="single" w:color="auto" w:sz="4" w:space="0"/>
            </w:tcBorders>
            <w:shd w:val="clear" w:color="auto" w:fill="auto"/>
            <w:vAlign w:val="center"/>
          </w:tcPr>
          <w:p w14:paraId="40DB1EC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33 </w:t>
            </w:r>
          </w:p>
        </w:tc>
        <w:tc>
          <w:tcPr>
            <w:tcW w:w="0" w:type="auto"/>
            <w:tcBorders>
              <w:top w:val="nil"/>
              <w:left w:val="nil"/>
              <w:bottom w:val="single" w:color="auto" w:sz="4" w:space="0"/>
              <w:right w:val="single" w:color="auto" w:sz="4" w:space="0"/>
            </w:tcBorders>
            <w:shd w:val="clear" w:color="auto" w:fill="auto"/>
            <w:vAlign w:val="center"/>
          </w:tcPr>
          <w:p w14:paraId="65BF128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97 </w:t>
            </w:r>
          </w:p>
        </w:tc>
      </w:tr>
      <w:tr w14:paraId="6FE2C533">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00CA4EC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6086439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0D15EC1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4787972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1276" w:type="dxa"/>
            <w:tcBorders>
              <w:top w:val="nil"/>
              <w:left w:val="nil"/>
              <w:bottom w:val="single" w:color="auto" w:sz="4" w:space="0"/>
              <w:right w:val="single" w:color="auto" w:sz="4" w:space="0"/>
            </w:tcBorders>
            <w:shd w:val="clear" w:color="auto" w:fill="auto"/>
            <w:vAlign w:val="center"/>
          </w:tcPr>
          <w:p w14:paraId="0CE572D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1294" w:type="dxa"/>
            <w:tcBorders>
              <w:top w:val="nil"/>
              <w:left w:val="nil"/>
              <w:bottom w:val="single" w:color="auto" w:sz="4" w:space="0"/>
              <w:right w:val="single" w:color="auto" w:sz="4" w:space="0"/>
            </w:tcBorders>
            <w:shd w:val="clear" w:color="auto" w:fill="auto"/>
            <w:vAlign w:val="center"/>
          </w:tcPr>
          <w:p w14:paraId="07441A7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290" w:type="dxa"/>
            <w:tcBorders>
              <w:top w:val="nil"/>
              <w:left w:val="nil"/>
              <w:bottom w:val="single" w:color="auto" w:sz="4" w:space="0"/>
              <w:right w:val="single" w:color="auto" w:sz="4" w:space="0"/>
            </w:tcBorders>
            <w:shd w:val="clear" w:color="auto" w:fill="auto"/>
            <w:vAlign w:val="center"/>
          </w:tcPr>
          <w:p w14:paraId="1AAC7D3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11312 </w:t>
            </w:r>
          </w:p>
        </w:tc>
        <w:tc>
          <w:tcPr>
            <w:tcW w:w="1290" w:type="dxa"/>
            <w:tcBorders>
              <w:top w:val="nil"/>
              <w:left w:val="nil"/>
              <w:bottom w:val="single" w:color="auto" w:sz="4" w:space="0"/>
              <w:right w:val="single" w:color="auto" w:sz="4" w:space="0"/>
            </w:tcBorders>
            <w:shd w:val="clear" w:color="auto" w:fill="auto"/>
            <w:vAlign w:val="center"/>
          </w:tcPr>
          <w:p w14:paraId="06FA1C0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737 </w:t>
            </w:r>
          </w:p>
        </w:tc>
        <w:tc>
          <w:tcPr>
            <w:tcW w:w="1036" w:type="dxa"/>
            <w:tcBorders>
              <w:top w:val="nil"/>
              <w:left w:val="nil"/>
              <w:bottom w:val="single" w:color="auto" w:sz="4" w:space="0"/>
              <w:right w:val="single" w:color="auto" w:sz="4" w:space="0"/>
            </w:tcBorders>
            <w:shd w:val="clear" w:color="auto" w:fill="auto"/>
            <w:vAlign w:val="center"/>
          </w:tcPr>
          <w:p w14:paraId="5C3DF0C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655BA53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113 </w:t>
            </w:r>
          </w:p>
        </w:tc>
        <w:tc>
          <w:tcPr>
            <w:tcW w:w="1037" w:type="dxa"/>
            <w:tcBorders>
              <w:top w:val="nil"/>
              <w:left w:val="nil"/>
              <w:bottom w:val="single" w:color="auto" w:sz="4" w:space="0"/>
              <w:right w:val="single" w:color="auto" w:sz="4" w:space="0"/>
            </w:tcBorders>
            <w:shd w:val="clear" w:color="auto" w:fill="auto"/>
            <w:vAlign w:val="center"/>
          </w:tcPr>
          <w:p w14:paraId="5CF09AC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 </w:t>
            </w:r>
          </w:p>
        </w:tc>
        <w:tc>
          <w:tcPr>
            <w:tcW w:w="0" w:type="auto"/>
            <w:tcBorders>
              <w:top w:val="nil"/>
              <w:left w:val="nil"/>
              <w:bottom w:val="single" w:color="auto" w:sz="4" w:space="0"/>
              <w:right w:val="single" w:color="auto" w:sz="4" w:space="0"/>
            </w:tcBorders>
            <w:shd w:val="clear" w:color="auto" w:fill="auto"/>
            <w:vAlign w:val="center"/>
          </w:tcPr>
          <w:p w14:paraId="55FAD41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106 </w:t>
            </w:r>
          </w:p>
        </w:tc>
      </w:tr>
      <w:tr w14:paraId="4EDD0FA5">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364E6B8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5487BCB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tcBorders>
              <w:top w:val="nil"/>
              <w:left w:val="nil"/>
              <w:bottom w:val="single" w:color="auto" w:sz="4" w:space="0"/>
              <w:right w:val="single" w:color="auto" w:sz="4" w:space="0"/>
            </w:tcBorders>
            <w:shd w:val="clear" w:color="auto" w:fill="auto"/>
            <w:vAlign w:val="center"/>
          </w:tcPr>
          <w:p w14:paraId="5B12CB2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1559" w:type="dxa"/>
            <w:tcBorders>
              <w:top w:val="nil"/>
              <w:left w:val="nil"/>
              <w:bottom w:val="single" w:color="auto" w:sz="4" w:space="0"/>
              <w:right w:val="single" w:color="auto" w:sz="4" w:space="0"/>
            </w:tcBorders>
            <w:shd w:val="clear" w:color="auto" w:fill="auto"/>
            <w:vAlign w:val="center"/>
          </w:tcPr>
          <w:p w14:paraId="0543DF5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1276" w:type="dxa"/>
            <w:tcBorders>
              <w:top w:val="nil"/>
              <w:left w:val="nil"/>
              <w:bottom w:val="single" w:color="auto" w:sz="4" w:space="0"/>
              <w:right w:val="single" w:color="auto" w:sz="4" w:space="0"/>
            </w:tcBorders>
            <w:shd w:val="clear" w:color="auto" w:fill="auto"/>
            <w:vAlign w:val="center"/>
          </w:tcPr>
          <w:p w14:paraId="5CDD8CD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植被破坏型</w:t>
            </w:r>
          </w:p>
        </w:tc>
        <w:tc>
          <w:tcPr>
            <w:tcW w:w="1294" w:type="dxa"/>
            <w:tcBorders>
              <w:top w:val="nil"/>
              <w:left w:val="nil"/>
              <w:bottom w:val="single" w:color="auto" w:sz="4" w:space="0"/>
              <w:right w:val="single" w:color="auto" w:sz="4" w:space="0"/>
            </w:tcBorders>
            <w:shd w:val="clear" w:color="auto" w:fill="auto"/>
            <w:vAlign w:val="center"/>
          </w:tcPr>
          <w:p w14:paraId="604F567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3.54</w:t>
            </w:r>
          </w:p>
        </w:tc>
        <w:tc>
          <w:tcPr>
            <w:tcW w:w="1290" w:type="dxa"/>
            <w:tcBorders>
              <w:top w:val="nil"/>
              <w:left w:val="nil"/>
              <w:bottom w:val="single" w:color="auto" w:sz="4" w:space="0"/>
              <w:right w:val="single" w:color="auto" w:sz="4" w:space="0"/>
            </w:tcBorders>
            <w:shd w:val="clear" w:color="auto" w:fill="auto"/>
            <w:vAlign w:val="center"/>
          </w:tcPr>
          <w:p w14:paraId="40799F8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595 </w:t>
            </w:r>
          </w:p>
        </w:tc>
        <w:tc>
          <w:tcPr>
            <w:tcW w:w="1290" w:type="dxa"/>
            <w:tcBorders>
              <w:top w:val="nil"/>
              <w:left w:val="nil"/>
              <w:bottom w:val="single" w:color="auto" w:sz="4" w:space="0"/>
              <w:right w:val="single" w:color="auto" w:sz="4" w:space="0"/>
            </w:tcBorders>
            <w:shd w:val="clear" w:color="auto" w:fill="auto"/>
            <w:vAlign w:val="center"/>
          </w:tcPr>
          <w:p w14:paraId="498CAD1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595 </w:t>
            </w:r>
          </w:p>
        </w:tc>
        <w:tc>
          <w:tcPr>
            <w:tcW w:w="1036" w:type="dxa"/>
            <w:tcBorders>
              <w:top w:val="nil"/>
              <w:left w:val="nil"/>
              <w:bottom w:val="single" w:color="auto" w:sz="4" w:space="0"/>
              <w:right w:val="single" w:color="auto" w:sz="4" w:space="0"/>
            </w:tcBorders>
            <w:shd w:val="clear" w:color="auto" w:fill="auto"/>
            <w:vAlign w:val="center"/>
          </w:tcPr>
          <w:p w14:paraId="387A3E5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12297CA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 </w:t>
            </w:r>
          </w:p>
        </w:tc>
        <w:tc>
          <w:tcPr>
            <w:tcW w:w="1037" w:type="dxa"/>
            <w:tcBorders>
              <w:top w:val="nil"/>
              <w:left w:val="nil"/>
              <w:bottom w:val="single" w:color="auto" w:sz="4" w:space="0"/>
              <w:right w:val="single" w:color="auto" w:sz="4" w:space="0"/>
            </w:tcBorders>
            <w:shd w:val="clear" w:color="auto" w:fill="auto"/>
            <w:vAlign w:val="center"/>
          </w:tcPr>
          <w:p w14:paraId="2615B5B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 </w:t>
            </w:r>
          </w:p>
        </w:tc>
        <w:tc>
          <w:tcPr>
            <w:tcW w:w="0" w:type="auto"/>
            <w:tcBorders>
              <w:top w:val="nil"/>
              <w:left w:val="nil"/>
              <w:bottom w:val="single" w:color="auto" w:sz="4" w:space="0"/>
              <w:right w:val="single" w:color="auto" w:sz="4" w:space="0"/>
            </w:tcBorders>
            <w:shd w:val="clear" w:color="auto" w:fill="auto"/>
            <w:vAlign w:val="center"/>
          </w:tcPr>
          <w:p w14:paraId="5073534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0 </w:t>
            </w:r>
          </w:p>
        </w:tc>
      </w:tr>
      <w:tr w14:paraId="7ACB5561">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55FADDF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restart"/>
            <w:tcBorders>
              <w:top w:val="nil"/>
              <w:left w:val="single" w:color="auto" w:sz="4" w:space="0"/>
              <w:bottom w:val="single" w:color="auto" w:sz="4" w:space="0"/>
              <w:right w:val="single" w:color="auto" w:sz="4" w:space="0"/>
            </w:tcBorders>
            <w:shd w:val="clear" w:color="auto" w:fill="auto"/>
            <w:vAlign w:val="center"/>
          </w:tcPr>
          <w:p w14:paraId="14B9E18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1F3F362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1559" w:type="dxa"/>
            <w:tcBorders>
              <w:top w:val="nil"/>
              <w:left w:val="nil"/>
              <w:bottom w:val="single" w:color="auto" w:sz="4" w:space="0"/>
              <w:right w:val="single" w:color="auto" w:sz="4" w:space="0"/>
            </w:tcBorders>
            <w:shd w:val="clear" w:color="auto" w:fill="auto"/>
            <w:vAlign w:val="center"/>
          </w:tcPr>
          <w:p w14:paraId="26CF670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1276" w:type="dxa"/>
            <w:tcBorders>
              <w:top w:val="nil"/>
              <w:left w:val="nil"/>
              <w:bottom w:val="single" w:color="auto" w:sz="4" w:space="0"/>
              <w:right w:val="single" w:color="auto" w:sz="4" w:space="0"/>
            </w:tcBorders>
            <w:shd w:val="clear" w:color="auto" w:fill="auto"/>
            <w:vAlign w:val="center"/>
          </w:tcPr>
          <w:p w14:paraId="1CD55AA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地表翻扰型</w:t>
            </w:r>
          </w:p>
        </w:tc>
        <w:tc>
          <w:tcPr>
            <w:tcW w:w="1294" w:type="dxa"/>
            <w:tcBorders>
              <w:top w:val="nil"/>
              <w:left w:val="nil"/>
              <w:bottom w:val="single" w:color="auto" w:sz="4" w:space="0"/>
              <w:right w:val="single" w:color="auto" w:sz="4" w:space="0"/>
            </w:tcBorders>
            <w:shd w:val="clear" w:color="auto" w:fill="auto"/>
            <w:vAlign w:val="center"/>
          </w:tcPr>
          <w:p w14:paraId="32D9C0C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73.54</w:t>
            </w:r>
          </w:p>
        </w:tc>
        <w:tc>
          <w:tcPr>
            <w:tcW w:w="1290" w:type="dxa"/>
            <w:tcBorders>
              <w:top w:val="nil"/>
              <w:left w:val="nil"/>
              <w:bottom w:val="single" w:color="auto" w:sz="4" w:space="0"/>
              <w:right w:val="single" w:color="auto" w:sz="4" w:space="0"/>
            </w:tcBorders>
            <w:shd w:val="clear" w:color="auto" w:fill="auto"/>
            <w:vAlign w:val="center"/>
          </w:tcPr>
          <w:p w14:paraId="19586DD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3349 </w:t>
            </w:r>
          </w:p>
        </w:tc>
        <w:tc>
          <w:tcPr>
            <w:tcW w:w="1290" w:type="dxa"/>
            <w:tcBorders>
              <w:top w:val="nil"/>
              <w:left w:val="nil"/>
              <w:bottom w:val="single" w:color="auto" w:sz="4" w:space="0"/>
              <w:right w:val="single" w:color="auto" w:sz="4" w:space="0"/>
            </w:tcBorders>
            <w:shd w:val="clear" w:color="auto" w:fill="auto"/>
            <w:vAlign w:val="center"/>
          </w:tcPr>
          <w:p w14:paraId="114713A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737 </w:t>
            </w:r>
          </w:p>
        </w:tc>
        <w:tc>
          <w:tcPr>
            <w:tcW w:w="1036" w:type="dxa"/>
            <w:tcBorders>
              <w:top w:val="nil"/>
              <w:left w:val="nil"/>
              <w:bottom w:val="single" w:color="auto" w:sz="4" w:space="0"/>
              <w:right w:val="single" w:color="auto" w:sz="4" w:space="0"/>
            </w:tcBorders>
            <w:shd w:val="clear" w:color="auto" w:fill="auto"/>
            <w:vAlign w:val="center"/>
          </w:tcPr>
          <w:p w14:paraId="26B19F7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2</w:t>
            </w:r>
          </w:p>
        </w:tc>
        <w:tc>
          <w:tcPr>
            <w:tcW w:w="1090" w:type="dxa"/>
            <w:tcBorders>
              <w:top w:val="nil"/>
              <w:left w:val="nil"/>
              <w:bottom w:val="single" w:color="auto" w:sz="4" w:space="0"/>
              <w:right w:val="single" w:color="auto" w:sz="4" w:space="0"/>
            </w:tcBorders>
            <w:shd w:val="clear" w:color="auto" w:fill="auto"/>
            <w:vAlign w:val="center"/>
          </w:tcPr>
          <w:p w14:paraId="4C1BBE9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4925 </w:t>
            </w:r>
          </w:p>
        </w:tc>
        <w:tc>
          <w:tcPr>
            <w:tcW w:w="1037" w:type="dxa"/>
            <w:tcBorders>
              <w:top w:val="nil"/>
              <w:left w:val="nil"/>
              <w:bottom w:val="single" w:color="auto" w:sz="4" w:space="0"/>
              <w:right w:val="single" w:color="auto" w:sz="4" w:space="0"/>
            </w:tcBorders>
            <w:shd w:val="clear" w:color="auto" w:fill="auto"/>
            <w:vAlign w:val="center"/>
          </w:tcPr>
          <w:p w14:paraId="1F411D5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1084 </w:t>
            </w:r>
          </w:p>
        </w:tc>
        <w:tc>
          <w:tcPr>
            <w:tcW w:w="0" w:type="auto"/>
            <w:tcBorders>
              <w:top w:val="nil"/>
              <w:left w:val="nil"/>
              <w:bottom w:val="single" w:color="auto" w:sz="4" w:space="0"/>
              <w:right w:val="single" w:color="auto" w:sz="4" w:space="0"/>
            </w:tcBorders>
            <w:shd w:val="clear" w:color="auto" w:fill="auto"/>
            <w:vAlign w:val="center"/>
          </w:tcPr>
          <w:p w14:paraId="6B52170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3841 </w:t>
            </w:r>
          </w:p>
        </w:tc>
      </w:tr>
      <w:tr w14:paraId="2DED9506">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1DD851A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3D74A97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3836346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0DA546C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工程开挖面</w:t>
            </w:r>
          </w:p>
        </w:tc>
        <w:tc>
          <w:tcPr>
            <w:tcW w:w="1276" w:type="dxa"/>
            <w:tcBorders>
              <w:top w:val="nil"/>
              <w:left w:val="nil"/>
              <w:bottom w:val="single" w:color="auto" w:sz="4" w:space="0"/>
              <w:right w:val="single" w:color="auto" w:sz="4" w:space="0"/>
            </w:tcBorders>
            <w:shd w:val="clear" w:color="auto" w:fill="auto"/>
            <w:vAlign w:val="center"/>
          </w:tcPr>
          <w:p w14:paraId="7935A32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1294" w:type="dxa"/>
            <w:tcBorders>
              <w:top w:val="nil"/>
              <w:left w:val="nil"/>
              <w:bottom w:val="single" w:color="auto" w:sz="4" w:space="0"/>
              <w:right w:val="single" w:color="auto" w:sz="4" w:space="0"/>
            </w:tcBorders>
            <w:shd w:val="clear" w:color="auto" w:fill="auto"/>
            <w:vAlign w:val="center"/>
          </w:tcPr>
          <w:p w14:paraId="1478CC4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66.34</w:t>
            </w:r>
          </w:p>
        </w:tc>
        <w:tc>
          <w:tcPr>
            <w:tcW w:w="1290" w:type="dxa"/>
            <w:tcBorders>
              <w:top w:val="nil"/>
              <w:left w:val="nil"/>
              <w:bottom w:val="single" w:color="auto" w:sz="4" w:space="0"/>
              <w:right w:val="single" w:color="auto" w:sz="4" w:space="0"/>
            </w:tcBorders>
            <w:shd w:val="clear" w:color="auto" w:fill="auto"/>
            <w:vAlign w:val="center"/>
          </w:tcPr>
          <w:p w14:paraId="361D5F6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3071 </w:t>
            </w:r>
          </w:p>
        </w:tc>
        <w:tc>
          <w:tcPr>
            <w:tcW w:w="1290" w:type="dxa"/>
            <w:tcBorders>
              <w:top w:val="nil"/>
              <w:left w:val="nil"/>
              <w:bottom w:val="single" w:color="auto" w:sz="4" w:space="0"/>
              <w:right w:val="single" w:color="auto" w:sz="4" w:space="0"/>
            </w:tcBorders>
            <w:shd w:val="clear" w:color="auto" w:fill="auto"/>
            <w:vAlign w:val="center"/>
          </w:tcPr>
          <w:p w14:paraId="0B4D3CD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737 </w:t>
            </w:r>
          </w:p>
        </w:tc>
        <w:tc>
          <w:tcPr>
            <w:tcW w:w="1036" w:type="dxa"/>
            <w:tcBorders>
              <w:top w:val="nil"/>
              <w:left w:val="nil"/>
              <w:bottom w:val="single" w:color="auto" w:sz="4" w:space="0"/>
              <w:right w:val="single" w:color="auto" w:sz="4" w:space="0"/>
            </w:tcBorders>
            <w:shd w:val="clear" w:color="auto" w:fill="auto"/>
            <w:vAlign w:val="center"/>
          </w:tcPr>
          <w:p w14:paraId="6166C4F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0.75</w:t>
            </w:r>
          </w:p>
        </w:tc>
        <w:tc>
          <w:tcPr>
            <w:tcW w:w="1090" w:type="dxa"/>
            <w:tcBorders>
              <w:top w:val="nil"/>
              <w:left w:val="nil"/>
              <w:bottom w:val="single" w:color="auto" w:sz="4" w:space="0"/>
              <w:right w:val="single" w:color="auto" w:sz="4" w:space="0"/>
            </w:tcBorders>
            <w:shd w:val="clear" w:color="auto" w:fill="auto"/>
            <w:vAlign w:val="center"/>
          </w:tcPr>
          <w:p w14:paraId="164421F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1528 </w:t>
            </w:r>
          </w:p>
        </w:tc>
        <w:tc>
          <w:tcPr>
            <w:tcW w:w="1037" w:type="dxa"/>
            <w:tcBorders>
              <w:top w:val="nil"/>
              <w:left w:val="nil"/>
              <w:bottom w:val="single" w:color="auto" w:sz="4" w:space="0"/>
              <w:right w:val="single" w:color="auto" w:sz="4" w:space="0"/>
            </w:tcBorders>
            <w:shd w:val="clear" w:color="auto" w:fill="auto"/>
            <w:vAlign w:val="center"/>
          </w:tcPr>
          <w:p w14:paraId="2C3F702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367 </w:t>
            </w:r>
          </w:p>
        </w:tc>
        <w:tc>
          <w:tcPr>
            <w:tcW w:w="0" w:type="auto"/>
            <w:tcBorders>
              <w:top w:val="nil"/>
              <w:left w:val="nil"/>
              <w:bottom w:val="single" w:color="auto" w:sz="4" w:space="0"/>
              <w:right w:val="single" w:color="auto" w:sz="4" w:space="0"/>
            </w:tcBorders>
            <w:shd w:val="clear" w:color="auto" w:fill="auto"/>
            <w:vAlign w:val="center"/>
          </w:tcPr>
          <w:p w14:paraId="4792ED2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1161 </w:t>
            </w:r>
          </w:p>
        </w:tc>
      </w:tr>
      <w:tr w14:paraId="434AB69B">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79ED6FB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6D8DE81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26843BA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1754A25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1276" w:type="dxa"/>
            <w:tcBorders>
              <w:top w:val="nil"/>
              <w:left w:val="nil"/>
              <w:bottom w:val="single" w:color="auto" w:sz="4" w:space="0"/>
              <w:right w:val="single" w:color="auto" w:sz="4" w:space="0"/>
            </w:tcBorders>
            <w:shd w:val="clear" w:color="auto" w:fill="auto"/>
            <w:vAlign w:val="center"/>
          </w:tcPr>
          <w:p w14:paraId="030B458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1294" w:type="dxa"/>
            <w:tcBorders>
              <w:top w:val="nil"/>
              <w:left w:val="nil"/>
              <w:bottom w:val="single" w:color="auto" w:sz="4" w:space="0"/>
              <w:right w:val="single" w:color="auto" w:sz="4" w:space="0"/>
            </w:tcBorders>
            <w:shd w:val="clear" w:color="auto" w:fill="auto"/>
            <w:vAlign w:val="center"/>
          </w:tcPr>
          <w:p w14:paraId="57BAA83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7.2</w:t>
            </w:r>
          </w:p>
        </w:tc>
        <w:tc>
          <w:tcPr>
            <w:tcW w:w="1290" w:type="dxa"/>
            <w:tcBorders>
              <w:top w:val="nil"/>
              <w:left w:val="nil"/>
              <w:bottom w:val="single" w:color="auto" w:sz="4" w:space="0"/>
              <w:right w:val="single" w:color="auto" w:sz="4" w:space="0"/>
            </w:tcBorders>
            <w:shd w:val="clear" w:color="auto" w:fill="auto"/>
            <w:vAlign w:val="center"/>
          </w:tcPr>
          <w:p w14:paraId="2C36C7F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13636 </w:t>
            </w:r>
          </w:p>
        </w:tc>
        <w:tc>
          <w:tcPr>
            <w:tcW w:w="1290" w:type="dxa"/>
            <w:tcBorders>
              <w:top w:val="nil"/>
              <w:left w:val="nil"/>
              <w:bottom w:val="single" w:color="auto" w:sz="4" w:space="0"/>
              <w:right w:val="single" w:color="auto" w:sz="4" w:space="0"/>
            </w:tcBorders>
            <w:shd w:val="clear" w:color="auto" w:fill="auto"/>
            <w:vAlign w:val="center"/>
          </w:tcPr>
          <w:p w14:paraId="6498FF8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737 </w:t>
            </w:r>
          </w:p>
        </w:tc>
        <w:tc>
          <w:tcPr>
            <w:tcW w:w="1036" w:type="dxa"/>
            <w:tcBorders>
              <w:top w:val="nil"/>
              <w:left w:val="nil"/>
              <w:bottom w:val="single" w:color="auto" w:sz="4" w:space="0"/>
              <w:right w:val="single" w:color="auto" w:sz="4" w:space="0"/>
            </w:tcBorders>
            <w:shd w:val="clear" w:color="auto" w:fill="auto"/>
            <w:vAlign w:val="center"/>
          </w:tcPr>
          <w:p w14:paraId="34D01C5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039F49B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982 </w:t>
            </w:r>
          </w:p>
        </w:tc>
        <w:tc>
          <w:tcPr>
            <w:tcW w:w="1037" w:type="dxa"/>
            <w:tcBorders>
              <w:top w:val="nil"/>
              <w:left w:val="nil"/>
              <w:bottom w:val="single" w:color="auto" w:sz="4" w:space="0"/>
              <w:right w:val="single" w:color="auto" w:sz="4" w:space="0"/>
            </w:tcBorders>
            <w:shd w:val="clear" w:color="auto" w:fill="auto"/>
            <w:vAlign w:val="center"/>
          </w:tcPr>
          <w:p w14:paraId="6FCAF0A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53 </w:t>
            </w:r>
          </w:p>
        </w:tc>
        <w:tc>
          <w:tcPr>
            <w:tcW w:w="0" w:type="auto"/>
            <w:tcBorders>
              <w:top w:val="nil"/>
              <w:left w:val="nil"/>
              <w:bottom w:val="single" w:color="auto" w:sz="4" w:space="0"/>
              <w:right w:val="single" w:color="auto" w:sz="4" w:space="0"/>
            </w:tcBorders>
            <w:shd w:val="clear" w:color="auto" w:fill="auto"/>
            <w:vAlign w:val="center"/>
          </w:tcPr>
          <w:p w14:paraId="4DF9CB0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929 </w:t>
            </w:r>
          </w:p>
        </w:tc>
      </w:tr>
      <w:tr w14:paraId="01CEDF5E">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2C7343B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0A4681D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4F0B946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1559" w:type="dxa"/>
            <w:tcBorders>
              <w:top w:val="nil"/>
              <w:left w:val="nil"/>
              <w:bottom w:val="single" w:color="auto" w:sz="4" w:space="0"/>
              <w:right w:val="single" w:color="auto" w:sz="4" w:space="0"/>
            </w:tcBorders>
            <w:shd w:val="clear" w:color="auto" w:fill="auto"/>
            <w:vAlign w:val="center"/>
          </w:tcPr>
          <w:p w14:paraId="5BB4E5D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1276" w:type="dxa"/>
            <w:tcBorders>
              <w:top w:val="nil"/>
              <w:left w:val="nil"/>
              <w:bottom w:val="single" w:color="auto" w:sz="4" w:space="0"/>
              <w:right w:val="single" w:color="auto" w:sz="4" w:space="0"/>
            </w:tcBorders>
            <w:shd w:val="clear" w:color="auto" w:fill="auto"/>
            <w:vAlign w:val="center"/>
          </w:tcPr>
          <w:p w14:paraId="514B732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地表翻扰型</w:t>
            </w:r>
          </w:p>
        </w:tc>
        <w:tc>
          <w:tcPr>
            <w:tcW w:w="1294" w:type="dxa"/>
            <w:tcBorders>
              <w:top w:val="nil"/>
              <w:left w:val="nil"/>
              <w:bottom w:val="single" w:color="auto" w:sz="4" w:space="0"/>
              <w:right w:val="single" w:color="auto" w:sz="4" w:space="0"/>
            </w:tcBorders>
            <w:shd w:val="clear" w:color="auto" w:fill="auto"/>
            <w:vAlign w:val="center"/>
          </w:tcPr>
          <w:p w14:paraId="2B1BBBF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1.854</w:t>
            </w:r>
          </w:p>
        </w:tc>
        <w:tc>
          <w:tcPr>
            <w:tcW w:w="1290" w:type="dxa"/>
            <w:tcBorders>
              <w:top w:val="nil"/>
              <w:left w:val="nil"/>
              <w:bottom w:val="single" w:color="auto" w:sz="4" w:space="0"/>
              <w:right w:val="single" w:color="auto" w:sz="4" w:space="0"/>
            </w:tcBorders>
            <w:shd w:val="clear" w:color="auto" w:fill="auto"/>
            <w:vAlign w:val="center"/>
          </w:tcPr>
          <w:p w14:paraId="6FC01BD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2703 </w:t>
            </w:r>
          </w:p>
        </w:tc>
        <w:tc>
          <w:tcPr>
            <w:tcW w:w="1290" w:type="dxa"/>
            <w:tcBorders>
              <w:top w:val="nil"/>
              <w:left w:val="nil"/>
              <w:bottom w:val="single" w:color="auto" w:sz="4" w:space="0"/>
              <w:right w:val="single" w:color="auto" w:sz="4" w:space="0"/>
            </w:tcBorders>
            <w:shd w:val="clear" w:color="auto" w:fill="auto"/>
            <w:vAlign w:val="center"/>
          </w:tcPr>
          <w:p w14:paraId="1BB5C77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595 </w:t>
            </w:r>
          </w:p>
        </w:tc>
        <w:tc>
          <w:tcPr>
            <w:tcW w:w="1036" w:type="dxa"/>
            <w:tcBorders>
              <w:top w:val="nil"/>
              <w:left w:val="nil"/>
              <w:bottom w:val="single" w:color="auto" w:sz="4" w:space="0"/>
              <w:right w:val="single" w:color="auto" w:sz="4" w:space="0"/>
            </w:tcBorders>
            <w:shd w:val="clear" w:color="auto" w:fill="auto"/>
            <w:vAlign w:val="center"/>
          </w:tcPr>
          <w:p w14:paraId="6D90F84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2</w:t>
            </w:r>
          </w:p>
        </w:tc>
        <w:tc>
          <w:tcPr>
            <w:tcW w:w="1090" w:type="dxa"/>
            <w:tcBorders>
              <w:top w:val="nil"/>
              <w:left w:val="nil"/>
              <w:bottom w:val="single" w:color="auto" w:sz="4" w:space="0"/>
              <w:right w:val="single" w:color="auto" w:sz="4" w:space="0"/>
            </w:tcBorders>
            <w:shd w:val="clear" w:color="auto" w:fill="auto"/>
            <w:vAlign w:val="center"/>
          </w:tcPr>
          <w:p w14:paraId="65CB583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100 </w:t>
            </w:r>
          </w:p>
        </w:tc>
        <w:tc>
          <w:tcPr>
            <w:tcW w:w="1037" w:type="dxa"/>
            <w:tcBorders>
              <w:top w:val="nil"/>
              <w:left w:val="nil"/>
              <w:bottom w:val="single" w:color="auto" w:sz="4" w:space="0"/>
              <w:right w:val="single" w:color="auto" w:sz="4" w:space="0"/>
            </w:tcBorders>
            <w:shd w:val="clear" w:color="auto" w:fill="auto"/>
            <w:vAlign w:val="center"/>
          </w:tcPr>
          <w:p w14:paraId="2554113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22 </w:t>
            </w:r>
          </w:p>
        </w:tc>
        <w:tc>
          <w:tcPr>
            <w:tcW w:w="0" w:type="auto"/>
            <w:tcBorders>
              <w:top w:val="nil"/>
              <w:left w:val="nil"/>
              <w:bottom w:val="single" w:color="auto" w:sz="4" w:space="0"/>
              <w:right w:val="single" w:color="auto" w:sz="4" w:space="0"/>
            </w:tcBorders>
            <w:shd w:val="clear" w:color="auto" w:fill="auto"/>
            <w:vAlign w:val="center"/>
          </w:tcPr>
          <w:p w14:paraId="24C280A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78 </w:t>
            </w:r>
          </w:p>
        </w:tc>
      </w:tr>
      <w:tr w14:paraId="548863C0">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768A01D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4DFA61A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57AE390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15BF834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工程开挖面</w:t>
            </w:r>
          </w:p>
        </w:tc>
        <w:tc>
          <w:tcPr>
            <w:tcW w:w="1276" w:type="dxa"/>
            <w:tcBorders>
              <w:top w:val="nil"/>
              <w:left w:val="nil"/>
              <w:bottom w:val="single" w:color="auto" w:sz="4" w:space="0"/>
              <w:right w:val="single" w:color="auto" w:sz="4" w:space="0"/>
            </w:tcBorders>
            <w:shd w:val="clear" w:color="auto" w:fill="auto"/>
            <w:vAlign w:val="center"/>
          </w:tcPr>
          <w:p w14:paraId="66A5F39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1294" w:type="dxa"/>
            <w:tcBorders>
              <w:top w:val="nil"/>
              <w:left w:val="nil"/>
              <w:bottom w:val="single" w:color="auto" w:sz="4" w:space="0"/>
              <w:right w:val="single" w:color="auto" w:sz="4" w:space="0"/>
            </w:tcBorders>
            <w:shd w:val="clear" w:color="auto" w:fill="auto"/>
            <w:vAlign w:val="center"/>
          </w:tcPr>
          <w:p w14:paraId="67D70F2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0.886</w:t>
            </w:r>
          </w:p>
        </w:tc>
        <w:tc>
          <w:tcPr>
            <w:tcW w:w="1290" w:type="dxa"/>
            <w:tcBorders>
              <w:top w:val="nil"/>
              <w:left w:val="nil"/>
              <w:bottom w:val="single" w:color="auto" w:sz="4" w:space="0"/>
              <w:right w:val="single" w:color="auto" w:sz="4" w:space="0"/>
            </w:tcBorders>
            <w:shd w:val="clear" w:color="auto" w:fill="auto"/>
            <w:vAlign w:val="center"/>
          </w:tcPr>
          <w:p w14:paraId="5531993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2925 </w:t>
            </w:r>
          </w:p>
        </w:tc>
        <w:tc>
          <w:tcPr>
            <w:tcW w:w="1290" w:type="dxa"/>
            <w:tcBorders>
              <w:top w:val="nil"/>
              <w:left w:val="nil"/>
              <w:bottom w:val="single" w:color="auto" w:sz="4" w:space="0"/>
              <w:right w:val="single" w:color="auto" w:sz="4" w:space="0"/>
            </w:tcBorders>
            <w:shd w:val="clear" w:color="auto" w:fill="auto"/>
            <w:vAlign w:val="center"/>
          </w:tcPr>
          <w:p w14:paraId="7D69EF3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595 </w:t>
            </w:r>
          </w:p>
        </w:tc>
        <w:tc>
          <w:tcPr>
            <w:tcW w:w="1036" w:type="dxa"/>
            <w:tcBorders>
              <w:top w:val="nil"/>
              <w:left w:val="nil"/>
              <w:bottom w:val="single" w:color="auto" w:sz="4" w:space="0"/>
              <w:right w:val="single" w:color="auto" w:sz="4" w:space="0"/>
            </w:tcBorders>
            <w:shd w:val="clear" w:color="auto" w:fill="auto"/>
            <w:vAlign w:val="center"/>
          </w:tcPr>
          <w:p w14:paraId="6D0EEB9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0.75</w:t>
            </w:r>
          </w:p>
        </w:tc>
        <w:tc>
          <w:tcPr>
            <w:tcW w:w="1090" w:type="dxa"/>
            <w:tcBorders>
              <w:top w:val="nil"/>
              <w:left w:val="nil"/>
              <w:bottom w:val="single" w:color="auto" w:sz="4" w:space="0"/>
              <w:right w:val="single" w:color="auto" w:sz="4" w:space="0"/>
            </w:tcBorders>
            <w:shd w:val="clear" w:color="auto" w:fill="auto"/>
            <w:vAlign w:val="center"/>
          </w:tcPr>
          <w:p w14:paraId="6FE1DEF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19 </w:t>
            </w:r>
          </w:p>
        </w:tc>
        <w:tc>
          <w:tcPr>
            <w:tcW w:w="1037" w:type="dxa"/>
            <w:tcBorders>
              <w:top w:val="nil"/>
              <w:left w:val="nil"/>
              <w:bottom w:val="single" w:color="auto" w:sz="4" w:space="0"/>
              <w:right w:val="single" w:color="auto" w:sz="4" w:space="0"/>
            </w:tcBorders>
            <w:shd w:val="clear" w:color="auto" w:fill="auto"/>
            <w:vAlign w:val="center"/>
          </w:tcPr>
          <w:p w14:paraId="41546FB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4 </w:t>
            </w:r>
          </w:p>
        </w:tc>
        <w:tc>
          <w:tcPr>
            <w:tcW w:w="0" w:type="auto"/>
            <w:tcBorders>
              <w:top w:val="nil"/>
              <w:left w:val="nil"/>
              <w:bottom w:val="single" w:color="auto" w:sz="4" w:space="0"/>
              <w:right w:val="single" w:color="auto" w:sz="4" w:space="0"/>
            </w:tcBorders>
            <w:shd w:val="clear" w:color="auto" w:fill="auto"/>
            <w:vAlign w:val="center"/>
          </w:tcPr>
          <w:p w14:paraId="7FD9E93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15 </w:t>
            </w:r>
          </w:p>
        </w:tc>
      </w:tr>
      <w:tr w14:paraId="3C939582">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78771CC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397B2D3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73D7EDF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7834651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1276" w:type="dxa"/>
            <w:tcBorders>
              <w:top w:val="nil"/>
              <w:left w:val="nil"/>
              <w:bottom w:val="single" w:color="auto" w:sz="4" w:space="0"/>
              <w:right w:val="single" w:color="auto" w:sz="4" w:space="0"/>
            </w:tcBorders>
            <w:shd w:val="clear" w:color="auto" w:fill="auto"/>
            <w:vAlign w:val="center"/>
          </w:tcPr>
          <w:p w14:paraId="4B0DE7B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上方无来水</w:t>
            </w:r>
          </w:p>
        </w:tc>
        <w:tc>
          <w:tcPr>
            <w:tcW w:w="1294" w:type="dxa"/>
            <w:tcBorders>
              <w:top w:val="nil"/>
              <w:left w:val="nil"/>
              <w:bottom w:val="single" w:color="auto" w:sz="4" w:space="0"/>
              <w:right w:val="single" w:color="auto" w:sz="4" w:space="0"/>
            </w:tcBorders>
            <w:shd w:val="clear" w:color="auto" w:fill="auto"/>
            <w:vAlign w:val="center"/>
          </w:tcPr>
          <w:p w14:paraId="0C5EEED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0.35</w:t>
            </w:r>
          </w:p>
        </w:tc>
        <w:tc>
          <w:tcPr>
            <w:tcW w:w="1290" w:type="dxa"/>
            <w:tcBorders>
              <w:top w:val="nil"/>
              <w:left w:val="nil"/>
              <w:bottom w:val="single" w:color="auto" w:sz="4" w:space="0"/>
              <w:right w:val="single" w:color="auto" w:sz="4" w:space="0"/>
            </w:tcBorders>
            <w:shd w:val="clear" w:color="auto" w:fill="auto"/>
            <w:vAlign w:val="center"/>
          </w:tcPr>
          <w:p w14:paraId="5EE1C51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11312 </w:t>
            </w:r>
          </w:p>
        </w:tc>
        <w:tc>
          <w:tcPr>
            <w:tcW w:w="1290" w:type="dxa"/>
            <w:tcBorders>
              <w:top w:val="nil"/>
              <w:left w:val="nil"/>
              <w:bottom w:val="single" w:color="auto" w:sz="4" w:space="0"/>
              <w:right w:val="single" w:color="auto" w:sz="4" w:space="0"/>
            </w:tcBorders>
            <w:shd w:val="clear" w:color="auto" w:fill="auto"/>
            <w:vAlign w:val="center"/>
          </w:tcPr>
          <w:p w14:paraId="1070691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595 </w:t>
            </w:r>
          </w:p>
        </w:tc>
        <w:tc>
          <w:tcPr>
            <w:tcW w:w="1036" w:type="dxa"/>
            <w:tcBorders>
              <w:top w:val="nil"/>
              <w:left w:val="nil"/>
              <w:bottom w:val="single" w:color="auto" w:sz="4" w:space="0"/>
              <w:right w:val="single" w:color="auto" w:sz="4" w:space="0"/>
            </w:tcBorders>
            <w:shd w:val="clear" w:color="auto" w:fill="auto"/>
            <w:vAlign w:val="center"/>
          </w:tcPr>
          <w:p w14:paraId="5F064EA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76A91A8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40 </w:t>
            </w:r>
          </w:p>
        </w:tc>
        <w:tc>
          <w:tcPr>
            <w:tcW w:w="1037" w:type="dxa"/>
            <w:tcBorders>
              <w:top w:val="nil"/>
              <w:left w:val="nil"/>
              <w:bottom w:val="single" w:color="auto" w:sz="4" w:space="0"/>
              <w:right w:val="single" w:color="auto" w:sz="4" w:space="0"/>
            </w:tcBorders>
            <w:shd w:val="clear" w:color="auto" w:fill="auto"/>
            <w:vAlign w:val="center"/>
          </w:tcPr>
          <w:p w14:paraId="23F891A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 </w:t>
            </w:r>
          </w:p>
        </w:tc>
        <w:tc>
          <w:tcPr>
            <w:tcW w:w="0" w:type="auto"/>
            <w:tcBorders>
              <w:top w:val="nil"/>
              <w:left w:val="nil"/>
              <w:bottom w:val="single" w:color="auto" w:sz="4" w:space="0"/>
              <w:right w:val="single" w:color="auto" w:sz="4" w:space="0"/>
            </w:tcBorders>
            <w:shd w:val="clear" w:color="auto" w:fill="auto"/>
            <w:vAlign w:val="center"/>
          </w:tcPr>
          <w:p w14:paraId="345F140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38 </w:t>
            </w:r>
          </w:p>
        </w:tc>
      </w:tr>
      <w:tr w14:paraId="1A43256C">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10A0DF1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2821BC2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tcBorders>
              <w:top w:val="nil"/>
              <w:left w:val="nil"/>
              <w:bottom w:val="single" w:color="auto" w:sz="4" w:space="0"/>
              <w:right w:val="single" w:color="auto" w:sz="4" w:space="0"/>
            </w:tcBorders>
            <w:shd w:val="clear" w:color="auto" w:fill="auto"/>
            <w:vAlign w:val="center"/>
          </w:tcPr>
          <w:p w14:paraId="47A5E9C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1559" w:type="dxa"/>
            <w:tcBorders>
              <w:top w:val="nil"/>
              <w:left w:val="nil"/>
              <w:bottom w:val="single" w:color="auto" w:sz="4" w:space="0"/>
              <w:right w:val="single" w:color="auto" w:sz="4" w:space="0"/>
            </w:tcBorders>
            <w:shd w:val="clear" w:color="auto" w:fill="auto"/>
            <w:vAlign w:val="center"/>
          </w:tcPr>
          <w:p w14:paraId="311408B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1276" w:type="dxa"/>
            <w:tcBorders>
              <w:top w:val="nil"/>
              <w:left w:val="nil"/>
              <w:bottom w:val="single" w:color="auto" w:sz="4" w:space="0"/>
              <w:right w:val="single" w:color="auto" w:sz="4" w:space="0"/>
            </w:tcBorders>
            <w:shd w:val="clear" w:color="auto" w:fill="auto"/>
            <w:vAlign w:val="center"/>
          </w:tcPr>
          <w:p w14:paraId="21381B5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植被破坏型</w:t>
            </w:r>
          </w:p>
        </w:tc>
        <w:tc>
          <w:tcPr>
            <w:tcW w:w="1294" w:type="dxa"/>
            <w:tcBorders>
              <w:top w:val="nil"/>
              <w:left w:val="nil"/>
              <w:bottom w:val="single" w:color="auto" w:sz="4" w:space="0"/>
              <w:right w:val="single" w:color="auto" w:sz="4" w:space="0"/>
            </w:tcBorders>
            <w:shd w:val="clear" w:color="auto" w:fill="auto"/>
            <w:vAlign w:val="center"/>
          </w:tcPr>
          <w:p w14:paraId="11F53F7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1.83</w:t>
            </w:r>
          </w:p>
        </w:tc>
        <w:tc>
          <w:tcPr>
            <w:tcW w:w="1290" w:type="dxa"/>
            <w:tcBorders>
              <w:top w:val="nil"/>
              <w:left w:val="nil"/>
              <w:bottom w:val="single" w:color="auto" w:sz="4" w:space="0"/>
              <w:right w:val="single" w:color="auto" w:sz="4" w:space="0"/>
            </w:tcBorders>
            <w:shd w:val="clear" w:color="auto" w:fill="auto"/>
            <w:vAlign w:val="center"/>
          </w:tcPr>
          <w:p w14:paraId="59CD200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595 </w:t>
            </w:r>
          </w:p>
        </w:tc>
        <w:tc>
          <w:tcPr>
            <w:tcW w:w="1290" w:type="dxa"/>
            <w:tcBorders>
              <w:top w:val="nil"/>
              <w:left w:val="nil"/>
              <w:bottom w:val="single" w:color="auto" w:sz="4" w:space="0"/>
              <w:right w:val="single" w:color="auto" w:sz="4" w:space="0"/>
            </w:tcBorders>
            <w:shd w:val="clear" w:color="auto" w:fill="auto"/>
            <w:vAlign w:val="center"/>
          </w:tcPr>
          <w:p w14:paraId="59445F7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595 </w:t>
            </w:r>
          </w:p>
        </w:tc>
        <w:tc>
          <w:tcPr>
            <w:tcW w:w="1036" w:type="dxa"/>
            <w:tcBorders>
              <w:top w:val="nil"/>
              <w:left w:val="nil"/>
              <w:bottom w:val="single" w:color="auto" w:sz="4" w:space="0"/>
              <w:right w:val="single" w:color="auto" w:sz="4" w:space="0"/>
            </w:tcBorders>
            <w:shd w:val="clear" w:color="auto" w:fill="auto"/>
            <w:vAlign w:val="center"/>
          </w:tcPr>
          <w:p w14:paraId="769D2D8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0.75</w:t>
            </w:r>
          </w:p>
        </w:tc>
        <w:tc>
          <w:tcPr>
            <w:tcW w:w="1090" w:type="dxa"/>
            <w:tcBorders>
              <w:top w:val="nil"/>
              <w:left w:val="nil"/>
              <w:bottom w:val="single" w:color="auto" w:sz="4" w:space="0"/>
              <w:right w:val="single" w:color="auto" w:sz="4" w:space="0"/>
            </w:tcBorders>
            <w:shd w:val="clear" w:color="auto" w:fill="auto"/>
            <w:vAlign w:val="center"/>
          </w:tcPr>
          <w:p w14:paraId="3FFCD54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8 </w:t>
            </w:r>
          </w:p>
        </w:tc>
        <w:tc>
          <w:tcPr>
            <w:tcW w:w="1037" w:type="dxa"/>
            <w:tcBorders>
              <w:top w:val="nil"/>
              <w:left w:val="nil"/>
              <w:bottom w:val="single" w:color="auto" w:sz="4" w:space="0"/>
              <w:right w:val="single" w:color="auto" w:sz="4" w:space="0"/>
            </w:tcBorders>
            <w:shd w:val="clear" w:color="auto" w:fill="auto"/>
            <w:vAlign w:val="center"/>
          </w:tcPr>
          <w:p w14:paraId="0D39AE8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8 </w:t>
            </w:r>
          </w:p>
        </w:tc>
        <w:tc>
          <w:tcPr>
            <w:tcW w:w="0" w:type="auto"/>
            <w:tcBorders>
              <w:top w:val="nil"/>
              <w:left w:val="nil"/>
              <w:bottom w:val="single" w:color="auto" w:sz="4" w:space="0"/>
              <w:right w:val="single" w:color="auto" w:sz="4" w:space="0"/>
            </w:tcBorders>
            <w:shd w:val="clear" w:color="auto" w:fill="auto"/>
            <w:vAlign w:val="center"/>
          </w:tcPr>
          <w:p w14:paraId="552852C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0 </w:t>
            </w:r>
          </w:p>
        </w:tc>
      </w:tr>
      <w:tr w14:paraId="6AE6CD45">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6F91A4B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4F5FC0C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tcBorders>
              <w:top w:val="nil"/>
              <w:left w:val="nil"/>
              <w:bottom w:val="single" w:color="auto" w:sz="4" w:space="0"/>
              <w:right w:val="single" w:color="auto" w:sz="4" w:space="0"/>
            </w:tcBorders>
            <w:shd w:val="clear" w:color="auto" w:fill="auto"/>
            <w:vAlign w:val="center"/>
          </w:tcPr>
          <w:p w14:paraId="167F3CA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陆地水域</w:t>
            </w:r>
          </w:p>
        </w:tc>
        <w:tc>
          <w:tcPr>
            <w:tcW w:w="1559" w:type="dxa"/>
            <w:tcBorders>
              <w:top w:val="nil"/>
              <w:left w:val="nil"/>
              <w:bottom w:val="single" w:color="auto" w:sz="4" w:space="0"/>
              <w:right w:val="single" w:color="auto" w:sz="4" w:space="0"/>
            </w:tcBorders>
            <w:shd w:val="clear" w:color="auto" w:fill="auto"/>
            <w:vAlign w:val="center"/>
          </w:tcPr>
          <w:p w14:paraId="6169C24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1276" w:type="dxa"/>
            <w:tcBorders>
              <w:top w:val="nil"/>
              <w:left w:val="nil"/>
              <w:bottom w:val="single" w:color="auto" w:sz="4" w:space="0"/>
              <w:right w:val="single" w:color="auto" w:sz="4" w:space="0"/>
            </w:tcBorders>
            <w:shd w:val="clear" w:color="auto" w:fill="auto"/>
            <w:vAlign w:val="center"/>
          </w:tcPr>
          <w:p w14:paraId="6E26B1B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植被破坏型</w:t>
            </w:r>
          </w:p>
        </w:tc>
        <w:tc>
          <w:tcPr>
            <w:tcW w:w="1294" w:type="dxa"/>
            <w:tcBorders>
              <w:top w:val="nil"/>
              <w:left w:val="nil"/>
              <w:bottom w:val="single" w:color="auto" w:sz="4" w:space="0"/>
              <w:right w:val="single" w:color="auto" w:sz="4" w:space="0"/>
            </w:tcBorders>
            <w:shd w:val="clear" w:color="auto" w:fill="auto"/>
            <w:vAlign w:val="center"/>
          </w:tcPr>
          <w:p w14:paraId="616053A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1.1</w:t>
            </w:r>
          </w:p>
        </w:tc>
        <w:tc>
          <w:tcPr>
            <w:tcW w:w="1290" w:type="dxa"/>
            <w:tcBorders>
              <w:top w:val="nil"/>
              <w:left w:val="nil"/>
              <w:bottom w:val="single" w:color="auto" w:sz="4" w:space="0"/>
              <w:right w:val="single" w:color="auto" w:sz="4" w:space="0"/>
            </w:tcBorders>
            <w:shd w:val="clear" w:color="auto" w:fill="auto"/>
            <w:vAlign w:val="center"/>
          </w:tcPr>
          <w:p w14:paraId="61776B6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595 </w:t>
            </w:r>
          </w:p>
        </w:tc>
        <w:tc>
          <w:tcPr>
            <w:tcW w:w="1290" w:type="dxa"/>
            <w:tcBorders>
              <w:top w:val="nil"/>
              <w:left w:val="nil"/>
              <w:bottom w:val="single" w:color="auto" w:sz="4" w:space="0"/>
              <w:right w:val="single" w:color="auto" w:sz="4" w:space="0"/>
            </w:tcBorders>
            <w:shd w:val="clear" w:color="auto" w:fill="auto"/>
            <w:vAlign w:val="center"/>
          </w:tcPr>
          <w:p w14:paraId="08C978C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595 </w:t>
            </w:r>
          </w:p>
        </w:tc>
        <w:tc>
          <w:tcPr>
            <w:tcW w:w="1036" w:type="dxa"/>
            <w:tcBorders>
              <w:top w:val="nil"/>
              <w:left w:val="nil"/>
              <w:bottom w:val="single" w:color="auto" w:sz="4" w:space="0"/>
              <w:right w:val="single" w:color="auto" w:sz="4" w:space="0"/>
            </w:tcBorders>
            <w:shd w:val="clear" w:color="auto" w:fill="auto"/>
            <w:vAlign w:val="center"/>
          </w:tcPr>
          <w:p w14:paraId="1F7E49C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0.75</w:t>
            </w:r>
          </w:p>
        </w:tc>
        <w:tc>
          <w:tcPr>
            <w:tcW w:w="1090" w:type="dxa"/>
            <w:tcBorders>
              <w:top w:val="nil"/>
              <w:left w:val="nil"/>
              <w:bottom w:val="single" w:color="auto" w:sz="4" w:space="0"/>
              <w:right w:val="single" w:color="auto" w:sz="4" w:space="0"/>
            </w:tcBorders>
            <w:shd w:val="clear" w:color="auto" w:fill="auto"/>
            <w:vAlign w:val="center"/>
          </w:tcPr>
          <w:p w14:paraId="64DA7F9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 </w:t>
            </w:r>
          </w:p>
        </w:tc>
        <w:tc>
          <w:tcPr>
            <w:tcW w:w="1037" w:type="dxa"/>
            <w:tcBorders>
              <w:top w:val="nil"/>
              <w:left w:val="nil"/>
              <w:bottom w:val="single" w:color="auto" w:sz="4" w:space="0"/>
              <w:right w:val="single" w:color="auto" w:sz="4" w:space="0"/>
            </w:tcBorders>
            <w:shd w:val="clear" w:color="auto" w:fill="auto"/>
            <w:vAlign w:val="center"/>
          </w:tcPr>
          <w:p w14:paraId="176F680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 </w:t>
            </w:r>
          </w:p>
        </w:tc>
        <w:tc>
          <w:tcPr>
            <w:tcW w:w="0" w:type="auto"/>
            <w:tcBorders>
              <w:top w:val="nil"/>
              <w:left w:val="nil"/>
              <w:bottom w:val="single" w:color="auto" w:sz="4" w:space="0"/>
              <w:right w:val="single" w:color="auto" w:sz="4" w:space="0"/>
            </w:tcBorders>
            <w:shd w:val="clear" w:color="auto" w:fill="auto"/>
            <w:vAlign w:val="center"/>
          </w:tcPr>
          <w:p w14:paraId="7DA1A38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0 </w:t>
            </w:r>
          </w:p>
        </w:tc>
      </w:tr>
      <w:tr w14:paraId="06DC4362">
        <w:tblPrEx>
          <w:tblCellMar>
            <w:top w:w="0" w:type="dxa"/>
            <w:left w:w="108" w:type="dxa"/>
            <w:bottom w:w="0" w:type="dxa"/>
            <w:right w:w="108" w:type="dxa"/>
          </w:tblCellMar>
        </w:tblPrEx>
        <w:trPr>
          <w:trHeight w:val="397" w:hRule="atLeast"/>
        </w:trPr>
        <w:tc>
          <w:tcPr>
            <w:tcW w:w="60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3B64C4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合计</w:t>
            </w:r>
          </w:p>
        </w:tc>
        <w:tc>
          <w:tcPr>
            <w:tcW w:w="1294" w:type="dxa"/>
            <w:tcBorders>
              <w:top w:val="nil"/>
              <w:left w:val="nil"/>
              <w:bottom w:val="single" w:color="auto" w:sz="4" w:space="0"/>
              <w:right w:val="single" w:color="auto" w:sz="4" w:space="0"/>
            </w:tcBorders>
            <w:shd w:val="clear" w:color="auto" w:fill="auto"/>
            <w:vAlign w:val="center"/>
          </w:tcPr>
          <w:p w14:paraId="1E82F78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1267.72</w:t>
            </w:r>
          </w:p>
        </w:tc>
        <w:tc>
          <w:tcPr>
            <w:tcW w:w="1290" w:type="dxa"/>
            <w:tcBorders>
              <w:top w:val="nil"/>
              <w:left w:val="nil"/>
              <w:bottom w:val="single" w:color="auto" w:sz="4" w:space="0"/>
              <w:right w:val="single" w:color="auto" w:sz="4" w:space="0"/>
            </w:tcBorders>
            <w:shd w:val="clear" w:color="auto" w:fill="auto"/>
            <w:vAlign w:val="center"/>
          </w:tcPr>
          <w:p w14:paraId="21F2428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1290" w:type="dxa"/>
            <w:tcBorders>
              <w:top w:val="nil"/>
              <w:left w:val="nil"/>
              <w:bottom w:val="single" w:color="auto" w:sz="4" w:space="0"/>
              <w:right w:val="single" w:color="auto" w:sz="4" w:space="0"/>
            </w:tcBorders>
            <w:shd w:val="clear" w:color="auto" w:fill="auto"/>
            <w:vAlign w:val="center"/>
          </w:tcPr>
          <w:p w14:paraId="3EBE5CC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1036" w:type="dxa"/>
            <w:tcBorders>
              <w:top w:val="nil"/>
              <w:left w:val="nil"/>
              <w:bottom w:val="single" w:color="auto" w:sz="4" w:space="0"/>
              <w:right w:val="single" w:color="auto" w:sz="4" w:space="0"/>
            </w:tcBorders>
            <w:shd w:val="clear" w:color="auto" w:fill="auto"/>
            <w:vAlign w:val="center"/>
          </w:tcPr>
          <w:p w14:paraId="00F94BE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1090" w:type="dxa"/>
            <w:tcBorders>
              <w:top w:val="nil"/>
              <w:left w:val="nil"/>
              <w:bottom w:val="single" w:color="auto" w:sz="4" w:space="0"/>
              <w:right w:val="single" w:color="auto" w:sz="4" w:space="0"/>
            </w:tcBorders>
            <w:shd w:val="clear" w:color="auto" w:fill="auto"/>
            <w:vAlign w:val="center"/>
          </w:tcPr>
          <w:p w14:paraId="7ACA4B7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60351 </w:t>
            </w:r>
          </w:p>
        </w:tc>
        <w:tc>
          <w:tcPr>
            <w:tcW w:w="1037" w:type="dxa"/>
            <w:tcBorders>
              <w:top w:val="nil"/>
              <w:left w:val="nil"/>
              <w:bottom w:val="single" w:color="auto" w:sz="4" w:space="0"/>
              <w:right w:val="single" w:color="auto" w:sz="4" w:space="0"/>
            </w:tcBorders>
            <w:shd w:val="clear" w:color="auto" w:fill="auto"/>
            <w:vAlign w:val="center"/>
          </w:tcPr>
          <w:p w14:paraId="41DD70E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12705 </w:t>
            </w:r>
          </w:p>
        </w:tc>
        <w:tc>
          <w:tcPr>
            <w:tcW w:w="0" w:type="auto"/>
            <w:tcBorders>
              <w:top w:val="nil"/>
              <w:left w:val="nil"/>
              <w:bottom w:val="single" w:color="auto" w:sz="4" w:space="0"/>
              <w:right w:val="single" w:color="auto" w:sz="4" w:space="0"/>
            </w:tcBorders>
            <w:shd w:val="clear" w:color="auto" w:fill="auto"/>
            <w:vAlign w:val="center"/>
          </w:tcPr>
          <w:p w14:paraId="6BAC0B6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47646 </w:t>
            </w:r>
          </w:p>
        </w:tc>
      </w:tr>
      <w:tr w14:paraId="4D3B15E4">
        <w:tblPrEx>
          <w:tblCellMar>
            <w:top w:w="0" w:type="dxa"/>
            <w:left w:w="108" w:type="dxa"/>
            <w:bottom w:w="0" w:type="dxa"/>
            <w:right w:w="108" w:type="dxa"/>
          </w:tblCellMar>
        </w:tblPrEx>
        <w:trPr>
          <w:trHeight w:val="397"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7E0A627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风力侵蚀</w:t>
            </w:r>
          </w:p>
        </w:tc>
        <w:tc>
          <w:tcPr>
            <w:tcW w:w="791" w:type="dxa"/>
            <w:vMerge w:val="restart"/>
            <w:tcBorders>
              <w:top w:val="nil"/>
              <w:left w:val="single" w:color="auto" w:sz="4" w:space="0"/>
              <w:bottom w:val="single" w:color="auto" w:sz="4" w:space="0"/>
              <w:right w:val="single" w:color="auto" w:sz="4" w:space="0"/>
            </w:tcBorders>
            <w:shd w:val="clear" w:color="auto" w:fill="auto"/>
            <w:vAlign w:val="center"/>
          </w:tcPr>
          <w:p w14:paraId="6BE7C9D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21F97EA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公共管理与公共服务用地</w:t>
            </w:r>
          </w:p>
        </w:tc>
        <w:tc>
          <w:tcPr>
            <w:tcW w:w="1559" w:type="dxa"/>
            <w:tcBorders>
              <w:top w:val="nil"/>
              <w:left w:val="nil"/>
              <w:bottom w:val="single" w:color="auto" w:sz="4" w:space="0"/>
              <w:right w:val="single" w:color="auto" w:sz="4" w:space="0"/>
            </w:tcBorders>
            <w:shd w:val="clear" w:color="auto" w:fill="auto"/>
            <w:vAlign w:val="center"/>
          </w:tcPr>
          <w:p w14:paraId="3F45F41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1276" w:type="dxa"/>
            <w:tcBorders>
              <w:top w:val="nil"/>
              <w:left w:val="nil"/>
              <w:bottom w:val="single" w:color="auto" w:sz="4" w:space="0"/>
              <w:right w:val="single" w:color="auto" w:sz="4" w:space="0"/>
            </w:tcBorders>
            <w:shd w:val="clear" w:color="auto" w:fill="auto"/>
            <w:vAlign w:val="center"/>
          </w:tcPr>
          <w:p w14:paraId="012008C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294" w:type="dxa"/>
            <w:tcBorders>
              <w:top w:val="nil"/>
              <w:left w:val="nil"/>
              <w:bottom w:val="single" w:color="auto" w:sz="4" w:space="0"/>
              <w:right w:val="single" w:color="auto" w:sz="4" w:space="0"/>
            </w:tcBorders>
            <w:shd w:val="clear" w:color="auto" w:fill="auto"/>
            <w:vAlign w:val="center"/>
          </w:tcPr>
          <w:p w14:paraId="5A09D8A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0.87</w:t>
            </w:r>
          </w:p>
        </w:tc>
        <w:tc>
          <w:tcPr>
            <w:tcW w:w="1290" w:type="dxa"/>
            <w:tcBorders>
              <w:top w:val="nil"/>
              <w:left w:val="nil"/>
              <w:bottom w:val="single" w:color="auto" w:sz="4" w:space="0"/>
              <w:right w:val="single" w:color="auto" w:sz="4" w:space="0"/>
            </w:tcBorders>
            <w:shd w:val="clear" w:color="auto" w:fill="auto"/>
            <w:vAlign w:val="center"/>
          </w:tcPr>
          <w:p w14:paraId="3856BCE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5518 </w:t>
            </w:r>
          </w:p>
        </w:tc>
        <w:tc>
          <w:tcPr>
            <w:tcW w:w="1290" w:type="dxa"/>
            <w:tcBorders>
              <w:top w:val="nil"/>
              <w:left w:val="nil"/>
              <w:bottom w:val="single" w:color="auto" w:sz="4" w:space="0"/>
              <w:right w:val="single" w:color="auto" w:sz="4" w:space="0"/>
            </w:tcBorders>
            <w:shd w:val="clear" w:color="auto" w:fill="auto"/>
            <w:vAlign w:val="center"/>
          </w:tcPr>
          <w:p w14:paraId="3A6D4E4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2112 </w:t>
            </w:r>
          </w:p>
        </w:tc>
        <w:tc>
          <w:tcPr>
            <w:tcW w:w="1036" w:type="dxa"/>
            <w:tcBorders>
              <w:top w:val="nil"/>
              <w:left w:val="nil"/>
              <w:bottom w:val="single" w:color="auto" w:sz="4" w:space="0"/>
              <w:right w:val="single" w:color="auto" w:sz="4" w:space="0"/>
            </w:tcBorders>
            <w:shd w:val="clear" w:color="auto" w:fill="auto"/>
            <w:vAlign w:val="center"/>
          </w:tcPr>
          <w:p w14:paraId="5AA9A83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2</w:t>
            </w:r>
          </w:p>
        </w:tc>
        <w:tc>
          <w:tcPr>
            <w:tcW w:w="1090" w:type="dxa"/>
            <w:tcBorders>
              <w:top w:val="nil"/>
              <w:left w:val="nil"/>
              <w:bottom w:val="single" w:color="auto" w:sz="4" w:space="0"/>
              <w:right w:val="single" w:color="auto" w:sz="4" w:space="0"/>
            </w:tcBorders>
            <w:shd w:val="clear" w:color="auto" w:fill="auto"/>
            <w:vAlign w:val="center"/>
          </w:tcPr>
          <w:p w14:paraId="5164C43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96 </w:t>
            </w:r>
          </w:p>
        </w:tc>
        <w:tc>
          <w:tcPr>
            <w:tcW w:w="1037" w:type="dxa"/>
            <w:tcBorders>
              <w:top w:val="nil"/>
              <w:left w:val="nil"/>
              <w:bottom w:val="single" w:color="auto" w:sz="4" w:space="0"/>
              <w:right w:val="single" w:color="auto" w:sz="4" w:space="0"/>
            </w:tcBorders>
            <w:shd w:val="clear" w:color="auto" w:fill="auto"/>
            <w:vAlign w:val="center"/>
          </w:tcPr>
          <w:p w14:paraId="5DB145D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37 </w:t>
            </w:r>
          </w:p>
        </w:tc>
        <w:tc>
          <w:tcPr>
            <w:tcW w:w="0" w:type="auto"/>
            <w:tcBorders>
              <w:top w:val="nil"/>
              <w:left w:val="nil"/>
              <w:bottom w:val="single" w:color="auto" w:sz="4" w:space="0"/>
              <w:right w:val="single" w:color="auto" w:sz="4" w:space="0"/>
            </w:tcBorders>
            <w:shd w:val="clear" w:color="auto" w:fill="auto"/>
            <w:vAlign w:val="center"/>
          </w:tcPr>
          <w:p w14:paraId="632569E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59 </w:t>
            </w:r>
          </w:p>
        </w:tc>
      </w:tr>
      <w:tr w14:paraId="0A64EF9A">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4404288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17ED28A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22CE528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08A8357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1276" w:type="dxa"/>
            <w:tcBorders>
              <w:top w:val="nil"/>
              <w:left w:val="nil"/>
              <w:bottom w:val="single" w:color="auto" w:sz="4" w:space="0"/>
              <w:right w:val="single" w:color="auto" w:sz="4" w:space="0"/>
            </w:tcBorders>
            <w:shd w:val="clear" w:color="auto" w:fill="auto"/>
            <w:vAlign w:val="center"/>
          </w:tcPr>
          <w:p w14:paraId="41D2A9E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294" w:type="dxa"/>
            <w:tcBorders>
              <w:top w:val="nil"/>
              <w:left w:val="nil"/>
              <w:bottom w:val="single" w:color="auto" w:sz="4" w:space="0"/>
              <w:right w:val="single" w:color="auto" w:sz="4" w:space="0"/>
            </w:tcBorders>
            <w:shd w:val="clear" w:color="auto" w:fill="auto"/>
            <w:vAlign w:val="center"/>
          </w:tcPr>
          <w:p w14:paraId="258037B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0.2</w:t>
            </w:r>
          </w:p>
        </w:tc>
        <w:tc>
          <w:tcPr>
            <w:tcW w:w="1290" w:type="dxa"/>
            <w:tcBorders>
              <w:top w:val="nil"/>
              <w:left w:val="nil"/>
              <w:bottom w:val="single" w:color="auto" w:sz="4" w:space="0"/>
              <w:right w:val="single" w:color="auto" w:sz="4" w:space="0"/>
            </w:tcBorders>
            <w:shd w:val="clear" w:color="auto" w:fill="auto"/>
            <w:vAlign w:val="center"/>
          </w:tcPr>
          <w:p w14:paraId="16D8B74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13146 </w:t>
            </w:r>
          </w:p>
        </w:tc>
        <w:tc>
          <w:tcPr>
            <w:tcW w:w="1290" w:type="dxa"/>
            <w:tcBorders>
              <w:top w:val="nil"/>
              <w:left w:val="nil"/>
              <w:bottom w:val="single" w:color="auto" w:sz="4" w:space="0"/>
              <w:right w:val="single" w:color="auto" w:sz="4" w:space="0"/>
            </w:tcBorders>
            <w:shd w:val="clear" w:color="auto" w:fill="auto"/>
            <w:vAlign w:val="center"/>
          </w:tcPr>
          <w:p w14:paraId="496D411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2112 </w:t>
            </w:r>
          </w:p>
        </w:tc>
        <w:tc>
          <w:tcPr>
            <w:tcW w:w="1036" w:type="dxa"/>
            <w:tcBorders>
              <w:top w:val="nil"/>
              <w:left w:val="nil"/>
              <w:bottom w:val="single" w:color="auto" w:sz="4" w:space="0"/>
              <w:right w:val="single" w:color="auto" w:sz="4" w:space="0"/>
            </w:tcBorders>
            <w:shd w:val="clear" w:color="auto" w:fill="auto"/>
            <w:vAlign w:val="center"/>
          </w:tcPr>
          <w:p w14:paraId="2C3CB4E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643D33C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26 </w:t>
            </w:r>
          </w:p>
        </w:tc>
        <w:tc>
          <w:tcPr>
            <w:tcW w:w="1037" w:type="dxa"/>
            <w:tcBorders>
              <w:top w:val="nil"/>
              <w:left w:val="nil"/>
              <w:bottom w:val="single" w:color="auto" w:sz="4" w:space="0"/>
              <w:right w:val="single" w:color="auto" w:sz="4" w:space="0"/>
            </w:tcBorders>
            <w:shd w:val="clear" w:color="auto" w:fill="auto"/>
            <w:vAlign w:val="center"/>
          </w:tcPr>
          <w:p w14:paraId="44088C5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4 </w:t>
            </w:r>
          </w:p>
        </w:tc>
        <w:tc>
          <w:tcPr>
            <w:tcW w:w="0" w:type="auto"/>
            <w:tcBorders>
              <w:top w:val="nil"/>
              <w:left w:val="nil"/>
              <w:bottom w:val="single" w:color="auto" w:sz="4" w:space="0"/>
              <w:right w:val="single" w:color="auto" w:sz="4" w:space="0"/>
            </w:tcBorders>
            <w:shd w:val="clear" w:color="auto" w:fill="auto"/>
            <w:vAlign w:val="center"/>
          </w:tcPr>
          <w:p w14:paraId="26DAFDE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22 </w:t>
            </w:r>
          </w:p>
        </w:tc>
      </w:tr>
      <w:tr w14:paraId="370CBCBD">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2C73CB2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17520E5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3116B34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商业服务业用地</w:t>
            </w:r>
          </w:p>
        </w:tc>
        <w:tc>
          <w:tcPr>
            <w:tcW w:w="1559" w:type="dxa"/>
            <w:tcBorders>
              <w:top w:val="nil"/>
              <w:left w:val="nil"/>
              <w:bottom w:val="single" w:color="auto" w:sz="4" w:space="0"/>
              <w:right w:val="single" w:color="auto" w:sz="4" w:space="0"/>
            </w:tcBorders>
            <w:shd w:val="clear" w:color="auto" w:fill="auto"/>
            <w:vAlign w:val="center"/>
          </w:tcPr>
          <w:p w14:paraId="72AFE27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1276" w:type="dxa"/>
            <w:tcBorders>
              <w:top w:val="nil"/>
              <w:left w:val="nil"/>
              <w:bottom w:val="single" w:color="auto" w:sz="4" w:space="0"/>
              <w:right w:val="single" w:color="auto" w:sz="4" w:space="0"/>
            </w:tcBorders>
            <w:shd w:val="clear" w:color="auto" w:fill="auto"/>
            <w:vAlign w:val="center"/>
          </w:tcPr>
          <w:p w14:paraId="6D8C6ED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294" w:type="dxa"/>
            <w:tcBorders>
              <w:top w:val="nil"/>
              <w:left w:val="nil"/>
              <w:bottom w:val="single" w:color="auto" w:sz="4" w:space="0"/>
              <w:right w:val="single" w:color="auto" w:sz="4" w:space="0"/>
            </w:tcBorders>
            <w:shd w:val="clear" w:color="auto" w:fill="auto"/>
            <w:vAlign w:val="center"/>
          </w:tcPr>
          <w:p w14:paraId="3E5D379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3.87</w:t>
            </w:r>
          </w:p>
        </w:tc>
        <w:tc>
          <w:tcPr>
            <w:tcW w:w="1290" w:type="dxa"/>
            <w:tcBorders>
              <w:top w:val="nil"/>
              <w:left w:val="nil"/>
              <w:bottom w:val="single" w:color="auto" w:sz="4" w:space="0"/>
              <w:right w:val="single" w:color="auto" w:sz="4" w:space="0"/>
            </w:tcBorders>
            <w:shd w:val="clear" w:color="auto" w:fill="auto"/>
            <w:vAlign w:val="center"/>
          </w:tcPr>
          <w:p w14:paraId="7B255BE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5518 </w:t>
            </w:r>
          </w:p>
        </w:tc>
        <w:tc>
          <w:tcPr>
            <w:tcW w:w="1290" w:type="dxa"/>
            <w:tcBorders>
              <w:top w:val="nil"/>
              <w:left w:val="nil"/>
              <w:bottom w:val="single" w:color="auto" w:sz="4" w:space="0"/>
              <w:right w:val="single" w:color="auto" w:sz="4" w:space="0"/>
            </w:tcBorders>
            <w:shd w:val="clear" w:color="auto" w:fill="auto"/>
            <w:vAlign w:val="center"/>
          </w:tcPr>
          <w:p w14:paraId="1CB086C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2112 </w:t>
            </w:r>
          </w:p>
        </w:tc>
        <w:tc>
          <w:tcPr>
            <w:tcW w:w="1036" w:type="dxa"/>
            <w:tcBorders>
              <w:top w:val="nil"/>
              <w:left w:val="nil"/>
              <w:bottom w:val="single" w:color="auto" w:sz="4" w:space="0"/>
              <w:right w:val="single" w:color="auto" w:sz="4" w:space="0"/>
            </w:tcBorders>
            <w:shd w:val="clear" w:color="auto" w:fill="auto"/>
            <w:vAlign w:val="center"/>
          </w:tcPr>
          <w:p w14:paraId="64E21BE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064ACB0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214 </w:t>
            </w:r>
          </w:p>
        </w:tc>
        <w:tc>
          <w:tcPr>
            <w:tcW w:w="1037" w:type="dxa"/>
            <w:tcBorders>
              <w:top w:val="nil"/>
              <w:left w:val="nil"/>
              <w:bottom w:val="single" w:color="auto" w:sz="4" w:space="0"/>
              <w:right w:val="single" w:color="auto" w:sz="4" w:space="0"/>
            </w:tcBorders>
            <w:shd w:val="clear" w:color="auto" w:fill="auto"/>
            <w:vAlign w:val="center"/>
          </w:tcPr>
          <w:p w14:paraId="0081925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82 </w:t>
            </w:r>
          </w:p>
        </w:tc>
        <w:tc>
          <w:tcPr>
            <w:tcW w:w="0" w:type="auto"/>
            <w:tcBorders>
              <w:top w:val="nil"/>
              <w:left w:val="nil"/>
              <w:bottom w:val="single" w:color="auto" w:sz="4" w:space="0"/>
              <w:right w:val="single" w:color="auto" w:sz="4" w:space="0"/>
            </w:tcBorders>
            <w:shd w:val="clear" w:color="auto" w:fill="auto"/>
            <w:vAlign w:val="center"/>
          </w:tcPr>
          <w:p w14:paraId="412DD35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132 </w:t>
            </w:r>
          </w:p>
        </w:tc>
      </w:tr>
      <w:tr w14:paraId="541A90A4">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152503E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067B407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6EB8FD8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75AC10A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1276" w:type="dxa"/>
            <w:tcBorders>
              <w:top w:val="nil"/>
              <w:left w:val="nil"/>
              <w:bottom w:val="single" w:color="auto" w:sz="4" w:space="0"/>
              <w:right w:val="single" w:color="auto" w:sz="4" w:space="0"/>
            </w:tcBorders>
            <w:shd w:val="clear" w:color="auto" w:fill="auto"/>
            <w:vAlign w:val="center"/>
          </w:tcPr>
          <w:p w14:paraId="728E603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294" w:type="dxa"/>
            <w:tcBorders>
              <w:top w:val="nil"/>
              <w:left w:val="nil"/>
              <w:bottom w:val="single" w:color="auto" w:sz="4" w:space="0"/>
              <w:right w:val="single" w:color="auto" w:sz="4" w:space="0"/>
            </w:tcBorders>
            <w:shd w:val="clear" w:color="auto" w:fill="auto"/>
            <w:vAlign w:val="center"/>
          </w:tcPr>
          <w:p w14:paraId="4B28B27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0.5</w:t>
            </w:r>
          </w:p>
        </w:tc>
        <w:tc>
          <w:tcPr>
            <w:tcW w:w="1290" w:type="dxa"/>
            <w:tcBorders>
              <w:top w:val="nil"/>
              <w:left w:val="nil"/>
              <w:bottom w:val="single" w:color="auto" w:sz="4" w:space="0"/>
              <w:right w:val="single" w:color="auto" w:sz="4" w:space="0"/>
            </w:tcBorders>
            <w:shd w:val="clear" w:color="auto" w:fill="auto"/>
            <w:vAlign w:val="center"/>
          </w:tcPr>
          <w:p w14:paraId="29A3399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13146 </w:t>
            </w:r>
          </w:p>
        </w:tc>
        <w:tc>
          <w:tcPr>
            <w:tcW w:w="1290" w:type="dxa"/>
            <w:tcBorders>
              <w:top w:val="nil"/>
              <w:left w:val="nil"/>
              <w:bottom w:val="single" w:color="auto" w:sz="4" w:space="0"/>
              <w:right w:val="single" w:color="auto" w:sz="4" w:space="0"/>
            </w:tcBorders>
            <w:shd w:val="clear" w:color="auto" w:fill="auto"/>
            <w:vAlign w:val="center"/>
          </w:tcPr>
          <w:p w14:paraId="47BA207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2112 </w:t>
            </w:r>
          </w:p>
        </w:tc>
        <w:tc>
          <w:tcPr>
            <w:tcW w:w="1036" w:type="dxa"/>
            <w:tcBorders>
              <w:top w:val="nil"/>
              <w:left w:val="nil"/>
              <w:bottom w:val="single" w:color="auto" w:sz="4" w:space="0"/>
              <w:right w:val="single" w:color="auto" w:sz="4" w:space="0"/>
            </w:tcBorders>
            <w:shd w:val="clear" w:color="auto" w:fill="auto"/>
            <w:vAlign w:val="center"/>
          </w:tcPr>
          <w:p w14:paraId="1AA1969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254F9E9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66 </w:t>
            </w:r>
          </w:p>
        </w:tc>
        <w:tc>
          <w:tcPr>
            <w:tcW w:w="1037" w:type="dxa"/>
            <w:tcBorders>
              <w:top w:val="nil"/>
              <w:left w:val="nil"/>
              <w:bottom w:val="single" w:color="auto" w:sz="4" w:space="0"/>
              <w:right w:val="single" w:color="auto" w:sz="4" w:space="0"/>
            </w:tcBorders>
            <w:shd w:val="clear" w:color="auto" w:fill="auto"/>
            <w:vAlign w:val="center"/>
          </w:tcPr>
          <w:p w14:paraId="61705CE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11 </w:t>
            </w:r>
          </w:p>
        </w:tc>
        <w:tc>
          <w:tcPr>
            <w:tcW w:w="0" w:type="auto"/>
            <w:tcBorders>
              <w:top w:val="nil"/>
              <w:left w:val="nil"/>
              <w:bottom w:val="single" w:color="auto" w:sz="4" w:space="0"/>
              <w:right w:val="single" w:color="auto" w:sz="4" w:space="0"/>
            </w:tcBorders>
            <w:shd w:val="clear" w:color="auto" w:fill="auto"/>
            <w:vAlign w:val="center"/>
          </w:tcPr>
          <w:p w14:paraId="57EEF4F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55 </w:t>
            </w:r>
          </w:p>
        </w:tc>
      </w:tr>
      <w:tr w14:paraId="6369F359">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1516988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1BAE6D0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7C452EE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1559" w:type="dxa"/>
            <w:tcBorders>
              <w:top w:val="nil"/>
              <w:left w:val="nil"/>
              <w:bottom w:val="single" w:color="auto" w:sz="4" w:space="0"/>
              <w:right w:val="single" w:color="auto" w:sz="4" w:space="0"/>
            </w:tcBorders>
            <w:shd w:val="clear" w:color="auto" w:fill="auto"/>
            <w:vAlign w:val="center"/>
          </w:tcPr>
          <w:p w14:paraId="21EA8D0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1276" w:type="dxa"/>
            <w:tcBorders>
              <w:top w:val="nil"/>
              <w:left w:val="nil"/>
              <w:bottom w:val="single" w:color="auto" w:sz="4" w:space="0"/>
              <w:right w:val="single" w:color="auto" w:sz="4" w:space="0"/>
            </w:tcBorders>
            <w:shd w:val="clear" w:color="auto" w:fill="auto"/>
            <w:vAlign w:val="center"/>
          </w:tcPr>
          <w:p w14:paraId="711505D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294" w:type="dxa"/>
            <w:tcBorders>
              <w:top w:val="nil"/>
              <w:left w:val="nil"/>
              <w:bottom w:val="single" w:color="auto" w:sz="4" w:space="0"/>
              <w:right w:val="single" w:color="auto" w:sz="4" w:space="0"/>
            </w:tcBorders>
            <w:shd w:val="clear" w:color="auto" w:fill="auto"/>
            <w:vAlign w:val="center"/>
          </w:tcPr>
          <w:p w14:paraId="280E9BA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983.28</w:t>
            </w:r>
          </w:p>
        </w:tc>
        <w:tc>
          <w:tcPr>
            <w:tcW w:w="1290" w:type="dxa"/>
            <w:tcBorders>
              <w:top w:val="nil"/>
              <w:left w:val="nil"/>
              <w:bottom w:val="single" w:color="auto" w:sz="4" w:space="0"/>
              <w:right w:val="single" w:color="auto" w:sz="4" w:space="0"/>
            </w:tcBorders>
            <w:shd w:val="clear" w:color="auto" w:fill="auto"/>
            <w:vAlign w:val="center"/>
          </w:tcPr>
          <w:p w14:paraId="5604577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5518 </w:t>
            </w:r>
          </w:p>
        </w:tc>
        <w:tc>
          <w:tcPr>
            <w:tcW w:w="1290" w:type="dxa"/>
            <w:tcBorders>
              <w:top w:val="nil"/>
              <w:left w:val="nil"/>
              <w:bottom w:val="single" w:color="auto" w:sz="4" w:space="0"/>
              <w:right w:val="single" w:color="auto" w:sz="4" w:space="0"/>
            </w:tcBorders>
            <w:shd w:val="clear" w:color="auto" w:fill="auto"/>
            <w:vAlign w:val="center"/>
          </w:tcPr>
          <w:p w14:paraId="1E6F132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2112 </w:t>
            </w:r>
          </w:p>
        </w:tc>
        <w:tc>
          <w:tcPr>
            <w:tcW w:w="1036" w:type="dxa"/>
            <w:tcBorders>
              <w:top w:val="nil"/>
              <w:left w:val="nil"/>
              <w:bottom w:val="single" w:color="auto" w:sz="4" w:space="0"/>
              <w:right w:val="single" w:color="auto" w:sz="4" w:space="0"/>
            </w:tcBorders>
            <w:shd w:val="clear" w:color="auto" w:fill="auto"/>
            <w:vAlign w:val="center"/>
          </w:tcPr>
          <w:p w14:paraId="35432BE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2</w:t>
            </w:r>
          </w:p>
        </w:tc>
        <w:tc>
          <w:tcPr>
            <w:tcW w:w="1090" w:type="dxa"/>
            <w:tcBorders>
              <w:top w:val="nil"/>
              <w:left w:val="nil"/>
              <w:bottom w:val="single" w:color="auto" w:sz="4" w:space="0"/>
              <w:right w:val="single" w:color="auto" w:sz="4" w:space="0"/>
            </w:tcBorders>
            <w:shd w:val="clear" w:color="auto" w:fill="auto"/>
            <w:vAlign w:val="center"/>
          </w:tcPr>
          <w:p w14:paraId="6C929FF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108516 </w:t>
            </w:r>
          </w:p>
        </w:tc>
        <w:tc>
          <w:tcPr>
            <w:tcW w:w="1037" w:type="dxa"/>
            <w:tcBorders>
              <w:top w:val="nil"/>
              <w:left w:val="nil"/>
              <w:bottom w:val="single" w:color="auto" w:sz="4" w:space="0"/>
              <w:right w:val="single" w:color="auto" w:sz="4" w:space="0"/>
            </w:tcBorders>
            <w:shd w:val="clear" w:color="auto" w:fill="auto"/>
            <w:vAlign w:val="center"/>
          </w:tcPr>
          <w:p w14:paraId="3B73122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41525 </w:t>
            </w:r>
          </w:p>
        </w:tc>
        <w:tc>
          <w:tcPr>
            <w:tcW w:w="0" w:type="auto"/>
            <w:tcBorders>
              <w:top w:val="nil"/>
              <w:left w:val="nil"/>
              <w:bottom w:val="single" w:color="auto" w:sz="4" w:space="0"/>
              <w:right w:val="single" w:color="auto" w:sz="4" w:space="0"/>
            </w:tcBorders>
            <w:shd w:val="clear" w:color="auto" w:fill="auto"/>
            <w:vAlign w:val="center"/>
          </w:tcPr>
          <w:p w14:paraId="4F8771B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66991 </w:t>
            </w:r>
          </w:p>
        </w:tc>
      </w:tr>
      <w:tr w14:paraId="5E141DE1">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127AC61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6B6992F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29E0CC5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70115AA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1276" w:type="dxa"/>
            <w:tcBorders>
              <w:top w:val="nil"/>
              <w:left w:val="nil"/>
              <w:bottom w:val="single" w:color="auto" w:sz="4" w:space="0"/>
              <w:right w:val="single" w:color="auto" w:sz="4" w:space="0"/>
            </w:tcBorders>
            <w:shd w:val="clear" w:color="auto" w:fill="auto"/>
            <w:vAlign w:val="center"/>
          </w:tcPr>
          <w:p w14:paraId="0E8549A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294" w:type="dxa"/>
            <w:tcBorders>
              <w:top w:val="nil"/>
              <w:left w:val="nil"/>
              <w:bottom w:val="single" w:color="auto" w:sz="4" w:space="0"/>
              <w:right w:val="single" w:color="auto" w:sz="4" w:space="0"/>
            </w:tcBorders>
            <w:shd w:val="clear" w:color="auto" w:fill="auto"/>
            <w:vAlign w:val="center"/>
          </w:tcPr>
          <w:p w14:paraId="44E348C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21</w:t>
            </w:r>
          </w:p>
        </w:tc>
        <w:tc>
          <w:tcPr>
            <w:tcW w:w="1290" w:type="dxa"/>
            <w:tcBorders>
              <w:top w:val="nil"/>
              <w:left w:val="nil"/>
              <w:bottom w:val="single" w:color="auto" w:sz="4" w:space="0"/>
              <w:right w:val="single" w:color="auto" w:sz="4" w:space="0"/>
            </w:tcBorders>
            <w:shd w:val="clear" w:color="auto" w:fill="auto"/>
            <w:vAlign w:val="center"/>
          </w:tcPr>
          <w:p w14:paraId="5AD14C3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13146 </w:t>
            </w:r>
          </w:p>
        </w:tc>
        <w:tc>
          <w:tcPr>
            <w:tcW w:w="1290" w:type="dxa"/>
            <w:tcBorders>
              <w:top w:val="nil"/>
              <w:left w:val="nil"/>
              <w:bottom w:val="single" w:color="auto" w:sz="4" w:space="0"/>
              <w:right w:val="single" w:color="auto" w:sz="4" w:space="0"/>
            </w:tcBorders>
            <w:shd w:val="clear" w:color="auto" w:fill="auto"/>
            <w:vAlign w:val="center"/>
          </w:tcPr>
          <w:p w14:paraId="7503A07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2112 </w:t>
            </w:r>
          </w:p>
        </w:tc>
        <w:tc>
          <w:tcPr>
            <w:tcW w:w="1036" w:type="dxa"/>
            <w:tcBorders>
              <w:top w:val="nil"/>
              <w:left w:val="nil"/>
              <w:bottom w:val="single" w:color="auto" w:sz="4" w:space="0"/>
              <w:right w:val="single" w:color="auto" w:sz="4" w:space="0"/>
            </w:tcBorders>
            <w:shd w:val="clear" w:color="auto" w:fill="auto"/>
            <w:vAlign w:val="center"/>
          </w:tcPr>
          <w:p w14:paraId="5639458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58F5D87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2761 </w:t>
            </w:r>
          </w:p>
        </w:tc>
        <w:tc>
          <w:tcPr>
            <w:tcW w:w="1037" w:type="dxa"/>
            <w:tcBorders>
              <w:top w:val="nil"/>
              <w:left w:val="nil"/>
              <w:bottom w:val="single" w:color="auto" w:sz="4" w:space="0"/>
              <w:right w:val="single" w:color="auto" w:sz="4" w:space="0"/>
            </w:tcBorders>
            <w:shd w:val="clear" w:color="auto" w:fill="auto"/>
            <w:vAlign w:val="center"/>
          </w:tcPr>
          <w:p w14:paraId="681AE82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443 </w:t>
            </w:r>
          </w:p>
        </w:tc>
        <w:tc>
          <w:tcPr>
            <w:tcW w:w="0" w:type="auto"/>
            <w:tcBorders>
              <w:top w:val="nil"/>
              <w:left w:val="nil"/>
              <w:bottom w:val="single" w:color="auto" w:sz="4" w:space="0"/>
              <w:right w:val="single" w:color="auto" w:sz="4" w:space="0"/>
            </w:tcBorders>
            <w:shd w:val="clear" w:color="auto" w:fill="auto"/>
            <w:vAlign w:val="center"/>
          </w:tcPr>
          <w:p w14:paraId="47AF2D9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2317 </w:t>
            </w:r>
          </w:p>
        </w:tc>
      </w:tr>
      <w:tr w14:paraId="66C36954">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16384AA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5D244A0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425EC1B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1559" w:type="dxa"/>
            <w:tcBorders>
              <w:top w:val="nil"/>
              <w:left w:val="nil"/>
              <w:bottom w:val="single" w:color="auto" w:sz="4" w:space="0"/>
              <w:right w:val="single" w:color="auto" w:sz="4" w:space="0"/>
            </w:tcBorders>
            <w:shd w:val="clear" w:color="auto" w:fill="auto"/>
            <w:vAlign w:val="center"/>
          </w:tcPr>
          <w:p w14:paraId="663FCB3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1276" w:type="dxa"/>
            <w:tcBorders>
              <w:top w:val="nil"/>
              <w:left w:val="nil"/>
              <w:bottom w:val="single" w:color="auto" w:sz="4" w:space="0"/>
              <w:right w:val="single" w:color="auto" w:sz="4" w:space="0"/>
            </w:tcBorders>
            <w:shd w:val="clear" w:color="auto" w:fill="auto"/>
            <w:vAlign w:val="center"/>
          </w:tcPr>
          <w:p w14:paraId="58BC805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294" w:type="dxa"/>
            <w:tcBorders>
              <w:top w:val="nil"/>
              <w:left w:val="nil"/>
              <w:bottom w:val="single" w:color="auto" w:sz="4" w:space="0"/>
              <w:right w:val="single" w:color="auto" w:sz="4" w:space="0"/>
            </w:tcBorders>
            <w:shd w:val="clear" w:color="auto" w:fill="auto"/>
            <w:vAlign w:val="center"/>
          </w:tcPr>
          <w:p w14:paraId="64785D6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80.7</w:t>
            </w:r>
          </w:p>
        </w:tc>
        <w:tc>
          <w:tcPr>
            <w:tcW w:w="1290" w:type="dxa"/>
            <w:tcBorders>
              <w:top w:val="nil"/>
              <w:left w:val="nil"/>
              <w:bottom w:val="single" w:color="auto" w:sz="4" w:space="0"/>
              <w:right w:val="single" w:color="auto" w:sz="4" w:space="0"/>
            </w:tcBorders>
            <w:shd w:val="clear" w:color="auto" w:fill="auto"/>
            <w:vAlign w:val="center"/>
          </w:tcPr>
          <w:p w14:paraId="08842BF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5518 </w:t>
            </w:r>
          </w:p>
        </w:tc>
        <w:tc>
          <w:tcPr>
            <w:tcW w:w="1290" w:type="dxa"/>
            <w:tcBorders>
              <w:top w:val="nil"/>
              <w:left w:val="nil"/>
              <w:bottom w:val="single" w:color="auto" w:sz="4" w:space="0"/>
              <w:right w:val="single" w:color="auto" w:sz="4" w:space="0"/>
            </w:tcBorders>
            <w:shd w:val="clear" w:color="auto" w:fill="auto"/>
            <w:vAlign w:val="center"/>
          </w:tcPr>
          <w:p w14:paraId="44E13DA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2112 </w:t>
            </w:r>
          </w:p>
        </w:tc>
        <w:tc>
          <w:tcPr>
            <w:tcW w:w="1036" w:type="dxa"/>
            <w:tcBorders>
              <w:top w:val="nil"/>
              <w:left w:val="nil"/>
              <w:bottom w:val="single" w:color="auto" w:sz="4" w:space="0"/>
              <w:right w:val="single" w:color="auto" w:sz="4" w:space="0"/>
            </w:tcBorders>
            <w:shd w:val="clear" w:color="auto" w:fill="auto"/>
            <w:vAlign w:val="center"/>
          </w:tcPr>
          <w:p w14:paraId="6792F2C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2</w:t>
            </w:r>
          </w:p>
        </w:tc>
        <w:tc>
          <w:tcPr>
            <w:tcW w:w="1090" w:type="dxa"/>
            <w:tcBorders>
              <w:top w:val="nil"/>
              <w:left w:val="nil"/>
              <w:bottom w:val="single" w:color="auto" w:sz="4" w:space="0"/>
              <w:right w:val="single" w:color="auto" w:sz="4" w:space="0"/>
            </w:tcBorders>
            <w:shd w:val="clear" w:color="auto" w:fill="auto"/>
            <w:vAlign w:val="center"/>
          </w:tcPr>
          <w:p w14:paraId="7EF8776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8906 </w:t>
            </w:r>
          </w:p>
        </w:tc>
        <w:tc>
          <w:tcPr>
            <w:tcW w:w="1037" w:type="dxa"/>
            <w:tcBorders>
              <w:top w:val="nil"/>
              <w:left w:val="nil"/>
              <w:bottom w:val="single" w:color="auto" w:sz="4" w:space="0"/>
              <w:right w:val="single" w:color="auto" w:sz="4" w:space="0"/>
            </w:tcBorders>
            <w:shd w:val="clear" w:color="auto" w:fill="auto"/>
            <w:vAlign w:val="center"/>
          </w:tcPr>
          <w:p w14:paraId="5B77529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3408 </w:t>
            </w:r>
          </w:p>
        </w:tc>
        <w:tc>
          <w:tcPr>
            <w:tcW w:w="0" w:type="auto"/>
            <w:tcBorders>
              <w:top w:val="nil"/>
              <w:left w:val="nil"/>
              <w:bottom w:val="single" w:color="auto" w:sz="4" w:space="0"/>
              <w:right w:val="single" w:color="auto" w:sz="4" w:space="0"/>
            </w:tcBorders>
            <w:shd w:val="clear" w:color="auto" w:fill="auto"/>
            <w:vAlign w:val="center"/>
          </w:tcPr>
          <w:p w14:paraId="0403138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5498 </w:t>
            </w:r>
          </w:p>
        </w:tc>
      </w:tr>
      <w:tr w14:paraId="5C44070B">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247E57F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7F50CC3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133B4F2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7620598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1276" w:type="dxa"/>
            <w:tcBorders>
              <w:top w:val="nil"/>
              <w:left w:val="nil"/>
              <w:bottom w:val="single" w:color="auto" w:sz="4" w:space="0"/>
              <w:right w:val="single" w:color="auto" w:sz="4" w:space="0"/>
            </w:tcBorders>
            <w:shd w:val="clear" w:color="auto" w:fill="auto"/>
            <w:vAlign w:val="center"/>
          </w:tcPr>
          <w:p w14:paraId="278BEDD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294" w:type="dxa"/>
            <w:tcBorders>
              <w:top w:val="nil"/>
              <w:left w:val="nil"/>
              <w:bottom w:val="single" w:color="auto" w:sz="4" w:space="0"/>
              <w:right w:val="single" w:color="auto" w:sz="4" w:space="0"/>
            </w:tcBorders>
            <w:shd w:val="clear" w:color="auto" w:fill="auto"/>
            <w:vAlign w:val="center"/>
          </w:tcPr>
          <w:p w14:paraId="5659DD8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10</w:t>
            </w:r>
          </w:p>
        </w:tc>
        <w:tc>
          <w:tcPr>
            <w:tcW w:w="1290" w:type="dxa"/>
            <w:tcBorders>
              <w:top w:val="nil"/>
              <w:left w:val="nil"/>
              <w:bottom w:val="single" w:color="auto" w:sz="4" w:space="0"/>
              <w:right w:val="single" w:color="auto" w:sz="4" w:space="0"/>
            </w:tcBorders>
            <w:shd w:val="clear" w:color="auto" w:fill="auto"/>
            <w:vAlign w:val="center"/>
          </w:tcPr>
          <w:p w14:paraId="2D65C91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7493 </w:t>
            </w:r>
          </w:p>
        </w:tc>
        <w:tc>
          <w:tcPr>
            <w:tcW w:w="1290" w:type="dxa"/>
            <w:tcBorders>
              <w:top w:val="nil"/>
              <w:left w:val="nil"/>
              <w:bottom w:val="single" w:color="auto" w:sz="4" w:space="0"/>
              <w:right w:val="single" w:color="auto" w:sz="4" w:space="0"/>
            </w:tcBorders>
            <w:shd w:val="clear" w:color="auto" w:fill="auto"/>
            <w:vAlign w:val="center"/>
          </w:tcPr>
          <w:p w14:paraId="128BBB3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2112 </w:t>
            </w:r>
          </w:p>
        </w:tc>
        <w:tc>
          <w:tcPr>
            <w:tcW w:w="1036" w:type="dxa"/>
            <w:tcBorders>
              <w:top w:val="nil"/>
              <w:left w:val="nil"/>
              <w:bottom w:val="single" w:color="auto" w:sz="4" w:space="0"/>
              <w:right w:val="single" w:color="auto" w:sz="4" w:space="0"/>
            </w:tcBorders>
            <w:shd w:val="clear" w:color="auto" w:fill="auto"/>
            <w:vAlign w:val="center"/>
          </w:tcPr>
          <w:p w14:paraId="66DA4E3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1C7AE05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749 </w:t>
            </w:r>
          </w:p>
        </w:tc>
        <w:tc>
          <w:tcPr>
            <w:tcW w:w="1037" w:type="dxa"/>
            <w:tcBorders>
              <w:top w:val="nil"/>
              <w:left w:val="nil"/>
              <w:bottom w:val="single" w:color="auto" w:sz="4" w:space="0"/>
              <w:right w:val="single" w:color="auto" w:sz="4" w:space="0"/>
            </w:tcBorders>
            <w:shd w:val="clear" w:color="auto" w:fill="auto"/>
            <w:vAlign w:val="center"/>
          </w:tcPr>
          <w:p w14:paraId="764D878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211 </w:t>
            </w:r>
          </w:p>
        </w:tc>
        <w:tc>
          <w:tcPr>
            <w:tcW w:w="0" w:type="auto"/>
            <w:tcBorders>
              <w:top w:val="nil"/>
              <w:left w:val="nil"/>
              <w:bottom w:val="single" w:color="auto" w:sz="4" w:space="0"/>
              <w:right w:val="single" w:color="auto" w:sz="4" w:space="0"/>
            </w:tcBorders>
            <w:shd w:val="clear" w:color="auto" w:fill="auto"/>
            <w:vAlign w:val="center"/>
          </w:tcPr>
          <w:p w14:paraId="7519085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538 </w:t>
            </w:r>
          </w:p>
        </w:tc>
      </w:tr>
      <w:tr w14:paraId="05CC9DEF">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7405A4A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71C3BAD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6E5DD53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公用设施用地</w:t>
            </w:r>
          </w:p>
        </w:tc>
        <w:tc>
          <w:tcPr>
            <w:tcW w:w="1559" w:type="dxa"/>
            <w:tcBorders>
              <w:top w:val="nil"/>
              <w:left w:val="nil"/>
              <w:bottom w:val="single" w:color="auto" w:sz="4" w:space="0"/>
              <w:right w:val="single" w:color="auto" w:sz="4" w:space="0"/>
            </w:tcBorders>
            <w:shd w:val="clear" w:color="auto" w:fill="auto"/>
            <w:vAlign w:val="center"/>
          </w:tcPr>
          <w:p w14:paraId="7CD0698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1276" w:type="dxa"/>
            <w:tcBorders>
              <w:top w:val="nil"/>
              <w:left w:val="nil"/>
              <w:bottom w:val="single" w:color="auto" w:sz="4" w:space="0"/>
              <w:right w:val="single" w:color="auto" w:sz="4" w:space="0"/>
            </w:tcBorders>
            <w:shd w:val="clear" w:color="auto" w:fill="auto"/>
            <w:vAlign w:val="center"/>
          </w:tcPr>
          <w:p w14:paraId="095DFC4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294" w:type="dxa"/>
            <w:tcBorders>
              <w:top w:val="nil"/>
              <w:left w:val="nil"/>
              <w:bottom w:val="single" w:color="auto" w:sz="4" w:space="0"/>
              <w:right w:val="single" w:color="auto" w:sz="4" w:space="0"/>
            </w:tcBorders>
            <w:shd w:val="clear" w:color="auto" w:fill="auto"/>
            <w:vAlign w:val="center"/>
          </w:tcPr>
          <w:p w14:paraId="66AC0A5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9.66</w:t>
            </w:r>
          </w:p>
        </w:tc>
        <w:tc>
          <w:tcPr>
            <w:tcW w:w="1290" w:type="dxa"/>
            <w:tcBorders>
              <w:top w:val="nil"/>
              <w:left w:val="nil"/>
              <w:bottom w:val="single" w:color="auto" w:sz="4" w:space="0"/>
              <w:right w:val="single" w:color="auto" w:sz="4" w:space="0"/>
            </w:tcBorders>
            <w:shd w:val="clear" w:color="auto" w:fill="auto"/>
            <w:vAlign w:val="center"/>
          </w:tcPr>
          <w:p w14:paraId="5C4D7DE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5518 </w:t>
            </w:r>
          </w:p>
        </w:tc>
        <w:tc>
          <w:tcPr>
            <w:tcW w:w="1290" w:type="dxa"/>
            <w:tcBorders>
              <w:top w:val="nil"/>
              <w:left w:val="nil"/>
              <w:bottom w:val="single" w:color="auto" w:sz="4" w:space="0"/>
              <w:right w:val="single" w:color="auto" w:sz="4" w:space="0"/>
            </w:tcBorders>
            <w:shd w:val="clear" w:color="auto" w:fill="auto"/>
            <w:vAlign w:val="center"/>
          </w:tcPr>
          <w:p w14:paraId="753FCE1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2112 </w:t>
            </w:r>
          </w:p>
        </w:tc>
        <w:tc>
          <w:tcPr>
            <w:tcW w:w="1036" w:type="dxa"/>
            <w:tcBorders>
              <w:top w:val="nil"/>
              <w:left w:val="nil"/>
              <w:bottom w:val="single" w:color="auto" w:sz="4" w:space="0"/>
              <w:right w:val="single" w:color="auto" w:sz="4" w:space="0"/>
            </w:tcBorders>
            <w:shd w:val="clear" w:color="auto" w:fill="auto"/>
            <w:vAlign w:val="center"/>
          </w:tcPr>
          <w:p w14:paraId="42CC4B6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2BC3C06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533 </w:t>
            </w:r>
          </w:p>
        </w:tc>
        <w:tc>
          <w:tcPr>
            <w:tcW w:w="1037" w:type="dxa"/>
            <w:tcBorders>
              <w:top w:val="nil"/>
              <w:left w:val="nil"/>
              <w:bottom w:val="single" w:color="auto" w:sz="4" w:space="0"/>
              <w:right w:val="single" w:color="auto" w:sz="4" w:space="0"/>
            </w:tcBorders>
            <w:shd w:val="clear" w:color="auto" w:fill="auto"/>
            <w:vAlign w:val="center"/>
          </w:tcPr>
          <w:p w14:paraId="63486C1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204 </w:t>
            </w:r>
          </w:p>
        </w:tc>
        <w:tc>
          <w:tcPr>
            <w:tcW w:w="0" w:type="auto"/>
            <w:tcBorders>
              <w:top w:val="nil"/>
              <w:left w:val="nil"/>
              <w:bottom w:val="single" w:color="auto" w:sz="4" w:space="0"/>
              <w:right w:val="single" w:color="auto" w:sz="4" w:space="0"/>
            </w:tcBorders>
            <w:shd w:val="clear" w:color="auto" w:fill="auto"/>
            <w:vAlign w:val="center"/>
          </w:tcPr>
          <w:p w14:paraId="3CB9A99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329 </w:t>
            </w:r>
          </w:p>
        </w:tc>
      </w:tr>
      <w:tr w14:paraId="2C266132">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438EEB9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4ED762E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3A4C5AC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503A6BC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1276" w:type="dxa"/>
            <w:tcBorders>
              <w:top w:val="nil"/>
              <w:left w:val="nil"/>
              <w:bottom w:val="single" w:color="auto" w:sz="4" w:space="0"/>
              <w:right w:val="single" w:color="auto" w:sz="4" w:space="0"/>
            </w:tcBorders>
            <w:shd w:val="clear" w:color="auto" w:fill="auto"/>
            <w:vAlign w:val="center"/>
          </w:tcPr>
          <w:p w14:paraId="7F9985D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294" w:type="dxa"/>
            <w:tcBorders>
              <w:top w:val="nil"/>
              <w:left w:val="nil"/>
              <w:bottom w:val="single" w:color="auto" w:sz="4" w:space="0"/>
              <w:right w:val="single" w:color="auto" w:sz="4" w:space="0"/>
            </w:tcBorders>
            <w:shd w:val="clear" w:color="auto" w:fill="auto"/>
            <w:vAlign w:val="center"/>
          </w:tcPr>
          <w:p w14:paraId="642F1A2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290" w:type="dxa"/>
            <w:tcBorders>
              <w:top w:val="nil"/>
              <w:left w:val="nil"/>
              <w:bottom w:val="single" w:color="auto" w:sz="4" w:space="0"/>
              <w:right w:val="single" w:color="auto" w:sz="4" w:space="0"/>
            </w:tcBorders>
            <w:shd w:val="clear" w:color="auto" w:fill="auto"/>
            <w:vAlign w:val="center"/>
          </w:tcPr>
          <w:p w14:paraId="221E91B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13146 </w:t>
            </w:r>
          </w:p>
        </w:tc>
        <w:tc>
          <w:tcPr>
            <w:tcW w:w="1290" w:type="dxa"/>
            <w:tcBorders>
              <w:top w:val="nil"/>
              <w:left w:val="nil"/>
              <w:bottom w:val="single" w:color="auto" w:sz="4" w:space="0"/>
              <w:right w:val="single" w:color="auto" w:sz="4" w:space="0"/>
            </w:tcBorders>
            <w:shd w:val="clear" w:color="auto" w:fill="auto"/>
            <w:vAlign w:val="center"/>
          </w:tcPr>
          <w:p w14:paraId="056B7B5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2112 </w:t>
            </w:r>
          </w:p>
        </w:tc>
        <w:tc>
          <w:tcPr>
            <w:tcW w:w="1036" w:type="dxa"/>
            <w:tcBorders>
              <w:top w:val="nil"/>
              <w:left w:val="nil"/>
              <w:bottom w:val="single" w:color="auto" w:sz="4" w:space="0"/>
              <w:right w:val="single" w:color="auto" w:sz="4" w:space="0"/>
            </w:tcBorders>
            <w:shd w:val="clear" w:color="auto" w:fill="auto"/>
            <w:vAlign w:val="center"/>
          </w:tcPr>
          <w:p w14:paraId="5ED63D1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05D7F51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131 </w:t>
            </w:r>
          </w:p>
        </w:tc>
        <w:tc>
          <w:tcPr>
            <w:tcW w:w="1037" w:type="dxa"/>
            <w:tcBorders>
              <w:top w:val="nil"/>
              <w:left w:val="nil"/>
              <w:bottom w:val="single" w:color="auto" w:sz="4" w:space="0"/>
              <w:right w:val="single" w:color="auto" w:sz="4" w:space="0"/>
            </w:tcBorders>
            <w:shd w:val="clear" w:color="auto" w:fill="auto"/>
            <w:vAlign w:val="center"/>
          </w:tcPr>
          <w:p w14:paraId="2681DC9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 </w:t>
            </w:r>
          </w:p>
        </w:tc>
        <w:tc>
          <w:tcPr>
            <w:tcW w:w="0" w:type="auto"/>
            <w:tcBorders>
              <w:top w:val="nil"/>
              <w:left w:val="nil"/>
              <w:bottom w:val="single" w:color="auto" w:sz="4" w:space="0"/>
              <w:right w:val="single" w:color="auto" w:sz="4" w:space="0"/>
            </w:tcBorders>
            <w:shd w:val="clear" w:color="auto" w:fill="auto"/>
            <w:vAlign w:val="center"/>
          </w:tcPr>
          <w:p w14:paraId="0AB6B35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110 </w:t>
            </w:r>
          </w:p>
        </w:tc>
      </w:tr>
      <w:tr w14:paraId="7980A8B6">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0005210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6CC3C12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tcBorders>
              <w:top w:val="nil"/>
              <w:left w:val="nil"/>
              <w:bottom w:val="single" w:color="auto" w:sz="4" w:space="0"/>
              <w:right w:val="single" w:color="auto" w:sz="4" w:space="0"/>
            </w:tcBorders>
            <w:shd w:val="clear" w:color="auto" w:fill="auto"/>
            <w:vAlign w:val="center"/>
          </w:tcPr>
          <w:p w14:paraId="6E0F382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1559" w:type="dxa"/>
            <w:tcBorders>
              <w:top w:val="nil"/>
              <w:left w:val="nil"/>
              <w:bottom w:val="single" w:color="auto" w:sz="4" w:space="0"/>
              <w:right w:val="single" w:color="auto" w:sz="4" w:space="0"/>
            </w:tcBorders>
            <w:shd w:val="clear" w:color="auto" w:fill="auto"/>
            <w:vAlign w:val="center"/>
          </w:tcPr>
          <w:p w14:paraId="52F7A51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1276" w:type="dxa"/>
            <w:tcBorders>
              <w:top w:val="nil"/>
              <w:left w:val="nil"/>
              <w:bottom w:val="single" w:color="auto" w:sz="4" w:space="0"/>
              <w:right w:val="single" w:color="auto" w:sz="4" w:space="0"/>
            </w:tcBorders>
            <w:shd w:val="clear" w:color="auto" w:fill="auto"/>
            <w:vAlign w:val="center"/>
          </w:tcPr>
          <w:p w14:paraId="49233D7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294" w:type="dxa"/>
            <w:tcBorders>
              <w:top w:val="nil"/>
              <w:left w:val="nil"/>
              <w:bottom w:val="single" w:color="auto" w:sz="4" w:space="0"/>
              <w:right w:val="single" w:color="auto" w:sz="4" w:space="0"/>
            </w:tcBorders>
            <w:shd w:val="clear" w:color="auto" w:fill="auto"/>
            <w:vAlign w:val="center"/>
          </w:tcPr>
          <w:p w14:paraId="4848320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3.54</w:t>
            </w:r>
          </w:p>
        </w:tc>
        <w:tc>
          <w:tcPr>
            <w:tcW w:w="1290" w:type="dxa"/>
            <w:tcBorders>
              <w:top w:val="nil"/>
              <w:left w:val="nil"/>
              <w:bottom w:val="single" w:color="auto" w:sz="4" w:space="0"/>
              <w:right w:val="single" w:color="auto" w:sz="4" w:space="0"/>
            </w:tcBorders>
            <w:shd w:val="clear" w:color="auto" w:fill="auto"/>
            <w:vAlign w:val="center"/>
          </w:tcPr>
          <w:p w14:paraId="2AC7D2B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5518 </w:t>
            </w:r>
          </w:p>
        </w:tc>
        <w:tc>
          <w:tcPr>
            <w:tcW w:w="1290" w:type="dxa"/>
            <w:tcBorders>
              <w:top w:val="nil"/>
              <w:left w:val="nil"/>
              <w:bottom w:val="single" w:color="auto" w:sz="4" w:space="0"/>
              <w:right w:val="single" w:color="auto" w:sz="4" w:space="0"/>
            </w:tcBorders>
            <w:shd w:val="clear" w:color="auto" w:fill="auto"/>
            <w:vAlign w:val="center"/>
          </w:tcPr>
          <w:p w14:paraId="4D1FEC5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2112 </w:t>
            </w:r>
          </w:p>
        </w:tc>
        <w:tc>
          <w:tcPr>
            <w:tcW w:w="1036" w:type="dxa"/>
            <w:tcBorders>
              <w:top w:val="nil"/>
              <w:left w:val="nil"/>
              <w:bottom w:val="single" w:color="auto" w:sz="4" w:space="0"/>
              <w:right w:val="single" w:color="auto" w:sz="4" w:space="0"/>
            </w:tcBorders>
            <w:shd w:val="clear" w:color="auto" w:fill="auto"/>
            <w:vAlign w:val="center"/>
          </w:tcPr>
          <w:p w14:paraId="796CBE3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0093C9B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195 </w:t>
            </w:r>
          </w:p>
        </w:tc>
        <w:tc>
          <w:tcPr>
            <w:tcW w:w="1037" w:type="dxa"/>
            <w:tcBorders>
              <w:top w:val="nil"/>
              <w:left w:val="nil"/>
              <w:bottom w:val="single" w:color="auto" w:sz="4" w:space="0"/>
              <w:right w:val="single" w:color="auto" w:sz="4" w:space="0"/>
            </w:tcBorders>
            <w:shd w:val="clear" w:color="auto" w:fill="auto"/>
            <w:vAlign w:val="center"/>
          </w:tcPr>
          <w:p w14:paraId="4D1ACDB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75 </w:t>
            </w:r>
          </w:p>
        </w:tc>
        <w:tc>
          <w:tcPr>
            <w:tcW w:w="0" w:type="auto"/>
            <w:tcBorders>
              <w:top w:val="nil"/>
              <w:left w:val="nil"/>
              <w:bottom w:val="single" w:color="auto" w:sz="4" w:space="0"/>
              <w:right w:val="single" w:color="auto" w:sz="4" w:space="0"/>
            </w:tcBorders>
            <w:shd w:val="clear" w:color="auto" w:fill="auto"/>
            <w:vAlign w:val="center"/>
          </w:tcPr>
          <w:p w14:paraId="42DA4D2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121 </w:t>
            </w:r>
          </w:p>
        </w:tc>
      </w:tr>
      <w:tr w14:paraId="5D6DC6AF">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68E2E18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restart"/>
            <w:tcBorders>
              <w:top w:val="nil"/>
              <w:left w:val="single" w:color="auto" w:sz="4" w:space="0"/>
              <w:bottom w:val="single" w:color="auto" w:sz="4" w:space="0"/>
              <w:right w:val="single" w:color="auto" w:sz="4" w:space="0"/>
            </w:tcBorders>
            <w:shd w:val="clear" w:color="auto" w:fill="auto"/>
            <w:vAlign w:val="center"/>
          </w:tcPr>
          <w:p w14:paraId="3348B95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0E14089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1559" w:type="dxa"/>
            <w:tcBorders>
              <w:top w:val="nil"/>
              <w:left w:val="nil"/>
              <w:bottom w:val="single" w:color="auto" w:sz="4" w:space="0"/>
              <w:right w:val="single" w:color="auto" w:sz="4" w:space="0"/>
            </w:tcBorders>
            <w:shd w:val="clear" w:color="auto" w:fill="auto"/>
            <w:vAlign w:val="center"/>
          </w:tcPr>
          <w:p w14:paraId="4757ECB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1276" w:type="dxa"/>
            <w:tcBorders>
              <w:top w:val="nil"/>
              <w:left w:val="nil"/>
              <w:bottom w:val="single" w:color="auto" w:sz="4" w:space="0"/>
              <w:right w:val="single" w:color="auto" w:sz="4" w:space="0"/>
            </w:tcBorders>
            <w:shd w:val="clear" w:color="auto" w:fill="auto"/>
            <w:vAlign w:val="center"/>
          </w:tcPr>
          <w:p w14:paraId="6165375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294" w:type="dxa"/>
            <w:tcBorders>
              <w:top w:val="nil"/>
              <w:left w:val="nil"/>
              <w:bottom w:val="single" w:color="auto" w:sz="4" w:space="0"/>
              <w:right w:val="single" w:color="auto" w:sz="4" w:space="0"/>
            </w:tcBorders>
            <w:shd w:val="clear" w:color="auto" w:fill="auto"/>
            <w:vAlign w:val="center"/>
          </w:tcPr>
          <w:p w14:paraId="53342D5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139.88</w:t>
            </w:r>
          </w:p>
        </w:tc>
        <w:tc>
          <w:tcPr>
            <w:tcW w:w="1290" w:type="dxa"/>
            <w:tcBorders>
              <w:top w:val="nil"/>
              <w:left w:val="nil"/>
              <w:bottom w:val="single" w:color="auto" w:sz="4" w:space="0"/>
              <w:right w:val="single" w:color="auto" w:sz="4" w:space="0"/>
            </w:tcBorders>
            <w:shd w:val="clear" w:color="auto" w:fill="auto"/>
            <w:vAlign w:val="center"/>
          </w:tcPr>
          <w:p w14:paraId="62F6BE7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5518 </w:t>
            </w:r>
          </w:p>
        </w:tc>
        <w:tc>
          <w:tcPr>
            <w:tcW w:w="1290" w:type="dxa"/>
            <w:tcBorders>
              <w:top w:val="nil"/>
              <w:left w:val="nil"/>
              <w:bottom w:val="single" w:color="auto" w:sz="4" w:space="0"/>
              <w:right w:val="single" w:color="auto" w:sz="4" w:space="0"/>
            </w:tcBorders>
            <w:shd w:val="clear" w:color="auto" w:fill="auto"/>
            <w:vAlign w:val="center"/>
          </w:tcPr>
          <w:p w14:paraId="2CBBC67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2112 </w:t>
            </w:r>
          </w:p>
        </w:tc>
        <w:tc>
          <w:tcPr>
            <w:tcW w:w="1036" w:type="dxa"/>
            <w:tcBorders>
              <w:top w:val="nil"/>
              <w:left w:val="nil"/>
              <w:bottom w:val="single" w:color="auto" w:sz="4" w:space="0"/>
              <w:right w:val="single" w:color="auto" w:sz="4" w:space="0"/>
            </w:tcBorders>
            <w:shd w:val="clear" w:color="auto" w:fill="auto"/>
            <w:vAlign w:val="center"/>
          </w:tcPr>
          <w:p w14:paraId="278B190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2</w:t>
            </w:r>
          </w:p>
        </w:tc>
        <w:tc>
          <w:tcPr>
            <w:tcW w:w="1090" w:type="dxa"/>
            <w:tcBorders>
              <w:top w:val="nil"/>
              <w:left w:val="nil"/>
              <w:bottom w:val="single" w:color="auto" w:sz="4" w:space="0"/>
              <w:right w:val="single" w:color="auto" w:sz="4" w:space="0"/>
            </w:tcBorders>
            <w:shd w:val="clear" w:color="auto" w:fill="auto"/>
            <w:vAlign w:val="center"/>
          </w:tcPr>
          <w:p w14:paraId="56E374C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15437 </w:t>
            </w:r>
          </w:p>
        </w:tc>
        <w:tc>
          <w:tcPr>
            <w:tcW w:w="1037" w:type="dxa"/>
            <w:tcBorders>
              <w:top w:val="nil"/>
              <w:left w:val="nil"/>
              <w:bottom w:val="single" w:color="auto" w:sz="4" w:space="0"/>
              <w:right w:val="single" w:color="auto" w:sz="4" w:space="0"/>
            </w:tcBorders>
            <w:shd w:val="clear" w:color="auto" w:fill="auto"/>
            <w:vAlign w:val="center"/>
          </w:tcPr>
          <w:p w14:paraId="174794D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5907 </w:t>
            </w:r>
          </w:p>
        </w:tc>
        <w:tc>
          <w:tcPr>
            <w:tcW w:w="0" w:type="auto"/>
            <w:tcBorders>
              <w:top w:val="nil"/>
              <w:left w:val="nil"/>
              <w:bottom w:val="single" w:color="auto" w:sz="4" w:space="0"/>
              <w:right w:val="single" w:color="auto" w:sz="4" w:space="0"/>
            </w:tcBorders>
            <w:shd w:val="clear" w:color="auto" w:fill="auto"/>
            <w:vAlign w:val="center"/>
          </w:tcPr>
          <w:p w14:paraId="56F841A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9530 </w:t>
            </w:r>
          </w:p>
        </w:tc>
      </w:tr>
      <w:tr w14:paraId="6BC066D8">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76F1B40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7A8E2F1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7CA6C70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322BE8E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1276" w:type="dxa"/>
            <w:tcBorders>
              <w:top w:val="nil"/>
              <w:left w:val="nil"/>
              <w:bottom w:val="single" w:color="auto" w:sz="4" w:space="0"/>
              <w:right w:val="single" w:color="auto" w:sz="4" w:space="0"/>
            </w:tcBorders>
            <w:shd w:val="clear" w:color="auto" w:fill="auto"/>
            <w:vAlign w:val="center"/>
          </w:tcPr>
          <w:p w14:paraId="2E7D7E5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294" w:type="dxa"/>
            <w:tcBorders>
              <w:top w:val="nil"/>
              <w:left w:val="nil"/>
              <w:bottom w:val="single" w:color="auto" w:sz="4" w:space="0"/>
              <w:right w:val="single" w:color="auto" w:sz="4" w:space="0"/>
            </w:tcBorders>
            <w:shd w:val="clear" w:color="auto" w:fill="auto"/>
            <w:vAlign w:val="center"/>
          </w:tcPr>
          <w:p w14:paraId="1A12B33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7.2</w:t>
            </w:r>
          </w:p>
        </w:tc>
        <w:tc>
          <w:tcPr>
            <w:tcW w:w="1290" w:type="dxa"/>
            <w:tcBorders>
              <w:top w:val="nil"/>
              <w:left w:val="nil"/>
              <w:bottom w:val="single" w:color="auto" w:sz="4" w:space="0"/>
              <w:right w:val="single" w:color="auto" w:sz="4" w:space="0"/>
            </w:tcBorders>
            <w:shd w:val="clear" w:color="auto" w:fill="auto"/>
            <w:vAlign w:val="center"/>
          </w:tcPr>
          <w:p w14:paraId="7D38727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13146 </w:t>
            </w:r>
          </w:p>
        </w:tc>
        <w:tc>
          <w:tcPr>
            <w:tcW w:w="1290" w:type="dxa"/>
            <w:tcBorders>
              <w:top w:val="nil"/>
              <w:left w:val="nil"/>
              <w:bottom w:val="single" w:color="auto" w:sz="4" w:space="0"/>
              <w:right w:val="single" w:color="auto" w:sz="4" w:space="0"/>
            </w:tcBorders>
            <w:shd w:val="clear" w:color="auto" w:fill="auto"/>
            <w:vAlign w:val="center"/>
          </w:tcPr>
          <w:p w14:paraId="158837F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2112 </w:t>
            </w:r>
          </w:p>
        </w:tc>
        <w:tc>
          <w:tcPr>
            <w:tcW w:w="1036" w:type="dxa"/>
            <w:tcBorders>
              <w:top w:val="nil"/>
              <w:left w:val="nil"/>
              <w:bottom w:val="single" w:color="auto" w:sz="4" w:space="0"/>
              <w:right w:val="single" w:color="auto" w:sz="4" w:space="0"/>
            </w:tcBorders>
            <w:shd w:val="clear" w:color="auto" w:fill="auto"/>
            <w:vAlign w:val="center"/>
          </w:tcPr>
          <w:p w14:paraId="4D3E8CE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353F70C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947 </w:t>
            </w:r>
          </w:p>
        </w:tc>
        <w:tc>
          <w:tcPr>
            <w:tcW w:w="1037" w:type="dxa"/>
            <w:tcBorders>
              <w:top w:val="nil"/>
              <w:left w:val="nil"/>
              <w:bottom w:val="single" w:color="auto" w:sz="4" w:space="0"/>
              <w:right w:val="single" w:color="auto" w:sz="4" w:space="0"/>
            </w:tcBorders>
            <w:shd w:val="clear" w:color="auto" w:fill="auto"/>
            <w:vAlign w:val="center"/>
          </w:tcPr>
          <w:p w14:paraId="43C1AFE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152 </w:t>
            </w:r>
          </w:p>
        </w:tc>
        <w:tc>
          <w:tcPr>
            <w:tcW w:w="0" w:type="auto"/>
            <w:tcBorders>
              <w:top w:val="nil"/>
              <w:left w:val="nil"/>
              <w:bottom w:val="single" w:color="auto" w:sz="4" w:space="0"/>
              <w:right w:val="single" w:color="auto" w:sz="4" w:space="0"/>
            </w:tcBorders>
            <w:shd w:val="clear" w:color="auto" w:fill="auto"/>
            <w:vAlign w:val="center"/>
          </w:tcPr>
          <w:p w14:paraId="4EC0A4B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794 </w:t>
            </w:r>
          </w:p>
        </w:tc>
      </w:tr>
      <w:tr w14:paraId="23879681">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129169F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407BEF0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520F72B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1559" w:type="dxa"/>
            <w:tcBorders>
              <w:top w:val="nil"/>
              <w:left w:val="nil"/>
              <w:bottom w:val="single" w:color="auto" w:sz="4" w:space="0"/>
              <w:right w:val="single" w:color="auto" w:sz="4" w:space="0"/>
            </w:tcBorders>
            <w:shd w:val="clear" w:color="auto" w:fill="auto"/>
            <w:vAlign w:val="center"/>
          </w:tcPr>
          <w:p w14:paraId="7A99DC0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1276" w:type="dxa"/>
            <w:tcBorders>
              <w:top w:val="nil"/>
              <w:left w:val="nil"/>
              <w:bottom w:val="single" w:color="auto" w:sz="4" w:space="0"/>
              <w:right w:val="single" w:color="auto" w:sz="4" w:space="0"/>
            </w:tcBorders>
            <w:shd w:val="clear" w:color="auto" w:fill="auto"/>
            <w:vAlign w:val="center"/>
          </w:tcPr>
          <w:p w14:paraId="50FECBA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294" w:type="dxa"/>
            <w:tcBorders>
              <w:top w:val="nil"/>
              <w:left w:val="nil"/>
              <w:bottom w:val="single" w:color="auto" w:sz="4" w:space="0"/>
              <w:right w:val="single" w:color="auto" w:sz="4" w:space="0"/>
            </w:tcBorders>
            <w:shd w:val="clear" w:color="auto" w:fill="auto"/>
            <w:vAlign w:val="center"/>
          </w:tcPr>
          <w:p w14:paraId="7E98238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2.74</w:t>
            </w:r>
          </w:p>
        </w:tc>
        <w:tc>
          <w:tcPr>
            <w:tcW w:w="1290" w:type="dxa"/>
            <w:tcBorders>
              <w:top w:val="nil"/>
              <w:left w:val="nil"/>
              <w:bottom w:val="single" w:color="auto" w:sz="4" w:space="0"/>
              <w:right w:val="single" w:color="auto" w:sz="4" w:space="0"/>
            </w:tcBorders>
            <w:shd w:val="clear" w:color="auto" w:fill="auto"/>
            <w:vAlign w:val="center"/>
          </w:tcPr>
          <w:p w14:paraId="0600773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5518 </w:t>
            </w:r>
          </w:p>
        </w:tc>
        <w:tc>
          <w:tcPr>
            <w:tcW w:w="1290" w:type="dxa"/>
            <w:tcBorders>
              <w:top w:val="nil"/>
              <w:left w:val="nil"/>
              <w:bottom w:val="single" w:color="auto" w:sz="4" w:space="0"/>
              <w:right w:val="single" w:color="auto" w:sz="4" w:space="0"/>
            </w:tcBorders>
            <w:shd w:val="clear" w:color="auto" w:fill="auto"/>
            <w:vAlign w:val="center"/>
          </w:tcPr>
          <w:p w14:paraId="19ED59E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2112 </w:t>
            </w:r>
          </w:p>
        </w:tc>
        <w:tc>
          <w:tcPr>
            <w:tcW w:w="1036" w:type="dxa"/>
            <w:tcBorders>
              <w:top w:val="nil"/>
              <w:left w:val="nil"/>
              <w:bottom w:val="single" w:color="auto" w:sz="4" w:space="0"/>
              <w:right w:val="single" w:color="auto" w:sz="4" w:space="0"/>
            </w:tcBorders>
            <w:shd w:val="clear" w:color="auto" w:fill="auto"/>
            <w:vAlign w:val="center"/>
          </w:tcPr>
          <w:p w14:paraId="3F55B7C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2</w:t>
            </w:r>
          </w:p>
        </w:tc>
        <w:tc>
          <w:tcPr>
            <w:tcW w:w="1090" w:type="dxa"/>
            <w:tcBorders>
              <w:top w:val="nil"/>
              <w:left w:val="nil"/>
              <w:bottom w:val="single" w:color="auto" w:sz="4" w:space="0"/>
              <w:right w:val="single" w:color="auto" w:sz="4" w:space="0"/>
            </w:tcBorders>
            <w:shd w:val="clear" w:color="auto" w:fill="auto"/>
            <w:vAlign w:val="center"/>
          </w:tcPr>
          <w:p w14:paraId="6BFBC01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302 </w:t>
            </w:r>
          </w:p>
        </w:tc>
        <w:tc>
          <w:tcPr>
            <w:tcW w:w="1037" w:type="dxa"/>
            <w:tcBorders>
              <w:top w:val="nil"/>
              <w:left w:val="nil"/>
              <w:bottom w:val="single" w:color="auto" w:sz="4" w:space="0"/>
              <w:right w:val="single" w:color="auto" w:sz="4" w:space="0"/>
            </w:tcBorders>
            <w:shd w:val="clear" w:color="auto" w:fill="auto"/>
            <w:vAlign w:val="center"/>
          </w:tcPr>
          <w:p w14:paraId="58C33E7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116 </w:t>
            </w:r>
          </w:p>
        </w:tc>
        <w:tc>
          <w:tcPr>
            <w:tcW w:w="0" w:type="auto"/>
            <w:tcBorders>
              <w:top w:val="nil"/>
              <w:left w:val="nil"/>
              <w:bottom w:val="single" w:color="auto" w:sz="4" w:space="0"/>
              <w:right w:val="single" w:color="auto" w:sz="4" w:space="0"/>
            </w:tcBorders>
            <w:shd w:val="clear" w:color="auto" w:fill="auto"/>
            <w:vAlign w:val="center"/>
          </w:tcPr>
          <w:p w14:paraId="20EFEC5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187 </w:t>
            </w:r>
          </w:p>
        </w:tc>
      </w:tr>
      <w:tr w14:paraId="45B7EBA2">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32A9D58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6D07C0D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vMerge w:val="continue"/>
            <w:tcBorders>
              <w:top w:val="nil"/>
              <w:left w:val="single" w:color="auto" w:sz="4" w:space="0"/>
              <w:bottom w:val="single" w:color="auto" w:sz="4" w:space="0"/>
              <w:right w:val="single" w:color="auto" w:sz="4" w:space="0"/>
            </w:tcBorders>
            <w:vAlign w:val="center"/>
          </w:tcPr>
          <w:p w14:paraId="00448AA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559" w:type="dxa"/>
            <w:tcBorders>
              <w:top w:val="nil"/>
              <w:left w:val="nil"/>
              <w:bottom w:val="single" w:color="auto" w:sz="4" w:space="0"/>
              <w:right w:val="single" w:color="auto" w:sz="4" w:space="0"/>
            </w:tcBorders>
            <w:shd w:val="clear" w:color="auto" w:fill="auto"/>
            <w:vAlign w:val="center"/>
          </w:tcPr>
          <w:p w14:paraId="57F8DCD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工程堆积体</w:t>
            </w:r>
          </w:p>
        </w:tc>
        <w:tc>
          <w:tcPr>
            <w:tcW w:w="1276" w:type="dxa"/>
            <w:tcBorders>
              <w:top w:val="nil"/>
              <w:left w:val="nil"/>
              <w:bottom w:val="single" w:color="auto" w:sz="4" w:space="0"/>
              <w:right w:val="single" w:color="auto" w:sz="4" w:space="0"/>
            </w:tcBorders>
            <w:shd w:val="clear" w:color="auto" w:fill="auto"/>
            <w:vAlign w:val="center"/>
          </w:tcPr>
          <w:p w14:paraId="5C7AC86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294" w:type="dxa"/>
            <w:tcBorders>
              <w:top w:val="nil"/>
              <w:left w:val="nil"/>
              <w:bottom w:val="single" w:color="auto" w:sz="4" w:space="0"/>
              <w:right w:val="single" w:color="auto" w:sz="4" w:space="0"/>
            </w:tcBorders>
            <w:shd w:val="clear" w:color="auto" w:fill="auto"/>
            <w:vAlign w:val="center"/>
          </w:tcPr>
          <w:p w14:paraId="45D26E4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0.35</w:t>
            </w:r>
          </w:p>
        </w:tc>
        <w:tc>
          <w:tcPr>
            <w:tcW w:w="1290" w:type="dxa"/>
            <w:tcBorders>
              <w:top w:val="nil"/>
              <w:left w:val="nil"/>
              <w:bottom w:val="single" w:color="auto" w:sz="4" w:space="0"/>
              <w:right w:val="single" w:color="auto" w:sz="4" w:space="0"/>
            </w:tcBorders>
            <w:shd w:val="clear" w:color="auto" w:fill="auto"/>
            <w:vAlign w:val="center"/>
          </w:tcPr>
          <w:p w14:paraId="2A6259C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13146 </w:t>
            </w:r>
          </w:p>
        </w:tc>
        <w:tc>
          <w:tcPr>
            <w:tcW w:w="1290" w:type="dxa"/>
            <w:tcBorders>
              <w:top w:val="nil"/>
              <w:left w:val="nil"/>
              <w:bottom w:val="single" w:color="auto" w:sz="4" w:space="0"/>
              <w:right w:val="single" w:color="auto" w:sz="4" w:space="0"/>
            </w:tcBorders>
            <w:shd w:val="clear" w:color="auto" w:fill="auto"/>
            <w:vAlign w:val="center"/>
          </w:tcPr>
          <w:p w14:paraId="3C0C26D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2112 </w:t>
            </w:r>
          </w:p>
        </w:tc>
        <w:tc>
          <w:tcPr>
            <w:tcW w:w="1036" w:type="dxa"/>
            <w:tcBorders>
              <w:top w:val="nil"/>
              <w:left w:val="nil"/>
              <w:bottom w:val="single" w:color="auto" w:sz="4" w:space="0"/>
              <w:right w:val="single" w:color="auto" w:sz="4" w:space="0"/>
            </w:tcBorders>
            <w:shd w:val="clear" w:color="auto" w:fill="auto"/>
            <w:vAlign w:val="center"/>
          </w:tcPr>
          <w:p w14:paraId="522DB2A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0846981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46 </w:t>
            </w:r>
          </w:p>
        </w:tc>
        <w:tc>
          <w:tcPr>
            <w:tcW w:w="1037" w:type="dxa"/>
            <w:tcBorders>
              <w:top w:val="nil"/>
              <w:left w:val="nil"/>
              <w:bottom w:val="single" w:color="auto" w:sz="4" w:space="0"/>
              <w:right w:val="single" w:color="auto" w:sz="4" w:space="0"/>
            </w:tcBorders>
            <w:shd w:val="clear" w:color="auto" w:fill="auto"/>
            <w:vAlign w:val="center"/>
          </w:tcPr>
          <w:p w14:paraId="2BA9C7F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7 </w:t>
            </w:r>
          </w:p>
        </w:tc>
        <w:tc>
          <w:tcPr>
            <w:tcW w:w="0" w:type="auto"/>
            <w:tcBorders>
              <w:top w:val="nil"/>
              <w:left w:val="nil"/>
              <w:bottom w:val="single" w:color="auto" w:sz="4" w:space="0"/>
              <w:right w:val="single" w:color="auto" w:sz="4" w:space="0"/>
            </w:tcBorders>
            <w:shd w:val="clear" w:color="auto" w:fill="auto"/>
            <w:vAlign w:val="center"/>
          </w:tcPr>
          <w:p w14:paraId="2F0CEEF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39 </w:t>
            </w:r>
          </w:p>
        </w:tc>
      </w:tr>
      <w:tr w14:paraId="330C04D4">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77302C1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6B37F62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tcBorders>
              <w:top w:val="nil"/>
              <w:left w:val="nil"/>
              <w:bottom w:val="single" w:color="auto" w:sz="4" w:space="0"/>
              <w:right w:val="single" w:color="auto" w:sz="4" w:space="0"/>
            </w:tcBorders>
            <w:shd w:val="clear" w:color="auto" w:fill="auto"/>
            <w:vAlign w:val="center"/>
          </w:tcPr>
          <w:p w14:paraId="189E48C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1559" w:type="dxa"/>
            <w:tcBorders>
              <w:top w:val="nil"/>
              <w:left w:val="nil"/>
              <w:bottom w:val="single" w:color="auto" w:sz="4" w:space="0"/>
              <w:right w:val="single" w:color="auto" w:sz="4" w:space="0"/>
            </w:tcBorders>
            <w:shd w:val="clear" w:color="auto" w:fill="auto"/>
            <w:vAlign w:val="center"/>
          </w:tcPr>
          <w:p w14:paraId="1476293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1276" w:type="dxa"/>
            <w:tcBorders>
              <w:top w:val="nil"/>
              <w:left w:val="nil"/>
              <w:bottom w:val="single" w:color="auto" w:sz="4" w:space="0"/>
              <w:right w:val="single" w:color="auto" w:sz="4" w:space="0"/>
            </w:tcBorders>
            <w:shd w:val="clear" w:color="auto" w:fill="auto"/>
            <w:vAlign w:val="center"/>
          </w:tcPr>
          <w:p w14:paraId="0124872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294" w:type="dxa"/>
            <w:tcBorders>
              <w:top w:val="nil"/>
              <w:left w:val="nil"/>
              <w:bottom w:val="single" w:color="auto" w:sz="4" w:space="0"/>
              <w:right w:val="single" w:color="auto" w:sz="4" w:space="0"/>
            </w:tcBorders>
            <w:shd w:val="clear" w:color="auto" w:fill="auto"/>
            <w:vAlign w:val="center"/>
          </w:tcPr>
          <w:p w14:paraId="237732E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1.83</w:t>
            </w:r>
          </w:p>
        </w:tc>
        <w:tc>
          <w:tcPr>
            <w:tcW w:w="1290" w:type="dxa"/>
            <w:tcBorders>
              <w:top w:val="nil"/>
              <w:left w:val="nil"/>
              <w:bottom w:val="single" w:color="auto" w:sz="4" w:space="0"/>
              <w:right w:val="single" w:color="auto" w:sz="4" w:space="0"/>
            </w:tcBorders>
            <w:shd w:val="clear" w:color="auto" w:fill="auto"/>
            <w:vAlign w:val="center"/>
          </w:tcPr>
          <w:p w14:paraId="4A10921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5518 </w:t>
            </w:r>
          </w:p>
        </w:tc>
        <w:tc>
          <w:tcPr>
            <w:tcW w:w="1290" w:type="dxa"/>
            <w:tcBorders>
              <w:top w:val="nil"/>
              <w:left w:val="nil"/>
              <w:bottom w:val="single" w:color="auto" w:sz="4" w:space="0"/>
              <w:right w:val="single" w:color="auto" w:sz="4" w:space="0"/>
            </w:tcBorders>
            <w:shd w:val="clear" w:color="auto" w:fill="auto"/>
            <w:vAlign w:val="center"/>
          </w:tcPr>
          <w:p w14:paraId="53A7276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2112 </w:t>
            </w:r>
          </w:p>
        </w:tc>
        <w:tc>
          <w:tcPr>
            <w:tcW w:w="1036" w:type="dxa"/>
            <w:tcBorders>
              <w:top w:val="nil"/>
              <w:left w:val="nil"/>
              <w:bottom w:val="single" w:color="auto" w:sz="4" w:space="0"/>
              <w:right w:val="single" w:color="auto" w:sz="4" w:space="0"/>
            </w:tcBorders>
            <w:shd w:val="clear" w:color="auto" w:fill="auto"/>
            <w:vAlign w:val="center"/>
          </w:tcPr>
          <w:p w14:paraId="3162B9E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3153CCD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101 </w:t>
            </w:r>
          </w:p>
        </w:tc>
        <w:tc>
          <w:tcPr>
            <w:tcW w:w="1037" w:type="dxa"/>
            <w:tcBorders>
              <w:top w:val="nil"/>
              <w:left w:val="nil"/>
              <w:bottom w:val="single" w:color="auto" w:sz="4" w:space="0"/>
              <w:right w:val="single" w:color="auto" w:sz="4" w:space="0"/>
            </w:tcBorders>
            <w:shd w:val="clear" w:color="auto" w:fill="auto"/>
            <w:vAlign w:val="center"/>
          </w:tcPr>
          <w:p w14:paraId="5580975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39 </w:t>
            </w:r>
          </w:p>
        </w:tc>
        <w:tc>
          <w:tcPr>
            <w:tcW w:w="0" w:type="auto"/>
            <w:tcBorders>
              <w:top w:val="nil"/>
              <w:left w:val="nil"/>
              <w:bottom w:val="single" w:color="auto" w:sz="4" w:space="0"/>
              <w:right w:val="single" w:color="auto" w:sz="4" w:space="0"/>
            </w:tcBorders>
            <w:shd w:val="clear" w:color="auto" w:fill="auto"/>
            <w:vAlign w:val="center"/>
          </w:tcPr>
          <w:p w14:paraId="1F9C095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62 </w:t>
            </w:r>
          </w:p>
        </w:tc>
      </w:tr>
      <w:tr w14:paraId="17C7CDFB">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7A6145C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91" w:type="dxa"/>
            <w:vMerge w:val="continue"/>
            <w:tcBorders>
              <w:top w:val="nil"/>
              <w:left w:val="single" w:color="auto" w:sz="4" w:space="0"/>
              <w:bottom w:val="single" w:color="auto" w:sz="4" w:space="0"/>
              <w:right w:val="single" w:color="auto" w:sz="4" w:space="0"/>
            </w:tcBorders>
            <w:vAlign w:val="center"/>
          </w:tcPr>
          <w:p w14:paraId="0048103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843" w:type="dxa"/>
            <w:tcBorders>
              <w:top w:val="nil"/>
              <w:left w:val="nil"/>
              <w:bottom w:val="single" w:color="auto" w:sz="4" w:space="0"/>
              <w:right w:val="single" w:color="auto" w:sz="4" w:space="0"/>
            </w:tcBorders>
            <w:shd w:val="clear" w:color="auto" w:fill="auto"/>
            <w:vAlign w:val="center"/>
          </w:tcPr>
          <w:p w14:paraId="3FD5A86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陆地水域</w:t>
            </w:r>
          </w:p>
        </w:tc>
        <w:tc>
          <w:tcPr>
            <w:tcW w:w="1559" w:type="dxa"/>
            <w:tcBorders>
              <w:top w:val="nil"/>
              <w:left w:val="nil"/>
              <w:bottom w:val="single" w:color="auto" w:sz="4" w:space="0"/>
              <w:right w:val="single" w:color="auto" w:sz="4" w:space="0"/>
            </w:tcBorders>
            <w:shd w:val="clear" w:color="auto" w:fill="auto"/>
            <w:vAlign w:val="center"/>
          </w:tcPr>
          <w:p w14:paraId="3E40EB7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一般扰动地表</w:t>
            </w:r>
          </w:p>
        </w:tc>
        <w:tc>
          <w:tcPr>
            <w:tcW w:w="1276" w:type="dxa"/>
            <w:tcBorders>
              <w:top w:val="nil"/>
              <w:left w:val="nil"/>
              <w:bottom w:val="single" w:color="auto" w:sz="4" w:space="0"/>
              <w:right w:val="single" w:color="auto" w:sz="4" w:space="0"/>
            </w:tcBorders>
            <w:shd w:val="clear" w:color="auto" w:fill="auto"/>
            <w:vAlign w:val="center"/>
          </w:tcPr>
          <w:p w14:paraId="5BF5448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294" w:type="dxa"/>
            <w:tcBorders>
              <w:top w:val="nil"/>
              <w:left w:val="nil"/>
              <w:bottom w:val="single" w:color="auto" w:sz="4" w:space="0"/>
              <w:right w:val="single" w:color="auto" w:sz="4" w:space="0"/>
            </w:tcBorders>
            <w:shd w:val="clear" w:color="auto" w:fill="auto"/>
            <w:vAlign w:val="center"/>
          </w:tcPr>
          <w:p w14:paraId="3E57FEF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1.1</w:t>
            </w:r>
          </w:p>
        </w:tc>
        <w:tc>
          <w:tcPr>
            <w:tcW w:w="1290" w:type="dxa"/>
            <w:tcBorders>
              <w:top w:val="nil"/>
              <w:left w:val="nil"/>
              <w:bottom w:val="single" w:color="auto" w:sz="4" w:space="0"/>
              <w:right w:val="single" w:color="auto" w:sz="4" w:space="0"/>
            </w:tcBorders>
            <w:shd w:val="clear" w:color="auto" w:fill="auto"/>
            <w:noWrap/>
            <w:vAlign w:val="center"/>
          </w:tcPr>
          <w:p w14:paraId="76A3872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5518 </w:t>
            </w:r>
          </w:p>
        </w:tc>
        <w:tc>
          <w:tcPr>
            <w:tcW w:w="1290" w:type="dxa"/>
            <w:tcBorders>
              <w:top w:val="nil"/>
              <w:left w:val="nil"/>
              <w:bottom w:val="single" w:color="auto" w:sz="4" w:space="0"/>
              <w:right w:val="single" w:color="auto" w:sz="4" w:space="0"/>
            </w:tcBorders>
            <w:shd w:val="clear" w:color="auto" w:fill="auto"/>
            <w:vAlign w:val="center"/>
          </w:tcPr>
          <w:p w14:paraId="220E9AA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2112 </w:t>
            </w:r>
          </w:p>
        </w:tc>
        <w:tc>
          <w:tcPr>
            <w:tcW w:w="1036" w:type="dxa"/>
            <w:tcBorders>
              <w:top w:val="nil"/>
              <w:left w:val="nil"/>
              <w:bottom w:val="single" w:color="auto" w:sz="4" w:space="0"/>
              <w:right w:val="single" w:color="auto" w:sz="4" w:space="0"/>
            </w:tcBorders>
            <w:shd w:val="clear" w:color="auto" w:fill="auto"/>
            <w:vAlign w:val="center"/>
          </w:tcPr>
          <w:p w14:paraId="463523B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1</w:t>
            </w:r>
          </w:p>
        </w:tc>
        <w:tc>
          <w:tcPr>
            <w:tcW w:w="1090" w:type="dxa"/>
            <w:tcBorders>
              <w:top w:val="nil"/>
              <w:left w:val="nil"/>
              <w:bottom w:val="single" w:color="auto" w:sz="4" w:space="0"/>
              <w:right w:val="single" w:color="auto" w:sz="4" w:space="0"/>
            </w:tcBorders>
            <w:shd w:val="clear" w:color="auto" w:fill="auto"/>
            <w:vAlign w:val="center"/>
          </w:tcPr>
          <w:p w14:paraId="657C39A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61 </w:t>
            </w:r>
          </w:p>
        </w:tc>
        <w:tc>
          <w:tcPr>
            <w:tcW w:w="1037" w:type="dxa"/>
            <w:tcBorders>
              <w:top w:val="nil"/>
              <w:left w:val="nil"/>
              <w:bottom w:val="single" w:color="auto" w:sz="4" w:space="0"/>
              <w:right w:val="single" w:color="auto" w:sz="4" w:space="0"/>
            </w:tcBorders>
            <w:shd w:val="clear" w:color="auto" w:fill="auto"/>
            <w:vAlign w:val="center"/>
          </w:tcPr>
          <w:p w14:paraId="4770288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23 </w:t>
            </w:r>
          </w:p>
        </w:tc>
        <w:tc>
          <w:tcPr>
            <w:tcW w:w="0" w:type="auto"/>
            <w:tcBorders>
              <w:top w:val="nil"/>
              <w:left w:val="nil"/>
              <w:bottom w:val="single" w:color="auto" w:sz="4" w:space="0"/>
              <w:right w:val="single" w:color="auto" w:sz="4" w:space="0"/>
            </w:tcBorders>
            <w:shd w:val="clear" w:color="auto" w:fill="auto"/>
            <w:vAlign w:val="center"/>
          </w:tcPr>
          <w:p w14:paraId="4B6C0B5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37 </w:t>
            </w:r>
          </w:p>
        </w:tc>
      </w:tr>
      <w:tr w14:paraId="1C681876">
        <w:tblPrEx>
          <w:tblCellMar>
            <w:top w:w="0" w:type="dxa"/>
            <w:left w:w="108" w:type="dxa"/>
            <w:bottom w:w="0" w:type="dxa"/>
            <w:right w:w="108" w:type="dxa"/>
          </w:tblCellMar>
        </w:tblPrEx>
        <w:trPr>
          <w:trHeight w:val="397" w:hRule="atLeast"/>
        </w:trPr>
        <w:tc>
          <w:tcPr>
            <w:tcW w:w="609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FBB2FA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合计</w:t>
            </w:r>
          </w:p>
        </w:tc>
        <w:tc>
          <w:tcPr>
            <w:tcW w:w="1294" w:type="dxa"/>
            <w:tcBorders>
              <w:top w:val="nil"/>
              <w:left w:val="nil"/>
              <w:bottom w:val="single" w:color="auto" w:sz="4" w:space="0"/>
              <w:right w:val="single" w:color="auto" w:sz="4" w:space="0"/>
            </w:tcBorders>
            <w:shd w:val="clear" w:color="auto" w:fill="auto"/>
            <w:vAlign w:val="center"/>
          </w:tcPr>
          <w:p w14:paraId="0F89943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1267.72</w:t>
            </w:r>
          </w:p>
        </w:tc>
        <w:tc>
          <w:tcPr>
            <w:tcW w:w="1290" w:type="dxa"/>
            <w:tcBorders>
              <w:top w:val="nil"/>
              <w:left w:val="nil"/>
              <w:bottom w:val="single" w:color="auto" w:sz="4" w:space="0"/>
              <w:right w:val="single" w:color="auto" w:sz="4" w:space="0"/>
            </w:tcBorders>
            <w:shd w:val="clear" w:color="auto" w:fill="auto"/>
            <w:noWrap/>
            <w:vAlign w:val="center"/>
          </w:tcPr>
          <w:p w14:paraId="0FE8933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1290" w:type="dxa"/>
            <w:tcBorders>
              <w:top w:val="nil"/>
              <w:left w:val="nil"/>
              <w:bottom w:val="single" w:color="auto" w:sz="4" w:space="0"/>
              <w:right w:val="single" w:color="auto" w:sz="4" w:space="0"/>
            </w:tcBorders>
            <w:shd w:val="clear" w:color="auto" w:fill="auto"/>
            <w:noWrap/>
            <w:vAlign w:val="center"/>
          </w:tcPr>
          <w:p w14:paraId="4177067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1036" w:type="dxa"/>
            <w:tcBorders>
              <w:top w:val="nil"/>
              <w:left w:val="nil"/>
              <w:bottom w:val="single" w:color="auto" w:sz="4" w:space="0"/>
              <w:right w:val="single" w:color="auto" w:sz="4" w:space="0"/>
            </w:tcBorders>
            <w:shd w:val="clear" w:color="auto" w:fill="auto"/>
            <w:noWrap/>
            <w:vAlign w:val="center"/>
          </w:tcPr>
          <w:p w14:paraId="486F804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1090" w:type="dxa"/>
            <w:tcBorders>
              <w:top w:val="nil"/>
              <w:left w:val="nil"/>
              <w:bottom w:val="single" w:color="auto" w:sz="4" w:space="0"/>
              <w:right w:val="single" w:color="auto" w:sz="4" w:space="0"/>
            </w:tcBorders>
            <w:shd w:val="clear" w:color="auto" w:fill="auto"/>
            <w:noWrap/>
            <w:vAlign w:val="center"/>
          </w:tcPr>
          <w:p w14:paraId="7D33A69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139088 </w:t>
            </w:r>
          </w:p>
        </w:tc>
        <w:tc>
          <w:tcPr>
            <w:tcW w:w="1037" w:type="dxa"/>
            <w:tcBorders>
              <w:top w:val="nil"/>
              <w:left w:val="nil"/>
              <w:bottom w:val="single" w:color="auto" w:sz="4" w:space="0"/>
              <w:right w:val="single" w:color="auto" w:sz="4" w:space="0"/>
            </w:tcBorders>
            <w:shd w:val="clear" w:color="auto" w:fill="auto"/>
            <w:noWrap/>
            <w:vAlign w:val="center"/>
          </w:tcPr>
          <w:p w14:paraId="5C5F077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52265 </w:t>
            </w:r>
          </w:p>
        </w:tc>
        <w:tc>
          <w:tcPr>
            <w:tcW w:w="0" w:type="auto"/>
            <w:tcBorders>
              <w:top w:val="nil"/>
              <w:left w:val="nil"/>
              <w:bottom w:val="single" w:color="auto" w:sz="4" w:space="0"/>
              <w:right w:val="single" w:color="auto" w:sz="4" w:space="0"/>
            </w:tcBorders>
            <w:shd w:val="clear" w:color="auto" w:fill="auto"/>
            <w:noWrap/>
            <w:vAlign w:val="center"/>
          </w:tcPr>
          <w:p w14:paraId="7E683AE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sz w:val="20"/>
                <w:szCs w:val="20"/>
              </w:rPr>
              <w:t xml:space="preserve">86823 </w:t>
            </w:r>
          </w:p>
        </w:tc>
      </w:tr>
    </w:tbl>
    <w:p w14:paraId="55837BE9">
      <w:pPr>
        <w:pStyle w:val="44"/>
        <w:rPr>
          <w:color w:val="000000" w:themeColor="text1"/>
          <w14:textFill>
            <w14:solidFill>
              <w14:schemeClr w14:val="tx1"/>
            </w14:solidFill>
          </w14:textFill>
        </w:rPr>
      </w:pPr>
    </w:p>
    <w:p w14:paraId="00115E7E">
      <w:pPr>
        <w:spacing w:line="240" w:lineRule="auto"/>
        <w:ind w:firstLine="0" w:firstLineChars="0"/>
        <w:jc w:val="left"/>
        <w:rPr>
          <w:rFonts w:eastAsia="宋体" w:cs="仿宋"/>
          <w:b/>
          <w:color w:val="000000" w:themeColor="text1"/>
          <w:spacing w:val="4"/>
          <w:szCs w:val="18"/>
          <w:lang w:eastAsia="en-US"/>
          <w14:textFill>
            <w14:solidFill>
              <w14:schemeClr w14:val="tx1"/>
            </w14:solidFill>
          </w14:textFill>
        </w:rPr>
      </w:pPr>
      <w:r>
        <w:rPr>
          <w:color w:val="000000" w:themeColor="text1"/>
          <w14:textFill>
            <w14:solidFill>
              <w14:schemeClr w14:val="tx1"/>
            </w14:solidFill>
          </w14:textFill>
        </w:rPr>
        <w:br w:type="page"/>
      </w:r>
    </w:p>
    <w:p w14:paraId="5CD73B0B">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表4-15                                    包头金山经济开发区自然恢复期</w:t>
      </w:r>
      <w:r>
        <w:rPr>
          <w:rFonts w:hint="eastAsia"/>
          <w:color w:val="000000" w:themeColor="text1"/>
          <w:lang w:eastAsia="zh-CN"/>
          <w14:textFill>
            <w14:solidFill>
              <w14:schemeClr w14:val="tx1"/>
            </w14:solidFill>
          </w14:textFill>
        </w:rPr>
        <w:t>各防治区土壤侵蚀量表</w:t>
      </w:r>
    </w:p>
    <w:tbl>
      <w:tblPr>
        <w:tblStyle w:val="27"/>
        <w:tblW w:w="0" w:type="auto"/>
        <w:tblInd w:w="0" w:type="dxa"/>
        <w:tblLayout w:type="autofit"/>
        <w:tblCellMar>
          <w:top w:w="0" w:type="dxa"/>
          <w:left w:w="108" w:type="dxa"/>
          <w:bottom w:w="0" w:type="dxa"/>
          <w:right w:w="108" w:type="dxa"/>
        </w:tblCellMar>
      </w:tblPr>
      <w:tblGrid>
        <w:gridCol w:w="587"/>
        <w:gridCol w:w="747"/>
        <w:gridCol w:w="962"/>
        <w:gridCol w:w="1517"/>
        <w:gridCol w:w="1511"/>
        <w:gridCol w:w="1276"/>
        <w:gridCol w:w="713"/>
        <w:gridCol w:w="636"/>
        <w:gridCol w:w="636"/>
        <w:gridCol w:w="708"/>
        <w:gridCol w:w="695"/>
        <w:gridCol w:w="1290"/>
        <w:gridCol w:w="850"/>
        <w:gridCol w:w="993"/>
        <w:gridCol w:w="1155"/>
      </w:tblGrid>
      <w:tr w14:paraId="0CC5AA83">
        <w:tblPrEx>
          <w:tblCellMar>
            <w:top w:w="0" w:type="dxa"/>
            <w:left w:w="108" w:type="dxa"/>
            <w:bottom w:w="0" w:type="dxa"/>
            <w:right w:w="108" w:type="dxa"/>
          </w:tblCellMar>
        </w:tblPrEx>
        <w:trPr>
          <w:trHeight w:val="369"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DD4820">
            <w:pPr>
              <w:pStyle w:val="149"/>
            </w:pPr>
            <w:r>
              <w:rPr>
                <w:rFonts w:hint="eastAsia"/>
              </w:rPr>
              <w:t>类型</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FC7FB9">
            <w:pPr>
              <w:pStyle w:val="149"/>
            </w:pPr>
            <w:r>
              <w:rPr>
                <w:rFonts w:hint="eastAsia"/>
              </w:rPr>
              <w:t>一级预测单元</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F8C397">
            <w:pPr>
              <w:pStyle w:val="149"/>
            </w:pPr>
            <w:r>
              <w:rPr>
                <w:rFonts w:hint="eastAsia"/>
              </w:rPr>
              <w:t>二级预测单元</w:t>
            </w:r>
          </w:p>
        </w:tc>
        <w:tc>
          <w:tcPr>
            <w:tcW w:w="15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6D390E">
            <w:pPr>
              <w:pStyle w:val="149"/>
            </w:pPr>
            <w:r>
              <w:rPr>
                <w:rFonts w:hint="eastAsia"/>
              </w:rPr>
              <w:t>三级预测单元</w:t>
            </w:r>
          </w:p>
        </w:tc>
        <w:tc>
          <w:tcPr>
            <w:tcW w:w="15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DFA62E">
            <w:pPr>
              <w:pStyle w:val="149"/>
            </w:pPr>
            <w:r>
              <w:rPr>
                <w:rFonts w:hint="eastAsia"/>
              </w:rPr>
              <w:t>四级预测单元</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73DF3A">
            <w:pPr>
              <w:pStyle w:val="149"/>
            </w:pPr>
            <w:r>
              <w:rPr>
                <w:rFonts w:hint="eastAsia"/>
              </w:rPr>
              <w:t>自然恢复期水土流失面积（</w:t>
            </w:r>
            <w:r>
              <w:t>hm²</w:t>
            </w:r>
            <w:r>
              <w:rPr>
                <w:rFonts w:hint="eastAsia"/>
              </w:rPr>
              <w:t>）</w:t>
            </w:r>
          </w:p>
        </w:tc>
        <w:tc>
          <w:tcPr>
            <w:tcW w:w="3388" w:type="dxa"/>
            <w:gridSpan w:val="5"/>
            <w:tcBorders>
              <w:top w:val="single" w:color="auto" w:sz="4" w:space="0"/>
              <w:left w:val="nil"/>
              <w:bottom w:val="single" w:color="auto" w:sz="4" w:space="0"/>
              <w:right w:val="single" w:color="auto" w:sz="4" w:space="0"/>
            </w:tcBorders>
            <w:shd w:val="clear" w:color="auto" w:fill="auto"/>
            <w:vAlign w:val="center"/>
          </w:tcPr>
          <w:p w14:paraId="1AD3E726">
            <w:pPr>
              <w:pStyle w:val="149"/>
            </w:pPr>
            <w:r>
              <w:rPr>
                <w:rFonts w:hint="eastAsia"/>
              </w:rPr>
              <w:t>扰动后侵蚀模数（</w:t>
            </w:r>
            <w:r>
              <w:t>t/km²·a</w:t>
            </w:r>
            <w:r>
              <w:rPr>
                <w:rFonts w:hint="eastAsia"/>
              </w:rPr>
              <w:t>）</w:t>
            </w:r>
          </w:p>
        </w:tc>
        <w:tc>
          <w:tcPr>
            <w:tcW w:w="12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5F3E2D">
            <w:pPr>
              <w:pStyle w:val="149"/>
            </w:pPr>
            <w:r>
              <w:rPr>
                <w:rFonts w:hint="eastAsia"/>
              </w:rPr>
              <w:t>侵蚀模数</w:t>
            </w:r>
          </w:p>
          <w:p w14:paraId="576A0993">
            <w:pPr>
              <w:pStyle w:val="149"/>
            </w:pPr>
            <w:r>
              <w:rPr>
                <w:rFonts w:hint="eastAsia"/>
              </w:rPr>
              <w:t>背景值（</w:t>
            </w:r>
            <w:r>
              <w:t>t/km²·a</w:t>
            </w:r>
            <w:r>
              <w:rPr>
                <w:rFonts w:hint="eastAsia"/>
              </w:rPr>
              <w:t>）</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EE9E4E">
            <w:pPr>
              <w:pStyle w:val="149"/>
            </w:pPr>
            <w:r>
              <w:rPr>
                <w:rFonts w:hint="eastAsia"/>
              </w:rPr>
              <w:t>水土流失总量（</w:t>
            </w:r>
            <w:r>
              <w:t>t</w:t>
            </w:r>
            <w:r>
              <w:rPr>
                <w:rFonts w:hint="eastAsia"/>
              </w:rPr>
              <w:t>）</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31CD45">
            <w:pPr>
              <w:pStyle w:val="149"/>
            </w:pPr>
            <w:r>
              <w:rPr>
                <w:rFonts w:hint="eastAsia"/>
              </w:rPr>
              <w:t>原地面水土流失量（</w:t>
            </w:r>
            <w:r>
              <w:t>t</w:t>
            </w:r>
            <w:r>
              <w:rPr>
                <w:rFonts w:hint="eastAsia"/>
              </w:rPr>
              <w:t>）</w:t>
            </w:r>
          </w:p>
        </w:tc>
        <w:tc>
          <w:tcPr>
            <w:tcW w:w="11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ADD495">
            <w:pPr>
              <w:pStyle w:val="149"/>
            </w:pPr>
            <w:r>
              <w:rPr>
                <w:rFonts w:hint="eastAsia"/>
              </w:rPr>
              <w:t>新增水土流失量（</w:t>
            </w:r>
            <w:r>
              <w:t>t</w:t>
            </w:r>
            <w:r>
              <w:rPr>
                <w:rFonts w:hint="eastAsia"/>
              </w:rPr>
              <w:t>）</w:t>
            </w:r>
          </w:p>
        </w:tc>
      </w:tr>
      <w:tr w14:paraId="5B23E4B5">
        <w:tblPrEx>
          <w:tblCellMar>
            <w:top w:w="0" w:type="dxa"/>
            <w:left w:w="108" w:type="dxa"/>
            <w:bottom w:w="0" w:type="dxa"/>
            <w:right w:w="108" w:type="dxa"/>
          </w:tblCellMar>
        </w:tblPrEx>
        <w:trPr>
          <w:trHeight w:val="369" w:hRule="atLeast"/>
        </w:trPr>
        <w:tc>
          <w:tcPr>
            <w:tcW w:w="0" w:type="auto"/>
            <w:vMerge w:val="continue"/>
            <w:tcBorders>
              <w:top w:val="single" w:color="auto" w:sz="4" w:space="0"/>
              <w:left w:val="single" w:color="auto" w:sz="4" w:space="0"/>
              <w:bottom w:val="double" w:color="auto" w:sz="4" w:space="0"/>
              <w:right w:val="single" w:color="auto" w:sz="4" w:space="0"/>
            </w:tcBorders>
            <w:vAlign w:val="center"/>
          </w:tcPr>
          <w:p w14:paraId="0BD533AB">
            <w:pPr>
              <w:pStyle w:val="149"/>
            </w:pPr>
          </w:p>
        </w:tc>
        <w:tc>
          <w:tcPr>
            <w:tcW w:w="0" w:type="auto"/>
            <w:vMerge w:val="continue"/>
            <w:tcBorders>
              <w:top w:val="single" w:color="auto" w:sz="4" w:space="0"/>
              <w:left w:val="single" w:color="auto" w:sz="4" w:space="0"/>
              <w:bottom w:val="double" w:color="auto" w:sz="4" w:space="0"/>
              <w:right w:val="single" w:color="auto" w:sz="4" w:space="0"/>
            </w:tcBorders>
            <w:vAlign w:val="center"/>
          </w:tcPr>
          <w:p w14:paraId="5A2E6E13">
            <w:pPr>
              <w:pStyle w:val="149"/>
            </w:pPr>
          </w:p>
        </w:tc>
        <w:tc>
          <w:tcPr>
            <w:tcW w:w="0" w:type="auto"/>
            <w:vMerge w:val="continue"/>
            <w:tcBorders>
              <w:top w:val="single" w:color="auto" w:sz="4" w:space="0"/>
              <w:left w:val="single" w:color="auto" w:sz="4" w:space="0"/>
              <w:bottom w:val="double" w:color="auto" w:sz="4" w:space="0"/>
              <w:right w:val="single" w:color="auto" w:sz="4" w:space="0"/>
            </w:tcBorders>
            <w:vAlign w:val="center"/>
          </w:tcPr>
          <w:p w14:paraId="41A4B42F">
            <w:pPr>
              <w:pStyle w:val="149"/>
            </w:pPr>
          </w:p>
        </w:tc>
        <w:tc>
          <w:tcPr>
            <w:tcW w:w="1517" w:type="dxa"/>
            <w:vMerge w:val="continue"/>
            <w:tcBorders>
              <w:top w:val="single" w:color="auto" w:sz="4" w:space="0"/>
              <w:left w:val="single" w:color="auto" w:sz="4" w:space="0"/>
              <w:bottom w:val="double" w:color="auto" w:sz="4" w:space="0"/>
              <w:right w:val="single" w:color="auto" w:sz="4" w:space="0"/>
            </w:tcBorders>
            <w:vAlign w:val="center"/>
          </w:tcPr>
          <w:p w14:paraId="546D179D">
            <w:pPr>
              <w:pStyle w:val="149"/>
            </w:pPr>
          </w:p>
        </w:tc>
        <w:tc>
          <w:tcPr>
            <w:tcW w:w="1511" w:type="dxa"/>
            <w:vMerge w:val="continue"/>
            <w:tcBorders>
              <w:top w:val="single" w:color="auto" w:sz="4" w:space="0"/>
              <w:left w:val="single" w:color="auto" w:sz="4" w:space="0"/>
              <w:bottom w:val="double" w:color="auto" w:sz="4" w:space="0"/>
              <w:right w:val="single" w:color="auto" w:sz="4" w:space="0"/>
            </w:tcBorders>
            <w:vAlign w:val="center"/>
          </w:tcPr>
          <w:p w14:paraId="76B365D6">
            <w:pPr>
              <w:pStyle w:val="149"/>
            </w:pPr>
          </w:p>
        </w:tc>
        <w:tc>
          <w:tcPr>
            <w:tcW w:w="1276" w:type="dxa"/>
            <w:vMerge w:val="continue"/>
            <w:tcBorders>
              <w:top w:val="single" w:color="auto" w:sz="4" w:space="0"/>
              <w:left w:val="single" w:color="auto" w:sz="4" w:space="0"/>
              <w:bottom w:val="double" w:color="auto" w:sz="4" w:space="0"/>
              <w:right w:val="single" w:color="auto" w:sz="4" w:space="0"/>
            </w:tcBorders>
            <w:vAlign w:val="center"/>
          </w:tcPr>
          <w:p w14:paraId="4C3BF638">
            <w:pPr>
              <w:pStyle w:val="149"/>
            </w:pPr>
          </w:p>
        </w:tc>
        <w:tc>
          <w:tcPr>
            <w:tcW w:w="713" w:type="dxa"/>
            <w:tcBorders>
              <w:top w:val="nil"/>
              <w:left w:val="nil"/>
              <w:bottom w:val="double" w:color="auto" w:sz="4" w:space="0"/>
              <w:right w:val="single" w:color="auto" w:sz="4" w:space="0"/>
            </w:tcBorders>
            <w:shd w:val="clear" w:color="auto" w:fill="auto"/>
            <w:vAlign w:val="center"/>
          </w:tcPr>
          <w:p w14:paraId="3D5A7A2D">
            <w:pPr>
              <w:pStyle w:val="149"/>
            </w:pPr>
            <w:r>
              <w:rPr>
                <w:rFonts w:hint="eastAsia"/>
              </w:rPr>
              <w:t>第一年</w:t>
            </w:r>
          </w:p>
        </w:tc>
        <w:tc>
          <w:tcPr>
            <w:tcW w:w="636" w:type="dxa"/>
            <w:tcBorders>
              <w:top w:val="nil"/>
              <w:left w:val="nil"/>
              <w:bottom w:val="double" w:color="auto" w:sz="4" w:space="0"/>
              <w:right w:val="single" w:color="auto" w:sz="4" w:space="0"/>
            </w:tcBorders>
            <w:shd w:val="clear" w:color="auto" w:fill="auto"/>
            <w:vAlign w:val="center"/>
          </w:tcPr>
          <w:p w14:paraId="5C29F778">
            <w:pPr>
              <w:pStyle w:val="149"/>
            </w:pPr>
            <w:r>
              <w:rPr>
                <w:rFonts w:hint="eastAsia"/>
              </w:rPr>
              <w:t>第二年</w:t>
            </w:r>
          </w:p>
        </w:tc>
        <w:tc>
          <w:tcPr>
            <w:tcW w:w="636" w:type="dxa"/>
            <w:tcBorders>
              <w:top w:val="nil"/>
              <w:left w:val="nil"/>
              <w:bottom w:val="double" w:color="auto" w:sz="4" w:space="0"/>
              <w:right w:val="single" w:color="auto" w:sz="4" w:space="0"/>
            </w:tcBorders>
            <w:shd w:val="clear" w:color="auto" w:fill="auto"/>
            <w:vAlign w:val="center"/>
          </w:tcPr>
          <w:p w14:paraId="2836BD3B">
            <w:pPr>
              <w:pStyle w:val="149"/>
            </w:pPr>
            <w:r>
              <w:rPr>
                <w:rFonts w:hint="eastAsia"/>
              </w:rPr>
              <w:t>第三年</w:t>
            </w:r>
          </w:p>
        </w:tc>
        <w:tc>
          <w:tcPr>
            <w:tcW w:w="708" w:type="dxa"/>
            <w:tcBorders>
              <w:top w:val="nil"/>
              <w:left w:val="nil"/>
              <w:bottom w:val="double" w:color="auto" w:sz="4" w:space="0"/>
              <w:right w:val="single" w:color="auto" w:sz="4" w:space="0"/>
            </w:tcBorders>
            <w:shd w:val="clear" w:color="auto" w:fill="auto"/>
            <w:vAlign w:val="center"/>
          </w:tcPr>
          <w:p w14:paraId="4672485E">
            <w:pPr>
              <w:pStyle w:val="149"/>
            </w:pPr>
            <w:r>
              <w:rPr>
                <w:rFonts w:hint="eastAsia"/>
              </w:rPr>
              <w:t>第四年</w:t>
            </w:r>
          </w:p>
        </w:tc>
        <w:tc>
          <w:tcPr>
            <w:tcW w:w="695" w:type="dxa"/>
            <w:tcBorders>
              <w:top w:val="nil"/>
              <w:left w:val="nil"/>
              <w:bottom w:val="double" w:color="auto" w:sz="4" w:space="0"/>
              <w:right w:val="single" w:color="auto" w:sz="4" w:space="0"/>
            </w:tcBorders>
            <w:shd w:val="clear" w:color="auto" w:fill="auto"/>
            <w:vAlign w:val="center"/>
          </w:tcPr>
          <w:p w14:paraId="74049707">
            <w:pPr>
              <w:pStyle w:val="149"/>
            </w:pPr>
            <w:r>
              <w:rPr>
                <w:rFonts w:hint="eastAsia"/>
              </w:rPr>
              <w:t>第五年</w:t>
            </w:r>
          </w:p>
        </w:tc>
        <w:tc>
          <w:tcPr>
            <w:tcW w:w="1290" w:type="dxa"/>
            <w:vMerge w:val="continue"/>
            <w:tcBorders>
              <w:top w:val="single" w:color="auto" w:sz="4" w:space="0"/>
              <w:left w:val="single" w:color="auto" w:sz="4" w:space="0"/>
              <w:bottom w:val="double" w:color="auto" w:sz="4" w:space="0"/>
              <w:right w:val="single" w:color="auto" w:sz="4" w:space="0"/>
            </w:tcBorders>
            <w:vAlign w:val="center"/>
          </w:tcPr>
          <w:p w14:paraId="274BF24F">
            <w:pPr>
              <w:pStyle w:val="149"/>
            </w:pPr>
          </w:p>
        </w:tc>
        <w:tc>
          <w:tcPr>
            <w:tcW w:w="850" w:type="dxa"/>
            <w:vMerge w:val="continue"/>
            <w:tcBorders>
              <w:top w:val="single" w:color="auto" w:sz="4" w:space="0"/>
              <w:left w:val="single" w:color="auto" w:sz="4" w:space="0"/>
              <w:bottom w:val="double" w:color="auto" w:sz="4" w:space="0"/>
              <w:right w:val="single" w:color="auto" w:sz="4" w:space="0"/>
            </w:tcBorders>
            <w:vAlign w:val="center"/>
          </w:tcPr>
          <w:p w14:paraId="7C87B216">
            <w:pPr>
              <w:pStyle w:val="149"/>
            </w:pPr>
          </w:p>
        </w:tc>
        <w:tc>
          <w:tcPr>
            <w:tcW w:w="993" w:type="dxa"/>
            <w:vMerge w:val="continue"/>
            <w:tcBorders>
              <w:top w:val="single" w:color="auto" w:sz="4" w:space="0"/>
              <w:left w:val="single" w:color="auto" w:sz="4" w:space="0"/>
              <w:bottom w:val="double" w:color="auto" w:sz="4" w:space="0"/>
              <w:right w:val="single" w:color="auto" w:sz="4" w:space="0"/>
            </w:tcBorders>
            <w:vAlign w:val="center"/>
          </w:tcPr>
          <w:p w14:paraId="19FD0404">
            <w:pPr>
              <w:pStyle w:val="149"/>
            </w:pPr>
          </w:p>
        </w:tc>
        <w:tc>
          <w:tcPr>
            <w:tcW w:w="1155" w:type="dxa"/>
            <w:vMerge w:val="continue"/>
            <w:tcBorders>
              <w:top w:val="single" w:color="auto" w:sz="4" w:space="0"/>
              <w:left w:val="single" w:color="auto" w:sz="4" w:space="0"/>
              <w:bottom w:val="double" w:color="auto" w:sz="4" w:space="0"/>
              <w:right w:val="single" w:color="auto" w:sz="4" w:space="0"/>
            </w:tcBorders>
            <w:vAlign w:val="center"/>
          </w:tcPr>
          <w:p w14:paraId="73EA81E2">
            <w:pPr>
              <w:pStyle w:val="149"/>
            </w:pPr>
          </w:p>
        </w:tc>
      </w:tr>
      <w:tr w14:paraId="278C46B4">
        <w:tblPrEx>
          <w:tblCellMar>
            <w:top w:w="0" w:type="dxa"/>
            <w:left w:w="108" w:type="dxa"/>
            <w:bottom w:w="0" w:type="dxa"/>
            <w:right w:w="108" w:type="dxa"/>
          </w:tblCellMar>
        </w:tblPrEx>
        <w:trPr>
          <w:trHeight w:val="369" w:hRule="atLeast"/>
        </w:trPr>
        <w:tc>
          <w:tcPr>
            <w:tcW w:w="0" w:type="auto"/>
            <w:vMerge w:val="restart"/>
            <w:tcBorders>
              <w:top w:val="double" w:color="auto" w:sz="4" w:space="0"/>
              <w:left w:val="single" w:color="auto" w:sz="4" w:space="0"/>
              <w:bottom w:val="single" w:color="000000" w:sz="4" w:space="0"/>
              <w:right w:val="single" w:color="auto" w:sz="4" w:space="0"/>
            </w:tcBorders>
            <w:shd w:val="clear" w:color="auto" w:fill="auto"/>
            <w:vAlign w:val="center"/>
          </w:tcPr>
          <w:p w14:paraId="70ADAB7D">
            <w:pPr>
              <w:pStyle w:val="149"/>
            </w:pPr>
            <w:r>
              <w:rPr>
                <w:rFonts w:hint="eastAsia"/>
              </w:rPr>
              <w:t>水力侵蚀</w:t>
            </w:r>
          </w:p>
        </w:tc>
        <w:tc>
          <w:tcPr>
            <w:tcW w:w="0" w:type="auto"/>
            <w:vMerge w:val="restart"/>
            <w:tcBorders>
              <w:top w:val="double" w:color="auto" w:sz="4" w:space="0"/>
              <w:left w:val="single" w:color="auto" w:sz="4" w:space="0"/>
              <w:bottom w:val="single" w:color="000000" w:sz="4" w:space="0"/>
              <w:right w:val="single" w:color="auto" w:sz="4" w:space="0"/>
            </w:tcBorders>
            <w:shd w:val="clear" w:color="auto" w:fill="auto"/>
            <w:vAlign w:val="center"/>
          </w:tcPr>
          <w:p w14:paraId="2B32A7D7">
            <w:pPr>
              <w:pStyle w:val="149"/>
            </w:pPr>
            <w:r>
              <w:rPr>
                <w:rFonts w:hint="eastAsia"/>
              </w:rPr>
              <w:t>金山产业园北区</w:t>
            </w:r>
          </w:p>
        </w:tc>
        <w:tc>
          <w:tcPr>
            <w:tcW w:w="0" w:type="auto"/>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76EA976A">
            <w:pPr>
              <w:pStyle w:val="149"/>
            </w:pPr>
            <w:r>
              <w:rPr>
                <w:rFonts w:hint="eastAsia"/>
              </w:rPr>
              <w:t>公共管理与公共服务用地</w:t>
            </w:r>
          </w:p>
        </w:tc>
        <w:tc>
          <w:tcPr>
            <w:tcW w:w="1517" w:type="dxa"/>
            <w:tcBorders>
              <w:top w:val="double" w:color="auto" w:sz="4" w:space="0"/>
              <w:left w:val="nil"/>
              <w:bottom w:val="single" w:color="auto" w:sz="4" w:space="0"/>
              <w:right w:val="single" w:color="auto" w:sz="4" w:space="0"/>
            </w:tcBorders>
            <w:shd w:val="clear" w:color="auto" w:fill="auto"/>
            <w:vAlign w:val="center"/>
          </w:tcPr>
          <w:p w14:paraId="336E941D">
            <w:pPr>
              <w:pStyle w:val="149"/>
            </w:pPr>
            <w:r>
              <w:rPr>
                <w:rFonts w:hint="eastAsia"/>
              </w:rPr>
              <w:t>一般扰动地表</w:t>
            </w:r>
          </w:p>
        </w:tc>
        <w:tc>
          <w:tcPr>
            <w:tcW w:w="1511" w:type="dxa"/>
            <w:tcBorders>
              <w:top w:val="double" w:color="auto" w:sz="4" w:space="0"/>
              <w:left w:val="nil"/>
              <w:bottom w:val="single" w:color="auto" w:sz="4" w:space="0"/>
              <w:right w:val="single" w:color="auto" w:sz="4" w:space="0"/>
            </w:tcBorders>
            <w:shd w:val="clear" w:color="auto" w:fill="auto"/>
            <w:vAlign w:val="center"/>
          </w:tcPr>
          <w:p w14:paraId="3B94ADAD">
            <w:pPr>
              <w:pStyle w:val="149"/>
            </w:pPr>
            <w:r>
              <w:rPr>
                <w:rFonts w:hint="eastAsia"/>
              </w:rPr>
              <w:t>地表翻扰型</w:t>
            </w:r>
          </w:p>
        </w:tc>
        <w:tc>
          <w:tcPr>
            <w:tcW w:w="1276"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2A8B7296">
            <w:pPr>
              <w:pStyle w:val="149"/>
            </w:pPr>
            <w:r>
              <w:t xml:space="preserve">0.37 </w:t>
            </w:r>
          </w:p>
        </w:tc>
        <w:tc>
          <w:tcPr>
            <w:tcW w:w="713"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70651281">
            <w:pPr>
              <w:pStyle w:val="149"/>
            </w:pPr>
            <w:r>
              <w:t xml:space="preserve">2713 </w:t>
            </w:r>
          </w:p>
        </w:tc>
        <w:tc>
          <w:tcPr>
            <w:tcW w:w="636"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0342A76E">
            <w:pPr>
              <w:pStyle w:val="149"/>
            </w:pPr>
            <w:r>
              <w:t xml:space="preserve">1853 </w:t>
            </w:r>
          </w:p>
        </w:tc>
        <w:tc>
          <w:tcPr>
            <w:tcW w:w="636"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23B0A854">
            <w:pPr>
              <w:pStyle w:val="149"/>
            </w:pPr>
            <w:r>
              <w:t xml:space="preserve">1187 </w:t>
            </w:r>
          </w:p>
        </w:tc>
        <w:tc>
          <w:tcPr>
            <w:tcW w:w="708"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6670B8A5">
            <w:pPr>
              <w:pStyle w:val="149"/>
            </w:pPr>
            <w:r>
              <w:t xml:space="preserve">891 </w:t>
            </w:r>
          </w:p>
        </w:tc>
        <w:tc>
          <w:tcPr>
            <w:tcW w:w="695"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0D854FAD">
            <w:pPr>
              <w:pStyle w:val="149"/>
            </w:pPr>
            <w:r>
              <w:t xml:space="preserve">609 </w:t>
            </w:r>
          </w:p>
        </w:tc>
        <w:tc>
          <w:tcPr>
            <w:tcW w:w="1290"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073CAFFF">
            <w:pPr>
              <w:pStyle w:val="149"/>
            </w:pPr>
            <w:r>
              <w:t xml:space="preserve">737 </w:t>
            </w:r>
          </w:p>
        </w:tc>
        <w:tc>
          <w:tcPr>
            <w:tcW w:w="850"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0F05FA0A">
            <w:pPr>
              <w:pStyle w:val="149"/>
            </w:pPr>
            <w:r>
              <w:t xml:space="preserve">27 </w:t>
            </w:r>
          </w:p>
        </w:tc>
        <w:tc>
          <w:tcPr>
            <w:tcW w:w="993"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0977C1ED">
            <w:pPr>
              <w:pStyle w:val="149"/>
            </w:pPr>
            <w:r>
              <w:t xml:space="preserve">14 </w:t>
            </w:r>
          </w:p>
        </w:tc>
        <w:tc>
          <w:tcPr>
            <w:tcW w:w="1155"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47B3F175">
            <w:pPr>
              <w:pStyle w:val="149"/>
            </w:pPr>
            <w:r>
              <w:t xml:space="preserve">13 </w:t>
            </w:r>
          </w:p>
        </w:tc>
      </w:tr>
      <w:tr w14:paraId="1BF8971D">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40D8C946">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2F4BE1B8">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35DA22E0">
            <w:pPr>
              <w:pStyle w:val="149"/>
            </w:pPr>
          </w:p>
        </w:tc>
        <w:tc>
          <w:tcPr>
            <w:tcW w:w="1517" w:type="dxa"/>
            <w:tcBorders>
              <w:top w:val="nil"/>
              <w:left w:val="nil"/>
              <w:bottom w:val="single" w:color="auto" w:sz="4" w:space="0"/>
              <w:right w:val="single" w:color="auto" w:sz="4" w:space="0"/>
            </w:tcBorders>
            <w:shd w:val="clear" w:color="auto" w:fill="auto"/>
            <w:vAlign w:val="center"/>
          </w:tcPr>
          <w:p w14:paraId="61EC9570">
            <w:pPr>
              <w:pStyle w:val="149"/>
            </w:pPr>
            <w:r>
              <w:rPr>
                <w:rFonts w:hint="eastAsia"/>
              </w:rPr>
              <w:t>工程开挖面</w:t>
            </w:r>
          </w:p>
        </w:tc>
        <w:tc>
          <w:tcPr>
            <w:tcW w:w="1511" w:type="dxa"/>
            <w:tcBorders>
              <w:top w:val="nil"/>
              <w:left w:val="nil"/>
              <w:bottom w:val="single" w:color="auto" w:sz="4" w:space="0"/>
              <w:right w:val="single" w:color="auto" w:sz="4" w:space="0"/>
            </w:tcBorders>
            <w:shd w:val="clear" w:color="auto" w:fill="auto"/>
            <w:vAlign w:val="center"/>
          </w:tcPr>
          <w:p w14:paraId="40578D1C">
            <w:pPr>
              <w:pStyle w:val="149"/>
            </w:pPr>
            <w:r>
              <w:rPr>
                <w:rFonts w:hint="eastAsia"/>
              </w:rPr>
              <w:t>上方无来水</w:t>
            </w:r>
          </w:p>
        </w:tc>
        <w:tc>
          <w:tcPr>
            <w:tcW w:w="1276" w:type="dxa"/>
            <w:vMerge w:val="continue"/>
            <w:tcBorders>
              <w:top w:val="nil"/>
              <w:left w:val="single" w:color="auto" w:sz="4" w:space="0"/>
              <w:bottom w:val="single" w:color="auto" w:sz="4" w:space="0"/>
              <w:right w:val="single" w:color="auto" w:sz="4" w:space="0"/>
            </w:tcBorders>
            <w:vAlign w:val="center"/>
          </w:tcPr>
          <w:p w14:paraId="4E1459C0">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4E7B57CA">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6B89C835">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62113B5B">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52864B66">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13BE26D2">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3DFBBD39">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2062A67A">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252A0FA6">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2552C2E5">
            <w:pPr>
              <w:pStyle w:val="149"/>
            </w:pPr>
          </w:p>
        </w:tc>
      </w:tr>
      <w:tr w14:paraId="21A75F56">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4B94C256">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5B9E090D">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4F019F70">
            <w:pPr>
              <w:pStyle w:val="149"/>
            </w:pPr>
          </w:p>
        </w:tc>
        <w:tc>
          <w:tcPr>
            <w:tcW w:w="1517" w:type="dxa"/>
            <w:tcBorders>
              <w:top w:val="nil"/>
              <w:left w:val="nil"/>
              <w:bottom w:val="single" w:color="auto" w:sz="4" w:space="0"/>
              <w:right w:val="single" w:color="auto" w:sz="4" w:space="0"/>
            </w:tcBorders>
            <w:shd w:val="clear" w:color="auto" w:fill="auto"/>
            <w:vAlign w:val="center"/>
          </w:tcPr>
          <w:p w14:paraId="30B21DBC">
            <w:pPr>
              <w:pStyle w:val="149"/>
            </w:pPr>
            <w:r>
              <w:rPr>
                <w:rFonts w:hint="eastAsia"/>
              </w:rPr>
              <w:t>工程堆积体</w:t>
            </w:r>
          </w:p>
        </w:tc>
        <w:tc>
          <w:tcPr>
            <w:tcW w:w="1511" w:type="dxa"/>
            <w:tcBorders>
              <w:top w:val="nil"/>
              <w:left w:val="nil"/>
              <w:bottom w:val="single" w:color="auto" w:sz="4" w:space="0"/>
              <w:right w:val="single" w:color="auto" w:sz="4" w:space="0"/>
            </w:tcBorders>
            <w:shd w:val="clear" w:color="auto" w:fill="auto"/>
            <w:vAlign w:val="center"/>
          </w:tcPr>
          <w:p w14:paraId="3D4BEED0">
            <w:pPr>
              <w:pStyle w:val="149"/>
            </w:pPr>
            <w:r>
              <w:rPr>
                <w:rFonts w:hint="eastAsia"/>
              </w:rPr>
              <w:t>上方无来水</w:t>
            </w:r>
          </w:p>
        </w:tc>
        <w:tc>
          <w:tcPr>
            <w:tcW w:w="1276" w:type="dxa"/>
            <w:vMerge w:val="continue"/>
            <w:tcBorders>
              <w:top w:val="nil"/>
              <w:left w:val="single" w:color="auto" w:sz="4" w:space="0"/>
              <w:bottom w:val="single" w:color="auto" w:sz="4" w:space="0"/>
              <w:right w:val="single" w:color="auto" w:sz="4" w:space="0"/>
            </w:tcBorders>
            <w:vAlign w:val="center"/>
          </w:tcPr>
          <w:p w14:paraId="484FECCE">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6ED9E335">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098D470B">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6D5A680B">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306085D9">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38230430">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2359462C">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67BC90E5">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0A3B6BD6">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08D75759">
            <w:pPr>
              <w:pStyle w:val="149"/>
            </w:pPr>
          </w:p>
        </w:tc>
      </w:tr>
      <w:tr w14:paraId="161D4774">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11876385">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1FD9AE95">
            <w:pPr>
              <w:pStyle w:val="149"/>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768D4DF1">
            <w:pPr>
              <w:pStyle w:val="149"/>
            </w:pPr>
            <w:r>
              <w:rPr>
                <w:rFonts w:hint="eastAsia"/>
              </w:rPr>
              <w:t>商业服务业用地</w:t>
            </w:r>
          </w:p>
        </w:tc>
        <w:tc>
          <w:tcPr>
            <w:tcW w:w="1517" w:type="dxa"/>
            <w:tcBorders>
              <w:top w:val="nil"/>
              <w:left w:val="nil"/>
              <w:bottom w:val="single" w:color="auto" w:sz="4" w:space="0"/>
              <w:right w:val="single" w:color="auto" w:sz="4" w:space="0"/>
            </w:tcBorders>
            <w:shd w:val="clear" w:color="auto" w:fill="auto"/>
            <w:vAlign w:val="center"/>
          </w:tcPr>
          <w:p w14:paraId="64FCAB1F">
            <w:pPr>
              <w:pStyle w:val="149"/>
            </w:pPr>
            <w:r>
              <w:rPr>
                <w:rFonts w:hint="eastAsia"/>
              </w:rPr>
              <w:t>一般扰动地表</w:t>
            </w:r>
          </w:p>
        </w:tc>
        <w:tc>
          <w:tcPr>
            <w:tcW w:w="1511" w:type="dxa"/>
            <w:tcBorders>
              <w:top w:val="nil"/>
              <w:left w:val="nil"/>
              <w:bottom w:val="single" w:color="auto" w:sz="4" w:space="0"/>
              <w:right w:val="single" w:color="auto" w:sz="4" w:space="0"/>
            </w:tcBorders>
            <w:shd w:val="clear" w:color="auto" w:fill="auto"/>
            <w:vAlign w:val="center"/>
          </w:tcPr>
          <w:p w14:paraId="7E3A3973">
            <w:pPr>
              <w:pStyle w:val="149"/>
            </w:pPr>
            <w:r>
              <w:rPr>
                <w:rFonts w:hint="eastAsia"/>
              </w:rPr>
              <w:t>地表翻扰型</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0FD16D05">
            <w:pPr>
              <w:pStyle w:val="149"/>
            </w:pPr>
            <w:r>
              <w:t xml:space="preserve">1.53 </w:t>
            </w:r>
          </w:p>
        </w:tc>
        <w:tc>
          <w:tcPr>
            <w:tcW w:w="713" w:type="dxa"/>
            <w:vMerge w:val="restart"/>
            <w:tcBorders>
              <w:top w:val="nil"/>
              <w:left w:val="single" w:color="auto" w:sz="4" w:space="0"/>
              <w:bottom w:val="single" w:color="auto" w:sz="4" w:space="0"/>
              <w:right w:val="single" w:color="auto" w:sz="4" w:space="0"/>
            </w:tcBorders>
            <w:shd w:val="clear" w:color="auto" w:fill="auto"/>
            <w:vAlign w:val="center"/>
          </w:tcPr>
          <w:p w14:paraId="10124884">
            <w:pPr>
              <w:pStyle w:val="149"/>
            </w:pPr>
            <w:r>
              <w:t xml:space="preserve">2713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73679B68">
            <w:pPr>
              <w:pStyle w:val="149"/>
            </w:pPr>
            <w:r>
              <w:t xml:space="preserve">1853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3F6F7D82">
            <w:pPr>
              <w:pStyle w:val="149"/>
            </w:pPr>
            <w:r>
              <w:t xml:space="preserve">1187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380DF641">
            <w:pPr>
              <w:pStyle w:val="149"/>
            </w:pPr>
            <w:r>
              <w:t xml:space="preserve">891 </w:t>
            </w:r>
          </w:p>
        </w:tc>
        <w:tc>
          <w:tcPr>
            <w:tcW w:w="695" w:type="dxa"/>
            <w:vMerge w:val="restart"/>
            <w:tcBorders>
              <w:top w:val="nil"/>
              <w:left w:val="single" w:color="auto" w:sz="4" w:space="0"/>
              <w:bottom w:val="single" w:color="auto" w:sz="4" w:space="0"/>
              <w:right w:val="single" w:color="auto" w:sz="4" w:space="0"/>
            </w:tcBorders>
            <w:shd w:val="clear" w:color="auto" w:fill="auto"/>
            <w:vAlign w:val="center"/>
          </w:tcPr>
          <w:p w14:paraId="0934F2E1">
            <w:pPr>
              <w:pStyle w:val="149"/>
            </w:pPr>
            <w:r>
              <w:t xml:space="preserve">609 </w:t>
            </w:r>
          </w:p>
        </w:tc>
        <w:tc>
          <w:tcPr>
            <w:tcW w:w="1290" w:type="dxa"/>
            <w:vMerge w:val="restart"/>
            <w:tcBorders>
              <w:top w:val="nil"/>
              <w:left w:val="single" w:color="auto" w:sz="4" w:space="0"/>
              <w:bottom w:val="single" w:color="auto" w:sz="4" w:space="0"/>
              <w:right w:val="single" w:color="auto" w:sz="4" w:space="0"/>
            </w:tcBorders>
            <w:shd w:val="clear" w:color="auto" w:fill="auto"/>
            <w:vAlign w:val="center"/>
          </w:tcPr>
          <w:p w14:paraId="40C2916A">
            <w:pPr>
              <w:pStyle w:val="149"/>
            </w:pPr>
            <w:r>
              <w:t xml:space="preserve">737 </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14:paraId="741AB182">
            <w:pPr>
              <w:pStyle w:val="149"/>
            </w:pPr>
            <w:r>
              <w:t xml:space="preserve">111 </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5C21BC59">
            <w:pPr>
              <w:pStyle w:val="149"/>
            </w:pPr>
            <w:r>
              <w:t xml:space="preserve">56 </w:t>
            </w:r>
          </w:p>
        </w:tc>
        <w:tc>
          <w:tcPr>
            <w:tcW w:w="1155" w:type="dxa"/>
            <w:vMerge w:val="restart"/>
            <w:tcBorders>
              <w:top w:val="nil"/>
              <w:left w:val="single" w:color="auto" w:sz="4" w:space="0"/>
              <w:bottom w:val="single" w:color="auto" w:sz="4" w:space="0"/>
              <w:right w:val="single" w:color="auto" w:sz="4" w:space="0"/>
            </w:tcBorders>
            <w:shd w:val="clear" w:color="auto" w:fill="auto"/>
            <w:vAlign w:val="center"/>
          </w:tcPr>
          <w:p w14:paraId="482A84E6">
            <w:pPr>
              <w:pStyle w:val="149"/>
            </w:pPr>
            <w:r>
              <w:t xml:space="preserve">55 </w:t>
            </w:r>
          </w:p>
        </w:tc>
      </w:tr>
      <w:tr w14:paraId="45E678A3">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767B502F">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590725CA">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5C415364">
            <w:pPr>
              <w:pStyle w:val="149"/>
            </w:pPr>
          </w:p>
        </w:tc>
        <w:tc>
          <w:tcPr>
            <w:tcW w:w="1517" w:type="dxa"/>
            <w:tcBorders>
              <w:top w:val="nil"/>
              <w:left w:val="nil"/>
              <w:bottom w:val="single" w:color="auto" w:sz="4" w:space="0"/>
              <w:right w:val="single" w:color="auto" w:sz="4" w:space="0"/>
            </w:tcBorders>
            <w:shd w:val="clear" w:color="auto" w:fill="auto"/>
            <w:vAlign w:val="center"/>
          </w:tcPr>
          <w:p w14:paraId="2215EB1A">
            <w:pPr>
              <w:pStyle w:val="149"/>
            </w:pPr>
            <w:r>
              <w:rPr>
                <w:rFonts w:hint="eastAsia"/>
              </w:rPr>
              <w:t>工程开挖面</w:t>
            </w:r>
          </w:p>
        </w:tc>
        <w:tc>
          <w:tcPr>
            <w:tcW w:w="1511" w:type="dxa"/>
            <w:tcBorders>
              <w:top w:val="nil"/>
              <w:left w:val="nil"/>
              <w:bottom w:val="single" w:color="auto" w:sz="4" w:space="0"/>
              <w:right w:val="single" w:color="auto" w:sz="4" w:space="0"/>
            </w:tcBorders>
            <w:shd w:val="clear" w:color="auto" w:fill="auto"/>
            <w:vAlign w:val="center"/>
          </w:tcPr>
          <w:p w14:paraId="779AD4C6">
            <w:pPr>
              <w:pStyle w:val="149"/>
            </w:pPr>
            <w:r>
              <w:rPr>
                <w:rFonts w:hint="eastAsia"/>
              </w:rPr>
              <w:t>上方无来水</w:t>
            </w:r>
          </w:p>
        </w:tc>
        <w:tc>
          <w:tcPr>
            <w:tcW w:w="1276" w:type="dxa"/>
            <w:vMerge w:val="continue"/>
            <w:tcBorders>
              <w:top w:val="nil"/>
              <w:left w:val="single" w:color="auto" w:sz="4" w:space="0"/>
              <w:bottom w:val="single" w:color="auto" w:sz="4" w:space="0"/>
              <w:right w:val="single" w:color="auto" w:sz="4" w:space="0"/>
            </w:tcBorders>
            <w:vAlign w:val="center"/>
          </w:tcPr>
          <w:p w14:paraId="74490C5F">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404C9095">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588D6D00">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3B99A792">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59DB7267">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4E6BC791">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75C0F4AB">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272DED42">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3A718E7C">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619D220B">
            <w:pPr>
              <w:pStyle w:val="149"/>
            </w:pPr>
          </w:p>
        </w:tc>
      </w:tr>
      <w:tr w14:paraId="3AEE550B">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5A20B8E2">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797E7124">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1098FFB8">
            <w:pPr>
              <w:pStyle w:val="149"/>
            </w:pPr>
          </w:p>
        </w:tc>
        <w:tc>
          <w:tcPr>
            <w:tcW w:w="1517" w:type="dxa"/>
            <w:tcBorders>
              <w:top w:val="nil"/>
              <w:left w:val="nil"/>
              <w:bottom w:val="single" w:color="auto" w:sz="4" w:space="0"/>
              <w:right w:val="single" w:color="auto" w:sz="4" w:space="0"/>
            </w:tcBorders>
            <w:shd w:val="clear" w:color="auto" w:fill="auto"/>
            <w:vAlign w:val="center"/>
          </w:tcPr>
          <w:p w14:paraId="5221CB2F">
            <w:pPr>
              <w:pStyle w:val="149"/>
            </w:pPr>
            <w:r>
              <w:rPr>
                <w:rFonts w:hint="eastAsia"/>
              </w:rPr>
              <w:t>工程堆积体</w:t>
            </w:r>
          </w:p>
        </w:tc>
        <w:tc>
          <w:tcPr>
            <w:tcW w:w="1511" w:type="dxa"/>
            <w:tcBorders>
              <w:top w:val="nil"/>
              <w:left w:val="nil"/>
              <w:bottom w:val="single" w:color="auto" w:sz="4" w:space="0"/>
              <w:right w:val="single" w:color="auto" w:sz="4" w:space="0"/>
            </w:tcBorders>
            <w:shd w:val="clear" w:color="auto" w:fill="auto"/>
            <w:vAlign w:val="center"/>
          </w:tcPr>
          <w:p w14:paraId="39B31EE7">
            <w:pPr>
              <w:pStyle w:val="149"/>
            </w:pPr>
            <w:r>
              <w:rPr>
                <w:rFonts w:hint="eastAsia"/>
              </w:rPr>
              <w:t>上方无来水</w:t>
            </w:r>
          </w:p>
        </w:tc>
        <w:tc>
          <w:tcPr>
            <w:tcW w:w="1276" w:type="dxa"/>
            <w:vMerge w:val="continue"/>
            <w:tcBorders>
              <w:top w:val="nil"/>
              <w:left w:val="single" w:color="auto" w:sz="4" w:space="0"/>
              <w:bottom w:val="single" w:color="auto" w:sz="4" w:space="0"/>
              <w:right w:val="single" w:color="auto" w:sz="4" w:space="0"/>
            </w:tcBorders>
            <w:vAlign w:val="center"/>
          </w:tcPr>
          <w:p w14:paraId="72CC4ECB">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2904E647">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62E22811">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51B12EF6">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5693992B">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08D3DD7C">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204EB48C">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1E2B7E47">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3D17AFBA">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499D450B">
            <w:pPr>
              <w:pStyle w:val="149"/>
            </w:pPr>
          </w:p>
        </w:tc>
      </w:tr>
      <w:tr w14:paraId="7230CFC5">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003D098F">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48F3BD78">
            <w:pPr>
              <w:pStyle w:val="149"/>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191453CE">
            <w:pPr>
              <w:pStyle w:val="149"/>
            </w:pPr>
            <w:r>
              <w:rPr>
                <w:rFonts w:hint="eastAsia"/>
              </w:rPr>
              <w:t>工矿用地</w:t>
            </w:r>
          </w:p>
        </w:tc>
        <w:tc>
          <w:tcPr>
            <w:tcW w:w="1517" w:type="dxa"/>
            <w:tcBorders>
              <w:top w:val="nil"/>
              <w:left w:val="nil"/>
              <w:bottom w:val="single" w:color="auto" w:sz="4" w:space="0"/>
              <w:right w:val="single" w:color="auto" w:sz="4" w:space="0"/>
            </w:tcBorders>
            <w:shd w:val="clear" w:color="auto" w:fill="auto"/>
            <w:vAlign w:val="center"/>
          </w:tcPr>
          <w:p w14:paraId="7B91E0DC">
            <w:pPr>
              <w:pStyle w:val="149"/>
            </w:pPr>
            <w:r>
              <w:rPr>
                <w:rFonts w:hint="eastAsia"/>
              </w:rPr>
              <w:t>一般扰动地表</w:t>
            </w:r>
          </w:p>
        </w:tc>
        <w:tc>
          <w:tcPr>
            <w:tcW w:w="1511" w:type="dxa"/>
            <w:tcBorders>
              <w:top w:val="nil"/>
              <w:left w:val="nil"/>
              <w:bottom w:val="single" w:color="auto" w:sz="4" w:space="0"/>
              <w:right w:val="single" w:color="auto" w:sz="4" w:space="0"/>
            </w:tcBorders>
            <w:shd w:val="clear" w:color="auto" w:fill="auto"/>
            <w:vAlign w:val="center"/>
          </w:tcPr>
          <w:p w14:paraId="186294E0">
            <w:pPr>
              <w:pStyle w:val="149"/>
            </w:pPr>
            <w:r>
              <w:rPr>
                <w:rFonts w:hint="eastAsia"/>
              </w:rPr>
              <w:t>地表翻扰型</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18DB34A5">
            <w:pPr>
              <w:pStyle w:val="149"/>
            </w:pPr>
            <w:r>
              <w:t xml:space="preserve">200.86 </w:t>
            </w:r>
          </w:p>
        </w:tc>
        <w:tc>
          <w:tcPr>
            <w:tcW w:w="713" w:type="dxa"/>
            <w:vMerge w:val="restart"/>
            <w:tcBorders>
              <w:top w:val="nil"/>
              <w:left w:val="single" w:color="auto" w:sz="4" w:space="0"/>
              <w:bottom w:val="single" w:color="auto" w:sz="4" w:space="0"/>
              <w:right w:val="single" w:color="auto" w:sz="4" w:space="0"/>
            </w:tcBorders>
            <w:shd w:val="clear" w:color="auto" w:fill="auto"/>
            <w:vAlign w:val="center"/>
          </w:tcPr>
          <w:p w14:paraId="3F22A087">
            <w:pPr>
              <w:pStyle w:val="149"/>
            </w:pPr>
            <w:r>
              <w:t xml:space="preserve">2713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3215A325">
            <w:pPr>
              <w:pStyle w:val="149"/>
            </w:pPr>
            <w:r>
              <w:t xml:space="preserve">1853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7691E2E1">
            <w:pPr>
              <w:pStyle w:val="149"/>
            </w:pPr>
            <w:r>
              <w:t xml:space="preserve">1187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40BE9791">
            <w:pPr>
              <w:pStyle w:val="149"/>
            </w:pPr>
            <w:r>
              <w:t xml:space="preserve">891 </w:t>
            </w:r>
          </w:p>
        </w:tc>
        <w:tc>
          <w:tcPr>
            <w:tcW w:w="695" w:type="dxa"/>
            <w:vMerge w:val="restart"/>
            <w:tcBorders>
              <w:top w:val="nil"/>
              <w:left w:val="single" w:color="auto" w:sz="4" w:space="0"/>
              <w:bottom w:val="single" w:color="auto" w:sz="4" w:space="0"/>
              <w:right w:val="single" w:color="auto" w:sz="4" w:space="0"/>
            </w:tcBorders>
            <w:shd w:val="clear" w:color="auto" w:fill="auto"/>
            <w:vAlign w:val="center"/>
          </w:tcPr>
          <w:p w14:paraId="221A0E4B">
            <w:pPr>
              <w:pStyle w:val="149"/>
            </w:pPr>
            <w:r>
              <w:t xml:space="preserve">609 </w:t>
            </w:r>
          </w:p>
        </w:tc>
        <w:tc>
          <w:tcPr>
            <w:tcW w:w="1290" w:type="dxa"/>
            <w:vMerge w:val="restart"/>
            <w:tcBorders>
              <w:top w:val="nil"/>
              <w:left w:val="single" w:color="auto" w:sz="4" w:space="0"/>
              <w:bottom w:val="single" w:color="auto" w:sz="4" w:space="0"/>
              <w:right w:val="single" w:color="auto" w:sz="4" w:space="0"/>
            </w:tcBorders>
            <w:shd w:val="clear" w:color="auto" w:fill="auto"/>
            <w:vAlign w:val="center"/>
          </w:tcPr>
          <w:p w14:paraId="3DB0FA66">
            <w:pPr>
              <w:pStyle w:val="149"/>
            </w:pPr>
            <w:r>
              <w:t xml:space="preserve">737 </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14:paraId="5BDA6A55">
            <w:pPr>
              <w:pStyle w:val="149"/>
            </w:pPr>
            <w:r>
              <w:t xml:space="preserve">14569 </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494DC689">
            <w:pPr>
              <w:pStyle w:val="149"/>
            </w:pPr>
            <w:r>
              <w:t xml:space="preserve">7405 </w:t>
            </w:r>
          </w:p>
        </w:tc>
        <w:tc>
          <w:tcPr>
            <w:tcW w:w="1155" w:type="dxa"/>
            <w:vMerge w:val="restart"/>
            <w:tcBorders>
              <w:top w:val="nil"/>
              <w:left w:val="single" w:color="auto" w:sz="4" w:space="0"/>
              <w:bottom w:val="single" w:color="auto" w:sz="4" w:space="0"/>
              <w:right w:val="single" w:color="auto" w:sz="4" w:space="0"/>
            </w:tcBorders>
            <w:shd w:val="clear" w:color="auto" w:fill="auto"/>
            <w:vAlign w:val="center"/>
          </w:tcPr>
          <w:p w14:paraId="48B81930">
            <w:pPr>
              <w:pStyle w:val="149"/>
            </w:pPr>
            <w:r>
              <w:t xml:space="preserve">7164 </w:t>
            </w:r>
          </w:p>
        </w:tc>
      </w:tr>
      <w:tr w14:paraId="4B3C6993">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693DEA73">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7BBC4F01">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2EEA598A">
            <w:pPr>
              <w:pStyle w:val="149"/>
            </w:pPr>
          </w:p>
        </w:tc>
        <w:tc>
          <w:tcPr>
            <w:tcW w:w="1517" w:type="dxa"/>
            <w:tcBorders>
              <w:top w:val="nil"/>
              <w:left w:val="nil"/>
              <w:bottom w:val="single" w:color="auto" w:sz="4" w:space="0"/>
              <w:right w:val="single" w:color="auto" w:sz="4" w:space="0"/>
            </w:tcBorders>
            <w:shd w:val="clear" w:color="auto" w:fill="auto"/>
            <w:vAlign w:val="center"/>
          </w:tcPr>
          <w:p w14:paraId="165516C5">
            <w:pPr>
              <w:pStyle w:val="149"/>
            </w:pPr>
            <w:r>
              <w:rPr>
                <w:rFonts w:hint="eastAsia"/>
              </w:rPr>
              <w:t>工程开挖面</w:t>
            </w:r>
          </w:p>
        </w:tc>
        <w:tc>
          <w:tcPr>
            <w:tcW w:w="1511" w:type="dxa"/>
            <w:tcBorders>
              <w:top w:val="nil"/>
              <w:left w:val="nil"/>
              <w:bottom w:val="single" w:color="auto" w:sz="4" w:space="0"/>
              <w:right w:val="single" w:color="auto" w:sz="4" w:space="0"/>
            </w:tcBorders>
            <w:shd w:val="clear" w:color="auto" w:fill="auto"/>
            <w:vAlign w:val="center"/>
          </w:tcPr>
          <w:p w14:paraId="1D4951CA">
            <w:pPr>
              <w:pStyle w:val="149"/>
            </w:pPr>
            <w:r>
              <w:rPr>
                <w:rFonts w:hint="eastAsia"/>
              </w:rPr>
              <w:t>上方无来水</w:t>
            </w:r>
          </w:p>
        </w:tc>
        <w:tc>
          <w:tcPr>
            <w:tcW w:w="1276" w:type="dxa"/>
            <w:vMerge w:val="continue"/>
            <w:tcBorders>
              <w:top w:val="nil"/>
              <w:left w:val="single" w:color="auto" w:sz="4" w:space="0"/>
              <w:bottom w:val="single" w:color="auto" w:sz="4" w:space="0"/>
              <w:right w:val="single" w:color="auto" w:sz="4" w:space="0"/>
            </w:tcBorders>
            <w:vAlign w:val="center"/>
          </w:tcPr>
          <w:p w14:paraId="20C1383D">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759F4CC4">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1E3504BF">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5333B14D">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0787C788">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20992ADD">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737BF6D6">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2A833C8B">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4575C087">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36BFDFC0">
            <w:pPr>
              <w:pStyle w:val="149"/>
            </w:pPr>
          </w:p>
        </w:tc>
      </w:tr>
      <w:tr w14:paraId="23BDEAAF">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4A0EC39B">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331A4019">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58BCA089">
            <w:pPr>
              <w:pStyle w:val="149"/>
            </w:pPr>
          </w:p>
        </w:tc>
        <w:tc>
          <w:tcPr>
            <w:tcW w:w="1517" w:type="dxa"/>
            <w:tcBorders>
              <w:top w:val="nil"/>
              <w:left w:val="nil"/>
              <w:bottom w:val="single" w:color="auto" w:sz="4" w:space="0"/>
              <w:right w:val="single" w:color="auto" w:sz="4" w:space="0"/>
            </w:tcBorders>
            <w:shd w:val="clear" w:color="auto" w:fill="auto"/>
            <w:vAlign w:val="center"/>
          </w:tcPr>
          <w:p w14:paraId="42703A53">
            <w:pPr>
              <w:pStyle w:val="149"/>
            </w:pPr>
            <w:r>
              <w:rPr>
                <w:rFonts w:hint="eastAsia"/>
              </w:rPr>
              <w:t>工程堆积体</w:t>
            </w:r>
          </w:p>
        </w:tc>
        <w:tc>
          <w:tcPr>
            <w:tcW w:w="1511" w:type="dxa"/>
            <w:tcBorders>
              <w:top w:val="nil"/>
              <w:left w:val="nil"/>
              <w:bottom w:val="single" w:color="auto" w:sz="4" w:space="0"/>
              <w:right w:val="single" w:color="auto" w:sz="4" w:space="0"/>
            </w:tcBorders>
            <w:shd w:val="clear" w:color="auto" w:fill="auto"/>
            <w:vAlign w:val="center"/>
          </w:tcPr>
          <w:p w14:paraId="34023898">
            <w:pPr>
              <w:pStyle w:val="149"/>
            </w:pPr>
            <w:r>
              <w:rPr>
                <w:rFonts w:hint="eastAsia"/>
              </w:rPr>
              <w:t>上方无来水</w:t>
            </w:r>
          </w:p>
        </w:tc>
        <w:tc>
          <w:tcPr>
            <w:tcW w:w="1276" w:type="dxa"/>
            <w:vMerge w:val="continue"/>
            <w:tcBorders>
              <w:top w:val="nil"/>
              <w:left w:val="single" w:color="auto" w:sz="4" w:space="0"/>
              <w:bottom w:val="single" w:color="auto" w:sz="4" w:space="0"/>
              <w:right w:val="single" w:color="auto" w:sz="4" w:space="0"/>
            </w:tcBorders>
            <w:vAlign w:val="center"/>
          </w:tcPr>
          <w:p w14:paraId="759F58CA">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5C9D2441">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1F3958B0">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4728507A">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5B6DB396">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588E3370">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5119DE6F">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5AE1E1F2">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1FDF792A">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6E2DC2C5">
            <w:pPr>
              <w:pStyle w:val="149"/>
            </w:pPr>
          </w:p>
        </w:tc>
      </w:tr>
      <w:tr w14:paraId="249D70C1">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0D161CA7">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3106F51C">
            <w:pPr>
              <w:pStyle w:val="149"/>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5DD2E4EF">
            <w:pPr>
              <w:pStyle w:val="149"/>
            </w:pPr>
            <w:r>
              <w:rPr>
                <w:rFonts w:hint="eastAsia"/>
              </w:rPr>
              <w:t>交通运输用地</w:t>
            </w:r>
          </w:p>
        </w:tc>
        <w:tc>
          <w:tcPr>
            <w:tcW w:w="1517" w:type="dxa"/>
            <w:tcBorders>
              <w:top w:val="nil"/>
              <w:left w:val="nil"/>
              <w:bottom w:val="single" w:color="auto" w:sz="4" w:space="0"/>
              <w:right w:val="single" w:color="auto" w:sz="4" w:space="0"/>
            </w:tcBorders>
            <w:shd w:val="clear" w:color="auto" w:fill="auto"/>
            <w:vAlign w:val="center"/>
          </w:tcPr>
          <w:p w14:paraId="60EE3CD0">
            <w:pPr>
              <w:pStyle w:val="149"/>
            </w:pPr>
            <w:r>
              <w:rPr>
                <w:rFonts w:hint="eastAsia"/>
              </w:rPr>
              <w:t>一般扰动地表</w:t>
            </w:r>
          </w:p>
        </w:tc>
        <w:tc>
          <w:tcPr>
            <w:tcW w:w="1511" w:type="dxa"/>
            <w:tcBorders>
              <w:top w:val="nil"/>
              <w:left w:val="nil"/>
              <w:bottom w:val="single" w:color="auto" w:sz="4" w:space="0"/>
              <w:right w:val="single" w:color="auto" w:sz="4" w:space="0"/>
            </w:tcBorders>
            <w:shd w:val="clear" w:color="auto" w:fill="auto"/>
            <w:vAlign w:val="center"/>
          </w:tcPr>
          <w:p w14:paraId="62764634">
            <w:pPr>
              <w:pStyle w:val="149"/>
            </w:pPr>
            <w:r>
              <w:rPr>
                <w:rFonts w:hint="eastAsia"/>
              </w:rPr>
              <w:t>地表翻扰型</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67C68ABE">
            <w:pPr>
              <w:pStyle w:val="149"/>
            </w:pPr>
            <w:r>
              <w:t xml:space="preserve">41.54 </w:t>
            </w:r>
          </w:p>
        </w:tc>
        <w:tc>
          <w:tcPr>
            <w:tcW w:w="713" w:type="dxa"/>
            <w:vMerge w:val="restart"/>
            <w:tcBorders>
              <w:top w:val="nil"/>
              <w:left w:val="single" w:color="auto" w:sz="4" w:space="0"/>
              <w:bottom w:val="single" w:color="auto" w:sz="4" w:space="0"/>
              <w:right w:val="single" w:color="auto" w:sz="4" w:space="0"/>
            </w:tcBorders>
            <w:shd w:val="clear" w:color="auto" w:fill="auto"/>
            <w:vAlign w:val="center"/>
          </w:tcPr>
          <w:p w14:paraId="4BD92869">
            <w:pPr>
              <w:pStyle w:val="149"/>
            </w:pPr>
            <w:r>
              <w:t xml:space="preserve">2190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12FFC50E">
            <w:pPr>
              <w:pStyle w:val="149"/>
            </w:pPr>
            <w:r>
              <w:t xml:space="preserve">1496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7B97FC14">
            <w:pPr>
              <w:pStyle w:val="149"/>
            </w:pPr>
            <w:r>
              <w:t xml:space="preserve">958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234B069C">
            <w:pPr>
              <w:pStyle w:val="149"/>
            </w:pPr>
            <w:r>
              <w:t xml:space="preserve">719 </w:t>
            </w:r>
          </w:p>
        </w:tc>
        <w:tc>
          <w:tcPr>
            <w:tcW w:w="695" w:type="dxa"/>
            <w:vMerge w:val="restart"/>
            <w:tcBorders>
              <w:top w:val="nil"/>
              <w:left w:val="single" w:color="auto" w:sz="4" w:space="0"/>
              <w:bottom w:val="single" w:color="auto" w:sz="4" w:space="0"/>
              <w:right w:val="single" w:color="auto" w:sz="4" w:space="0"/>
            </w:tcBorders>
            <w:shd w:val="clear" w:color="auto" w:fill="auto"/>
            <w:vAlign w:val="center"/>
          </w:tcPr>
          <w:p w14:paraId="274FE454">
            <w:pPr>
              <w:pStyle w:val="149"/>
            </w:pPr>
            <w:r>
              <w:t xml:space="preserve">492 </w:t>
            </w:r>
          </w:p>
        </w:tc>
        <w:tc>
          <w:tcPr>
            <w:tcW w:w="1290" w:type="dxa"/>
            <w:vMerge w:val="restart"/>
            <w:tcBorders>
              <w:top w:val="nil"/>
              <w:left w:val="single" w:color="auto" w:sz="4" w:space="0"/>
              <w:bottom w:val="single" w:color="auto" w:sz="4" w:space="0"/>
              <w:right w:val="single" w:color="auto" w:sz="4" w:space="0"/>
            </w:tcBorders>
            <w:shd w:val="clear" w:color="auto" w:fill="auto"/>
            <w:vAlign w:val="center"/>
          </w:tcPr>
          <w:p w14:paraId="0ECE2560">
            <w:pPr>
              <w:pStyle w:val="149"/>
            </w:pPr>
            <w:r>
              <w:t xml:space="preserve">595 </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14:paraId="6B07908F">
            <w:pPr>
              <w:pStyle w:val="149"/>
            </w:pPr>
            <w:r>
              <w:t xml:space="preserve">2432 </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244B631F">
            <w:pPr>
              <w:pStyle w:val="149"/>
            </w:pPr>
            <w:r>
              <w:t xml:space="preserve">1236 </w:t>
            </w:r>
          </w:p>
        </w:tc>
        <w:tc>
          <w:tcPr>
            <w:tcW w:w="1155" w:type="dxa"/>
            <w:vMerge w:val="restart"/>
            <w:tcBorders>
              <w:top w:val="nil"/>
              <w:left w:val="single" w:color="auto" w:sz="4" w:space="0"/>
              <w:bottom w:val="single" w:color="auto" w:sz="4" w:space="0"/>
              <w:right w:val="single" w:color="auto" w:sz="4" w:space="0"/>
            </w:tcBorders>
            <w:shd w:val="clear" w:color="auto" w:fill="auto"/>
            <w:vAlign w:val="center"/>
          </w:tcPr>
          <w:p w14:paraId="04D1A23D">
            <w:pPr>
              <w:pStyle w:val="149"/>
            </w:pPr>
            <w:r>
              <w:t xml:space="preserve">1196 </w:t>
            </w:r>
          </w:p>
        </w:tc>
      </w:tr>
      <w:tr w14:paraId="5F783846">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5800F71C">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456F1ECA">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2FF7F7CE">
            <w:pPr>
              <w:pStyle w:val="149"/>
            </w:pPr>
          </w:p>
        </w:tc>
        <w:tc>
          <w:tcPr>
            <w:tcW w:w="1517" w:type="dxa"/>
            <w:tcBorders>
              <w:top w:val="nil"/>
              <w:left w:val="nil"/>
              <w:bottom w:val="single" w:color="auto" w:sz="4" w:space="0"/>
              <w:right w:val="single" w:color="auto" w:sz="4" w:space="0"/>
            </w:tcBorders>
            <w:shd w:val="clear" w:color="auto" w:fill="auto"/>
            <w:vAlign w:val="center"/>
          </w:tcPr>
          <w:p w14:paraId="70392ED4">
            <w:pPr>
              <w:pStyle w:val="149"/>
            </w:pPr>
            <w:r>
              <w:rPr>
                <w:rFonts w:hint="eastAsia"/>
              </w:rPr>
              <w:t>工程开挖面</w:t>
            </w:r>
          </w:p>
        </w:tc>
        <w:tc>
          <w:tcPr>
            <w:tcW w:w="1511" w:type="dxa"/>
            <w:tcBorders>
              <w:top w:val="nil"/>
              <w:left w:val="nil"/>
              <w:bottom w:val="single" w:color="auto" w:sz="4" w:space="0"/>
              <w:right w:val="single" w:color="auto" w:sz="4" w:space="0"/>
            </w:tcBorders>
            <w:shd w:val="clear" w:color="auto" w:fill="auto"/>
            <w:vAlign w:val="center"/>
          </w:tcPr>
          <w:p w14:paraId="01C93B1C">
            <w:pPr>
              <w:pStyle w:val="149"/>
            </w:pPr>
            <w:r>
              <w:rPr>
                <w:rFonts w:hint="eastAsia"/>
              </w:rPr>
              <w:t>上方无来水</w:t>
            </w:r>
          </w:p>
        </w:tc>
        <w:tc>
          <w:tcPr>
            <w:tcW w:w="1276" w:type="dxa"/>
            <w:vMerge w:val="continue"/>
            <w:tcBorders>
              <w:top w:val="nil"/>
              <w:left w:val="single" w:color="auto" w:sz="4" w:space="0"/>
              <w:bottom w:val="single" w:color="auto" w:sz="4" w:space="0"/>
              <w:right w:val="single" w:color="auto" w:sz="4" w:space="0"/>
            </w:tcBorders>
            <w:vAlign w:val="center"/>
          </w:tcPr>
          <w:p w14:paraId="0855DFD9">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48508F39">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541B8391">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5B19B44E">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2784DE36">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7A3532BB">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602CB25C">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13664909">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18F9A570">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7E1D933D">
            <w:pPr>
              <w:pStyle w:val="149"/>
            </w:pPr>
          </w:p>
        </w:tc>
      </w:tr>
      <w:tr w14:paraId="7A63A637">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2507B16A">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74613C48">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500081AA">
            <w:pPr>
              <w:pStyle w:val="149"/>
            </w:pPr>
          </w:p>
        </w:tc>
        <w:tc>
          <w:tcPr>
            <w:tcW w:w="1517" w:type="dxa"/>
            <w:tcBorders>
              <w:top w:val="nil"/>
              <w:left w:val="nil"/>
              <w:bottom w:val="single" w:color="auto" w:sz="4" w:space="0"/>
              <w:right w:val="single" w:color="auto" w:sz="4" w:space="0"/>
            </w:tcBorders>
            <w:shd w:val="clear" w:color="auto" w:fill="auto"/>
            <w:vAlign w:val="center"/>
          </w:tcPr>
          <w:p w14:paraId="72F23776">
            <w:pPr>
              <w:pStyle w:val="149"/>
            </w:pPr>
            <w:r>
              <w:rPr>
                <w:rFonts w:hint="eastAsia"/>
              </w:rPr>
              <w:t>工程堆积体</w:t>
            </w:r>
          </w:p>
        </w:tc>
        <w:tc>
          <w:tcPr>
            <w:tcW w:w="1511" w:type="dxa"/>
            <w:tcBorders>
              <w:top w:val="nil"/>
              <w:left w:val="nil"/>
              <w:bottom w:val="single" w:color="auto" w:sz="4" w:space="0"/>
              <w:right w:val="single" w:color="auto" w:sz="4" w:space="0"/>
            </w:tcBorders>
            <w:shd w:val="clear" w:color="auto" w:fill="auto"/>
            <w:vAlign w:val="center"/>
          </w:tcPr>
          <w:p w14:paraId="6090D166">
            <w:pPr>
              <w:pStyle w:val="149"/>
            </w:pPr>
            <w:r>
              <w:rPr>
                <w:rFonts w:hint="eastAsia"/>
              </w:rPr>
              <w:t>上方无来水</w:t>
            </w:r>
          </w:p>
        </w:tc>
        <w:tc>
          <w:tcPr>
            <w:tcW w:w="1276" w:type="dxa"/>
            <w:vMerge w:val="continue"/>
            <w:tcBorders>
              <w:top w:val="nil"/>
              <w:left w:val="single" w:color="auto" w:sz="4" w:space="0"/>
              <w:bottom w:val="single" w:color="auto" w:sz="4" w:space="0"/>
              <w:right w:val="single" w:color="auto" w:sz="4" w:space="0"/>
            </w:tcBorders>
            <w:vAlign w:val="center"/>
          </w:tcPr>
          <w:p w14:paraId="7CE4A4C2">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1CD190A4">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075F6DDA">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0852C738">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6C124B71">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37AB5A58">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0C3946E2">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0CAFB22D">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37A4FBA4">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5A076AF2">
            <w:pPr>
              <w:pStyle w:val="149"/>
            </w:pPr>
          </w:p>
        </w:tc>
      </w:tr>
      <w:tr w14:paraId="338A9B4D">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368D4829">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61C8ACFC">
            <w:pPr>
              <w:pStyle w:val="149"/>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279E8231">
            <w:pPr>
              <w:pStyle w:val="149"/>
            </w:pPr>
            <w:r>
              <w:rPr>
                <w:rFonts w:hint="eastAsia"/>
              </w:rPr>
              <w:t>公用设施用地</w:t>
            </w:r>
          </w:p>
        </w:tc>
        <w:tc>
          <w:tcPr>
            <w:tcW w:w="1517" w:type="dxa"/>
            <w:tcBorders>
              <w:top w:val="nil"/>
              <w:left w:val="nil"/>
              <w:bottom w:val="single" w:color="auto" w:sz="4" w:space="0"/>
              <w:right w:val="single" w:color="auto" w:sz="4" w:space="0"/>
            </w:tcBorders>
            <w:shd w:val="clear" w:color="auto" w:fill="auto"/>
            <w:vAlign w:val="center"/>
          </w:tcPr>
          <w:p w14:paraId="0DA5EAAD">
            <w:pPr>
              <w:pStyle w:val="149"/>
            </w:pPr>
            <w:r>
              <w:rPr>
                <w:rFonts w:hint="eastAsia"/>
              </w:rPr>
              <w:t>一般扰动地表</w:t>
            </w:r>
          </w:p>
        </w:tc>
        <w:tc>
          <w:tcPr>
            <w:tcW w:w="1511" w:type="dxa"/>
            <w:tcBorders>
              <w:top w:val="nil"/>
              <w:left w:val="nil"/>
              <w:bottom w:val="single" w:color="auto" w:sz="4" w:space="0"/>
              <w:right w:val="single" w:color="auto" w:sz="4" w:space="0"/>
            </w:tcBorders>
            <w:shd w:val="clear" w:color="auto" w:fill="auto"/>
            <w:vAlign w:val="center"/>
          </w:tcPr>
          <w:p w14:paraId="3ED31C45">
            <w:pPr>
              <w:pStyle w:val="149"/>
            </w:pPr>
            <w:r>
              <w:rPr>
                <w:rFonts w:hint="eastAsia"/>
              </w:rPr>
              <w:t>地表翻扰型</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5DBC9667">
            <w:pPr>
              <w:pStyle w:val="149"/>
            </w:pPr>
            <w:r>
              <w:t xml:space="preserve">3.73 </w:t>
            </w:r>
          </w:p>
        </w:tc>
        <w:tc>
          <w:tcPr>
            <w:tcW w:w="713" w:type="dxa"/>
            <w:vMerge w:val="restart"/>
            <w:tcBorders>
              <w:top w:val="nil"/>
              <w:left w:val="single" w:color="auto" w:sz="4" w:space="0"/>
              <w:bottom w:val="single" w:color="auto" w:sz="4" w:space="0"/>
              <w:right w:val="single" w:color="auto" w:sz="4" w:space="0"/>
            </w:tcBorders>
            <w:shd w:val="clear" w:color="auto" w:fill="auto"/>
            <w:vAlign w:val="center"/>
          </w:tcPr>
          <w:p w14:paraId="5E68B903">
            <w:pPr>
              <w:pStyle w:val="149"/>
            </w:pPr>
            <w:r>
              <w:t xml:space="preserve">2713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64F5A99C">
            <w:pPr>
              <w:pStyle w:val="149"/>
            </w:pPr>
            <w:r>
              <w:t xml:space="preserve">1853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17E6443B">
            <w:pPr>
              <w:pStyle w:val="149"/>
            </w:pPr>
            <w:r>
              <w:t xml:space="preserve">1187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4ECC1947">
            <w:pPr>
              <w:pStyle w:val="149"/>
            </w:pPr>
            <w:r>
              <w:t xml:space="preserve">891 </w:t>
            </w:r>
          </w:p>
        </w:tc>
        <w:tc>
          <w:tcPr>
            <w:tcW w:w="695" w:type="dxa"/>
            <w:vMerge w:val="restart"/>
            <w:tcBorders>
              <w:top w:val="nil"/>
              <w:left w:val="single" w:color="auto" w:sz="4" w:space="0"/>
              <w:bottom w:val="single" w:color="auto" w:sz="4" w:space="0"/>
              <w:right w:val="single" w:color="auto" w:sz="4" w:space="0"/>
            </w:tcBorders>
            <w:shd w:val="clear" w:color="auto" w:fill="auto"/>
            <w:vAlign w:val="center"/>
          </w:tcPr>
          <w:p w14:paraId="69A69A6F">
            <w:pPr>
              <w:pStyle w:val="149"/>
            </w:pPr>
            <w:r>
              <w:t xml:space="preserve">609 </w:t>
            </w:r>
          </w:p>
        </w:tc>
        <w:tc>
          <w:tcPr>
            <w:tcW w:w="1290" w:type="dxa"/>
            <w:vMerge w:val="restart"/>
            <w:tcBorders>
              <w:top w:val="nil"/>
              <w:left w:val="single" w:color="auto" w:sz="4" w:space="0"/>
              <w:bottom w:val="single" w:color="auto" w:sz="4" w:space="0"/>
              <w:right w:val="single" w:color="auto" w:sz="4" w:space="0"/>
            </w:tcBorders>
            <w:shd w:val="clear" w:color="auto" w:fill="auto"/>
            <w:vAlign w:val="center"/>
          </w:tcPr>
          <w:p w14:paraId="10E46265">
            <w:pPr>
              <w:pStyle w:val="149"/>
            </w:pPr>
            <w:r>
              <w:t xml:space="preserve">737 </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14:paraId="63DABDB5">
            <w:pPr>
              <w:pStyle w:val="149"/>
            </w:pPr>
            <w:r>
              <w:t xml:space="preserve">271 </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286CC4D9">
            <w:pPr>
              <w:pStyle w:val="149"/>
            </w:pPr>
            <w:r>
              <w:t xml:space="preserve">138 </w:t>
            </w:r>
          </w:p>
        </w:tc>
        <w:tc>
          <w:tcPr>
            <w:tcW w:w="1155" w:type="dxa"/>
            <w:vMerge w:val="restart"/>
            <w:tcBorders>
              <w:top w:val="nil"/>
              <w:left w:val="single" w:color="auto" w:sz="4" w:space="0"/>
              <w:bottom w:val="single" w:color="auto" w:sz="4" w:space="0"/>
              <w:right w:val="single" w:color="auto" w:sz="4" w:space="0"/>
            </w:tcBorders>
            <w:shd w:val="clear" w:color="auto" w:fill="auto"/>
            <w:vAlign w:val="center"/>
          </w:tcPr>
          <w:p w14:paraId="3E335941">
            <w:pPr>
              <w:pStyle w:val="149"/>
            </w:pPr>
            <w:r>
              <w:t xml:space="preserve">133 </w:t>
            </w:r>
          </w:p>
        </w:tc>
      </w:tr>
      <w:tr w14:paraId="0B29E791">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6EC8BE30">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05C00E88">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40AE18BA">
            <w:pPr>
              <w:pStyle w:val="149"/>
            </w:pPr>
          </w:p>
        </w:tc>
        <w:tc>
          <w:tcPr>
            <w:tcW w:w="1517" w:type="dxa"/>
            <w:tcBorders>
              <w:top w:val="nil"/>
              <w:left w:val="nil"/>
              <w:bottom w:val="single" w:color="auto" w:sz="4" w:space="0"/>
              <w:right w:val="single" w:color="auto" w:sz="4" w:space="0"/>
            </w:tcBorders>
            <w:shd w:val="clear" w:color="auto" w:fill="auto"/>
            <w:vAlign w:val="center"/>
          </w:tcPr>
          <w:p w14:paraId="6C28424F">
            <w:pPr>
              <w:pStyle w:val="149"/>
            </w:pPr>
            <w:r>
              <w:rPr>
                <w:rFonts w:hint="eastAsia"/>
              </w:rPr>
              <w:t>工程开挖面</w:t>
            </w:r>
          </w:p>
        </w:tc>
        <w:tc>
          <w:tcPr>
            <w:tcW w:w="1511" w:type="dxa"/>
            <w:tcBorders>
              <w:top w:val="nil"/>
              <w:left w:val="nil"/>
              <w:bottom w:val="single" w:color="auto" w:sz="4" w:space="0"/>
              <w:right w:val="single" w:color="auto" w:sz="4" w:space="0"/>
            </w:tcBorders>
            <w:shd w:val="clear" w:color="auto" w:fill="auto"/>
            <w:vAlign w:val="center"/>
          </w:tcPr>
          <w:p w14:paraId="37C7ED32">
            <w:pPr>
              <w:pStyle w:val="149"/>
            </w:pPr>
            <w:r>
              <w:rPr>
                <w:rFonts w:hint="eastAsia"/>
              </w:rPr>
              <w:t>上方无来水</w:t>
            </w:r>
          </w:p>
        </w:tc>
        <w:tc>
          <w:tcPr>
            <w:tcW w:w="1276" w:type="dxa"/>
            <w:vMerge w:val="continue"/>
            <w:tcBorders>
              <w:top w:val="nil"/>
              <w:left w:val="single" w:color="auto" w:sz="4" w:space="0"/>
              <w:bottom w:val="single" w:color="auto" w:sz="4" w:space="0"/>
              <w:right w:val="single" w:color="auto" w:sz="4" w:space="0"/>
            </w:tcBorders>
            <w:vAlign w:val="center"/>
          </w:tcPr>
          <w:p w14:paraId="241942EC">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71350B4B">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7137F7C2">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17FC6AA0">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7004430D">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60D8AF2A">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1E803FF6">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5ECDFD90">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3426D7CB">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5E7D21BD">
            <w:pPr>
              <w:pStyle w:val="149"/>
            </w:pPr>
          </w:p>
        </w:tc>
      </w:tr>
      <w:tr w14:paraId="78F29118">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6053CE2A">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7DAAAFA9">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7855FFC4">
            <w:pPr>
              <w:pStyle w:val="149"/>
            </w:pPr>
          </w:p>
        </w:tc>
        <w:tc>
          <w:tcPr>
            <w:tcW w:w="1517" w:type="dxa"/>
            <w:tcBorders>
              <w:top w:val="nil"/>
              <w:left w:val="nil"/>
              <w:bottom w:val="single" w:color="auto" w:sz="4" w:space="0"/>
              <w:right w:val="single" w:color="auto" w:sz="4" w:space="0"/>
            </w:tcBorders>
            <w:shd w:val="clear" w:color="auto" w:fill="auto"/>
            <w:vAlign w:val="center"/>
          </w:tcPr>
          <w:p w14:paraId="05331437">
            <w:pPr>
              <w:pStyle w:val="149"/>
            </w:pPr>
            <w:r>
              <w:rPr>
                <w:rFonts w:hint="eastAsia"/>
              </w:rPr>
              <w:t>工程堆积体</w:t>
            </w:r>
          </w:p>
        </w:tc>
        <w:tc>
          <w:tcPr>
            <w:tcW w:w="1511" w:type="dxa"/>
            <w:tcBorders>
              <w:top w:val="nil"/>
              <w:left w:val="nil"/>
              <w:bottom w:val="single" w:color="auto" w:sz="4" w:space="0"/>
              <w:right w:val="single" w:color="auto" w:sz="4" w:space="0"/>
            </w:tcBorders>
            <w:shd w:val="clear" w:color="auto" w:fill="auto"/>
            <w:vAlign w:val="center"/>
          </w:tcPr>
          <w:p w14:paraId="36847E75">
            <w:pPr>
              <w:pStyle w:val="149"/>
            </w:pPr>
            <w:r>
              <w:rPr>
                <w:rFonts w:hint="eastAsia"/>
              </w:rPr>
              <w:t>上方无来水</w:t>
            </w:r>
          </w:p>
        </w:tc>
        <w:tc>
          <w:tcPr>
            <w:tcW w:w="1276" w:type="dxa"/>
            <w:vMerge w:val="continue"/>
            <w:tcBorders>
              <w:top w:val="nil"/>
              <w:left w:val="single" w:color="auto" w:sz="4" w:space="0"/>
              <w:bottom w:val="single" w:color="auto" w:sz="4" w:space="0"/>
              <w:right w:val="single" w:color="auto" w:sz="4" w:space="0"/>
            </w:tcBorders>
            <w:vAlign w:val="center"/>
          </w:tcPr>
          <w:p w14:paraId="29E78C7D">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42305A19">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55E27570">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766E77D4">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43682139">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54F10D3B">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42E4E64C">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415F95FE">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2CCDDF9B">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78BF4B2F">
            <w:pPr>
              <w:pStyle w:val="149"/>
            </w:pPr>
          </w:p>
        </w:tc>
      </w:tr>
      <w:tr w14:paraId="25899FB8">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576EF49C">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2682DC67">
            <w:pPr>
              <w:pStyle w:val="149"/>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63A527F7">
            <w:pPr>
              <w:pStyle w:val="149"/>
            </w:pPr>
            <w:r>
              <w:rPr>
                <w:rFonts w:hint="eastAsia"/>
              </w:rPr>
              <w:t>绿地与开敞空间用地</w:t>
            </w:r>
          </w:p>
        </w:tc>
        <w:tc>
          <w:tcPr>
            <w:tcW w:w="1517" w:type="dxa"/>
            <w:tcBorders>
              <w:top w:val="nil"/>
              <w:left w:val="nil"/>
              <w:bottom w:val="single" w:color="auto" w:sz="4" w:space="0"/>
              <w:right w:val="single" w:color="auto" w:sz="4" w:space="0"/>
            </w:tcBorders>
            <w:shd w:val="clear" w:color="auto" w:fill="auto"/>
            <w:vAlign w:val="center"/>
          </w:tcPr>
          <w:p w14:paraId="5CA5A6BB">
            <w:pPr>
              <w:pStyle w:val="149"/>
            </w:pPr>
            <w:r>
              <w:rPr>
                <w:rFonts w:hint="eastAsia"/>
              </w:rPr>
              <w:t>一般扰动地表</w:t>
            </w:r>
          </w:p>
        </w:tc>
        <w:tc>
          <w:tcPr>
            <w:tcW w:w="1511" w:type="dxa"/>
            <w:tcBorders>
              <w:top w:val="nil"/>
              <w:left w:val="nil"/>
              <w:bottom w:val="single" w:color="auto" w:sz="4" w:space="0"/>
              <w:right w:val="single" w:color="auto" w:sz="4" w:space="0"/>
            </w:tcBorders>
            <w:shd w:val="clear" w:color="auto" w:fill="auto"/>
            <w:vAlign w:val="center"/>
          </w:tcPr>
          <w:p w14:paraId="1D8E5875">
            <w:pPr>
              <w:pStyle w:val="149"/>
            </w:pPr>
            <w:r>
              <w:rPr>
                <w:rFonts w:hint="eastAsia"/>
              </w:rPr>
              <w:t>地表翻扰型</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238EC0DE">
            <w:pPr>
              <w:pStyle w:val="149"/>
            </w:pPr>
            <w:r>
              <w:t xml:space="preserve">3.54 </w:t>
            </w:r>
          </w:p>
        </w:tc>
        <w:tc>
          <w:tcPr>
            <w:tcW w:w="713" w:type="dxa"/>
            <w:vMerge w:val="restart"/>
            <w:tcBorders>
              <w:top w:val="nil"/>
              <w:left w:val="single" w:color="auto" w:sz="4" w:space="0"/>
              <w:bottom w:val="single" w:color="auto" w:sz="4" w:space="0"/>
              <w:right w:val="single" w:color="auto" w:sz="4" w:space="0"/>
            </w:tcBorders>
            <w:shd w:val="clear" w:color="auto" w:fill="auto"/>
            <w:vAlign w:val="center"/>
          </w:tcPr>
          <w:p w14:paraId="173BB0E1">
            <w:pPr>
              <w:pStyle w:val="149"/>
            </w:pPr>
            <w:r>
              <w:t xml:space="preserve">2190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61679CD1">
            <w:pPr>
              <w:pStyle w:val="149"/>
            </w:pPr>
            <w:r>
              <w:t xml:space="preserve">1496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18A60670">
            <w:pPr>
              <w:pStyle w:val="149"/>
            </w:pPr>
            <w:r>
              <w:t xml:space="preserve">958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78AE69A5">
            <w:pPr>
              <w:pStyle w:val="149"/>
            </w:pPr>
            <w:r>
              <w:t xml:space="preserve">719 </w:t>
            </w:r>
          </w:p>
        </w:tc>
        <w:tc>
          <w:tcPr>
            <w:tcW w:w="695" w:type="dxa"/>
            <w:vMerge w:val="restart"/>
            <w:tcBorders>
              <w:top w:val="nil"/>
              <w:left w:val="single" w:color="auto" w:sz="4" w:space="0"/>
              <w:bottom w:val="single" w:color="auto" w:sz="4" w:space="0"/>
              <w:right w:val="single" w:color="auto" w:sz="4" w:space="0"/>
            </w:tcBorders>
            <w:shd w:val="clear" w:color="auto" w:fill="auto"/>
            <w:vAlign w:val="center"/>
          </w:tcPr>
          <w:p w14:paraId="4D0150A4">
            <w:pPr>
              <w:pStyle w:val="149"/>
            </w:pPr>
            <w:r>
              <w:t xml:space="preserve">492 </w:t>
            </w:r>
          </w:p>
        </w:tc>
        <w:tc>
          <w:tcPr>
            <w:tcW w:w="1290" w:type="dxa"/>
            <w:vMerge w:val="restart"/>
            <w:tcBorders>
              <w:top w:val="nil"/>
              <w:left w:val="single" w:color="auto" w:sz="4" w:space="0"/>
              <w:bottom w:val="single" w:color="auto" w:sz="4" w:space="0"/>
              <w:right w:val="single" w:color="auto" w:sz="4" w:space="0"/>
            </w:tcBorders>
            <w:shd w:val="clear" w:color="auto" w:fill="auto"/>
            <w:vAlign w:val="center"/>
          </w:tcPr>
          <w:p w14:paraId="30B175DB">
            <w:pPr>
              <w:pStyle w:val="149"/>
            </w:pPr>
            <w:r>
              <w:t xml:space="preserve">595 </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14:paraId="7316C9F3">
            <w:pPr>
              <w:pStyle w:val="149"/>
            </w:pPr>
            <w:r>
              <w:t xml:space="preserve">207 </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278EA11A">
            <w:pPr>
              <w:pStyle w:val="149"/>
            </w:pPr>
            <w:r>
              <w:t xml:space="preserve">105 </w:t>
            </w:r>
          </w:p>
        </w:tc>
        <w:tc>
          <w:tcPr>
            <w:tcW w:w="1155" w:type="dxa"/>
            <w:vMerge w:val="restart"/>
            <w:tcBorders>
              <w:top w:val="nil"/>
              <w:left w:val="single" w:color="auto" w:sz="4" w:space="0"/>
              <w:bottom w:val="single" w:color="auto" w:sz="4" w:space="0"/>
              <w:right w:val="single" w:color="auto" w:sz="4" w:space="0"/>
            </w:tcBorders>
            <w:shd w:val="clear" w:color="auto" w:fill="auto"/>
            <w:vAlign w:val="center"/>
          </w:tcPr>
          <w:p w14:paraId="1D3FB87B">
            <w:pPr>
              <w:pStyle w:val="149"/>
            </w:pPr>
            <w:r>
              <w:t xml:space="preserve">102 </w:t>
            </w:r>
          </w:p>
        </w:tc>
      </w:tr>
      <w:tr w14:paraId="00690275">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681BF290">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597163E5">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3B5E8400">
            <w:pPr>
              <w:pStyle w:val="149"/>
            </w:pPr>
          </w:p>
        </w:tc>
        <w:tc>
          <w:tcPr>
            <w:tcW w:w="1517" w:type="dxa"/>
            <w:tcBorders>
              <w:top w:val="nil"/>
              <w:left w:val="nil"/>
              <w:bottom w:val="single" w:color="auto" w:sz="4" w:space="0"/>
              <w:right w:val="single" w:color="auto" w:sz="4" w:space="0"/>
            </w:tcBorders>
            <w:shd w:val="clear" w:color="auto" w:fill="auto"/>
            <w:vAlign w:val="center"/>
          </w:tcPr>
          <w:p w14:paraId="0F845A9F">
            <w:pPr>
              <w:pStyle w:val="149"/>
            </w:pPr>
            <w:r>
              <w:rPr>
                <w:rFonts w:hint="eastAsia"/>
              </w:rPr>
              <w:t>工程开挖面</w:t>
            </w:r>
          </w:p>
        </w:tc>
        <w:tc>
          <w:tcPr>
            <w:tcW w:w="1511" w:type="dxa"/>
            <w:tcBorders>
              <w:top w:val="nil"/>
              <w:left w:val="nil"/>
              <w:bottom w:val="single" w:color="auto" w:sz="4" w:space="0"/>
              <w:right w:val="single" w:color="auto" w:sz="4" w:space="0"/>
            </w:tcBorders>
            <w:shd w:val="clear" w:color="auto" w:fill="auto"/>
            <w:vAlign w:val="center"/>
          </w:tcPr>
          <w:p w14:paraId="256685B3">
            <w:pPr>
              <w:pStyle w:val="149"/>
            </w:pPr>
            <w:r>
              <w:rPr>
                <w:rFonts w:hint="eastAsia"/>
              </w:rPr>
              <w:t>上方无来水</w:t>
            </w:r>
          </w:p>
        </w:tc>
        <w:tc>
          <w:tcPr>
            <w:tcW w:w="1276" w:type="dxa"/>
            <w:vMerge w:val="continue"/>
            <w:tcBorders>
              <w:top w:val="nil"/>
              <w:left w:val="single" w:color="auto" w:sz="4" w:space="0"/>
              <w:bottom w:val="single" w:color="auto" w:sz="4" w:space="0"/>
              <w:right w:val="single" w:color="auto" w:sz="4" w:space="0"/>
            </w:tcBorders>
            <w:vAlign w:val="center"/>
          </w:tcPr>
          <w:p w14:paraId="352942CA">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1E23444B">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46E2CBBF">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7C7BDBB7">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7086610C">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6331CEE9">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4DD399BD">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30982DC4">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710B0261">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29370718">
            <w:pPr>
              <w:pStyle w:val="149"/>
            </w:pPr>
          </w:p>
        </w:tc>
      </w:tr>
      <w:tr w14:paraId="1A0174D8">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7EDF0064">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6729BF2B">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032A04A1">
            <w:pPr>
              <w:pStyle w:val="149"/>
            </w:pPr>
          </w:p>
        </w:tc>
        <w:tc>
          <w:tcPr>
            <w:tcW w:w="1517" w:type="dxa"/>
            <w:tcBorders>
              <w:top w:val="nil"/>
              <w:left w:val="nil"/>
              <w:bottom w:val="single" w:color="auto" w:sz="4" w:space="0"/>
              <w:right w:val="single" w:color="auto" w:sz="4" w:space="0"/>
            </w:tcBorders>
            <w:shd w:val="clear" w:color="auto" w:fill="auto"/>
            <w:vAlign w:val="center"/>
          </w:tcPr>
          <w:p w14:paraId="19D4007C">
            <w:pPr>
              <w:pStyle w:val="149"/>
            </w:pPr>
            <w:r>
              <w:rPr>
                <w:rFonts w:hint="eastAsia"/>
              </w:rPr>
              <w:t>工程堆积体</w:t>
            </w:r>
          </w:p>
        </w:tc>
        <w:tc>
          <w:tcPr>
            <w:tcW w:w="1511" w:type="dxa"/>
            <w:tcBorders>
              <w:top w:val="nil"/>
              <w:left w:val="nil"/>
              <w:bottom w:val="single" w:color="auto" w:sz="4" w:space="0"/>
              <w:right w:val="single" w:color="auto" w:sz="4" w:space="0"/>
            </w:tcBorders>
            <w:shd w:val="clear" w:color="auto" w:fill="auto"/>
            <w:vAlign w:val="center"/>
          </w:tcPr>
          <w:p w14:paraId="4F32CE6C">
            <w:pPr>
              <w:pStyle w:val="149"/>
            </w:pPr>
            <w:r>
              <w:rPr>
                <w:rFonts w:hint="eastAsia"/>
              </w:rPr>
              <w:t>上方无来水</w:t>
            </w:r>
          </w:p>
        </w:tc>
        <w:tc>
          <w:tcPr>
            <w:tcW w:w="1276" w:type="dxa"/>
            <w:vMerge w:val="continue"/>
            <w:tcBorders>
              <w:top w:val="nil"/>
              <w:left w:val="single" w:color="auto" w:sz="4" w:space="0"/>
              <w:bottom w:val="single" w:color="auto" w:sz="4" w:space="0"/>
              <w:right w:val="single" w:color="auto" w:sz="4" w:space="0"/>
            </w:tcBorders>
            <w:vAlign w:val="center"/>
          </w:tcPr>
          <w:p w14:paraId="672D1E81">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315F46EE">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4B82C028">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40B4D5F6">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65E58F1B">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78051315">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248A0BAF">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4BF1F3DB">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1A100BD5">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0CEA2A80">
            <w:pPr>
              <w:pStyle w:val="149"/>
            </w:pPr>
          </w:p>
        </w:tc>
      </w:tr>
      <w:tr w14:paraId="32B85D08">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4ADE4275">
            <w:pPr>
              <w:pStyle w:val="149"/>
            </w:pP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14:paraId="3ABC4D82">
            <w:pPr>
              <w:pStyle w:val="149"/>
            </w:pPr>
            <w:r>
              <w:rPr>
                <w:rFonts w:hint="eastAsia"/>
              </w:rPr>
              <w:t>下湿壕片区</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7E99680A">
            <w:pPr>
              <w:pStyle w:val="149"/>
            </w:pPr>
            <w:r>
              <w:rPr>
                <w:rFonts w:hint="eastAsia"/>
              </w:rPr>
              <w:t>工矿用地</w:t>
            </w:r>
          </w:p>
        </w:tc>
        <w:tc>
          <w:tcPr>
            <w:tcW w:w="1517" w:type="dxa"/>
            <w:tcBorders>
              <w:top w:val="nil"/>
              <w:left w:val="nil"/>
              <w:bottom w:val="single" w:color="auto" w:sz="4" w:space="0"/>
              <w:right w:val="single" w:color="auto" w:sz="4" w:space="0"/>
            </w:tcBorders>
            <w:shd w:val="clear" w:color="auto" w:fill="auto"/>
            <w:vAlign w:val="center"/>
          </w:tcPr>
          <w:p w14:paraId="2AD88AA6">
            <w:pPr>
              <w:pStyle w:val="149"/>
            </w:pPr>
            <w:r>
              <w:rPr>
                <w:rFonts w:hint="eastAsia"/>
              </w:rPr>
              <w:t>一般扰动地表</w:t>
            </w:r>
          </w:p>
        </w:tc>
        <w:tc>
          <w:tcPr>
            <w:tcW w:w="1511" w:type="dxa"/>
            <w:tcBorders>
              <w:top w:val="nil"/>
              <w:left w:val="nil"/>
              <w:bottom w:val="single" w:color="auto" w:sz="4" w:space="0"/>
              <w:right w:val="single" w:color="auto" w:sz="4" w:space="0"/>
            </w:tcBorders>
            <w:shd w:val="clear" w:color="auto" w:fill="auto"/>
            <w:vAlign w:val="center"/>
          </w:tcPr>
          <w:p w14:paraId="77A575AF">
            <w:pPr>
              <w:pStyle w:val="149"/>
            </w:pPr>
            <w:r>
              <w:rPr>
                <w:rFonts w:hint="eastAsia"/>
              </w:rPr>
              <w:t>地表翻扰型</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2E8EB94C">
            <w:pPr>
              <w:pStyle w:val="149"/>
            </w:pPr>
            <w:r>
              <w:t xml:space="preserve">29.42 </w:t>
            </w:r>
          </w:p>
        </w:tc>
        <w:tc>
          <w:tcPr>
            <w:tcW w:w="713" w:type="dxa"/>
            <w:vMerge w:val="restart"/>
            <w:tcBorders>
              <w:top w:val="nil"/>
              <w:left w:val="single" w:color="auto" w:sz="4" w:space="0"/>
              <w:bottom w:val="single" w:color="auto" w:sz="4" w:space="0"/>
              <w:right w:val="single" w:color="auto" w:sz="4" w:space="0"/>
            </w:tcBorders>
            <w:shd w:val="clear" w:color="auto" w:fill="auto"/>
            <w:vAlign w:val="center"/>
          </w:tcPr>
          <w:p w14:paraId="4E04E38E">
            <w:pPr>
              <w:pStyle w:val="149"/>
            </w:pPr>
            <w:r>
              <w:t xml:space="preserve">2713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10C0A725">
            <w:pPr>
              <w:pStyle w:val="149"/>
            </w:pPr>
            <w:r>
              <w:t xml:space="preserve">1853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79ED97D9">
            <w:pPr>
              <w:pStyle w:val="149"/>
            </w:pPr>
            <w:r>
              <w:t xml:space="preserve">1187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1B5A9787">
            <w:pPr>
              <w:pStyle w:val="149"/>
            </w:pPr>
            <w:r>
              <w:t xml:space="preserve">891 </w:t>
            </w:r>
          </w:p>
        </w:tc>
        <w:tc>
          <w:tcPr>
            <w:tcW w:w="695" w:type="dxa"/>
            <w:vMerge w:val="restart"/>
            <w:tcBorders>
              <w:top w:val="nil"/>
              <w:left w:val="single" w:color="auto" w:sz="4" w:space="0"/>
              <w:bottom w:val="single" w:color="auto" w:sz="4" w:space="0"/>
              <w:right w:val="single" w:color="auto" w:sz="4" w:space="0"/>
            </w:tcBorders>
            <w:shd w:val="clear" w:color="auto" w:fill="auto"/>
            <w:vAlign w:val="center"/>
          </w:tcPr>
          <w:p w14:paraId="24F90F42">
            <w:pPr>
              <w:pStyle w:val="149"/>
            </w:pPr>
            <w:r>
              <w:t xml:space="preserve">609 </w:t>
            </w:r>
          </w:p>
        </w:tc>
        <w:tc>
          <w:tcPr>
            <w:tcW w:w="1290" w:type="dxa"/>
            <w:vMerge w:val="restart"/>
            <w:tcBorders>
              <w:top w:val="nil"/>
              <w:left w:val="single" w:color="auto" w:sz="4" w:space="0"/>
              <w:bottom w:val="single" w:color="auto" w:sz="4" w:space="0"/>
              <w:right w:val="single" w:color="auto" w:sz="4" w:space="0"/>
            </w:tcBorders>
            <w:shd w:val="clear" w:color="auto" w:fill="auto"/>
            <w:vAlign w:val="center"/>
          </w:tcPr>
          <w:p w14:paraId="2D575472">
            <w:pPr>
              <w:pStyle w:val="149"/>
            </w:pPr>
            <w:r>
              <w:t xml:space="preserve">737 </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14:paraId="289CE977">
            <w:pPr>
              <w:pStyle w:val="149"/>
            </w:pPr>
            <w:r>
              <w:t xml:space="preserve">2134 </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4FFA5ABD">
            <w:pPr>
              <w:pStyle w:val="149"/>
            </w:pPr>
            <w:r>
              <w:t xml:space="preserve">1084 </w:t>
            </w:r>
          </w:p>
        </w:tc>
        <w:tc>
          <w:tcPr>
            <w:tcW w:w="1155" w:type="dxa"/>
            <w:vMerge w:val="restart"/>
            <w:tcBorders>
              <w:top w:val="nil"/>
              <w:left w:val="single" w:color="auto" w:sz="4" w:space="0"/>
              <w:bottom w:val="single" w:color="auto" w:sz="4" w:space="0"/>
              <w:right w:val="single" w:color="auto" w:sz="4" w:space="0"/>
            </w:tcBorders>
            <w:shd w:val="clear" w:color="auto" w:fill="auto"/>
            <w:vAlign w:val="center"/>
          </w:tcPr>
          <w:p w14:paraId="7ACE09B1">
            <w:pPr>
              <w:pStyle w:val="149"/>
            </w:pPr>
            <w:r>
              <w:t xml:space="preserve">1049 </w:t>
            </w:r>
          </w:p>
        </w:tc>
      </w:tr>
      <w:tr w14:paraId="5294C16F">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042EC055">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7E098027">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7B210A91">
            <w:pPr>
              <w:pStyle w:val="149"/>
            </w:pPr>
          </w:p>
        </w:tc>
        <w:tc>
          <w:tcPr>
            <w:tcW w:w="1517" w:type="dxa"/>
            <w:tcBorders>
              <w:top w:val="nil"/>
              <w:left w:val="nil"/>
              <w:bottom w:val="single" w:color="auto" w:sz="4" w:space="0"/>
              <w:right w:val="single" w:color="auto" w:sz="4" w:space="0"/>
            </w:tcBorders>
            <w:shd w:val="clear" w:color="auto" w:fill="auto"/>
            <w:vAlign w:val="center"/>
          </w:tcPr>
          <w:p w14:paraId="5650138C">
            <w:pPr>
              <w:pStyle w:val="149"/>
            </w:pPr>
            <w:r>
              <w:rPr>
                <w:rFonts w:hint="eastAsia"/>
              </w:rPr>
              <w:t>工程开挖面</w:t>
            </w:r>
          </w:p>
        </w:tc>
        <w:tc>
          <w:tcPr>
            <w:tcW w:w="1511" w:type="dxa"/>
            <w:tcBorders>
              <w:top w:val="nil"/>
              <w:left w:val="nil"/>
              <w:bottom w:val="single" w:color="auto" w:sz="4" w:space="0"/>
              <w:right w:val="single" w:color="auto" w:sz="4" w:space="0"/>
            </w:tcBorders>
            <w:shd w:val="clear" w:color="auto" w:fill="auto"/>
            <w:vAlign w:val="center"/>
          </w:tcPr>
          <w:p w14:paraId="1BD77FFA">
            <w:pPr>
              <w:pStyle w:val="149"/>
            </w:pPr>
            <w:r>
              <w:rPr>
                <w:rFonts w:hint="eastAsia"/>
              </w:rPr>
              <w:t>上方无来水</w:t>
            </w:r>
          </w:p>
        </w:tc>
        <w:tc>
          <w:tcPr>
            <w:tcW w:w="1276" w:type="dxa"/>
            <w:vMerge w:val="continue"/>
            <w:tcBorders>
              <w:top w:val="nil"/>
              <w:left w:val="single" w:color="auto" w:sz="4" w:space="0"/>
              <w:bottom w:val="single" w:color="auto" w:sz="4" w:space="0"/>
              <w:right w:val="single" w:color="auto" w:sz="4" w:space="0"/>
            </w:tcBorders>
            <w:vAlign w:val="center"/>
          </w:tcPr>
          <w:p w14:paraId="21483B96">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066EADD4">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2E69080D">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2D77A121">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72D8DCBE">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50B6A860">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1B6D4218">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41B7195D">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58B8D4DA">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36E3F78A">
            <w:pPr>
              <w:pStyle w:val="149"/>
            </w:pPr>
          </w:p>
        </w:tc>
      </w:tr>
      <w:tr w14:paraId="61A05C20">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48B4F5A5">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7858CA22">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1722596D">
            <w:pPr>
              <w:pStyle w:val="149"/>
            </w:pPr>
          </w:p>
        </w:tc>
        <w:tc>
          <w:tcPr>
            <w:tcW w:w="1517" w:type="dxa"/>
            <w:tcBorders>
              <w:top w:val="nil"/>
              <w:left w:val="nil"/>
              <w:bottom w:val="single" w:color="auto" w:sz="4" w:space="0"/>
              <w:right w:val="single" w:color="auto" w:sz="4" w:space="0"/>
            </w:tcBorders>
            <w:shd w:val="clear" w:color="auto" w:fill="auto"/>
            <w:vAlign w:val="center"/>
          </w:tcPr>
          <w:p w14:paraId="05F7610C">
            <w:pPr>
              <w:pStyle w:val="149"/>
            </w:pPr>
            <w:r>
              <w:rPr>
                <w:rFonts w:hint="eastAsia"/>
              </w:rPr>
              <w:t>工程堆积体</w:t>
            </w:r>
          </w:p>
        </w:tc>
        <w:tc>
          <w:tcPr>
            <w:tcW w:w="1511" w:type="dxa"/>
            <w:tcBorders>
              <w:top w:val="nil"/>
              <w:left w:val="nil"/>
              <w:bottom w:val="single" w:color="auto" w:sz="4" w:space="0"/>
              <w:right w:val="single" w:color="auto" w:sz="4" w:space="0"/>
            </w:tcBorders>
            <w:shd w:val="clear" w:color="auto" w:fill="auto"/>
            <w:vAlign w:val="center"/>
          </w:tcPr>
          <w:p w14:paraId="34A7E60E">
            <w:pPr>
              <w:pStyle w:val="149"/>
            </w:pPr>
            <w:r>
              <w:rPr>
                <w:rFonts w:hint="eastAsia"/>
              </w:rPr>
              <w:t>上方无来水</w:t>
            </w:r>
          </w:p>
        </w:tc>
        <w:tc>
          <w:tcPr>
            <w:tcW w:w="1276" w:type="dxa"/>
            <w:vMerge w:val="continue"/>
            <w:tcBorders>
              <w:top w:val="nil"/>
              <w:left w:val="single" w:color="auto" w:sz="4" w:space="0"/>
              <w:bottom w:val="single" w:color="auto" w:sz="4" w:space="0"/>
              <w:right w:val="single" w:color="auto" w:sz="4" w:space="0"/>
            </w:tcBorders>
            <w:vAlign w:val="center"/>
          </w:tcPr>
          <w:p w14:paraId="6BA5F6B6">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1B5750F7">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72AAFBA4">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64B29D57">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6E2A7590">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39E9B79D">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3A129F3B">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76C649D1">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070348BF">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5C175197">
            <w:pPr>
              <w:pStyle w:val="149"/>
            </w:pPr>
          </w:p>
        </w:tc>
      </w:tr>
      <w:tr w14:paraId="2FFED395">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4D3D7F03">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256F5BA6">
            <w:pPr>
              <w:pStyle w:val="149"/>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6AB5DCCD">
            <w:pPr>
              <w:pStyle w:val="149"/>
            </w:pPr>
            <w:r>
              <w:rPr>
                <w:rFonts w:hint="eastAsia"/>
              </w:rPr>
              <w:t>交通运输用地</w:t>
            </w:r>
          </w:p>
        </w:tc>
        <w:tc>
          <w:tcPr>
            <w:tcW w:w="1517" w:type="dxa"/>
            <w:tcBorders>
              <w:top w:val="nil"/>
              <w:left w:val="nil"/>
              <w:bottom w:val="single" w:color="auto" w:sz="4" w:space="0"/>
              <w:right w:val="single" w:color="auto" w:sz="4" w:space="0"/>
            </w:tcBorders>
            <w:shd w:val="clear" w:color="auto" w:fill="auto"/>
            <w:vAlign w:val="center"/>
          </w:tcPr>
          <w:p w14:paraId="18A2F10B">
            <w:pPr>
              <w:pStyle w:val="149"/>
            </w:pPr>
            <w:r>
              <w:rPr>
                <w:rFonts w:hint="eastAsia"/>
              </w:rPr>
              <w:t>一般扰动地表</w:t>
            </w:r>
          </w:p>
        </w:tc>
        <w:tc>
          <w:tcPr>
            <w:tcW w:w="1511" w:type="dxa"/>
            <w:tcBorders>
              <w:top w:val="nil"/>
              <w:left w:val="nil"/>
              <w:bottom w:val="single" w:color="auto" w:sz="4" w:space="0"/>
              <w:right w:val="single" w:color="auto" w:sz="4" w:space="0"/>
            </w:tcBorders>
            <w:shd w:val="clear" w:color="auto" w:fill="auto"/>
            <w:vAlign w:val="center"/>
          </w:tcPr>
          <w:p w14:paraId="1CB99C41">
            <w:pPr>
              <w:pStyle w:val="149"/>
            </w:pPr>
            <w:r>
              <w:rPr>
                <w:rFonts w:hint="eastAsia"/>
              </w:rPr>
              <w:t>地表翻扰型</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62DB5CF1">
            <w:pPr>
              <w:pStyle w:val="149"/>
            </w:pPr>
            <w:r>
              <w:t xml:space="preserve">1.20 </w:t>
            </w:r>
          </w:p>
        </w:tc>
        <w:tc>
          <w:tcPr>
            <w:tcW w:w="713" w:type="dxa"/>
            <w:vMerge w:val="restart"/>
            <w:tcBorders>
              <w:top w:val="nil"/>
              <w:left w:val="single" w:color="auto" w:sz="4" w:space="0"/>
              <w:bottom w:val="single" w:color="auto" w:sz="4" w:space="0"/>
              <w:right w:val="single" w:color="auto" w:sz="4" w:space="0"/>
            </w:tcBorders>
            <w:shd w:val="clear" w:color="auto" w:fill="auto"/>
            <w:vAlign w:val="center"/>
          </w:tcPr>
          <w:p w14:paraId="561B4CA5">
            <w:pPr>
              <w:pStyle w:val="149"/>
            </w:pPr>
            <w:r>
              <w:t xml:space="preserve">2190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520EC70C">
            <w:pPr>
              <w:pStyle w:val="149"/>
            </w:pPr>
            <w:r>
              <w:t xml:space="preserve">1496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6F09C841">
            <w:pPr>
              <w:pStyle w:val="149"/>
            </w:pPr>
            <w:r>
              <w:t xml:space="preserve">958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7C8BD80B">
            <w:pPr>
              <w:pStyle w:val="149"/>
            </w:pPr>
            <w:r>
              <w:t xml:space="preserve">719 </w:t>
            </w:r>
          </w:p>
        </w:tc>
        <w:tc>
          <w:tcPr>
            <w:tcW w:w="695" w:type="dxa"/>
            <w:vMerge w:val="restart"/>
            <w:tcBorders>
              <w:top w:val="nil"/>
              <w:left w:val="single" w:color="auto" w:sz="4" w:space="0"/>
              <w:bottom w:val="single" w:color="auto" w:sz="4" w:space="0"/>
              <w:right w:val="single" w:color="auto" w:sz="4" w:space="0"/>
            </w:tcBorders>
            <w:shd w:val="clear" w:color="auto" w:fill="auto"/>
            <w:vAlign w:val="center"/>
          </w:tcPr>
          <w:p w14:paraId="7E6333E7">
            <w:pPr>
              <w:pStyle w:val="149"/>
            </w:pPr>
            <w:r>
              <w:t xml:space="preserve">492 </w:t>
            </w:r>
          </w:p>
        </w:tc>
        <w:tc>
          <w:tcPr>
            <w:tcW w:w="1290" w:type="dxa"/>
            <w:vMerge w:val="restart"/>
            <w:tcBorders>
              <w:top w:val="nil"/>
              <w:left w:val="single" w:color="auto" w:sz="4" w:space="0"/>
              <w:bottom w:val="single" w:color="auto" w:sz="4" w:space="0"/>
              <w:right w:val="single" w:color="auto" w:sz="4" w:space="0"/>
            </w:tcBorders>
            <w:shd w:val="clear" w:color="auto" w:fill="auto"/>
            <w:vAlign w:val="center"/>
          </w:tcPr>
          <w:p w14:paraId="25E42F5A">
            <w:pPr>
              <w:pStyle w:val="149"/>
            </w:pPr>
            <w:r>
              <w:t xml:space="preserve">595 </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14:paraId="05512C91">
            <w:pPr>
              <w:pStyle w:val="149"/>
            </w:pPr>
            <w:r>
              <w:t xml:space="preserve">70 </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39576CA5">
            <w:pPr>
              <w:pStyle w:val="149"/>
            </w:pPr>
            <w:r>
              <w:t xml:space="preserve">36 </w:t>
            </w:r>
          </w:p>
        </w:tc>
        <w:tc>
          <w:tcPr>
            <w:tcW w:w="1155" w:type="dxa"/>
            <w:vMerge w:val="restart"/>
            <w:tcBorders>
              <w:top w:val="nil"/>
              <w:left w:val="single" w:color="auto" w:sz="4" w:space="0"/>
              <w:bottom w:val="single" w:color="auto" w:sz="4" w:space="0"/>
              <w:right w:val="single" w:color="auto" w:sz="4" w:space="0"/>
            </w:tcBorders>
            <w:shd w:val="clear" w:color="auto" w:fill="auto"/>
            <w:vAlign w:val="center"/>
          </w:tcPr>
          <w:p w14:paraId="6F1E9959">
            <w:pPr>
              <w:pStyle w:val="149"/>
            </w:pPr>
            <w:r>
              <w:t xml:space="preserve">35 </w:t>
            </w:r>
          </w:p>
        </w:tc>
      </w:tr>
      <w:tr w14:paraId="7A70DA97">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159BA1D5">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75CA4151">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5F33F47C">
            <w:pPr>
              <w:pStyle w:val="149"/>
            </w:pPr>
          </w:p>
        </w:tc>
        <w:tc>
          <w:tcPr>
            <w:tcW w:w="1517" w:type="dxa"/>
            <w:tcBorders>
              <w:top w:val="nil"/>
              <w:left w:val="nil"/>
              <w:bottom w:val="single" w:color="auto" w:sz="4" w:space="0"/>
              <w:right w:val="single" w:color="auto" w:sz="4" w:space="0"/>
            </w:tcBorders>
            <w:shd w:val="clear" w:color="auto" w:fill="auto"/>
            <w:vAlign w:val="center"/>
          </w:tcPr>
          <w:p w14:paraId="1DFB4C5D">
            <w:pPr>
              <w:pStyle w:val="149"/>
            </w:pPr>
            <w:r>
              <w:rPr>
                <w:rFonts w:hint="eastAsia"/>
              </w:rPr>
              <w:t>工程开挖面</w:t>
            </w:r>
          </w:p>
        </w:tc>
        <w:tc>
          <w:tcPr>
            <w:tcW w:w="1511" w:type="dxa"/>
            <w:tcBorders>
              <w:top w:val="nil"/>
              <w:left w:val="nil"/>
              <w:bottom w:val="single" w:color="auto" w:sz="4" w:space="0"/>
              <w:right w:val="single" w:color="auto" w:sz="4" w:space="0"/>
            </w:tcBorders>
            <w:shd w:val="clear" w:color="auto" w:fill="auto"/>
            <w:vAlign w:val="center"/>
          </w:tcPr>
          <w:p w14:paraId="67484565">
            <w:pPr>
              <w:pStyle w:val="149"/>
            </w:pPr>
            <w:r>
              <w:rPr>
                <w:rFonts w:hint="eastAsia"/>
              </w:rPr>
              <w:t>上方无来水</w:t>
            </w:r>
          </w:p>
        </w:tc>
        <w:tc>
          <w:tcPr>
            <w:tcW w:w="1276" w:type="dxa"/>
            <w:vMerge w:val="continue"/>
            <w:tcBorders>
              <w:top w:val="nil"/>
              <w:left w:val="single" w:color="auto" w:sz="4" w:space="0"/>
              <w:bottom w:val="single" w:color="auto" w:sz="4" w:space="0"/>
              <w:right w:val="single" w:color="auto" w:sz="4" w:space="0"/>
            </w:tcBorders>
            <w:vAlign w:val="center"/>
          </w:tcPr>
          <w:p w14:paraId="712F690F">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09FAFA71">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1B28B838">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7462CAE2">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6D6F21D6">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33E6AD2B">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327C96E0">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37BA8C31">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2E13926A">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09EAAD30">
            <w:pPr>
              <w:pStyle w:val="149"/>
            </w:pPr>
          </w:p>
        </w:tc>
      </w:tr>
      <w:tr w14:paraId="267B59FE">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26A481C4">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730303AF">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76669943">
            <w:pPr>
              <w:pStyle w:val="149"/>
            </w:pPr>
          </w:p>
        </w:tc>
        <w:tc>
          <w:tcPr>
            <w:tcW w:w="1517" w:type="dxa"/>
            <w:tcBorders>
              <w:top w:val="nil"/>
              <w:left w:val="nil"/>
              <w:bottom w:val="single" w:color="auto" w:sz="4" w:space="0"/>
              <w:right w:val="single" w:color="auto" w:sz="4" w:space="0"/>
            </w:tcBorders>
            <w:shd w:val="clear" w:color="auto" w:fill="auto"/>
            <w:vAlign w:val="center"/>
          </w:tcPr>
          <w:p w14:paraId="053171C2">
            <w:pPr>
              <w:pStyle w:val="149"/>
            </w:pPr>
            <w:r>
              <w:rPr>
                <w:rFonts w:hint="eastAsia"/>
              </w:rPr>
              <w:t>工程堆积体</w:t>
            </w:r>
          </w:p>
        </w:tc>
        <w:tc>
          <w:tcPr>
            <w:tcW w:w="1511" w:type="dxa"/>
            <w:tcBorders>
              <w:top w:val="nil"/>
              <w:left w:val="nil"/>
              <w:bottom w:val="single" w:color="auto" w:sz="4" w:space="0"/>
              <w:right w:val="single" w:color="auto" w:sz="4" w:space="0"/>
            </w:tcBorders>
            <w:shd w:val="clear" w:color="auto" w:fill="auto"/>
            <w:vAlign w:val="center"/>
          </w:tcPr>
          <w:p w14:paraId="7CE36F89">
            <w:pPr>
              <w:pStyle w:val="149"/>
            </w:pPr>
            <w:r>
              <w:rPr>
                <w:rFonts w:hint="eastAsia"/>
              </w:rPr>
              <w:t>上方无来水</w:t>
            </w:r>
          </w:p>
        </w:tc>
        <w:tc>
          <w:tcPr>
            <w:tcW w:w="1276" w:type="dxa"/>
            <w:vMerge w:val="continue"/>
            <w:tcBorders>
              <w:top w:val="nil"/>
              <w:left w:val="single" w:color="auto" w:sz="4" w:space="0"/>
              <w:bottom w:val="single" w:color="auto" w:sz="4" w:space="0"/>
              <w:right w:val="single" w:color="auto" w:sz="4" w:space="0"/>
            </w:tcBorders>
            <w:vAlign w:val="center"/>
          </w:tcPr>
          <w:p w14:paraId="1CAA4114">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6714A645">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76913896">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3D77A402">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39F010FF">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0CA6D091">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24D97B50">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1C41D273">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207BA866">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4370C123">
            <w:pPr>
              <w:pStyle w:val="149"/>
            </w:pPr>
          </w:p>
        </w:tc>
      </w:tr>
      <w:tr w14:paraId="2ACA4038">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75BD649E">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4C35A13A">
            <w:pPr>
              <w:pStyle w:val="149"/>
            </w:pPr>
          </w:p>
        </w:tc>
        <w:tc>
          <w:tcPr>
            <w:tcW w:w="0" w:type="auto"/>
            <w:tcBorders>
              <w:top w:val="nil"/>
              <w:left w:val="nil"/>
              <w:bottom w:val="single" w:color="auto" w:sz="4" w:space="0"/>
              <w:right w:val="single" w:color="auto" w:sz="4" w:space="0"/>
            </w:tcBorders>
            <w:shd w:val="clear" w:color="auto" w:fill="auto"/>
            <w:vAlign w:val="center"/>
          </w:tcPr>
          <w:p w14:paraId="2641740B">
            <w:pPr>
              <w:pStyle w:val="149"/>
            </w:pPr>
            <w:r>
              <w:rPr>
                <w:rFonts w:hint="eastAsia"/>
              </w:rPr>
              <w:t>绿地与开敞空间用地</w:t>
            </w:r>
          </w:p>
        </w:tc>
        <w:tc>
          <w:tcPr>
            <w:tcW w:w="1517" w:type="dxa"/>
            <w:tcBorders>
              <w:top w:val="nil"/>
              <w:left w:val="nil"/>
              <w:bottom w:val="single" w:color="auto" w:sz="4" w:space="0"/>
              <w:right w:val="single" w:color="auto" w:sz="4" w:space="0"/>
            </w:tcBorders>
            <w:shd w:val="clear" w:color="auto" w:fill="auto"/>
            <w:vAlign w:val="center"/>
          </w:tcPr>
          <w:p w14:paraId="5D20883A">
            <w:pPr>
              <w:pStyle w:val="149"/>
            </w:pPr>
            <w:r>
              <w:rPr>
                <w:rFonts w:hint="eastAsia"/>
              </w:rPr>
              <w:t>一般扰动地表</w:t>
            </w:r>
          </w:p>
        </w:tc>
        <w:tc>
          <w:tcPr>
            <w:tcW w:w="1511" w:type="dxa"/>
            <w:tcBorders>
              <w:top w:val="nil"/>
              <w:left w:val="nil"/>
              <w:bottom w:val="single" w:color="auto" w:sz="4" w:space="0"/>
              <w:right w:val="single" w:color="auto" w:sz="4" w:space="0"/>
            </w:tcBorders>
            <w:shd w:val="clear" w:color="auto" w:fill="auto"/>
            <w:vAlign w:val="center"/>
          </w:tcPr>
          <w:p w14:paraId="4B458EFA">
            <w:pPr>
              <w:pStyle w:val="149"/>
            </w:pPr>
            <w:r>
              <w:rPr>
                <w:rFonts w:hint="eastAsia"/>
              </w:rPr>
              <w:t>地表翻扰型</w:t>
            </w:r>
          </w:p>
        </w:tc>
        <w:tc>
          <w:tcPr>
            <w:tcW w:w="1276" w:type="dxa"/>
            <w:tcBorders>
              <w:top w:val="nil"/>
              <w:left w:val="nil"/>
              <w:bottom w:val="single" w:color="auto" w:sz="4" w:space="0"/>
              <w:right w:val="single" w:color="auto" w:sz="4" w:space="0"/>
            </w:tcBorders>
            <w:shd w:val="clear" w:color="auto" w:fill="auto"/>
            <w:vAlign w:val="center"/>
          </w:tcPr>
          <w:p w14:paraId="494B24F5">
            <w:pPr>
              <w:pStyle w:val="149"/>
            </w:pPr>
            <w:r>
              <w:t xml:space="preserve">1.83 </w:t>
            </w:r>
          </w:p>
        </w:tc>
        <w:tc>
          <w:tcPr>
            <w:tcW w:w="713" w:type="dxa"/>
            <w:tcBorders>
              <w:top w:val="nil"/>
              <w:left w:val="nil"/>
              <w:bottom w:val="single" w:color="auto" w:sz="4" w:space="0"/>
              <w:right w:val="single" w:color="auto" w:sz="4" w:space="0"/>
            </w:tcBorders>
            <w:shd w:val="clear" w:color="auto" w:fill="auto"/>
            <w:vAlign w:val="center"/>
          </w:tcPr>
          <w:p w14:paraId="7C0AAC81">
            <w:pPr>
              <w:pStyle w:val="149"/>
            </w:pPr>
            <w:r>
              <w:t xml:space="preserve">2190 </w:t>
            </w:r>
          </w:p>
        </w:tc>
        <w:tc>
          <w:tcPr>
            <w:tcW w:w="636" w:type="dxa"/>
            <w:tcBorders>
              <w:top w:val="nil"/>
              <w:left w:val="nil"/>
              <w:bottom w:val="single" w:color="auto" w:sz="4" w:space="0"/>
              <w:right w:val="single" w:color="auto" w:sz="4" w:space="0"/>
            </w:tcBorders>
            <w:shd w:val="clear" w:color="auto" w:fill="auto"/>
            <w:vAlign w:val="center"/>
          </w:tcPr>
          <w:p w14:paraId="60D7DDA0">
            <w:pPr>
              <w:pStyle w:val="149"/>
            </w:pPr>
            <w:r>
              <w:t xml:space="preserve">1496 </w:t>
            </w:r>
          </w:p>
        </w:tc>
        <w:tc>
          <w:tcPr>
            <w:tcW w:w="636" w:type="dxa"/>
            <w:tcBorders>
              <w:top w:val="nil"/>
              <w:left w:val="nil"/>
              <w:bottom w:val="single" w:color="auto" w:sz="4" w:space="0"/>
              <w:right w:val="single" w:color="auto" w:sz="4" w:space="0"/>
            </w:tcBorders>
            <w:shd w:val="clear" w:color="auto" w:fill="auto"/>
            <w:vAlign w:val="center"/>
          </w:tcPr>
          <w:p w14:paraId="03A94BB0">
            <w:pPr>
              <w:pStyle w:val="149"/>
            </w:pPr>
            <w:r>
              <w:t xml:space="preserve">958 </w:t>
            </w:r>
          </w:p>
        </w:tc>
        <w:tc>
          <w:tcPr>
            <w:tcW w:w="708" w:type="dxa"/>
            <w:tcBorders>
              <w:top w:val="nil"/>
              <w:left w:val="nil"/>
              <w:bottom w:val="single" w:color="auto" w:sz="4" w:space="0"/>
              <w:right w:val="single" w:color="auto" w:sz="4" w:space="0"/>
            </w:tcBorders>
            <w:shd w:val="clear" w:color="auto" w:fill="auto"/>
            <w:vAlign w:val="center"/>
          </w:tcPr>
          <w:p w14:paraId="0A5181F3">
            <w:pPr>
              <w:pStyle w:val="149"/>
            </w:pPr>
            <w:r>
              <w:t xml:space="preserve">719 </w:t>
            </w:r>
          </w:p>
        </w:tc>
        <w:tc>
          <w:tcPr>
            <w:tcW w:w="695" w:type="dxa"/>
            <w:tcBorders>
              <w:top w:val="nil"/>
              <w:left w:val="nil"/>
              <w:bottom w:val="single" w:color="auto" w:sz="4" w:space="0"/>
              <w:right w:val="single" w:color="auto" w:sz="4" w:space="0"/>
            </w:tcBorders>
            <w:shd w:val="clear" w:color="auto" w:fill="auto"/>
            <w:vAlign w:val="center"/>
          </w:tcPr>
          <w:p w14:paraId="3AB84196">
            <w:pPr>
              <w:pStyle w:val="149"/>
            </w:pPr>
            <w:r>
              <w:t xml:space="preserve">492 </w:t>
            </w:r>
          </w:p>
        </w:tc>
        <w:tc>
          <w:tcPr>
            <w:tcW w:w="1290" w:type="dxa"/>
            <w:tcBorders>
              <w:top w:val="nil"/>
              <w:left w:val="nil"/>
              <w:bottom w:val="single" w:color="auto" w:sz="4" w:space="0"/>
              <w:right w:val="single" w:color="auto" w:sz="4" w:space="0"/>
            </w:tcBorders>
            <w:shd w:val="clear" w:color="auto" w:fill="auto"/>
            <w:vAlign w:val="center"/>
          </w:tcPr>
          <w:p w14:paraId="39B3189D">
            <w:pPr>
              <w:pStyle w:val="149"/>
            </w:pPr>
            <w:r>
              <w:t xml:space="preserve">595 </w:t>
            </w:r>
          </w:p>
        </w:tc>
        <w:tc>
          <w:tcPr>
            <w:tcW w:w="850" w:type="dxa"/>
            <w:tcBorders>
              <w:top w:val="nil"/>
              <w:left w:val="nil"/>
              <w:bottom w:val="single" w:color="auto" w:sz="4" w:space="0"/>
              <w:right w:val="single" w:color="auto" w:sz="4" w:space="0"/>
            </w:tcBorders>
            <w:shd w:val="clear" w:color="auto" w:fill="auto"/>
            <w:vAlign w:val="center"/>
          </w:tcPr>
          <w:p w14:paraId="59DAE342">
            <w:pPr>
              <w:pStyle w:val="149"/>
            </w:pPr>
            <w:r>
              <w:t xml:space="preserve">118 </w:t>
            </w:r>
          </w:p>
        </w:tc>
        <w:tc>
          <w:tcPr>
            <w:tcW w:w="993" w:type="dxa"/>
            <w:tcBorders>
              <w:top w:val="nil"/>
              <w:left w:val="nil"/>
              <w:bottom w:val="single" w:color="auto" w:sz="4" w:space="0"/>
              <w:right w:val="single" w:color="auto" w:sz="4" w:space="0"/>
            </w:tcBorders>
            <w:shd w:val="clear" w:color="auto" w:fill="auto"/>
            <w:vAlign w:val="center"/>
          </w:tcPr>
          <w:p w14:paraId="69084CA3">
            <w:pPr>
              <w:pStyle w:val="149"/>
            </w:pPr>
            <w:r>
              <w:t xml:space="preserve">54 </w:t>
            </w:r>
          </w:p>
        </w:tc>
        <w:tc>
          <w:tcPr>
            <w:tcW w:w="1155" w:type="dxa"/>
            <w:tcBorders>
              <w:top w:val="nil"/>
              <w:left w:val="nil"/>
              <w:bottom w:val="single" w:color="auto" w:sz="4" w:space="0"/>
              <w:right w:val="single" w:color="auto" w:sz="4" w:space="0"/>
            </w:tcBorders>
            <w:shd w:val="clear" w:color="auto" w:fill="auto"/>
            <w:vAlign w:val="center"/>
          </w:tcPr>
          <w:p w14:paraId="35AEC6CC">
            <w:pPr>
              <w:pStyle w:val="149"/>
            </w:pPr>
            <w:r>
              <w:t xml:space="preserve">64 </w:t>
            </w:r>
          </w:p>
        </w:tc>
      </w:tr>
      <w:tr w14:paraId="6436BFAB">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000000" w:sz="4" w:space="0"/>
              <w:right w:val="single" w:color="auto" w:sz="4" w:space="0"/>
            </w:tcBorders>
            <w:vAlign w:val="center"/>
          </w:tcPr>
          <w:p w14:paraId="349C8D69">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379FC7A7">
            <w:pPr>
              <w:pStyle w:val="149"/>
            </w:pPr>
          </w:p>
        </w:tc>
        <w:tc>
          <w:tcPr>
            <w:tcW w:w="0" w:type="auto"/>
            <w:tcBorders>
              <w:top w:val="nil"/>
              <w:left w:val="nil"/>
              <w:bottom w:val="single" w:color="auto" w:sz="4" w:space="0"/>
              <w:right w:val="single" w:color="auto" w:sz="4" w:space="0"/>
            </w:tcBorders>
            <w:shd w:val="clear" w:color="auto" w:fill="auto"/>
            <w:vAlign w:val="center"/>
          </w:tcPr>
          <w:p w14:paraId="09F395B0">
            <w:pPr>
              <w:pStyle w:val="149"/>
            </w:pPr>
            <w:r>
              <w:rPr>
                <w:rFonts w:hint="eastAsia"/>
              </w:rPr>
              <w:t>陆地水域</w:t>
            </w:r>
          </w:p>
        </w:tc>
        <w:tc>
          <w:tcPr>
            <w:tcW w:w="1517" w:type="dxa"/>
            <w:tcBorders>
              <w:top w:val="nil"/>
              <w:left w:val="nil"/>
              <w:bottom w:val="single" w:color="auto" w:sz="4" w:space="0"/>
              <w:right w:val="single" w:color="auto" w:sz="4" w:space="0"/>
            </w:tcBorders>
            <w:shd w:val="clear" w:color="auto" w:fill="auto"/>
            <w:vAlign w:val="center"/>
          </w:tcPr>
          <w:p w14:paraId="45DA6743">
            <w:pPr>
              <w:pStyle w:val="149"/>
            </w:pPr>
            <w:r>
              <w:rPr>
                <w:rFonts w:hint="eastAsia"/>
              </w:rPr>
              <w:t>一般扰动地表</w:t>
            </w:r>
          </w:p>
        </w:tc>
        <w:tc>
          <w:tcPr>
            <w:tcW w:w="1511" w:type="dxa"/>
            <w:tcBorders>
              <w:top w:val="nil"/>
              <w:left w:val="nil"/>
              <w:bottom w:val="single" w:color="auto" w:sz="4" w:space="0"/>
              <w:right w:val="single" w:color="auto" w:sz="4" w:space="0"/>
            </w:tcBorders>
            <w:shd w:val="clear" w:color="auto" w:fill="auto"/>
            <w:vAlign w:val="center"/>
          </w:tcPr>
          <w:p w14:paraId="7057887A">
            <w:pPr>
              <w:pStyle w:val="149"/>
            </w:pPr>
            <w:r>
              <w:rPr>
                <w:rFonts w:hint="eastAsia"/>
              </w:rPr>
              <w:t>地表翻扰型</w:t>
            </w:r>
          </w:p>
        </w:tc>
        <w:tc>
          <w:tcPr>
            <w:tcW w:w="1276" w:type="dxa"/>
            <w:tcBorders>
              <w:top w:val="nil"/>
              <w:left w:val="nil"/>
              <w:bottom w:val="single" w:color="auto" w:sz="4" w:space="0"/>
              <w:right w:val="single" w:color="auto" w:sz="4" w:space="0"/>
            </w:tcBorders>
            <w:shd w:val="clear" w:color="auto" w:fill="auto"/>
            <w:vAlign w:val="center"/>
          </w:tcPr>
          <w:p w14:paraId="105E9572">
            <w:pPr>
              <w:pStyle w:val="149"/>
            </w:pPr>
            <w:r>
              <w:t xml:space="preserve">1.10 </w:t>
            </w:r>
          </w:p>
        </w:tc>
        <w:tc>
          <w:tcPr>
            <w:tcW w:w="713" w:type="dxa"/>
            <w:tcBorders>
              <w:top w:val="nil"/>
              <w:left w:val="nil"/>
              <w:bottom w:val="single" w:color="auto" w:sz="4" w:space="0"/>
              <w:right w:val="single" w:color="auto" w:sz="4" w:space="0"/>
            </w:tcBorders>
            <w:shd w:val="clear" w:color="auto" w:fill="auto"/>
            <w:vAlign w:val="center"/>
          </w:tcPr>
          <w:p w14:paraId="79396F61">
            <w:pPr>
              <w:pStyle w:val="149"/>
            </w:pPr>
            <w:r>
              <w:t xml:space="preserve">2190 </w:t>
            </w:r>
          </w:p>
        </w:tc>
        <w:tc>
          <w:tcPr>
            <w:tcW w:w="636" w:type="dxa"/>
            <w:tcBorders>
              <w:top w:val="nil"/>
              <w:left w:val="nil"/>
              <w:bottom w:val="single" w:color="auto" w:sz="4" w:space="0"/>
              <w:right w:val="single" w:color="auto" w:sz="4" w:space="0"/>
            </w:tcBorders>
            <w:shd w:val="clear" w:color="auto" w:fill="auto"/>
            <w:vAlign w:val="center"/>
          </w:tcPr>
          <w:p w14:paraId="207A41D2">
            <w:pPr>
              <w:pStyle w:val="149"/>
            </w:pPr>
            <w:r>
              <w:t xml:space="preserve">1496 </w:t>
            </w:r>
          </w:p>
        </w:tc>
        <w:tc>
          <w:tcPr>
            <w:tcW w:w="636" w:type="dxa"/>
            <w:tcBorders>
              <w:top w:val="nil"/>
              <w:left w:val="nil"/>
              <w:bottom w:val="single" w:color="auto" w:sz="4" w:space="0"/>
              <w:right w:val="single" w:color="auto" w:sz="4" w:space="0"/>
            </w:tcBorders>
            <w:shd w:val="clear" w:color="auto" w:fill="auto"/>
            <w:vAlign w:val="center"/>
          </w:tcPr>
          <w:p w14:paraId="272F0BA6">
            <w:pPr>
              <w:pStyle w:val="149"/>
            </w:pPr>
            <w:r>
              <w:t xml:space="preserve">958 </w:t>
            </w:r>
          </w:p>
        </w:tc>
        <w:tc>
          <w:tcPr>
            <w:tcW w:w="708" w:type="dxa"/>
            <w:tcBorders>
              <w:top w:val="nil"/>
              <w:left w:val="nil"/>
              <w:bottom w:val="single" w:color="auto" w:sz="4" w:space="0"/>
              <w:right w:val="single" w:color="auto" w:sz="4" w:space="0"/>
            </w:tcBorders>
            <w:shd w:val="clear" w:color="auto" w:fill="auto"/>
            <w:vAlign w:val="center"/>
          </w:tcPr>
          <w:p w14:paraId="38024DE7">
            <w:pPr>
              <w:pStyle w:val="149"/>
            </w:pPr>
            <w:r>
              <w:t xml:space="preserve">719 </w:t>
            </w:r>
          </w:p>
        </w:tc>
        <w:tc>
          <w:tcPr>
            <w:tcW w:w="695" w:type="dxa"/>
            <w:tcBorders>
              <w:top w:val="nil"/>
              <w:left w:val="nil"/>
              <w:bottom w:val="single" w:color="auto" w:sz="4" w:space="0"/>
              <w:right w:val="single" w:color="auto" w:sz="4" w:space="0"/>
            </w:tcBorders>
            <w:shd w:val="clear" w:color="auto" w:fill="auto"/>
            <w:vAlign w:val="center"/>
          </w:tcPr>
          <w:p w14:paraId="6C97693F">
            <w:pPr>
              <w:pStyle w:val="149"/>
            </w:pPr>
            <w:r>
              <w:t xml:space="preserve">492 </w:t>
            </w:r>
          </w:p>
        </w:tc>
        <w:tc>
          <w:tcPr>
            <w:tcW w:w="1290" w:type="dxa"/>
            <w:tcBorders>
              <w:top w:val="nil"/>
              <w:left w:val="nil"/>
              <w:bottom w:val="single" w:color="auto" w:sz="4" w:space="0"/>
              <w:right w:val="single" w:color="auto" w:sz="4" w:space="0"/>
            </w:tcBorders>
            <w:shd w:val="clear" w:color="auto" w:fill="auto"/>
            <w:vAlign w:val="center"/>
          </w:tcPr>
          <w:p w14:paraId="0BDD6EBE">
            <w:pPr>
              <w:pStyle w:val="149"/>
            </w:pPr>
            <w:r>
              <w:t xml:space="preserve">595 </w:t>
            </w:r>
          </w:p>
        </w:tc>
        <w:tc>
          <w:tcPr>
            <w:tcW w:w="850" w:type="dxa"/>
            <w:tcBorders>
              <w:top w:val="nil"/>
              <w:left w:val="nil"/>
              <w:bottom w:val="single" w:color="auto" w:sz="4" w:space="0"/>
              <w:right w:val="single" w:color="auto" w:sz="4" w:space="0"/>
            </w:tcBorders>
            <w:shd w:val="clear" w:color="auto" w:fill="auto"/>
            <w:vAlign w:val="center"/>
          </w:tcPr>
          <w:p w14:paraId="0BEC6CE7">
            <w:pPr>
              <w:pStyle w:val="149"/>
            </w:pPr>
            <w:r>
              <w:t xml:space="preserve">71 </w:t>
            </w:r>
          </w:p>
        </w:tc>
        <w:tc>
          <w:tcPr>
            <w:tcW w:w="993" w:type="dxa"/>
            <w:tcBorders>
              <w:top w:val="nil"/>
              <w:left w:val="nil"/>
              <w:bottom w:val="single" w:color="auto" w:sz="4" w:space="0"/>
              <w:right w:val="single" w:color="auto" w:sz="4" w:space="0"/>
            </w:tcBorders>
            <w:shd w:val="clear" w:color="auto" w:fill="auto"/>
            <w:vAlign w:val="center"/>
          </w:tcPr>
          <w:p w14:paraId="7DC10E23">
            <w:pPr>
              <w:pStyle w:val="149"/>
            </w:pPr>
            <w:r>
              <w:t xml:space="preserve">33 </w:t>
            </w:r>
          </w:p>
        </w:tc>
        <w:tc>
          <w:tcPr>
            <w:tcW w:w="1155" w:type="dxa"/>
            <w:tcBorders>
              <w:top w:val="nil"/>
              <w:left w:val="nil"/>
              <w:bottom w:val="single" w:color="auto" w:sz="4" w:space="0"/>
              <w:right w:val="single" w:color="auto" w:sz="4" w:space="0"/>
            </w:tcBorders>
            <w:shd w:val="clear" w:color="auto" w:fill="auto"/>
            <w:vAlign w:val="center"/>
          </w:tcPr>
          <w:p w14:paraId="3E405197">
            <w:pPr>
              <w:pStyle w:val="149"/>
            </w:pPr>
            <w:r>
              <w:t xml:space="preserve">38 </w:t>
            </w:r>
          </w:p>
        </w:tc>
      </w:tr>
      <w:tr w14:paraId="0C8F307D">
        <w:tblPrEx>
          <w:tblCellMar>
            <w:top w:w="0" w:type="dxa"/>
            <w:left w:w="108" w:type="dxa"/>
            <w:bottom w:w="0" w:type="dxa"/>
            <w:right w:w="108" w:type="dxa"/>
          </w:tblCellMar>
        </w:tblPrEx>
        <w:trPr>
          <w:trHeight w:val="369" w:hRule="atLeast"/>
        </w:trPr>
        <w:tc>
          <w:tcPr>
            <w:tcW w:w="5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0BD7860">
            <w:pPr>
              <w:pStyle w:val="149"/>
            </w:pPr>
            <w:r>
              <w:rPr>
                <w:rFonts w:hint="eastAsia"/>
              </w:rPr>
              <w:t>合计</w:t>
            </w:r>
          </w:p>
        </w:tc>
        <w:tc>
          <w:tcPr>
            <w:tcW w:w="1276" w:type="dxa"/>
            <w:tcBorders>
              <w:top w:val="nil"/>
              <w:left w:val="nil"/>
              <w:bottom w:val="single" w:color="auto" w:sz="4" w:space="0"/>
              <w:right w:val="single" w:color="auto" w:sz="4" w:space="0"/>
            </w:tcBorders>
            <w:shd w:val="clear" w:color="auto" w:fill="auto"/>
            <w:vAlign w:val="center"/>
          </w:tcPr>
          <w:p w14:paraId="5C453B6B">
            <w:pPr>
              <w:pStyle w:val="149"/>
            </w:pPr>
            <w:r>
              <w:t xml:space="preserve">285.12 </w:t>
            </w:r>
          </w:p>
        </w:tc>
        <w:tc>
          <w:tcPr>
            <w:tcW w:w="713" w:type="dxa"/>
            <w:tcBorders>
              <w:top w:val="nil"/>
              <w:left w:val="nil"/>
              <w:bottom w:val="single" w:color="auto" w:sz="4" w:space="0"/>
              <w:right w:val="single" w:color="auto" w:sz="4" w:space="0"/>
            </w:tcBorders>
            <w:shd w:val="clear" w:color="auto" w:fill="auto"/>
            <w:vAlign w:val="center"/>
          </w:tcPr>
          <w:p w14:paraId="16C55676">
            <w:pPr>
              <w:pStyle w:val="149"/>
            </w:pPr>
            <w:r>
              <w:t>　</w:t>
            </w:r>
          </w:p>
        </w:tc>
        <w:tc>
          <w:tcPr>
            <w:tcW w:w="636" w:type="dxa"/>
            <w:tcBorders>
              <w:top w:val="nil"/>
              <w:left w:val="nil"/>
              <w:bottom w:val="single" w:color="auto" w:sz="4" w:space="0"/>
              <w:right w:val="single" w:color="auto" w:sz="4" w:space="0"/>
            </w:tcBorders>
            <w:shd w:val="clear" w:color="auto" w:fill="auto"/>
            <w:vAlign w:val="center"/>
          </w:tcPr>
          <w:p w14:paraId="1ED80F25">
            <w:pPr>
              <w:pStyle w:val="149"/>
            </w:pPr>
            <w:r>
              <w:t>　</w:t>
            </w:r>
          </w:p>
        </w:tc>
        <w:tc>
          <w:tcPr>
            <w:tcW w:w="636" w:type="dxa"/>
            <w:tcBorders>
              <w:top w:val="nil"/>
              <w:left w:val="nil"/>
              <w:bottom w:val="single" w:color="auto" w:sz="4" w:space="0"/>
              <w:right w:val="single" w:color="auto" w:sz="4" w:space="0"/>
            </w:tcBorders>
            <w:shd w:val="clear" w:color="auto" w:fill="auto"/>
            <w:vAlign w:val="center"/>
          </w:tcPr>
          <w:p w14:paraId="503F75FF">
            <w:pPr>
              <w:pStyle w:val="149"/>
            </w:pPr>
            <w:r>
              <w:t>　</w:t>
            </w:r>
          </w:p>
        </w:tc>
        <w:tc>
          <w:tcPr>
            <w:tcW w:w="708" w:type="dxa"/>
            <w:tcBorders>
              <w:top w:val="nil"/>
              <w:left w:val="nil"/>
              <w:bottom w:val="single" w:color="auto" w:sz="4" w:space="0"/>
              <w:right w:val="single" w:color="auto" w:sz="4" w:space="0"/>
            </w:tcBorders>
            <w:shd w:val="clear" w:color="auto" w:fill="auto"/>
            <w:vAlign w:val="center"/>
          </w:tcPr>
          <w:p w14:paraId="2058E6F3">
            <w:pPr>
              <w:pStyle w:val="149"/>
            </w:pPr>
            <w:r>
              <w:t>　</w:t>
            </w:r>
          </w:p>
        </w:tc>
        <w:tc>
          <w:tcPr>
            <w:tcW w:w="695" w:type="dxa"/>
            <w:tcBorders>
              <w:top w:val="nil"/>
              <w:left w:val="nil"/>
              <w:bottom w:val="single" w:color="auto" w:sz="4" w:space="0"/>
              <w:right w:val="single" w:color="auto" w:sz="4" w:space="0"/>
            </w:tcBorders>
            <w:shd w:val="clear" w:color="auto" w:fill="auto"/>
            <w:vAlign w:val="center"/>
          </w:tcPr>
          <w:p w14:paraId="31B417C7">
            <w:pPr>
              <w:pStyle w:val="149"/>
            </w:pPr>
            <w:r>
              <w:t>　</w:t>
            </w:r>
          </w:p>
        </w:tc>
        <w:tc>
          <w:tcPr>
            <w:tcW w:w="1290" w:type="dxa"/>
            <w:tcBorders>
              <w:top w:val="nil"/>
              <w:left w:val="nil"/>
              <w:bottom w:val="single" w:color="auto" w:sz="4" w:space="0"/>
              <w:right w:val="single" w:color="auto" w:sz="4" w:space="0"/>
            </w:tcBorders>
            <w:shd w:val="clear" w:color="auto" w:fill="auto"/>
            <w:vAlign w:val="center"/>
          </w:tcPr>
          <w:p w14:paraId="3F142F88">
            <w:pPr>
              <w:pStyle w:val="149"/>
            </w:pPr>
            <w:r>
              <w:t>　</w:t>
            </w:r>
          </w:p>
        </w:tc>
        <w:tc>
          <w:tcPr>
            <w:tcW w:w="850" w:type="dxa"/>
            <w:tcBorders>
              <w:top w:val="nil"/>
              <w:left w:val="nil"/>
              <w:bottom w:val="single" w:color="auto" w:sz="4" w:space="0"/>
              <w:right w:val="single" w:color="auto" w:sz="4" w:space="0"/>
            </w:tcBorders>
            <w:shd w:val="clear" w:color="auto" w:fill="auto"/>
            <w:vAlign w:val="center"/>
          </w:tcPr>
          <w:p w14:paraId="02933BCF">
            <w:pPr>
              <w:pStyle w:val="149"/>
            </w:pPr>
            <w:r>
              <w:t xml:space="preserve">20010 </w:t>
            </w:r>
          </w:p>
        </w:tc>
        <w:tc>
          <w:tcPr>
            <w:tcW w:w="993" w:type="dxa"/>
            <w:tcBorders>
              <w:top w:val="nil"/>
              <w:left w:val="nil"/>
              <w:bottom w:val="single" w:color="auto" w:sz="4" w:space="0"/>
              <w:right w:val="single" w:color="auto" w:sz="4" w:space="0"/>
            </w:tcBorders>
            <w:shd w:val="clear" w:color="auto" w:fill="auto"/>
            <w:vAlign w:val="center"/>
          </w:tcPr>
          <w:p w14:paraId="4A4EF8D2">
            <w:pPr>
              <w:pStyle w:val="149"/>
            </w:pPr>
            <w:r>
              <w:t xml:space="preserve">10162 </w:t>
            </w:r>
          </w:p>
        </w:tc>
        <w:tc>
          <w:tcPr>
            <w:tcW w:w="1155" w:type="dxa"/>
            <w:tcBorders>
              <w:top w:val="nil"/>
              <w:left w:val="nil"/>
              <w:bottom w:val="single" w:color="auto" w:sz="4" w:space="0"/>
              <w:right w:val="single" w:color="auto" w:sz="4" w:space="0"/>
            </w:tcBorders>
            <w:shd w:val="clear" w:color="auto" w:fill="auto"/>
            <w:vAlign w:val="center"/>
          </w:tcPr>
          <w:p w14:paraId="691D95DB">
            <w:pPr>
              <w:pStyle w:val="149"/>
            </w:pPr>
            <w:r>
              <w:t xml:space="preserve">9849 </w:t>
            </w:r>
          </w:p>
        </w:tc>
      </w:tr>
      <w:tr w14:paraId="266F4002">
        <w:tblPrEx>
          <w:tblCellMar>
            <w:top w:w="0" w:type="dxa"/>
            <w:left w:w="108" w:type="dxa"/>
            <w:bottom w:w="0" w:type="dxa"/>
            <w:right w:w="108" w:type="dxa"/>
          </w:tblCellMar>
        </w:tblPrEx>
        <w:trPr>
          <w:trHeight w:val="369"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04BEE6E0">
            <w:pPr>
              <w:pStyle w:val="149"/>
            </w:pPr>
            <w:r>
              <w:rPr>
                <w:rFonts w:hint="eastAsia"/>
              </w:rPr>
              <w:t>风力侵蚀</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02E723D4">
            <w:pPr>
              <w:pStyle w:val="149"/>
            </w:pPr>
            <w:r>
              <w:rPr>
                <w:rFonts w:hint="eastAsia"/>
              </w:rPr>
              <w:t>金山产业园北区</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3EC3CAC2">
            <w:pPr>
              <w:pStyle w:val="149"/>
            </w:pPr>
            <w:r>
              <w:rPr>
                <w:rFonts w:hint="eastAsia"/>
              </w:rPr>
              <w:t>公共管理与公共服务用地</w:t>
            </w:r>
          </w:p>
        </w:tc>
        <w:tc>
          <w:tcPr>
            <w:tcW w:w="1517" w:type="dxa"/>
            <w:tcBorders>
              <w:top w:val="nil"/>
              <w:left w:val="nil"/>
              <w:bottom w:val="single" w:color="auto" w:sz="4" w:space="0"/>
              <w:right w:val="single" w:color="auto" w:sz="4" w:space="0"/>
            </w:tcBorders>
            <w:shd w:val="clear" w:color="auto" w:fill="auto"/>
            <w:vAlign w:val="center"/>
          </w:tcPr>
          <w:p w14:paraId="2856DFDA">
            <w:pPr>
              <w:pStyle w:val="149"/>
            </w:pPr>
            <w:r>
              <w:rPr>
                <w:rFonts w:hint="eastAsia"/>
              </w:rPr>
              <w:t>一般扰动地表</w:t>
            </w:r>
          </w:p>
        </w:tc>
        <w:tc>
          <w:tcPr>
            <w:tcW w:w="1511" w:type="dxa"/>
            <w:tcBorders>
              <w:top w:val="nil"/>
              <w:left w:val="nil"/>
              <w:bottom w:val="single" w:color="auto" w:sz="4" w:space="0"/>
              <w:right w:val="single" w:color="auto" w:sz="4" w:space="0"/>
            </w:tcBorders>
            <w:shd w:val="clear" w:color="auto" w:fill="auto"/>
            <w:vAlign w:val="center"/>
          </w:tcPr>
          <w:p w14:paraId="5F5A2A06">
            <w:pPr>
              <w:pStyle w:val="149"/>
            </w:pPr>
            <w:r>
              <w:t>——</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409EC005">
            <w:pPr>
              <w:pStyle w:val="149"/>
            </w:pPr>
            <w:r>
              <w:t xml:space="preserve">0.37 </w:t>
            </w:r>
          </w:p>
        </w:tc>
        <w:tc>
          <w:tcPr>
            <w:tcW w:w="713" w:type="dxa"/>
            <w:vMerge w:val="restart"/>
            <w:tcBorders>
              <w:top w:val="nil"/>
              <w:left w:val="single" w:color="auto" w:sz="4" w:space="0"/>
              <w:bottom w:val="single" w:color="auto" w:sz="4" w:space="0"/>
              <w:right w:val="single" w:color="auto" w:sz="4" w:space="0"/>
            </w:tcBorders>
            <w:shd w:val="clear" w:color="auto" w:fill="auto"/>
            <w:vAlign w:val="center"/>
          </w:tcPr>
          <w:p w14:paraId="66905CD7">
            <w:pPr>
              <w:pStyle w:val="149"/>
            </w:pPr>
            <w:r>
              <w:t xml:space="preserve">6912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4AAC7812">
            <w:pPr>
              <w:pStyle w:val="149"/>
            </w:pPr>
            <w:r>
              <w:t xml:space="preserve">5675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3D3768B2">
            <w:pPr>
              <w:pStyle w:val="149"/>
            </w:pPr>
            <w:r>
              <w:t xml:space="preserve">4436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3D9A2BC1">
            <w:pPr>
              <w:pStyle w:val="149"/>
            </w:pPr>
            <w:r>
              <w:t xml:space="preserve">3125 </w:t>
            </w:r>
          </w:p>
        </w:tc>
        <w:tc>
          <w:tcPr>
            <w:tcW w:w="695" w:type="dxa"/>
            <w:vMerge w:val="restart"/>
            <w:tcBorders>
              <w:top w:val="nil"/>
              <w:left w:val="single" w:color="auto" w:sz="4" w:space="0"/>
              <w:bottom w:val="single" w:color="auto" w:sz="4" w:space="0"/>
              <w:right w:val="single" w:color="auto" w:sz="4" w:space="0"/>
            </w:tcBorders>
            <w:shd w:val="clear" w:color="auto" w:fill="auto"/>
            <w:vAlign w:val="center"/>
          </w:tcPr>
          <w:p w14:paraId="4BD1F045">
            <w:pPr>
              <w:pStyle w:val="149"/>
            </w:pPr>
            <w:r>
              <w:t xml:space="preserve">2112 </w:t>
            </w:r>
          </w:p>
        </w:tc>
        <w:tc>
          <w:tcPr>
            <w:tcW w:w="1290" w:type="dxa"/>
            <w:vMerge w:val="restart"/>
            <w:tcBorders>
              <w:top w:val="nil"/>
              <w:left w:val="single" w:color="auto" w:sz="4" w:space="0"/>
              <w:bottom w:val="single" w:color="auto" w:sz="4" w:space="0"/>
              <w:right w:val="single" w:color="auto" w:sz="4" w:space="0"/>
            </w:tcBorders>
            <w:shd w:val="clear" w:color="auto" w:fill="auto"/>
            <w:vAlign w:val="center"/>
          </w:tcPr>
          <w:p w14:paraId="25AA097B">
            <w:pPr>
              <w:pStyle w:val="149"/>
            </w:pPr>
            <w:r>
              <w:t xml:space="preserve">2112 </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14:paraId="10C63104">
            <w:pPr>
              <w:pStyle w:val="149"/>
            </w:pPr>
            <w:r>
              <w:t xml:space="preserve">83 </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289DD1E5">
            <w:pPr>
              <w:pStyle w:val="149"/>
            </w:pPr>
            <w:r>
              <w:t xml:space="preserve">40 </w:t>
            </w:r>
          </w:p>
        </w:tc>
        <w:tc>
          <w:tcPr>
            <w:tcW w:w="1155" w:type="dxa"/>
            <w:vMerge w:val="restart"/>
            <w:tcBorders>
              <w:top w:val="nil"/>
              <w:left w:val="single" w:color="auto" w:sz="4" w:space="0"/>
              <w:bottom w:val="single" w:color="auto" w:sz="4" w:space="0"/>
              <w:right w:val="single" w:color="auto" w:sz="4" w:space="0"/>
            </w:tcBorders>
            <w:shd w:val="clear" w:color="auto" w:fill="auto"/>
            <w:vAlign w:val="center"/>
          </w:tcPr>
          <w:p w14:paraId="6D2F7093">
            <w:pPr>
              <w:pStyle w:val="149"/>
            </w:pPr>
            <w:r>
              <w:t xml:space="preserve">44 </w:t>
            </w:r>
          </w:p>
        </w:tc>
      </w:tr>
      <w:tr w14:paraId="4E47F780">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auto" w:sz="4" w:space="0"/>
              <w:right w:val="single" w:color="auto" w:sz="4" w:space="0"/>
            </w:tcBorders>
            <w:vAlign w:val="center"/>
          </w:tcPr>
          <w:p w14:paraId="7C9B2FD9">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104F52BA">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07CE0B65">
            <w:pPr>
              <w:pStyle w:val="149"/>
            </w:pPr>
          </w:p>
        </w:tc>
        <w:tc>
          <w:tcPr>
            <w:tcW w:w="1517" w:type="dxa"/>
            <w:tcBorders>
              <w:top w:val="nil"/>
              <w:left w:val="nil"/>
              <w:bottom w:val="single" w:color="auto" w:sz="4" w:space="0"/>
              <w:right w:val="single" w:color="auto" w:sz="4" w:space="0"/>
            </w:tcBorders>
            <w:shd w:val="clear" w:color="auto" w:fill="auto"/>
            <w:vAlign w:val="center"/>
          </w:tcPr>
          <w:p w14:paraId="7B88A0C7">
            <w:pPr>
              <w:pStyle w:val="149"/>
            </w:pPr>
            <w:r>
              <w:rPr>
                <w:rFonts w:hint="eastAsia"/>
              </w:rPr>
              <w:t>工程堆积体</w:t>
            </w:r>
          </w:p>
        </w:tc>
        <w:tc>
          <w:tcPr>
            <w:tcW w:w="1511" w:type="dxa"/>
            <w:tcBorders>
              <w:top w:val="nil"/>
              <w:left w:val="nil"/>
              <w:bottom w:val="single" w:color="auto" w:sz="4" w:space="0"/>
              <w:right w:val="single" w:color="auto" w:sz="4" w:space="0"/>
            </w:tcBorders>
            <w:shd w:val="clear" w:color="auto" w:fill="auto"/>
            <w:vAlign w:val="center"/>
          </w:tcPr>
          <w:p w14:paraId="541D6B1D">
            <w:pPr>
              <w:pStyle w:val="149"/>
            </w:pPr>
            <w:r>
              <w:t>——</w:t>
            </w:r>
          </w:p>
        </w:tc>
        <w:tc>
          <w:tcPr>
            <w:tcW w:w="1276" w:type="dxa"/>
            <w:vMerge w:val="continue"/>
            <w:tcBorders>
              <w:top w:val="nil"/>
              <w:left w:val="single" w:color="auto" w:sz="4" w:space="0"/>
              <w:bottom w:val="single" w:color="auto" w:sz="4" w:space="0"/>
              <w:right w:val="single" w:color="auto" w:sz="4" w:space="0"/>
            </w:tcBorders>
            <w:vAlign w:val="center"/>
          </w:tcPr>
          <w:p w14:paraId="3292AF6F">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19B185BE">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61A803A0">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3A606F9C">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224F1FAB">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6EA050F9">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668D1246">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7FBFF970">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25804E6C">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67B19713">
            <w:pPr>
              <w:pStyle w:val="149"/>
            </w:pPr>
          </w:p>
        </w:tc>
      </w:tr>
      <w:tr w14:paraId="27DDE581">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auto" w:sz="4" w:space="0"/>
              <w:right w:val="single" w:color="auto" w:sz="4" w:space="0"/>
            </w:tcBorders>
            <w:vAlign w:val="center"/>
          </w:tcPr>
          <w:p w14:paraId="60219FC0">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61FE67CB">
            <w:pPr>
              <w:pStyle w:val="149"/>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3C6306F2">
            <w:pPr>
              <w:pStyle w:val="149"/>
            </w:pPr>
            <w:r>
              <w:rPr>
                <w:rFonts w:hint="eastAsia"/>
              </w:rPr>
              <w:t>商业服务业用地</w:t>
            </w:r>
          </w:p>
        </w:tc>
        <w:tc>
          <w:tcPr>
            <w:tcW w:w="1517" w:type="dxa"/>
            <w:tcBorders>
              <w:top w:val="nil"/>
              <w:left w:val="nil"/>
              <w:bottom w:val="single" w:color="auto" w:sz="4" w:space="0"/>
              <w:right w:val="single" w:color="auto" w:sz="4" w:space="0"/>
            </w:tcBorders>
            <w:shd w:val="clear" w:color="auto" w:fill="auto"/>
            <w:vAlign w:val="center"/>
          </w:tcPr>
          <w:p w14:paraId="1258D06F">
            <w:pPr>
              <w:pStyle w:val="149"/>
            </w:pPr>
            <w:r>
              <w:rPr>
                <w:rFonts w:hint="eastAsia"/>
              </w:rPr>
              <w:t>一般扰动地表</w:t>
            </w:r>
          </w:p>
        </w:tc>
        <w:tc>
          <w:tcPr>
            <w:tcW w:w="1511" w:type="dxa"/>
            <w:tcBorders>
              <w:top w:val="nil"/>
              <w:left w:val="nil"/>
              <w:bottom w:val="single" w:color="auto" w:sz="4" w:space="0"/>
              <w:right w:val="single" w:color="auto" w:sz="4" w:space="0"/>
            </w:tcBorders>
            <w:shd w:val="clear" w:color="auto" w:fill="auto"/>
            <w:vAlign w:val="center"/>
          </w:tcPr>
          <w:p w14:paraId="69950F5E">
            <w:pPr>
              <w:pStyle w:val="149"/>
            </w:pPr>
            <w:r>
              <w:t>——</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61A680DD">
            <w:pPr>
              <w:pStyle w:val="149"/>
            </w:pPr>
            <w:r>
              <w:t xml:space="preserve">1.53 </w:t>
            </w:r>
          </w:p>
        </w:tc>
        <w:tc>
          <w:tcPr>
            <w:tcW w:w="713" w:type="dxa"/>
            <w:vMerge w:val="restart"/>
            <w:tcBorders>
              <w:top w:val="nil"/>
              <w:left w:val="single" w:color="auto" w:sz="4" w:space="0"/>
              <w:bottom w:val="single" w:color="auto" w:sz="4" w:space="0"/>
              <w:right w:val="single" w:color="auto" w:sz="4" w:space="0"/>
            </w:tcBorders>
            <w:shd w:val="clear" w:color="auto" w:fill="auto"/>
            <w:vAlign w:val="center"/>
          </w:tcPr>
          <w:p w14:paraId="5C975082">
            <w:pPr>
              <w:pStyle w:val="149"/>
            </w:pPr>
            <w:r>
              <w:t xml:space="preserve">6912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45DC69F2">
            <w:pPr>
              <w:pStyle w:val="149"/>
            </w:pPr>
            <w:r>
              <w:t xml:space="preserve">5675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2062896A">
            <w:pPr>
              <w:pStyle w:val="149"/>
            </w:pPr>
            <w:r>
              <w:t xml:space="preserve">4436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0CD07368">
            <w:pPr>
              <w:pStyle w:val="149"/>
            </w:pPr>
            <w:r>
              <w:t xml:space="preserve">3125 </w:t>
            </w:r>
          </w:p>
        </w:tc>
        <w:tc>
          <w:tcPr>
            <w:tcW w:w="695" w:type="dxa"/>
            <w:vMerge w:val="restart"/>
            <w:tcBorders>
              <w:top w:val="nil"/>
              <w:left w:val="single" w:color="auto" w:sz="4" w:space="0"/>
              <w:bottom w:val="single" w:color="auto" w:sz="4" w:space="0"/>
              <w:right w:val="single" w:color="auto" w:sz="4" w:space="0"/>
            </w:tcBorders>
            <w:shd w:val="clear" w:color="auto" w:fill="auto"/>
            <w:vAlign w:val="center"/>
          </w:tcPr>
          <w:p w14:paraId="2F315EEF">
            <w:pPr>
              <w:pStyle w:val="149"/>
            </w:pPr>
            <w:r>
              <w:t xml:space="preserve">2112 </w:t>
            </w:r>
          </w:p>
        </w:tc>
        <w:tc>
          <w:tcPr>
            <w:tcW w:w="1290" w:type="dxa"/>
            <w:vMerge w:val="restart"/>
            <w:tcBorders>
              <w:top w:val="nil"/>
              <w:left w:val="single" w:color="auto" w:sz="4" w:space="0"/>
              <w:bottom w:val="single" w:color="auto" w:sz="4" w:space="0"/>
              <w:right w:val="single" w:color="auto" w:sz="4" w:space="0"/>
            </w:tcBorders>
            <w:shd w:val="clear" w:color="auto" w:fill="auto"/>
            <w:vAlign w:val="center"/>
          </w:tcPr>
          <w:p w14:paraId="2FEB2256">
            <w:pPr>
              <w:pStyle w:val="149"/>
            </w:pPr>
            <w:r>
              <w:t xml:space="preserve">2112 </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14:paraId="18060BA8">
            <w:pPr>
              <w:pStyle w:val="149"/>
            </w:pPr>
            <w:r>
              <w:t xml:space="preserve">340 </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3F7C189F">
            <w:pPr>
              <w:pStyle w:val="149"/>
            </w:pPr>
            <w:r>
              <w:t xml:space="preserve">161 </w:t>
            </w:r>
          </w:p>
        </w:tc>
        <w:tc>
          <w:tcPr>
            <w:tcW w:w="1155" w:type="dxa"/>
            <w:vMerge w:val="restart"/>
            <w:tcBorders>
              <w:top w:val="nil"/>
              <w:left w:val="single" w:color="auto" w:sz="4" w:space="0"/>
              <w:bottom w:val="single" w:color="auto" w:sz="4" w:space="0"/>
              <w:right w:val="single" w:color="auto" w:sz="4" w:space="0"/>
            </w:tcBorders>
            <w:shd w:val="clear" w:color="auto" w:fill="auto"/>
            <w:vAlign w:val="center"/>
          </w:tcPr>
          <w:p w14:paraId="4B3B2767">
            <w:pPr>
              <w:pStyle w:val="149"/>
            </w:pPr>
            <w:r>
              <w:t xml:space="preserve">179 </w:t>
            </w:r>
          </w:p>
        </w:tc>
      </w:tr>
      <w:tr w14:paraId="54CCE20C">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auto" w:sz="4" w:space="0"/>
              <w:right w:val="single" w:color="auto" w:sz="4" w:space="0"/>
            </w:tcBorders>
            <w:vAlign w:val="center"/>
          </w:tcPr>
          <w:p w14:paraId="408240C1">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79622CC0">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3803B08B">
            <w:pPr>
              <w:pStyle w:val="149"/>
            </w:pPr>
          </w:p>
        </w:tc>
        <w:tc>
          <w:tcPr>
            <w:tcW w:w="1517" w:type="dxa"/>
            <w:tcBorders>
              <w:top w:val="nil"/>
              <w:left w:val="nil"/>
              <w:bottom w:val="single" w:color="auto" w:sz="4" w:space="0"/>
              <w:right w:val="single" w:color="auto" w:sz="4" w:space="0"/>
            </w:tcBorders>
            <w:shd w:val="clear" w:color="auto" w:fill="auto"/>
            <w:vAlign w:val="center"/>
          </w:tcPr>
          <w:p w14:paraId="2E5671EA">
            <w:pPr>
              <w:pStyle w:val="149"/>
            </w:pPr>
            <w:r>
              <w:rPr>
                <w:rFonts w:hint="eastAsia"/>
              </w:rPr>
              <w:t>工程堆积体</w:t>
            </w:r>
          </w:p>
        </w:tc>
        <w:tc>
          <w:tcPr>
            <w:tcW w:w="1511" w:type="dxa"/>
            <w:tcBorders>
              <w:top w:val="nil"/>
              <w:left w:val="nil"/>
              <w:bottom w:val="single" w:color="auto" w:sz="4" w:space="0"/>
              <w:right w:val="single" w:color="auto" w:sz="4" w:space="0"/>
            </w:tcBorders>
            <w:shd w:val="clear" w:color="auto" w:fill="auto"/>
            <w:vAlign w:val="center"/>
          </w:tcPr>
          <w:p w14:paraId="43A3DCBB">
            <w:pPr>
              <w:pStyle w:val="149"/>
            </w:pPr>
            <w:r>
              <w:t>——</w:t>
            </w:r>
          </w:p>
        </w:tc>
        <w:tc>
          <w:tcPr>
            <w:tcW w:w="1276" w:type="dxa"/>
            <w:vMerge w:val="continue"/>
            <w:tcBorders>
              <w:top w:val="nil"/>
              <w:left w:val="single" w:color="auto" w:sz="4" w:space="0"/>
              <w:bottom w:val="single" w:color="auto" w:sz="4" w:space="0"/>
              <w:right w:val="single" w:color="auto" w:sz="4" w:space="0"/>
            </w:tcBorders>
            <w:vAlign w:val="center"/>
          </w:tcPr>
          <w:p w14:paraId="331BDDCD">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2C4BFF0E">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7C6D5722">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53D027D8">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4D9AFFA4">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52F12241">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1EACD78F">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5E5720FD">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7F7809DC">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2BC69A98">
            <w:pPr>
              <w:pStyle w:val="149"/>
            </w:pPr>
          </w:p>
        </w:tc>
      </w:tr>
      <w:tr w14:paraId="544B47BD">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auto" w:sz="4" w:space="0"/>
              <w:right w:val="single" w:color="auto" w:sz="4" w:space="0"/>
            </w:tcBorders>
            <w:vAlign w:val="center"/>
          </w:tcPr>
          <w:p w14:paraId="20D4B493">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1EDB6E89">
            <w:pPr>
              <w:pStyle w:val="149"/>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599D40C8">
            <w:pPr>
              <w:pStyle w:val="149"/>
            </w:pPr>
            <w:r>
              <w:rPr>
                <w:rFonts w:hint="eastAsia"/>
              </w:rPr>
              <w:t>工矿用地</w:t>
            </w:r>
          </w:p>
        </w:tc>
        <w:tc>
          <w:tcPr>
            <w:tcW w:w="1517" w:type="dxa"/>
            <w:tcBorders>
              <w:top w:val="nil"/>
              <w:left w:val="nil"/>
              <w:bottom w:val="single" w:color="auto" w:sz="4" w:space="0"/>
              <w:right w:val="single" w:color="auto" w:sz="4" w:space="0"/>
            </w:tcBorders>
            <w:shd w:val="clear" w:color="auto" w:fill="auto"/>
            <w:vAlign w:val="center"/>
          </w:tcPr>
          <w:p w14:paraId="1B98E4BE">
            <w:pPr>
              <w:pStyle w:val="149"/>
            </w:pPr>
            <w:r>
              <w:rPr>
                <w:rFonts w:hint="eastAsia"/>
              </w:rPr>
              <w:t>一般扰动地表</w:t>
            </w:r>
          </w:p>
        </w:tc>
        <w:tc>
          <w:tcPr>
            <w:tcW w:w="1511" w:type="dxa"/>
            <w:tcBorders>
              <w:top w:val="nil"/>
              <w:left w:val="nil"/>
              <w:bottom w:val="single" w:color="auto" w:sz="4" w:space="0"/>
              <w:right w:val="single" w:color="auto" w:sz="4" w:space="0"/>
            </w:tcBorders>
            <w:shd w:val="clear" w:color="auto" w:fill="auto"/>
            <w:vAlign w:val="center"/>
          </w:tcPr>
          <w:p w14:paraId="3442A0CC">
            <w:pPr>
              <w:pStyle w:val="149"/>
            </w:pPr>
            <w:r>
              <w:t>——</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22D391DB">
            <w:pPr>
              <w:pStyle w:val="149"/>
            </w:pPr>
            <w:r>
              <w:t xml:space="preserve">200.86 </w:t>
            </w:r>
          </w:p>
        </w:tc>
        <w:tc>
          <w:tcPr>
            <w:tcW w:w="713" w:type="dxa"/>
            <w:vMerge w:val="restart"/>
            <w:tcBorders>
              <w:top w:val="nil"/>
              <w:left w:val="single" w:color="auto" w:sz="4" w:space="0"/>
              <w:bottom w:val="single" w:color="auto" w:sz="4" w:space="0"/>
              <w:right w:val="single" w:color="auto" w:sz="4" w:space="0"/>
            </w:tcBorders>
            <w:shd w:val="clear" w:color="auto" w:fill="auto"/>
            <w:vAlign w:val="center"/>
          </w:tcPr>
          <w:p w14:paraId="5969ED91">
            <w:pPr>
              <w:pStyle w:val="149"/>
            </w:pPr>
            <w:r>
              <w:t xml:space="preserve">6912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140CAF35">
            <w:pPr>
              <w:pStyle w:val="149"/>
            </w:pPr>
            <w:r>
              <w:t xml:space="preserve">5675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2F8A7365">
            <w:pPr>
              <w:pStyle w:val="149"/>
            </w:pPr>
            <w:r>
              <w:t xml:space="preserve">4436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54071DB1">
            <w:pPr>
              <w:pStyle w:val="149"/>
            </w:pPr>
            <w:r>
              <w:t xml:space="preserve">3125 </w:t>
            </w:r>
          </w:p>
        </w:tc>
        <w:tc>
          <w:tcPr>
            <w:tcW w:w="695" w:type="dxa"/>
            <w:vMerge w:val="restart"/>
            <w:tcBorders>
              <w:top w:val="nil"/>
              <w:left w:val="single" w:color="auto" w:sz="4" w:space="0"/>
              <w:bottom w:val="single" w:color="auto" w:sz="4" w:space="0"/>
              <w:right w:val="single" w:color="auto" w:sz="4" w:space="0"/>
            </w:tcBorders>
            <w:shd w:val="clear" w:color="auto" w:fill="auto"/>
            <w:vAlign w:val="center"/>
          </w:tcPr>
          <w:p w14:paraId="69B7105E">
            <w:pPr>
              <w:pStyle w:val="149"/>
            </w:pPr>
            <w:r>
              <w:t xml:space="preserve">2112 </w:t>
            </w:r>
          </w:p>
        </w:tc>
        <w:tc>
          <w:tcPr>
            <w:tcW w:w="1290" w:type="dxa"/>
            <w:vMerge w:val="restart"/>
            <w:tcBorders>
              <w:top w:val="nil"/>
              <w:left w:val="single" w:color="auto" w:sz="4" w:space="0"/>
              <w:bottom w:val="single" w:color="auto" w:sz="4" w:space="0"/>
              <w:right w:val="single" w:color="auto" w:sz="4" w:space="0"/>
            </w:tcBorders>
            <w:shd w:val="clear" w:color="auto" w:fill="auto"/>
            <w:vAlign w:val="center"/>
          </w:tcPr>
          <w:p w14:paraId="57C25BEC">
            <w:pPr>
              <w:pStyle w:val="149"/>
            </w:pPr>
            <w:r>
              <w:t xml:space="preserve">2112 </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14:paraId="14F6620A">
            <w:pPr>
              <w:pStyle w:val="149"/>
            </w:pPr>
            <w:r>
              <w:t xml:space="preserve">44711 </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4D535308">
            <w:pPr>
              <w:pStyle w:val="149"/>
            </w:pPr>
            <w:r>
              <w:t xml:space="preserve">21206 </w:t>
            </w:r>
          </w:p>
        </w:tc>
        <w:tc>
          <w:tcPr>
            <w:tcW w:w="1155" w:type="dxa"/>
            <w:vMerge w:val="restart"/>
            <w:tcBorders>
              <w:top w:val="nil"/>
              <w:left w:val="single" w:color="auto" w:sz="4" w:space="0"/>
              <w:bottom w:val="single" w:color="auto" w:sz="4" w:space="0"/>
              <w:right w:val="single" w:color="auto" w:sz="4" w:space="0"/>
            </w:tcBorders>
            <w:shd w:val="clear" w:color="auto" w:fill="auto"/>
            <w:vAlign w:val="center"/>
          </w:tcPr>
          <w:p w14:paraId="31CC732D">
            <w:pPr>
              <w:pStyle w:val="149"/>
            </w:pPr>
            <w:r>
              <w:t xml:space="preserve">23505 </w:t>
            </w:r>
          </w:p>
        </w:tc>
      </w:tr>
      <w:tr w14:paraId="2D740AE6">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auto" w:sz="4" w:space="0"/>
              <w:right w:val="single" w:color="auto" w:sz="4" w:space="0"/>
            </w:tcBorders>
            <w:vAlign w:val="center"/>
          </w:tcPr>
          <w:p w14:paraId="105D0888">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225FC342">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629E88F2">
            <w:pPr>
              <w:pStyle w:val="149"/>
            </w:pPr>
          </w:p>
        </w:tc>
        <w:tc>
          <w:tcPr>
            <w:tcW w:w="1517" w:type="dxa"/>
            <w:tcBorders>
              <w:top w:val="nil"/>
              <w:left w:val="nil"/>
              <w:bottom w:val="single" w:color="auto" w:sz="4" w:space="0"/>
              <w:right w:val="single" w:color="auto" w:sz="4" w:space="0"/>
            </w:tcBorders>
            <w:shd w:val="clear" w:color="auto" w:fill="auto"/>
            <w:vAlign w:val="center"/>
          </w:tcPr>
          <w:p w14:paraId="7427E8C6">
            <w:pPr>
              <w:pStyle w:val="149"/>
            </w:pPr>
            <w:r>
              <w:rPr>
                <w:rFonts w:hint="eastAsia"/>
              </w:rPr>
              <w:t>工程堆积体</w:t>
            </w:r>
          </w:p>
        </w:tc>
        <w:tc>
          <w:tcPr>
            <w:tcW w:w="1511" w:type="dxa"/>
            <w:tcBorders>
              <w:top w:val="nil"/>
              <w:left w:val="nil"/>
              <w:bottom w:val="single" w:color="auto" w:sz="4" w:space="0"/>
              <w:right w:val="single" w:color="auto" w:sz="4" w:space="0"/>
            </w:tcBorders>
            <w:shd w:val="clear" w:color="auto" w:fill="auto"/>
            <w:vAlign w:val="center"/>
          </w:tcPr>
          <w:p w14:paraId="6ACA4C3E">
            <w:pPr>
              <w:pStyle w:val="149"/>
            </w:pPr>
            <w:r>
              <w:t>——</w:t>
            </w:r>
          </w:p>
        </w:tc>
        <w:tc>
          <w:tcPr>
            <w:tcW w:w="1276" w:type="dxa"/>
            <w:vMerge w:val="continue"/>
            <w:tcBorders>
              <w:top w:val="nil"/>
              <w:left w:val="single" w:color="auto" w:sz="4" w:space="0"/>
              <w:bottom w:val="single" w:color="auto" w:sz="4" w:space="0"/>
              <w:right w:val="single" w:color="auto" w:sz="4" w:space="0"/>
            </w:tcBorders>
            <w:vAlign w:val="center"/>
          </w:tcPr>
          <w:p w14:paraId="289DD84A">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4B52738F">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393BA33C">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39B6D13F">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45D426FD">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4BCDA193">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4607517E">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537BB2C6">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4ACFFBCF">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4B9B58E0">
            <w:pPr>
              <w:pStyle w:val="149"/>
            </w:pPr>
          </w:p>
        </w:tc>
      </w:tr>
      <w:tr w14:paraId="6027E717">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auto" w:sz="4" w:space="0"/>
              <w:right w:val="single" w:color="auto" w:sz="4" w:space="0"/>
            </w:tcBorders>
            <w:vAlign w:val="center"/>
          </w:tcPr>
          <w:p w14:paraId="66A4460F">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417D58E2">
            <w:pPr>
              <w:pStyle w:val="149"/>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4B1BDF58">
            <w:pPr>
              <w:pStyle w:val="149"/>
            </w:pPr>
            <w:r>
              <w:rPr>
                <w:rFonts w:hint="eastAsia"/>
              </w:rPr>
              <w:t>交通运输用地</w:t>
            </w:r>
          </w:p>
        </w:tc>
        <w:tc>
          <w:tcPr>
            <w:tcW w:w="1517" w:type="dxa"/>
            <w:tcBorders>
              <w:top w:val="nil"/>
              <w:left w:val="nil"/>
              <w:bottom w:val="single" w:color="auto" w:sz="4" w:space="0"/>
              <w:right w:val="single" w:color="auto" w:sz="4" w:space="0"/>
            </w:tcBorders>
            <w:shd w:val="clear" w:color="auto" w:fill="auto"/>
            <w:vAlign w:val="center"/>
          </w:tcPr>
          <w:p w14:paraId="46556711">
            <w:pPr>
              <w:pStyle w:val="149"/>
            </w:pPr>
            <w:r>
              <w:rPr>
                <w:rFonts w:hint="eastAsia"/>
              </w:rPr>
              <w:t>一般扰动地表</w:t>
            </w:r>
          </w:p>
        </w:tc>
        <w:tc>
          <w:tcPr>
            <w:tcW w:w="1511" w:type="dxa"/>
            <w:tcBorders>
              <w:top w:val="nil"/>
              <w:left w:val="nil"/>
              <w:bottom w:val="single" w:color="auto" w:sz="4" w:space="0"/>
              <w:right w:val="single" w:color="auto" w:sz="4" w:space="0"/>
            </w:tcBorders>
            <w:shd w:val="clear" w:color="auto" w:fill="auto"/>
            <w:vAlign w:val="center"/>
          </w:tcPr>
          <w:p w14:paraId="5FD719DD">
            <w:pPr>
              <w:pStyle w:val="149"/>
            </w:pPr>
            <w:r>
              <w:t>——</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054E1619">
            <w:pPr>
              <w:pStyle w:val="149"/>
            </w:pPr>
            <w:r>
              <w:t xml:space="preserve">41.54 </w:t>
            </w:r>
          </w:p>
        </w:tc>
        <w:tc>
          <w:tcPr>
            <w:tcW w:w="713" w:type="dxa"/>
            <w:vMerge w:val="restart"/>
            <w:tcBorders>
              <w:top w:val="nil"/>
              <w:left w:val="single" w:color="auto" w:sz="4" w:space="0"/>
              <w:bottom w:val="single" w:color="auto" w:sz="4" w:space="0"/>
              <w:right w:val="single" w:color="auto" w:sz="4" w:space="0"/>
            </w:tcBorders>
            <w:shd w:val="clear" w:color="auto" w:fill="auto"/>
            <w:vAlign w:val="center"/>
          </w:tcPr>
          <w:p w14:paraId="0B90B5F5">
            <w:pPr>
              <w:pStyle w:val="149"/>
            </w:pPr>
            <w:r>
              <w:t xml:space="preserve">6912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5F1B3355">
            <w:pPr>
              <w:pStyle w:val="149"/>
            </w:pPr>
            <w:r>
              <w:t xml:space="preserve">5675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6B9DDAF7">
            <w:pPr>
              <w:pStyle w:val="149"/>
            </w:pPr>
            <w:r>
              <w:t xml:space="preserve">4436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664F34A2">
            <w:pPr>
              <w:pStyle w:val="149"/>
            </w:pPr>
            <w:r>
              <w:t xml:space="preserve">3125 </w:t>
            </w:r>
          </w:p>
        </w:tc>
        <w:tc>
          <w:tcPr>
            <w:tcW w:w="695" w:type="dxa"/>
            <w:vMerge w:val="restart"/>
            <w:tcBorders>
              <w:top w:val="nil"/>
              <w:left w:val="single" w:color="auto" w:sz="4" w:space="0"/>
              <w:bottom w:val="single" w:color="auto" w:sz="4" w:space="0"/>
              <w:right w:val="single" w:color="auto" w:sz="4" w:space="0"/>
            </w:tcBorders>
            <w:shd w:val="clear" w:color="auto" w:fill="auto"/>
            <w:vAlign w:val="center"/>
          </w:tcPr>
          <w:p w14:paraId="6C9BDAAD">
            <w:pPr>
              <w:pStyle w:val="149"/>
            </w:pPr>
            <w:r>
              <w:t xml:space="preserve">2112 </w:t>
            </w:r>
          </w:p>
        </w:tc>
        <w:tc>
          <w:tcPr>
            <w:tcW w:w="1290" w:type="dxa"/>
            <w:vMerge w:val="restart"/>
            <w:tcBorders>
              <w:top w:val="nil"/>
              <w:left w:val="single" w:color="auto" w:sz="4" w:space="0"/>
              <w:bottom w:val="single" w:color="auto" w:sz="4" w:space="0"/>
              <w:right w:val="single" w:color="auto" w:sz="4" w:space="0"/>
            </w:tcBorders>
            <w:shd w:val="clear" w:color="auto" w:fill="auto"/>
            <w:vAlign w:val="center"/>
          </w:tcPr>
          <w:p w14:paraId="7916EB99">
            <w:pPr>
              <w:pStyle w:val="149"/>
            </w:pPr>
            <w:r>
              <w:t xml:space="preserve">2112 </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14:paraId="2D898F10">
            <w:pPr>
              <w:pStyle w:val="149"/>
            </w:pPr>
            <w:r>
              <w:t xml:space="preserve">9247 </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33D3FA9A">
            <w:pPr>
              <w:pStyle w:val="149"/>
            </w:pPr>
            <w:r>
              <w:t xml:space="preserve">4386 </w:t>
            </w:r>
          </w:p>
        </w:tc>
        <w:tc>
          <w:tcPr>
            <w:tcW w:w="1155" w:type="dxa"/>
            <w:vMerge w:val="restart"/>
            <w:tcBorders>
              <w:top w:val="nil"/>
              <w:left w:val="single" w:color="auto" w:sz="4" w:space="0"/>
              <w:bottom w:val="single" w:color="auto" w:sz="4" w:space="0"/>
              <w:right w:val="single" w:color="auto" w:sz="4" w:space="0"/>
            </w:tcBorders>
            <w:shd w:val="clear" w:color="auto" w:fill="auto"/>
            <w:vAlign w:val="center"/>
          </w:tcPr>
          <w:p w14:paraId="4421A6E4">
            <w:pPr>
              <w:pStyle w:val="149"/>
            </w:pPr>
            <w:r>
              <w:t xml:space="preserve">4861 </w:t>
            </w:r>
          </w:p>
        </w:tc>
      </w:tr>
      <w:tr w14:paraId="71A8E25D">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auto" w:sz="4" w:space="0"/>
              <w:right w:val="single" w:color="auto" w:sz="4" w:space="0"/>
            </w:tcBorders>
            <w:vAlign w:val="center"/>
          </w:tcPr>
          <w:p w14:paraId="5CF5B80F">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6CE9C61E">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2D29B6B0">
            <w:pPr>
              <w:pStyle w:val="149"/>
            </w:pPr>
          </w:p>
        </w:tc>
        <w:tc>
          <w:tcPr>
            <w:tcW w:w="1517" w:type="dxa"/>
            <w:tcBorders>
              <w:top w:val="nil"/>
              <w:left w:val="nil"/>
              <w:bottom w:val="single" w:color="auto" w:sz="4" w:space="0"/>
              <w:right w:val="single" w:color="auto" w:sz="4" w:space="0"/>
            </w:tcBorders>
            <w:shd w:val="clear" w:color="auto" w:fill="auto"/>
            <w:vAlign w:val="center"/>
          </w:tcPr>
          <w:p w14:paraId="7C6F2BE5">
            <w:pPr>
              <w:pStyle w:val="149"/>
            </w:pPr>
            <w:r>
              <w:rPr>
                <w:rFonts w:hint="eastAsia"/>
              </w:rPr>
              <w:t>工程堆积体</w:t>
            </w:r>
          </w:p>
        </w:tc>
        <w:tc>
          <w:tcPr>
            <w:tcW w:w="1511" w:type="dxa"/>
            <w:tcBorders>
              <w:top w:val="nil"/>
              <w:left w:val="nil"/>
              <w:bottom w:val="single" w:color="auto" w:sz="4" w:space="0"/>
              <w:right w:val="single" w:color="auto" w:sz="4" w:space="0"/>
            </w:tcBorders>
            <w:shd w:val="clear" w:color="auto" w:fill="auto"/>
            <w:vAlign w:val="center"/>
          </w:tcPr>
          <w:p w14:paraId="0697D2A2">
            <w:pPr>
              <w:pStyle w:val="149"/>
            </w:pPr>
            <w:r>
              <w:t>——</w:t>
            </w:r>
          </w:p>
        </w:tc>
        <w:tc>
          <w:tcPr>
            <w:tcW w:w="1276" w:type="dxa"/>
            <w:vMerge w:val="continue"/>
            <w:tcBorders>
              <w:top w:val="nil"/>
              <w:left w:val="single" w:color="auto" w:sz="4" w:space="0"/>
              <w:bottom w:val="single" w:color="auto" w:sz="4" w:space="0"/>
              <w:right w:val="single" w:color="auto" w:sz="4" w:space="0"/>
            </w:tcBorders>
            <w:vAlign w:val="center"/>
          </w:tcPr>
          <w:p w14:paraId="7FE7FCDA">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154FFE96">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335E3E02">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0EE6CCC3">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1CB6FF4E">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0EC7180D">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424EAA27">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692E10B9">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364CA36E">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2087A55F">
            <w:pPr>
              <w:pStyle w:val="149"/>
            </w:pPr>
          </w:p>
        </w:tc>
      </w:tr>
      <w:tr w14:paraId="0F5E4044">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auto" w:sz="4" w:space="0"/>
              <w:right w:val="single" w:color="auto" w:sz="4" w:space="0"/>
            </w:tcBorders>
            <w:vAlign w:val="center"/>
          </w:tcPr>
          <w:p w14:paraId="65F590C5">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189585B5">
            <w:pPr>
              <w:pStyle w:val="149"/>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36DBEE7E">
            <w:pPr>
              <w:pStyle w:val="149"/>
            </w:pPr>
            <w:r>
              <w:rPr>
                <w:rFonts w:hint="eastAsia"/>
              </w:rPr>
              <w:t>公用设施用地</w:t>
            </w:r>
          </w:p>
        </w:tc>
        <w:tc>
          <w:tcPr>
            <w:tcW w:w="1517" w:type="dxa"/>
            <w:tcBorders>
              <w:top w:val="nil"/>
              <w:left w:val="nil"/>
              <w:bottom w:val="single" w:color="auto" w:sz="4" w:space="0"/>
              <w:right w:val="single" w:color="auto" w:sz="4" w:space="0"/>
            </w:tcBorders>
            <w:shd w:val="clear" w:color="auto" w:fill="auto"/>
            <w:vAlign w:val="center"/>
          </w:tcPr>
          <w:p w14:paraId="4BC91673">
            <w:pPr>
              <w:pStyle w:val="149"/>
            </w:pPr>
            <w:r>
              <w:rPr>
                <w:rFonts w:hint="eastAsia"/>
              </w:rPr>
              <w:t>一般扰动地表</w:t>
            </w:r>
          </w:p>
        </w:tc>
        <w:tc>
          <w:tcPr>
            <w:tcW w:w="1511" w:type="dxa"/>
            <w:tcBorders>
              <w:top w:val="nil"/>
              <w:left w:val="nil"/>
              <w:bottom w:val="single" w:color="auto" w:sz="4" w:space="0"/>
              <w:right w:val="single" w:color="auto" w:sz="4" w:space="0"/>
            </w:tcBorders>
            <w:shd w:val="clear" w:color="auto" w:fill="auto"/>
            <w:vAlign w:val="center"/>
          </w:tcPr>
          <w:p w14:paraId="77F69493">
            <w:pPr>
              <w:pStyle w:val="149"/>
            </w:pPr>
            <w:r>
              <w:t>——</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57BAA024">
            <w:pPr>
              <w:pStyle w:val="149"/>
            </w:pPr>
            <w:r>
              <w:t xml:space="preserve">3.73 </w:t>
            </w:r>
          </w:p>
        </w:tc>
        <w:tc>
          <w:tcPr>
            <w:tcW w:w="713" w:type="dxa"/>
            <w:vMerge w:val="restart"/>
            <w:tcBorders>
              <w:top w:val="nil"/>
              <w:left w:val="single" w:color="auto" w:sz="4" w:space="0"/>
              <w:bottom w:val="single" w:color="auto" w:sz="4" w:space="0"/>
              <w:right w:val="single" w:color="auto" w:sz="4" w:space="0"/>
            </w:tcBorders>
            <w:shd w:val="clear" w:color="auto" w:fill="auto"/>
            <w:vAlign w:val="center"/>
          </w:tcPr>
          <w:p w14:paraId="2B871C6D">
            <w:pPr>
              <w:pStyle w:val="149"/>
            </w:pPr>
            <w:r>
              <w:t xml:space="preserve">6912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2F739F49">
            <w:pPr>
              <w:pStyle w:val="149"/>
            </w:pPr>
            <w:r>
              <w:t xml:space="preserve">5675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06AFBD42">
            <w:pPr>
              <w:pStyle w:val="149"/>
            </w:pPr>
            <w:r>
              <w:t xml:space="preserve">4436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2651F551">
            <w:pPr>
              <w:pStyle w:val="149"/>
            </w:pPr>
            <w:r>
              <w:t xml:space="preserve">3125 </w:t>
            </w:r>
          </w:p>
        </w:tc>
        <w:tc>
          <w:tcPr>
            <w:tcW w:w="695" w:type="dxa"/>
            <w:vMerge w:val="restart"/>
            <w:tcBorders>
              <w:top w:val="nil"/>
              <w:left w:val="single" w:color="auto" w:sz="4" w:space="0"/>
              <w:bottom w:val="single" w:color="auto" w:sz="4" w:space="0"/>
              <w:right w:val="single" w:color="auto" w:sz="4" w:space="0"/>
            </w:tcBorders>
            <w:shd w:val="clear" w:color="auto" w:fill="auto"/>
            <w:vAlign w:val="center"/>
          </w:tcPr>
          <w:p w14:paraId="3BFE348D">
            <w:pPr>
              <w:pStyle w:val="149"/>
            </w:pPr>
            <w:r>
              <w:t xml:space="preserve">2112 </w:t>
            </w:r>
          </w:p>
        </w:tc>
        <w:tc>
          <w:tcPr>
            <w:tcW w:w="1290" w:type="dxa"/>
            <w:vMerge w:val="restart"/>
            <w:tcBorders>
              <w:top w:val="nil"/>
              <w:left w:val="single" w:color="auto" w:sz="4" w:space="0"/>
              <w:bottom w:val="single" w:color="auto" w:sz="4" w:space="0"/>
              <w:right w:val="single" w:color="auto" w:sz="4" w:space="0"/>
            </w:tcBorders>
            <w:shd w:val="clear" w:color="auto" w:fill="auto"/>
            <w:vAlign w:val="center"/>
          </w:tcPr>
          <w:p w14:paraId="7C8527C2">
            <w:pPr>
              <w:pStyle w:val="149"/>
            </w:pPr>
            <w:r>
              <w:t xml:space="preserve">2112 </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14:paraId="1F2A57C4">
            <w:pPr>
              <w:pStyle w:val="149"/>
            </w:pPr>
            <w:r>
              <w:t xml:space="preserve">831 </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6C7B3546">
            <w:pPr>
              <w:pStyle w:val="149"/>
            </w:pPr>
            <w:r>
              <w:t xml:space="preserve">394 </w:t>
            </w:r>
          </w:p>
        </w:tc>
        <w:tc>
          <w:tcPr>
            <w:tcW w:w="1155" w:type="dxa"/>
            <w:vMerge w:val="restart"/>
            <w:tcBorders>
              <w:top w:val="nil"/>
              <w:left w:val="single" w:color="auto" w:sz="4" w:space="0"/>
              <w:bottom w:val="single" w:color="auto" w:sz="4" w:space="0"/>
              <w:right w:val="single" w:color="auto" w:sz="4" w:space="0"/>
            </w:tcBorders>
            <w:shd w:val="clear" w:color="auto" w:fill="auto"/>
            <w:vAlign w:val="center"/>
          </w:tcPr>
          <w:p w14:paraId="6736C8BB">
            <w:pPr>
              <w:pStyle w:val="149"/>
            </w:pPr>
            <w:r>
              <w:t xml:space="preserve">437 </w:t>
            </w:r>
          </w:p>
        </w:tc>
      </w:tr>
      <w:tr w14:paraId="49995D76">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auto" w:sz="4" w:space="0"/>
              <w:right w:val="single" w:color="auto" w:sz="4" w:space="0"/>
            </w:tcBorders>
            <w:vAlign w:val="center"/>
          </w:tcPr>
          <w:p w14:paraId="393733E2">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5E334747">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5C2B71DE">
            <w:pPr>
              <w:pStyle w:val="149"/>
            </w:pPr>
          </w:p>
        </w:tc>
        <w:tc>
          <w:tcPr>
            <w:tcW w:w="1517" w:type="dxa"/>
            <w:tcBorders>
              <w:top w:val="nil"/>
              <w:left w:val="nil"/>
              <w:bottom w:val="single" w:color="auto" w:sz="4" w:space="0"/>
              <w:right w:val="single" w:color="auto" w:sz="4" w:space="0"/>
            </w:tcBorders>
            <w:shd w:val="clear" w:color="auto" w:fill="auto"/>
            <w:vAlign w:val="center"/>
          </w:tcPr>
          <w:p w14:paraId="6DFDF244">
            <w:pPr>
              <w:pStyle w:val="149"/>
            </w:pPr>
            <w:r>
              <w:rPr>
                <w:rFonts w:hint="eastAsia"/>
              </w:rPr>
              <w:t>工程堆积体</w:t>
            </w:r>
          </w:p>
        </w:tc>
        <w:tc>
          <w:tcPr>
            <w:tcW w:w="1511" w:type="dxa"/>
            <w:tcBorders>
              <w:top w:val="nil"/>
              <w:left w:val="nil"/>
              <w:bottom w:val="single" w:color="auto" w:sz="4" w:space="0"/>
              <w:right w:val="single" w:color="auto" w:sz="4" w:space="0"/>
            </w:tcBorders>
            <w:shd w:val="clear" w:color="auto" w:fill="auto"/>
            <w:vAlign w:val="center"/>
          </w:tcPr>
          <w:p w14:paraId="1B4BA16B">
            <w:pPr>
              <w:pStyle w:val="149"/>
            </w:pPr>
            <w:r>
              <w:t>——</w:t>
            </w:r>
          </w:p>
        </w:tc>
        <w:tc>
          <w:tcPr>
            <w:tcW w:w="1276" w:type="dxa"/>
            <w:vMerge w:val="continue"/>
            <w:tcBorders>
              <w:top w:val="nil"/>
              <w:left w:val="single" w:color="auto" w:sz="4" w:space="0"/>
              <w:bottom w:val="single" w:color="auto" w:sz="4" w:space="0"/>
              <w:right w:val="single" w:color="auto" w:sz="4" w:space="0"/>
            </w:tcBorders>
            <w:vAlign w:val="center"/>
          </w:tcPr>
          <w:p w14:paraId="5845A08F">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20FAD715">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2D50256A">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1E9A4FBB">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57983726">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59C4747A">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60A7C816">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68AC82AD">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5BCC7038">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3A13B8E7">
            <w:pPr>
              <w:pStyle w:val="149"/>
            </w:pPr>
          </w:p>
        </w:tc>
      </w:tr>
      <w:tr w14:paraId="2177D0CB">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auto" w:sz="4" w:space="0"/>
              <w:right w:val="single" w:color="auto" w:sz="4" w:space="0"/>
            </w:tcBorders>
            <w:vAlign w:val="center"/>
          </w:tcPr>
          <w:p w14:paraId="5F8F2F55">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7C55391A">
            <w:pPr>
              <w:pStyle w:val="149"/>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6162B3C4">
            <w:pPr>
              <w:pStyle w:val="149"/>
            </w:pPr>
            <w:r>
              <w:rPr>
                <w:rFonts w:hint="eastAsia"/>
              </w:rPr>
              <w:t>绿地与开敞空间用地</w:t>
            </w:r>
          </w:p>
        </w:tc>
        <w:tc>
          <w:tcPr>
            <w:tcW w:w="1517" w:type="dxa"/>
            <w:tcBorders>
              <w:top w:val="nil"/>
              <w:left w:val="nil"/>
              <w:bottom w:val="single" w:color="auto" w:sz="4" w:space="0"/>
              <w:right w:val="single" w:color="auto" w:sz="4" w:space="0"/>
            </w:tcBorders>
            <w:shd w:val="clear" w:color="auto" w:fill="auto"/>
            <w:vAlign w:val="center"/>
          </w:tcPr>
          <w:p w14:paraId="2B45E705">
            <w:pPr>
              <w:pStyle w:val="149"/>
            </w:pPr>
            <w:r>
              <w:rPr>
                <w:rFonts w:hint="eastAsia"/>
              </w:rPr>
              <w:t>一般扰动地表</w:t>
            </w:r>
          </w:p>
        </w:tc>
        <w:tc>
          <w:tcPr>
            <w:tcW w:w="1511" w:type="dxa"/>
            <w:tcBorders>
              <w:top w:val="nil"/>
              <w:left w:val="nil"/>
              <w:bottom w:val="single" w:color="auto" w:sz="4" w:space="0"/>
              <w:right w:val="single" w:color="auto" w:sz="4" w:space="0"/>
            </w:tcBorders>
            <w:shd w:val="clear" w:color="auto" w:fill="auto"/>
            <w:vAlign w:val="center"/>
          </w:tcPr>
          <w:p w14:paraId="006F9139">
            <w:pPr>
              <w:pStyle w:val="149"/>
            </w:pPr>
            <w:r>
              <w:t>——</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1AD019D9">
            <w:pPr>
              <w:pStyle w:val="149"/>
            </w:pPr>
            <w:r>
              <w:t xml:space="preserve">3.54 </w:t>
            </w:r>
          </w:p>
        </w:tc>
        <w:tc>
          <w:tcPr>
            <w:tcW w:w="713" w:type="dxa"/>
            <w:vMerge w:val="restart"/>
            <w:tcBorders>
              <w:top w:val="nil"/>
              <w:left w:val="single" w:color="auto" w:sz="4" w:space="0"/>
              <w:bottom w:val="single" w:color="auto" w:sz="4" w:space="0"/>
              <w:right w:val="single" w:color="auto" w:sz="4" w:space="0"/>
            </w:tcBorders>
            <w:shd w:val="clear" w:color="auto" w:fill="auto"/>
            <w:vAlign w:val="center"/>
          </w:tcPr>
          <w:p w14:paraId="2C8964B4">
            <w:pPr>
              <w:pStyle w:val="149"/>
            </w:pPr>
            <w:r>
              <w:t xml:space="preserve">6912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5E68ABE1">
            <w:pPr>
              <w:pStyle w:val="149"/>
            </w:pPr>
            <w:r>
              <w:t xml:space="preserve">5675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4B71465A">
            <w:pPr>
              <w:pStyle w:val="149"/>
            </w:pPr>
            <w:r>
              <w:t xml:space="preserve">4436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795FD33E">
            <w:pPr>
              <w:pStyle w:val="149"/>
            </w:pPr>
            <w:r>
              <w:t xml:space="preserve">3125 </w:t>
            </w:r>
          </w:p>
        </w:tc>
        <w:tc>
          <w:tcPr>
            <w:tcW w:w="695" w:type="dxa"/>
            <w:vMerge w:val="restart"/>
            <w:tcBorders>
              <w:top w:val="nil"/>
              <w:left w:val="single" w:color="auto" w:sz="4" w:space="0"/>
              <w:bottom w:val="single" w:color="auto" w:sz="4" w:space="0"/>
              <w:right w:val="single" w:color="auto" w:sz="4" w:space="0"/>
            </w:tcBorders>
            <w:shd w:val="clear" w:color="auto" w:fill="auto"/>
            <w:vAlign w:val="center"/>
          </w:tcPr>
          <w:p w14:paraId="6CE47D69">
            <w:pPr>
              <w:pStyle w:val="149"/>
            </w:pPr>
            <w:r>
              <w:t xml:space="preserve">2112 </w:t>
            </w:r>
          </w:p>
        </w:tc>
        <w:tc>
          <w:tcPr>
            <w:tcW w:w="1290" w:type="dxa"/>
            <w:vMerge w:val="restart"/>
            <w:tcBorders>
              <w:top w:val="nil"/>
              <w:left w:val="single" w:color="auto" w:sz="4" w:space="0"/>
              <w:bottom w:val="single" w:color="auto" w:sz="4" w:space="0"/>
              <w:right w:val="single" w:color="auto" w:sz="4" w:space="0"/>
            </w:tcBorders>
            <w:shd w:val="clear" w:color="auto" w:fill="auto"/>
            <w:vAlign w:val="center"/>
          </w:tcPr>
          <w:p w14:paraId="26EA8DB1">
            <w:pPr>
              <w:pStyle w:val="149"/>
            </w:pPr>
            <w:r>
              <w:t xml:space="preserve">2112 </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14:paraId="7E8D703B">
            <w:pPr>
              <w:pStyle w:val="149"/>
            </w:pPr>
            <w:r>
              <w:t xml:space="preserve">788 </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675E7693">
            <w:pPr>
              <w:pStyle w:val="149"/>
            </w:pPr>
            <w:r>
              <w:t xml:space="preserve">374 </w:t>
            </w:r>
          </w:p>
        </w:tc>
        <w:tc>
          <w:tcPr>
            <w:tcW w:w="1155" w:type="dxa"/>
            <w:vMerge w:val="restart"/>
            <w:tcBorders>
              <w:top w:val="nil"/>
              <w:left w:val="single" w:color="auto" w:sz="4" w:space="0"/>
              <w:bottom w:val="single" w:color="auto" w:sz="4" w:space="0"/>
              <w:right w:val="single" w:color="auto" w:sz="4" w:space="0"/>
            </w:tcBorders>
            <w:shd w:val="clear" w:color="auto" w:fill="auto"/>
            <w:vAlign w:val="center"/>
          </w:tcPr>
          <w:p w14:paraId="5EC3C267">
            <w:pPr>
              <w:pStyle w:val="149"/>
            </w:pPr>
            <w:r>
              <w:t xml:space="preserve">414 </w:t>
            </w:r>
          </w:p>
        </w:tc>
      </w:tr>
      <w:tr w14:paraId="580D3972">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auto" w:sz="4" w:space="0"/>
              <w:right w:val="single" w:color="auto" w:sz="4" w:space="0"/>
            </w:tcBorders>
            <w:vAlign w:val="center"/>
          </w:tcPr>
          <w:p w14:paraId="430C7B32">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76DFE9C5">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4F9E78A2">
            <w:pPr>
              <w:pStyle w:val="149"/>
            </w:pPr>
          </w:p>
        </w:tc>
        <w:tc>
          <w:tcPr>
            <w:tcW w:w="1517" w:type="dxa"/>
            <w:tcBorders>
              <w:top w:val="nil"/>
              <w:left w:val="nil"/>
              <w:bottom w:val="single" w:color="auto" w:sz="4" w:space="0"/>
              <w:right w:val="single" w:color="auto" w:sz="4" w:space="0"/>
            </w:tcBorders>
            <w:shd w:val="clear" w:color="auto" w:fill="auto"/>
            <w:vAlign w:val="center"/>
          </w:tcPr>
          <w:p w14:paraId="4B2EDF61">
            <w:pPr>
              <w:pStyle w:val="149"/>
            </w:pPr>
            <w:r>
              <w:rPr>
                <w:rFonts w:hint="eastAsia"/>
              </w:rPr>
              <w:t>工程堆积体</w:t>
            </w:r>
          </w:p>
        </w:tc>
        <w:tc>
          <w:tcPr>
            <w:tcW w:w="1511" w:type="dxa"/>
            <w:tcBorders>
              <w:top w:val="nil"/>
              <w:left w:val="nil"/>
              <w:bottom w:val="single" w:color="auto" w:sz="4" w:space="0"/>
              <w:right w:val="single" w:color="auto" w:sz="4" w:space="0"/>
            </w:tcBorders>
            <w:shd w:val="clear" w:color="auto" w:fill="auto"/>
            <w:vAlign w:val="center"/>
          </w:tcPr>
          <w:p w14:paraId="6BA2BCC7">
            <w:pPr>
              <w:pStyle w:val="149"/>
            </w:pPr>
            <w:r>
              <w:t>——</w:t>
            </w:r>
          </w:p>
        </w:tc>
        <w:tc>
          <w:tcPr>
            <w:tcW w:w="1276" w:type="dxa"/>
            <w:vMerge w:val="continue"/>
            <w:tcBorders>
              <w:top w:val="nil"/>
              <w:left w:val="single" w:color="auto" w:sz="4" w:space="0"/>
              <w:bottom w:val="single" w:color="auto" w:sz="4" w:space="0"/>
              <w:right w:val="single" w:color="auto" w:sz="4" w:space="0"/>
            </w:tcBorders>
            <w:vAlign w:val="center"/>
          </w:tcPr>
          <w:p w14:paraId="1AC20E93">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342A426B">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0768C6B0">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4748CE98">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182962B6">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339DCA8A">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6A554040">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639C4F6F">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32F8760C">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6FF65881">
            <w:pPr>
              <w:pStyle w:val="149"/>
            </w:pPr>
          </w:p>
        </w:tc>
      </w:tr>
      <w:tr w14:paraId="0CD5BB03">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auto" w:sz="4" w:space="0"/>
              <w:right w:val="single" w:color="auto" w:sz="4" w:space="0"/>
            </w:tcBorders>
            <w:vAlign w:val="center"/>
          </w:tcPr>
          <w:p w14:paraId="78757704">
            <w:pPr>
              <w:pStyle w:val="149"/>
            </w:pPr>
          </w:p>
        </w:tc>
        <w:tc>
          <w:tcPr>
            <w:tcW w:w="0" w:type="auto"/>
            <w:vMerge w:val="restart"/>
            <w:tcBorders>
              <w:top w:val="nil"/>
              <w:left w:val="single" w:color="auto" w:sz="4" w:space="0"/>
              <w:bottom w:val="single" w:color="000000" w:sz="4" w:space="0"/>
              <w:right w:val="single" w:color="auto" w:sz="4" w:space="0"/>
            </w:tcBorders>
            <w:shd w:val="clear" w:color="auto" w:fill="auto"/>
            <w:vAlign w:val="center"/>
          </w:tcPr>
          <w:p w14:paraId="531E46F9">
            <w:pPr>
              <w:pStyle w:val="149"/>
            </w:pPr>
            <w:r>
              <w:rPr>
                <w:rFonts w:hint="eastAsia"/>
              </w:rPr>
              <w:t>下湿壕片区</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6E97CE01">
            <w:pPr>
              <w:pStyle w:val="149"/>
            </w:pPr>
            <w:r>
              <w:rPr>
                <w:rFonts w:hint="eastAsia"/>
              </w:rPr>
              <w:t>工矿用地</w:t>
            </w:r>
          </w:p>
        </w:tc>
        <w:tc>
          <w:tcPr>
            <w:tcW w:w="1517" w:type="dxa"/>
            <w:tcBorders>
              <w:top w:val="nil"/>
              <w:left w:val="nil"/>
              <w:bottom w:val="single" w:color="auto" w:sz="4" w:space="0"/>
              <w:right w:val="single" w:color="auto" w:sz="4" w:space="0"/>
            </w:tcBorders>
            <w:shd w:val="clear" w:color="auto" w:fill="auto"/>
            <w:vAlign w:val="center"/>
          </w:tcPr>
          <w:p w14:paraId="142D8046">
            <w:pPr>
              <w:pStyle w:val="149"/>
            </w:pPr>
            <w:r>
              <w:rPr>
                <w:rFonts w:hint="eastAsia"/>
              </w:rPr>
              <w:t>一般扰动地表</w:t>
            </w:r>
          </w:p>
        </w:tc>
        <w:tc>
          <w:tcPr>
            <w:tcW w:w="1511" w:type="dxa"/>
            <w:tcBorders>
              <w:top w:val="nil"/>
              <w:left w:val="nil"/>
              <w:bottom w:val="single" w:color="auto" w:sz="4" w:space="0"/>
              <w:right w:val="single" w:color="auto" w:sz="4" w:space="0"/>
            </w:tcBorders>
            <w:shd w:val="clear" w:color="auto" w:fill="auto"/>
            <w:vAlign w:val="center"/>
          </w:tcPr>
          <w:p w14:paraId="0B5992DE">
            <w:pPr>
              <w:pStyle w:val="149"/>
            </w:pPr>
            <w:r>
              <w:t>——</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0A69D990">
            <w:pPr>
              <w:pStyle w:val="149"/>
            </w:pPr>
            <w:r>
              <w:t xml:space="preserve">29.42 </w:t>
            </w:r>
          </w:p>
        </w:tc>
        <w:tc>
          <w:tcPr>
            <w:tcW w:w="713" w:type="dxa"/>
            <w:vMerge w:val="restart"/>
            <w:tcBorders>
              <w:top w:val="nil"/>
              <w:left w:val="single" w:color="auto" w:sz="4" w:space="0"/>
              <w:bottom w:val="single" w:color="auto" w:sz="4" w:space="0"/>
              <w:right w:val="single" w:color="auto" w:sz="4" w:space="0"/>
            </w:tcBorders>
            <w:shd w:val="clear" w:color="auto" w:fill="auto"/>
            <w:vAlign w:val="center"/>
          </w:tcPr>
          <w:p w14:paraId="5267FDE9">
            <w:pPr>
              <w:pStyle w:val="149"/>
            </w:pPr>
            <w:r>
              <w:t xml:space="preserve">6912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7C37C73D">
            <w:pPr>
              <w:pStyle w:val="149"/>
            </w:pPr>
            <w:r>
              <w:t xml:space="preserve">5675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22B16B40">
            <w:pPr>
              <w:pStyle w:val="149"/>
            </w:pPr>
            <w:r>
              <w:t xml:space="preserve">4436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7C6D268E">
            <w:pPr>
              <w:pStyle w:val="149"/>
            </w:pPr>
            <w:r>
              <w:t xml:space="preserve">3125 </w:t>
            </w:r>
          </w:p>
        </w:tc>
        <w:tc>
          <w:tcPr>
            <w:tcW w:w="695" w:type="dxa"/>
            <w:vMerge w:val="restart"/>
            <w:tcBorders>
              <w:top w:val="nil"/>
              <w:left w:val="single" w:color="auto" w:sz="4" w:space="0"/>
              <w:bottom w:val="single" w:color="auto" w:sz="4" w:space="0"/>
              <w:right w:val="single" w:color="auto" w:sz="4" w:space="0"/>
            </w:tcBorders>
            <w:shd w:val="clear" w:color="auto" w:fill="auto"/>
            <w:vAlign w:val="center"/>
          </w:tcPr>
          <w:p w14:paraId="19D5AA5E">
            <w:pPr>
              <w:pStyle w:val="149"/>
            </w:pPr>
            <w:r>
              <w:t xml:space="preserve">2112 </w:t>
            </w:r>
          </w:p>
        </w:tc>
        <w:tc>
          <w:tcPr>
            <w:tcW w:w="1290" w:type="dxa"/>
            <w:vMerge w:val="restart"/>
            <w:tcBorders>
              <w:top w:val="nil"/>
              <w:left w:val="single" w:color="auto" w:sz="4" w:space="0"/>
              <w:bottom w:val="single" w:color="auto" w:sz="4" w:space="0"/>
              <w:right w:val="single" w:color="auto" w:sz="4" w:space="0"/>
            </w:tcBorders>
            <w:shd w:val="clear" w:color="auto" w:fill="auto"/>
            <w:vAlign w:val="center"/>
          </w:tcPr>
          <w:p w14:paraId="749FF844">
            <w:pPr>
              <w:pStyle w:val="149"/>
            </w:pPr>
            <w:r>
              <w:t xml:space="preserve">2112 </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14:paraId="3B1EB033">
            <w:pPr>
              <w:pStyle w:val="149"/>
            </w:pPr>
            <w:r>
              <w:t xml:space="preserve">6548 </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52B21CA6">
            <w:pPr>
              <w:pStyle w:val="149"/>
            </w:pPr>
            <w:r>
              <w:t xml:space="preserve">3106 </w:t>
            </w:r>
          </w:p>
        </w:tc>
        <w:tc>
          <w:tcPr>
            <w:tcW w:w="1155" w:type="dxa"/>
            <w:vMerge w:val="restart"/>
            <w:tcBorders>
              <w:top w:val="nil"/>
              <w:left w:val="single" w:color="auto" w:sz="4" w:space="0"/>
              <w:bottom w:val="single" w:color="auto" w:sz="4" w:space="0"/>
              <w:right w:val="single" w:color="auto" w:sz="4" w:space="0"/>
            </w:tcBorders>
            <w:shd w:val="clear" w:color="auto" w:fill="auto"/>
            <w:vAlign w:val="center"/>
          </w:tcPr>
          <w:p w14:paraId="328867E5">
            <w:pPr>
              <w:pStyle w:val="149"/>
            </w:pPr>
            <w:r>
              <w:t xml:space="preserve">3442 </w:t>
            </w:r>
          </w:p>
        </w:tc>
      </w:tr>
      <w:tr w14:paraId="70078EE8">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auto" w:sz="4" w:space="0"/>
              <w:right w:val="single" w:color="auto" w:sz="4" w:space="0"/>
            </w:tcBorders>
            <w:vAlign w:val="center"/>
          </w:tcPr>
          <w:p w14:paraId="6659DBA1">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2406F19D">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3ACE1C81">
            <w:pPr>
              <w:pStyle w:val="149"/>
            </w:pPr>
          </w:p>
        </w:tc>
        <w:tc>
          <w:tcPr>
            <w:tcW w:w="1517" w:type="dxa"/>
            <w:tcBorders>
              <w:top w:val="nil"/>
              <w:left w:val="nil"/>
              <w:bottom w:val="single" w:color="auto" w:sz="4" w:space="0"/>
              <w:right w:val="single" w:color="auto" w:sz="4" w:space="0"/>
            </w:tcBorders>
            <w:shd w:val="clear" w:color="auto" w:fill="auto"/>
            <w:vAlign w:val="center"/>
          </w:tcPr>
          <w:p w14:paraId="64372658">
            <w:pPr>
              <w:pStyle w:val="149"/>
            </w:pPr>
            <w:r>
              <w:rPr>
                <w:rFonts w:hint="eastAsia"/>
              </w:rPr>
              <w:t>工程堆积体</w:t>
            </w:r>
          </w:p>
        </w:tc>
        <w:tc>
          <w:tcPr>
            <w:tcW w:w="1511" w:type="dxa"/>
            <w:tcBorders>
              <w:top w:val="nil"/>
              <w:left w:val="nil"/>
              <w:bottom w:val="single" w:color="auto" w:sz="4" w:space="0"/>
              <w:right w:val="single" w:color="auto" w:sz="4" w:space="0"/>
            </w:tcBorders>
            <w:shd w:val="clear" w:color="auto" w:fill="auto"/>
            <w:vAlign w:val="center"/>
          </w:tcPr>
          <w:p w14:paraId="61C64247">
            <w:pPr>
              <w:pStyle w:val="149"/>
            </w:pPr>
            <w:r>
              <w:t>——</w:t>
            </w:r>
          </w:p>
        </w:tc>
        <w:tc>
          <w:tcPr>
            <w:tcW w:w="1276" w:type="dxa"/>
            <w:vMerge w:val="continue"/>
            <w:tcBorders>
              <w:top w:val="nil"/>
              <w:left w:val="single" w:color="auto" w:sz="4" w:space="0"/>
              <w:bottom w:val="single" w:color="auto" w:sz="4" w:space="0"/>
              <w:right w:val="single" w:color="auto" w:sz="4" w:space="0"/>
            </w:tcBorders>
            <w:vAlign w:val="center"/>
          </w:tcPr>
          <w:p w14:paraId="7965F2EE">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5A24F504">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5C09052D">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771C9B4A">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50E67DCA">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5E06F50A">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62D76506">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0EAC5A51">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409F339E">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692EFB32">
            <w:pPr>
              <w:pStyle w:val="149"/>
            </w:pPr>
          </w:p>
        </w:tc>
      </w:tr>
      <w:tr w14:paraId="554CF6DA">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auto" w:sz="4" w:space="0"/>
              <w:right w:val="single" w:color="auto" w:sz="4" w:space="0"/>
            </w:tcBorders>
            <w:vAlign w:val="center"/>
          </w:tcPr>
          <w:p w14:paraId="49ADDDB9">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66CB0EC7">
            <w:pPr>
              <w:pStyle w:val="149"/>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69F1C9D5">
            <w:pPr>
              <w:pStyle w:val="149"/>
            </w:pPr>
            <w:r>
              <w:rPr>
                <w:rFonts w:hint="eastAsia"/>
              </w:rPr>
              <w:t>交通运输用地</w:t>
            </w:r>
          </w:p>
        </w:tc>
        <w:tc>
          <w:tcPr>
            <w:tcW w:w="1517" w:type="dxa"/>
            <w:tcBorders>
              <w:top w:val="nil"/>
              <w:left w:val="nil"/>
              <w:bottom w:val="single" w:color="auto" w:sz="4" w:space="0"/>
              <w:right w:val="single" w:color="auto" w:sz="4" w:space="0"/>
            </w:tcBorders>
            <w:shd w:val="clear" w:color="auto" w:fill="auto"/>
            <w:vAlign w:val="center"/>
          </w:tcPr>
          <w:p w14:paraId="68B334A4">
            <w:pPr>
              <w:pStyle w:val="149"/>
            </w:pPr>
            <w:r>
              <w:rPr>
                <w:rFonts w:hint="eastAsia"/>
              </w:rPr>
              <w:t>一般扰动地表</w:t>
            </w:r>
          </w:p>
        </w:tc>
        <w:tc>
          <w:tcPr>
            <w:tcW w:w="1511" w:type="dxa"/>
            <w:tcBorders>
              <w:top w:val="nil"/>
              <w:left w:val="nil"/>
              <w:bottom w:val="single" w:color="auto" w:sz="4" w:space="0"/>
              <w:right w:val="single" w:color="auto" w:sz="4" w:space="0"/>
            </w:tcBorders>
            <w:shd w:val="clear" w:color="auto" w:fill="auto"/>
            <w:vAlign w:val="center"/>
          </w:tcPr>
          <w:p w14:paraId="3681D47E">
            <w:pPr>
              <w:pStyle w:val="149"/>
            </w:pPr>
            <w:r>
              <w:t>——</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58A845B8">
            <w:pPr>
              <w:pStyle w:val="149"/>
            </w:pPr>
            <w:r>
              <w:t xml:space="preserve">1.20 </w:t>
            </w:r>
          </w:p>
        </w:tc>
        <w:tc>
          <w:tcPr>
            <w:tcW w:w="713" w:type="dxa"/>
            <w:vMerge w:val="restart"/>
            <w:tcBorders>
              <w:top w:val="nil"/>
              <w:left w:val="single" w:color="auto" w:sz="4" w:space="0"/>
              <w:bottom w:val="single" w:color="auto" w:sz="4" w:space="0"/>
              <w:right w:val="single" w:color="auto" w:sz="4" w:space="0"/>
            </w:tcBorders>
            <w:shd w:val="clear" w:color="auto" w:fill="auto"/>
            <w:vAlign w:val="center"/>
          </w:tcPr>
          <w:p w14:paraId="5769E239">
            <w:pPr>
              <w:pStyle w:val="149"/>
            </w:pPr>
            <w:r>
              <w:t xml:space="preserve">6912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7921E4DF">
            <w:pPr>
              <w:pStyle w:val="149"/>
            </w:pPr>
            <w:r>
              <w:t xml:space="preserve">5675 </w:t>
            </w:r>
          </w:p>
        </w:tc>
        <w:tc>
          <w:tcPr>
            <w:tcW w:w="636" w:type="dxa"/>
            <w:vMerge w:val="restart"/>
            <w:tcBorders>
              <w:top w:val="nil"/>
              <w:left w:val="single" w:color="auto" w:sz="4" w:space="0"/>
              <w:bottom w:val="single" w:color="auto" w:sz="4" w:space="0"/>
              <w:right w:val="single" w:color="auto" w:sz="4" w:space="0"/>
            </w:tcBorders>
            <w:shd w:val="clear" w:color="auto" w:fill="auto"/>
            <w:vAlign w:val="center"/>
          </w:tcPr>
          <w:p w14:paraId="7668B59E">
            <w:pPr>
              <w:pStyle w:val="149"/>
            </w:pPr>
            <w:r>
              <w:t xml:space="preserve">4436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5A6114D5">
            <w:pPr>
              <w:pStyle w:val="149"/>
            </w:pPr>
            <w:r>
              <w:t xml:space="preserve">3125 </w:t>
            </w:r>
          </w:p>
        </w:tc>
        <w:tc>
          <w:tcPr>
            <w:tcW w:w="695" w:type="dxa"/>
            <w:vMerge w:val="restart"/>
            <w:tcBorders>
              <w:top w:val="nil"/>
              <w:left w:val="single" w:color="auto" w:sz="4" w:space="0"/>
              <w:bottom w:val="single" w:color="auto" w:sz="4" w:space="0"/>
              <w:right w:val="single" w:color="auto" w:sz="4" w:space="0"/>
            </w:tcBorders>
            <w:shd w:val="clear" w:color="auto" w:fill="auto"/>
            <w:vAlign w:val="center"/>
          </w:tcPr>
          <w:p w14:paraId="2523B09F">
            <w:pPr>
              <w:pStyle w:val="149"/>
            </w:pPr>
            <w:r>
              <w:t xml:space="preserve">2112 </w:t>
            </w:r>
          </w:p>
        </w:tc>
        <w:tc>
          <w:tcPr>
            <w:tcW w:w="1290" w:type="dxa"/>
            <w:vMerge w:val="restart"/>
            <w:tcBorders>
              <w:top w:val="nil"/>
              <w:left w:val="single" w:color="auto" w:sz="4" w:space="0"/>
              <w:bottom w:val="single" w:color="auto" w:sz="4" w:space="0"/>
              <w:right w:val="single" w:color="auto" w:sz="4" w:space="0"/>
            </w:tcBorders>
            <w:shd w:val="clear" w:color="auto" w:fill="auto"/>
            <w:vAlign w:val="center"/>
          </w:tcPr>
          <w:p w14:paraId="1214A34E">
            <w:pPr>
              <w:pStyle w:val="149"/>
            </w:pPr>
            <w:r>
              <w:t xml:space="preserve">2112 </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14:paraId="26002303">
            <w:pPr>
              <w:pStyle w:val="149"/>
            </w:pPr>
            <w:r>
              <w:t xml:space="preserve">267 </w:t>
            </w:r>
          </w:p>
        </w:tc>
        <w:tc>
          <w:tcPr>
            <w:tcW w:w="993" w:type="dxa"/>
            <w:vMerge w:val="restart"/>
            <w:tcBorders>
              <w:top w:val="nil"/>
              <w:left w:val="single" w:color="auto" w:sz="4" w:space="0"/>
              <w:bottom w:val="single" w:color="auto" w:sz="4" w:space="0"/>
              <w:right w:val="single" w:color="auto" w:sz="4" w:space="0"/>
            </w:tcBorders>
            <w:shd w:val="clear" w:color="auto" w:fill="auto"/>
            <w:vAlign w:val="center"/>
          </w:tcPr>
          <w:p w14:paraId="0455D273">
            <w:pPr>
              <w:pStyle w:val="149"/>
            </w:pPr>
            <w:r>
              <w:t xml:space="preserve">127 </w:t>
            </w:r>
          </w:p>
        </w:tc>
        <w:tc>
          <w:tcPr>
            <w:tcW w:w="1155" w:type="dxa"/>
            <w:vMerge w:val="restart"/>
            <w:tcBorders>
              <w:top w:val="nil"/>
              <w:left w:val="single" w:color="auto" w:sz="4" w:space="0"/>
              <w:bottom w:val="single" w:color="auto" w:sz="4" w:space="0"/>
              <w:right w:val="single" w:color="auto" w:sz="4" w:space="0"/>
            </w:tcBorders>
            <w:shd w:val="clear" w:color="auto" w:fill="auto"/>
            <w:vAlign w:val="center"/>
          </w:tcPr>
          <w:p w14:paraId="7D266447">
            <w:pPr>
              <w:pStyle w:val="149"/>
            </w:pPr>
            <w:r>
              <w:t xml:space="preserve">140 </w:t>
            </w:r>
          </w:p>
        </w:tc>
      </w:tr>
      <w:tr w14:paraId="30CB0192">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auto" w:sz="4" w:space="0"/>
              <w:right w:val="single" w:color="auto" w:sz="4" w:space="0"/>
            </w:tcBorders>
            <w:vAlign w:val="center"/>
          </w:tcPr>
          <w:p w14:paraId="2A4B363F">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15F69DF6">
            <w:pPr>
              <w:pStyle w:val="149"/>
            </w:pPr>
          </w:p>
        </w:tc>
        <w:tc>
          <w:tcPr>
            <w:tcW w:w="0" w:type="auto"/>
            <w:vMerge w:val="continue"/>
            <w:tcBorders>
              <w:top w:val="nil"/>
              <w:left w:val="single" w:color="auto" w:sz="4" w:space="0"/>
              <w:bottom w:val="single" w:color="auto" w:sz="4" w:space="0"/>
              <w:right w:val="single" w:color="auto" w:sz="4" w:space="0"/>
            </w:tcBorders>
            <w:vAlign w:val="center"/>
          </w:tcPr>
          <w:p w14:paraId="45F839DE">
            <w:pPr>
              <w:pStyle w:val="149"/>
            </w:pPr>
          </w:p>
        </w:tc>
        <w:tc>
          <w:tcPr>
            <w:tcW w:w="1517" w:type="dxa"/>
            <w:tcBorders>
              <w:top w:val="nil"/>
              <w:left w:val="nil"/>
              <w:bottom w:val="single" w:color="auto" w:sz="4" w:space="0"/>
              <w:right w:val="single" w:color="auto" w:sz="4" w:space="0"/>
            </w:tcBorders>
            <w:shd w:val="clear" w:color="auto" w:fill="auto"/>
            <w:vAlign w:val="center"/>
          </w:tcPr>
          <w:p w14:paraId="03949B1B">
            <w:pPr>
              <w:pStyle w:val="149"/>
            </w:pPr>
            <w:r>
              <w:rPr>
                <w:rFonts w:hint="eastAsia"/>
              </w:rPr>
              <w:t>工程堆积体</w:t>
            </w:r>
          </w:p>
        </w:tc>
        <w:tc>
          <w:tcPr>
            <w:tcW w:w="1511" w:type="dxa"/>
            <w:tcBorders>
              <w:top w:val="nil"/>
              <w:left w:val="nil"/>
              <w:bottom w:val="single" w:color="auto" w:sz="4" w:space="0"/>
              <w:right w:val="single" w:color="auto" w:sz="4" w:space="0"/>
            </w:tcBorders>
            <w:shd w:val="clear" w:color="auto" w:fill="auto"/>
            <w:vAlign w:val="center"/>
          </w:tcPr>
          <w:p w14:paraId="10C6684B">
            <w:pPr>
              <w:pStyle w:val="149"/>
            </w:pPr>
            <w:r>
              <w:t>——</w:t>
            </w:r>
          </w:p>
        </w:tc>
        <w:tc>
          <w:tcPr>
            <w:tcW w:w="1276" w:type="dxa"/>
            <w:vMerge w:val="continue"/>
            <w:tcBorders>
              <w:top w:val="nil"/>
              <w:left w:val="single" w:color="auto" w:sz="4" w:space="0"/>
              <w:bottom w:val="single" w:color="auto" w:sz="4" w:space="0"/>
              <w:right w:val="single" w:color="auto" w:sz="4" w:space="0"/>
            </w:tcBorders>
            <w:vAlign w:val="center"/>
          </w:tcPr>
          <w:p w14:paraId="5E23EC71">
            <w:pPr>
              <w:pStyle w:val="149"/>
            </w:pPr>
          </w:p>
        </w:tc>
        <w:tc>
          <w:tcPr>
            <w:tcW w:w="713" w:type="dxa"/>
            <w:vMerge w:val="continue"/>
            <w:tcBorders>
              <w:top w:val="nil"/>
              <w:left w:val="single" w:color="auto" w:sz="4" w:space="0"/>
              <w:bottom w:val="single" w:color="auto" w:sz="4" w:space="0"/>
              <w:right w:val="single" w:color="auto" w:sz="4" w:space="0"/>
            </w:tcBorders>
            <w:vAlign w:val="center"/>
          </w:tcPr>
          <w:p w14:paraId="29953388">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25931B9F">
            <w:pPr>
              <w:pStyle w:val="149"/>
            </w:pPr>
          </w:p>
        </w:tc>
        <w:tc>
          <w:tcPr>
            <w:tcW w:w="636" w:type="dxa"/>
            <w:vMerge w:val="continue"/>
            <w:tcBorders>
              <w:top w:val="nil"/>
              <w:left w:val="single" w:color="auto" w:sz="4" w:space="0"/>
              <w:bottom w:val="single" w:color="auto" w:sz="4" w:space="0"/>
              <w:right w:val="single" w:color="auto" w:sz="4" w:space="0"/>
            </w:tcBorders>
            <w:vAlign w:val="center"/>
          </w:tcPr>
          <w:p w14:paraId="23294B36">
            <w:pPr>
              <w:pStyle w:val="149"/>
            </w:pPr>
          </w:p>
        </w:tc>
        <w:tc>
          <w:tcPr>
            <w:tcW w:w="708" w:type="dxa"/>
            <w:vMerge w:val="continue"/>
            <w:tcBorders>
              <w:top w:val="nil"/>
              <w:left w:val="single" w:color="auto" w:sz="4" w:space="0"/>
              <w:bottom w:val="single" w:color="auto" w:sz="4" w:space="0"/>
              <w:right w:val="single" w:color="auto" w:sz="4" w:space="0"/>
            </w:tcBorders>
            <w:vAlign w:val="center"/>
          </w:tcPr>
          <w:p w14:paraId="70ED0F20">
            <w:pPr>
              <w:pStyle w:val="149"/>
            </w:pPr>
          </w:p>
        </w:tc>
        <w:tc>
          <w:tcPr>
            <w:tcW w:w="695" w:type="dxa"/>
            <w:vMerge w:val="continue"/>
            <w:tcBorders>
              <w:top w:val="nil"/>
              <w:left w:val="single" w:color="auto" w:sz="4" w:space="0"/>
              <w:bottom w:val="single" w:color="auto" w:sz="4" w:space="0"/>
              <w:right w:val="single" w:color="auto" w:sz="4" w:space="0"/>
            </w:tcBorders>
            <w:vAlign w:val="center"/>
          </w:tcPr>
          <w:p w14:paraId="43D68D79">
            <w:pPr>
              <w:pStyle w:val="149"/>
            </w:pPr>
          </w:p>
        </w:tc>
        <w:tc>
          <w:tcPr>
            <w:tcW w:w="1290" w:type="dxa"/>
            <w:vMerge w:val="continue"/>
            <w:tcBorders>
              <w:top w:val="nil"/>
              <w:left w:val="single" w:color="auto" w:sz="4" w:space="0"/>
              <w:bottom w:val="single" w:color="auto" w:sz="4" w:space="0"/>
              <w:right w:val="single" w:color="auto" w:sz="4" w:space="0"/>
            </w:tcBorders>
            <w:vAlign w:val="center"/>
          </w:tcPr>
          <w:p w14:paraId="2540AAF2">
            <w:pPr>
              <w:pStyle w:val="149"/>
            </w:pPr>
          </w:p>
        </w:tc>
        <w:tc>
          <w:tcPr>
            <w:tcW w:w="850" w:type="dxa"/>
            <w:vMerge w:val="continue"/>
            <w:tcBorders>
              <w:top w:val="nil"/>
              <w:left w:val="single" w:color="auto" w:sz="4" w:space="0"/>
              <w:bottom w:val="single" w:color="auto" w:sz="4" w:space="0"/>
              <w:right w:val="single" w:color="auto" w:sz="4" w:space="0"/>
            </w:tcBorders>
            <w:vAlign w:val="center"/>
          </w:tcPr>
          <w:p w14:paraId="430A3927">
            <w:pPr>
              <w:pStyle w:val="149"/>
            </w:pPr>
          </w:p>
        </w:tc>
        <w:tc>
          <w:tcPr>
            <w:tcW w:w="993" w:type="dxa"/>
            <w:vMerge w:val="continue"/>
            <w:tcBorders>
              <w:top w:val="nil"/>
              <w:left w:val="single" w:color="auto" w:sz="4" w:space="0"/>
              <w:bottom w:val="single" w:color="auto" w:sz="4" w:space="0"/>
              <w:right w:val="single" w:color="auto" w:sz="4" w:space="0"/>
            </w:tcBorders>
            <w:vAlign w:val="center"/>
          </w:tcPr>
          <w:p w14:paraId="4999152C">
            <w:pPr>
              <w:pStyle w:val="149"/>
            </w:pPr>
          </w:p>
        </w:tc>
        <w:tc>
          <w:tcPr>
            <w:tcW w:w="1155" w:type="dxa"/>
            <w:vMerge w:val="continue"/>
            <w:tcBorders>
              <w:top w:val="nil"/>
              <w:left w:val="single" w:color="auto" w:sz="4" w:space="0"/>
              <w:bottom w:val="single" w:color="auto" w:sz="4" w:space="0"/>
              <w:right w:val="single" w:color="auto" w:sz="4" w:space="0"/>
            </w:tcBorders>
            <w:vAlign w:val="center"/>
          </w:tcPr>
          <w:p w14:paraId="715D9C77">
            <w:pPr>
              <w:pStyle w:val="149"/>
            </w:pPr>
          </w:p>
        </w:tc>
      </w:tr>
      <w:tr w14:paraId="4CB6BFDB">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auto" w:sz="4" w:space="0"/>
              <w:right w:val="single" w:color="auto" w:sz="4" w:space="0"/>
            </w:tcBorders>
            <w:vAlign w:val="center"/>
          </w:tcPr>
          <w:p w14:paraId="336E5E82">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0CFA7D57">
            <w:pPr>
              <w:pStyle w:val="149"/>
            </w:pPr>
          </w:p>
        </w:tc>
        <w:tc>
          <w:tcPr>
            <w:tcW w:w="0" w:type="auto"/>
            <w:tcBorders>
              <w:top w:val="nil"/>
              <w:left w:val="nil"/>
              <w:bottom w:val="single" w:color="auto" w:sz="4" w:space="0"/>
              <w:right w:val="single" w:color="auto" w:sz="4" w:space="0"/>
            </w:tcBorders>
            <w:shd w:val="clear" w:color="auto" w:fill="auto"/>
            <w:vAlign w:val="center"/>
          </w:tcPr>
          <w:p w14:paraId="0C6A18FF">
            <w:pPr>
              <w:pStyle w:val="149"/>
            </w:pPr>
            <w:r>
              <w:rPr>
                <w:rFonts w:hint="eastAsia"/>
              </w:rPr>
              <w:t>绿地与开敞空间用地</w:t>
            </w:r>
          </w:p>
        </w:tc>
        <w:tc>
          <w:tcPr>
            <w:tcW w:w="1517" w:type="dxa"/>
            <w:tcBorders>
              <w:top w:val="nil"/>
              <w:left w:val="nil"/>
              <w:bottom w:val="single" w:color="auto" w:sz="4" w:space="0"/>
              <w:right w:val="single" w:color="auto" w:sz="4" w:space="0"/>
            </w:tcBorders>
            <w:shd w:val="clear" w:color="auto" w:fill="auto"/>
            <w:vAlign w:val="center"/>
          </w:tcPr>
          <w:p w14:paraId="6351A97E">
            <w:pPr>
              <w:pStyle w:val="149"/>
            </w:pPr>
            <w:r>
              <w:rPr>
                <w:rFonts w:hint="eastAsia"/>
              </w:rPr>
              <w:t>一般扰动地表</w:t>
            </w:r>
          </w:p>
        </w:tc>
        <w:tc>
          <w:tcPr>
            <w:tcW w:w="1511" w:type="dxa"/>
            <w:tcBorders>
              <w:top w:val="nil"/>
              <w:left w:val="nil"/>
              <w:bottom w:val="single" w:color="auto" w:sz="4" w:space="0"/>
              <w:right w:val="single" w:color="auto" w:sz="4" w:space="0"/>
            </w:tcBorders>
            <w:shd w:val="clear" w:color="auto" w:fill="auto"/>
            <w:vAlign w:val="center"/>
          </w:tcPr>
          <w:p w14:paraId="2A129456">
            <w:pPr>
              <w:pStyle w:val="149"/>
            </w:pPr>
            <w:r>
              <w:t>——</w:t>
            </w:r>
          </w:p>
        </w:tc>
        <w:tc>
          <w:tcPr>
            <w:tcW w:w="1276" w:type="dxa"/>
            <w:tcBorders>
              <w:top w:val="nil"/>
              <w:left w:val="nil"/>
              <w:bottom w:val="single" w:color="auto" w:sz="4" w:space="0"/>
              <w:right w:val="single" w:color="auto" w:sz="4" w:space="0"/>
            </w:tcBorders>
            <w:shd w:val="clear" w:color="auto" w:fill="auto"/>
            <w:vAlign w:val="center"/>
          </w:tcPr>
          <w:p w14:paraId="11C1AB97">
            <w:pPr>
              <w:pStyle w:val="149"/>
            </w:pPr>
            <w:r>
              <w:t xml:space="preserve">1.83 </w:t>
            </w:r>
          </w:p>
        </w:tc>
        <w:tc>
          <w:tcPr>
            <w:tcW w:w="713" w:type="dxa"/>
            <w:tcBorders>
              <w:top w:val="nil"/>
              <w:left w:val="nil"/>
              <w:bottom w:val="single" w:color="auto" w:sz="4" w:space="0"/>
              <w:right w:val="single" w:color="auto" w:sz="4" w:space="0"/>
            </w:tcBorders>
            <w:shd w:val="clear" w:color="auto" w:fill="auto"/>
            <w:vAlign w:val="center"/>
          </w:tcPr>
          <w:p w14:paraId="72169109">
            <w:pPr>
              <w:pStyle w:val="149"/>
            </w:pPr>
            <w:r>
              <w:t xml:space="preserve">6912 </w:t>
            </w:r>
          </w:p>
        </w:tc>
        <w:tc>
          <w:tcPr>
            <w:tcW w:w="636" w:type="dxa"/>
            <w:tcBorders>
              <w:top w:val="nil"/>
              <w:left w:val="nil"/>
              <w:bottom w:val="single" w:color="auto" w:sz="4" w:space="0"/>
              <w:right w:val="single" w:color="auto" w:sz="4" w:space="0"/>
            </w:tcBorders>
            <w:shd w:val="clear" w:color="auto" w:fill="auto"/>
            <w:vAlign w:val="center"/>
          </w:tcPr>
          <w:p w14:paraId="01773903">
            <w:pPr>
              <w:pStyle w:val="149"/>
            </w:pPr>
            <w:r>
              <w:t xml:space="preserve">5675 </w:t>
            </w:r>
          </w:p>
        </w:tc>
        <w:tc>
          <w:tcPr>
            <w:tcW w:w="636" w:type="dxa"/>
            <w:tcBorders>
              <w:top w:val="nil"/>
              <w:left w:val="nil"/>
              <w:bottom w:val="single" w:color="auto" w:sz="4" w:space="0"/>
              <w:right w:val="single" w:color="auto" w:sz="4" w:space="0"/>
            </w:tcBorders>
            <w:shd w:val="clear" w:color="auto" w:fill="auto"/>
            <w:vAlign w:val="center"/>
          </w:tcPr>
          <w:p w14:paraId="44CFCB44">
            <w:pPr>
              <w:pStyle w:val="149"/>
            </w:pPr>
            <w:r>
              <w:t xml:space="preserve">4436 </w:t>
            </w:r>
          </w:p>
        </w:tc>
        <w:tc>
          <w:tcPr>
            <w:tcW w:w="708" w:type="dxa"/>
            <w:tcBorders>
              <w:top w:val="nil"/>
              <w:left w:val="nil"/>
              <w:bottom w:val="single" w:color="auto" w:sz="4" w:space="0"/>
              <w:right w:val="single" w:color="auto" w:sz="4" w:space="0"/>
            </w:tcBorders>
            <w:shd w:val="clear" w:color="auto" w:fill="auto"/>
            <w:vAlign w:val="center"/>
          </w:tcPr>
          <w:p w14:paraId="4DD94D70">
            <w:pPr>
              <w:pStyle w:val="149"/>
            </w:pPr>
            <w:r>
              <w:t xml:space="preserve">3125 </w:t>
            </w:r>
          </w:p>
        </w:tc>
        <w:tc>
          <w:tcPr>
            <w:tcW w:w="695" w:type="dxa"/>
            <w:tcBorders>
              <w:top w:val="nil"/>
              <w:left w:val="nil"/>
              <w:bottom w:val="single" w:color="auto" w:sz="4" w:space="0"/>
              <w:right w:val="single" w:color="auto" w:sz="4" w:space="0"/>
            </w:tcBorders>
            <w:shd w:val="clear" w:color="auto" w:fill="auto"/>
            <w:vAlign w:val="center"/>
          </w:tcPr>
          <w:p w14:paraId="62260AFC">
            <w:pPr>
              <w:pStyle w:val="149"/>
            </w:pPr>
            <w:r>
              <w:t xml:space="preserve">2112 </w:t>
            </w:r>
          </w:p>
        </w:tc>
        <w:tc>
          <w:tcPr>
            <w:tcW w:w="1290" w:type="dxa"/>
            <w:tcBorders>
              <w:top w:val="nil"/>
              <w:left w:val="nil"/>
              <w:bottom w:val="single" w:color="auto" w:sz="4" w:space="0"/>
              <w:right w:val="single" w:color="auto" w:sz="4" w:space="0"/>
            </w:tcBorders>
            <w:shd w:val="clear" w:color="auto" w:fill="auto"/>
            <w:vAlign w:val="center"/>
          </w:tcPr>
          <w:p w14:paraId="4D086753">
            <w:pPr>
              <w:pStyle w:val="149"/>
            </w:pPr>
            <w:r>
              <w:t xml:space="preserve">2112 </w:t>
            </w:r>
          </w:p>
        </w:tc>
        <w:tc>
          <w:tcPr>
            <w:tcW w:w="850" w:type="dxa"/>
            <w:tcBorders>
              <w:top w:val="nil"/>
              <w:left w:val="nil"/>
              <w:bottom w:val="single" w:color="auto" w:sz="4" w:space="0"/>
              <w:right w:val="single" w:color="auto" w:sz="4" w:space="0"/>
            </w:tcBorders>
            <w:shd w:val="clear" w:color="auto" w:fill="auto"/>
            <w:vAlign w:val="center"/>
          </w:tcPr>
          <w:p w14:paraId="6DE9A26B">
            <w:pPr>
              <w:pStyle w:val="149"/>
            </w:pPr>
            <w:r>
              <w:t xml:space="preserve">407 </w:t>
            </w:r>
          </w:p>
        </w:tc>
        <w:tc>
          <w:tcPr>
            <w:tcW w:w="993" w:type="dxa"/>
            <w:tcBorders>
              <w:top w:val="nil"/>
              <w:left w:val="nil"/>
              <w:bottom w:val="single" w:color="auto" w:sz="4" w:space="0"/>
              <w:right w:val="single" w:color="auto" w:sz="4" w:space="0"/>
            </w:tcBorders>
            <w:shd w:val="clear" w:color="auto" w:fill="auto"/>
            <w:vAlign w:val="center"/>
          </w:tcPr>
          <w:p w14:paraId="06C66AF5">
            <w:pPr>
              <w:pStyle w:val="149"/>
            </w:pPr>
            <w:r>
              <w:t xml:space="preserve">193 </w:t>
            </w:r>
          </w:p>
        </w:tc>
        <w:tc>
          <w:tcPr>
            <w:tcW w:w="1155" w:type="dxa"/>
            <w:tcBorders>
              <w:top w:val="nil"/>
              <w:left w:val="nil"/>
              <w:bottom w:val="single" w:color="auto" w:sz="4" w:space="0"/>
              <w:right w:val="single" w:color="auto" w:sz="4" w:space="0"/>
            </w:tcBorders>
            <w:shd w:val="clear" w:color="auto" w:fill="auto"/>
            <w:vAlign w:val="center"/>
          </w:tcPr>
          <w:p w14:paraId="49024E1C">
            <w:pPr>
              <w:pStyle w:val="149"/>
            </w:pPr>
            <w:r>
              <w:t xml:space="preserve">214 </w:t>
            </w:r>
          </w:p>
        </w:tc>
      </w:tr>
      <w:tr w14:paraId="7BC19406">
        <w:tblPrEx>
          <w:tblCellMar>
            <w:top w:w="0" w:type="dxa"/>
            <w:left w:w="108" w:type="dxa"/>
            <w:bottom w:w="0" w:type="dxa"/>
            <w:right w:w="108" w:type="dxa"/>
          </w:tblCellMar>
        </w:tblPrEx>
        <w:trPr>
          <w:trHeight w:val="369" w:hRule="atLeast"/>
        </w:trPr>
        <w:tc>
          <w:tcPr>
            <w:tcW w:w="0" w:type="auto"/>
            <w:vMerge w:val="continue"/>
            <w:tcBorders>
              <w:top w:val="nil"/>
              <w:left w:val="single" w:color="auto" w:sz="4" w:space="0"/>
              <w:bottom w:val="single" w:color="auto" w:sz="4" w:space="0"/>
              <w:right w:val="single" w:color="auto" w:sz="4" w:space="0"/>
            </w:tcBorders>
            <w:vAlign w:val="center"/>
          </w:tcPr>
          <w:p w14:paraId="4B073600">
            <w:pPr>
              <w:pStyle w:val="149"/>
            </w:pPr>
          </w:p>
        </w:tc>
        <w:tc>
          <w:tcPr>
            <w:tcW w:w="0" w:type="auto"/>
            <w:vMerge w:val="continue"/>
            <w:tcBorders>
              <w:top w:val="nil"/>
              <w:left w:val="single" w:color="auto" w:sz="4" w:space="0"/>
              <w:bottom w:val="single" w:color="000000" w:sz="4" w:space="0"/>
              <w:right w:val="single" w:color="auto" w:sz="4" w:space="0"/>
            </w:tcBorders>
            <w:vAlign w:val="center"/>
          </w:tcPr>
          <w:p w14:paraId="3F937F08">
            <w:pPr>
              <w:pStyle w:val="149"/>
            </w:pPr>
          </w:p>
        </w:tc>
        <w:tc>
          <w:tcPr>
            <w:tcW w:w="0" w:type="auto"/>
            <w:tcBorders>
              <w:top w:val="nil"/>
              <w:left w:val="nil"/>
              <w:bottom w:val="single" w:color="auto" w:sz="4" w:space="0"/>
              <w:right w:val="single" w:color="auto" w:sz="4" w:space="0"/>
            </w:tcBorders>
            <w:shd w:val="clear" w:color="auto" w:fill="auto"/>
            <w:vAlign w:val="center"/>
          </w:tcPr>
          <w:p w14:paraId="5E55B0D1">
            <w:pPr>
              <w:pStyle w:val="149"/>
            </w:pPr>
            <w:r>
              <w:rPr>
                <w:rFonts w:hint="eastAsia"/>
              </w:rPr>
              <w:t>陆地水域</w:t>
            </w:r>
          </w:p>
        </w:tc>
        <w:tc>
          <w:tcPr>
            <w:tcW w:w="1517" w:type="dxa"/>
            <w:tcBorders>
              <w:top w:val="nil"/>
              <w:left w:val="nil"/>
              <w:bottom w:val="single" w:color="auto" w:sz="4" w:space="0"/>
              <w:right w:val="single" w:color="auto" w:sz="4" w:space="0"/>
            </w:tcBorders>
            <w:shd w:val="clear" w:color="auto" w:fill="auto"/>
            <w:vAlign w:val="center"/>
          </w:tcPr>
          <w:p w14:paraId="74623807">
            <w:pPr>
              <w:pStyle w:val="149"/>
            </w:pPr>
            <w:r>
              <w:rPr>
                <w:rFonts w:hint="eastAsia"/>
              </w:rPr>
              <w:t>一般扰动地表</w:t>
            </w:r>
          </w:p>
        </w:tc>
        <w:tc>
          <w:tcPr>
            <w:tcW w:w="1511" w:type="dxa"/>
            <w:tcBorders>
              <w:top w:val="nil"/>
              <w:left w:val="nil"/>
              <w:bottom w:val="single" w:color="auto" w:sz="4" w:space="0"/>
              <w:right w:val="single" w:color="auto" w:sz="4" w:space="0"/>
            </w:tcBorders>
            <w:shd w:val="clear" w:color="auto" w:fill="auto"/>
            <w:vAlign w:val="center"/>
          </w:tcPr>
          <w:p w14:paraId="11C8C08C">
            <w:pPr>
              <w:pStyle w:val="149"/>
            </w:pPr>
            <w:r>
              <w:t>——</w:t>
            </w:r>
          </w:p>
        </w:tc>
        <w:tc>
          <w:tcPr>
            <w:tcW w:w="1276" w:type="dxa"/>
            <w:tcBorders>
              <w:top w:val="nil"/>
              <w:left w:val="nil"/>
              <w:bottom w:val="single" w:color="auto" w:sz="4" w:space="0"/>
              <w:right w:val="single" w:color="auto" w:sz="4" w:space="0"/>
            </w:tcBorders>
            <w:shd w:val="clear" w:color="auto" w:fill="auto"/>
            <w:vAlign w:val="center"/>
          </w:tcPr>
          <w:p w14:paraId="462E3942">
            <w:pPr>
              <w:pStyle w:val="149"/>
            </w:pPr>
            <w:r>
              <w:t xml:space="preserve">1.10 </w:t>
            </w:r>
          </w:p>
        </w:tc>
        <w:tc>
          <w:tcPr>
            <w:tcW w:w="713" w:type="dxa"/>
            <w:tcBorders>
              <w:top w:val="nil"/>
              <w:left w:val="nil"/>
              <w:bottom w:val="single" w:color="auto" w:sz="4" w:space="0"/>
              <w:right w:val="single" w:color="auto" w:sz="4" w:space="0"/>
            </w:tcBorders>
            <w:shd w:val="clear" w:color="auto" w:fill="auto"/>
            <w:vAlign w:val="center"/>
          </w:tcPr>
          <w:p w14:paraId="25BCE076">
            <w:pPr>
              <w:pStyle w:val="149"/>
            </w:pPr>
            <w:r>
              <w:t xml:space="preserve">6912 </w:t>
            </w:r>
          </w:p>
        </w:tc>
        <w:tc>
          <w:tcPr>
            <w:tcW w:w="636" w:type="dxa"/>
            <w:tcBorders>
              <w:top w:val="nil"/>
              <w:left w:val="nil"/>
              <w:bottom w:val="single" w:color="auto" w:sz="4" w:space="0"/>
              <w:right w:val="single" w:color="auto" w:sz="4" w:space="0"/>
            </w:tcBorders>
            <w:shd w:val="clear" w:color="auto" w:fill="auto"/>
            <w:vAlign w:val="center"/>
          </w:tcPr>
          <w:p w14:paraId="1512E890">
            <w:pPr>
              <w:pStyle w:val="149"/>
            </w:pPr>
            <w:r>
              <w:t xml:space="preserve">5675 </w:t>
            </w:r>
          </w:p>
        </w:tc>
        <w:tc>
          <w:tcPr>
            <w:tcW w:w="636" w:type="dxa"/>
            <w:tcBorders>
              <w:top w:val="nil"/>
              <w:left w:val="nil"/>
              <w:bottom w:val="single" w:color="auto" w:sz="4" w:space="0"/>
              <w:right w:val="single" w:color="auto" w:sz="4" w:space="0"/>
            </w:tcBorders>
            <w:shd w:val="clear" w:color="auto" w:fill="auto"/>
            <w:vAlign w:val="center"/>
          </w:tcPr>
          <w:p w14:paraId="26D9B794">
            <w:pPr>
              <w:pStyle w:val="149"/>
            </w:pPr>
            <w:r>
              <w:t xml:space="preserve">4436 </w:t>
            </w:r>
          </w:p>
        </w:tc>
        <w:tc>
          <w:tcPr>
            <w:tcW w:w="708" w:type="dxa"/>
            <w:tcBorders>
              <w:top w:val="nil"/>
              <w:left w:val="nil"/>
              <w:bottom w:val="single" w:color="auto" w:sz="4" w:space="0"/>
              <w:right w:val="single" w:color="auto" w:sz="4" w:space="0"/>
            </w:tcBorders>
            <w:shd w:val="clear" w:color="auto" w:fill="auto"/>
            <w:vAlign w:val="center"/>
          </w:tcPr>
          <w:p w14:paraId="0E63C010">
            <w:pPr>
              <w:pStyle w:val="149"/>
            </w:pPr>
            <w:r>
              <w:t xml:space="preserve">3125 </w:t>
            </w:r>
          </w:p>
        </w:tc>
        <w:tc>
          <w:tcPr>
            <w:tcW w:w="695" w:type="dxa"/>
            <w:tcBorders>
              <w:top w:val="nil"/>
              <w:left w:val="nil"/>
              <w:bottom w:val="single" w:color="auto" w:sz="4" w:space="0"/>
              <w:right w:val="single" w:color="auto" w:sz="4" w:space="0"/>
            </w:tcBorders>
            <w:shd w:val="clear" w:color="auto" w:fill="auto"/>
            <w:vAlign w:val="center"/>
          </w:tcPr>
          <w:p w14:paraId="2E65D1F7">
            <w:pPr>
              <w:pStyle w:val="149"/>
            </w:pPr>
            <w:r>
              <w:t xml:space="preserve">2112 </w:t>
            </w:r>
          </w:p>
        </w:tc>
        <w:tc>
          <w:tcPr>
            <w:tcW w:w="1290" w:type="dxa"/>
            <w:tcBorders>
              <w:top w:val="nil"/>
              <w:left w:val="nil"/>
              <w:bottom w:val="single" w:color="auto" w:sz="4" w:space="0"/>
              <w:right w:val="single" w:color="auto" w:sz="4" w:space="0"/>
            </w:tcBorders>
            <w:shd w:val="clear" w:color="auto" w:fill="auto"/>
            <w:vAlign w:val="center"/>
          </w:tcPr>
          <w:p w14:paraId="078505A0">
            <w:pPr>
              <w:pStyle w:val="149"/>
            </w:pPr>
            <w:r>
              <w:t xml:space="preserve">2112 </w:t>
            </w:r>
          </w:p>
        </w:tc>
        <w:tc>
          <w:tcPr>
            <w:tcW w:w="850" w:type="dxa"/>
            <w:tcBorders>
              <w:top w:val="nil"/>
              <w:left w:val="nil"/>
              <w:bottom w:val="single" w:color="auto" w:sz="4" w:space="0"/>
              <w:right w:val="single" w:color="auto" w:sz="4" w:space="0"/>
            </w:tcBorders>
            <w:shd w:val="clear" w:color="auto" w:fill="auto"/>
            <w:vAlign w:val="center"/>
          </w:tcPr>
          <w:p w14:paraId="0F266283">
            <w:pPr>
              <w:pStyle w:val="149"/>
            </w:pPr>
            <w:r>
              <w:t xml:space="preserve">245 </w:t>
            </w:r>
          </w:p>
        </w:tc>
        <w:tc>
          <w:tcPr>
            <w:tcW w:w="993" w:type="dxa"/>
            <w:tcBorders>
              <w:top w:val="nil"/>
              <w:left w:val="nil"/>
              <w:bottom w:val="single" w:color="auto" w:sz="4" w:space="0"/>
              <w:right w:val="single" w:color="auto" w:sz="4" w:space="0"/>
            </w:tcBorders>
            <w:shd w:val="clear" w:color="auto" w:fill="auto"/>
            <w:vAlign w:val="center"/>
          </w:tcPr>
          <w:p w14:paraId="3ECB8FF2">
            <w:pPr>
              <w:pStyle w:val="149"/>
            </w:pPr>
            <w:r>
              <w:t xml:space="preserve">116 </w:t>
            </w:r>
          </w:p>
        </w:tc>
        <w:tc>
          <w:tcPr>
            <w:tcW w:w="1155" w:type="dxa"/>
            <w:tcBorders>
              <w:top w:val="nil"/>
              <w:left w:val="nil"/>
              <w:bottom w:val="single" w:color="auto" w:sz="4" w:space="0"/>
              <w:right w:val="single" w:color="auto" w:sz="4" w:space="0"/>
            </w:tcBorders>
            <w:shd w:val="clear" w:color="auto" w:fill="auto"/>
            <w:vAlign w:val="center"/>
          </w:tcPr>
          <w:p w14:paraId="1A0DB0BF">
            <w:pPr>
              <w:pStyle w:val="149"/>
            </w:pPr>
            <w:r>
              <w:t xml:space="preserve">129 </w:t>
            </w:r>
          </w:p>
        </w:tc>
      </w:tr>
      <w:tr w14:paraId="3371E029">
        <w:tblPrEx>
          <w:tblCellMar>
            <w:top w:w="0" w:type="dxa"/>
            <w:left w:w="108" w:type="dxa"/>
            <w:bottom w:w="0" w:type="dxa"/>
            <w:right w:w="108" w:type="dxa"/>
          </w:tblCellMar>
        </w:tblPrEx>
        <w:trPr>
          <w:trHeight w:val="369" w:hRule="atLeast"/>
        </w:trPr>
        <w:tc>
          <w:tcPr>
            <w:tcW w:w="50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8EB63C">
            <w:pPr>
              <w:pStyle w:val="149"/>
            </w:pPr>
            <w:r>
              <w:rPr>
                <w:rFonts w:hint="eastAsia"/>
              </w:rPr>
              <w:t>合计</w:t>
            </w:r>
          </w:p>
        </w:tc>
        <w:tc>
          <w:tcPr>
            <w:tcW w:w="1276" w:type="dxa"/>
            <w:tcBorders>
              <w:top w:val="nil"/>
              <w:left w:val="nil"/>
              <w:bottom w:val="single" w:color="auto" w:sz="4" w:space="0"/>
              <w:right w:val="single" w:color="auto" w:sz="4" w:space="0"/>
            </w:tcBorders>
            <w:shd w:val="clear" w:color="auto" w:fill="auto"/>
            <w:vAlign w:val="center"/>
          </w:tcPr>
          <w:p w14:paraId="7ECD5341">
            <w:pPr>
              <w:pStyle w:val="149"/>
            </w:pPr>
            <w:r>
              <w:t xml:space="preserve">285.12 </w:t>
            </w:r>
          </w:p>
        </w:tc>
        <w:tc>
          <w:tcPr>
            <w:tcW w:w="713" w:type="dxa"/>
            <w:tcBorders>
              <w:top w:val="nil"/>
              <w:left w:val="nil"/>
              <w:bottom w:val="single" w:color="auto" w:sz="4" w:space="0"/>
              <w:right w:val="single" w:color="auto" w:sz="4" w:space="0"/>
            </w:tcBorders>
            <w:shd w:val="clear" w:color="auto" w:fill="auto"/>
            <w:vAlign w:val="center"/>
          </w:tcPr>
          <w:p w14:paraId="48AB4665">
            <w:pPr>
              <w:pStyle w:val="149"/>
            </w:pPr>
            <w:r>
              <w:t>　</w:t>
            </w:r>
          </w:p>
        </w:tc>
        <w:tc>
          <w:tcPr>
            <w:tcW w:w="636" w:type="dxa"/>
            <w:tcBorders>
              <w:top w:val="nil"/>
              <w:left w:val="nil"/>
              <w:bottom w:val="single" w:color="auto" w:sz="4" w:space="0"/>
              <w:right w:val="single" w:color="auto" w:sz="4" w:space="0"/>
            </w:tcBorders>
            <w:shd w:val="clear" w:color="auto" w:fill="auto"/>
            <w:vAlign w:val="center"/>
          </w:tcPr>
          <w:p w14:paraId="6D5B629B">
            <w:pPr>
              <w:pStyle w:val="149"/>
            </w:pPr>
            <w:r>
              <w:t>　</w:t>
            </w:r>
          </w:p>
        </w:tc>
        <w:tc>
          <w:tcPr>
            <w:tcW w:w="636" w:type="dxa"/>
            <w:tcBorders>
              <w:top w:val="nil"/>
              <w:left w:val="nil"/>
              <w:bottom w:val="single" w:color="auto" w:sz="4" w:space="0"/>
              <w:right w:val="single" w:color="auto" w:sz="4" w:space="0"/>
            </w:tcBorders>
            <w:shd w:val="clear" w:color="auto" w:fill="auto"/>
            <w:vAlign w:val="center"/>
          </w:tcPr>
          <w:p w14:paraId="58365170">
            <w:pPr>
              <w:pStyle w:val="149"/>
            </w:pPr>
            <w:r>
              <w:t>　</w:t>
            </w:r>
          </w:p>
        </w:tc>
        <w:tc>
          <w:tcPr>
            <w:tcW w:w="708" w:type="dxa"/>
            <w:tcBorders>
              <w:top w:val="nil"/>
              <w:left w:val="nil"/>
              <w:bottom w:val="single" w:color="auto" w:sz="4" w:space="0"/>
              <w:right w:val="single" w:color="auto" w:sz="4" w:space="0"/>
            </w:tcBorders>
            <w:shd w:val="clear" w:color="auto" w:fill="auto"/>
            <w:vAlign w:val="center"/>
          </w:tcPr>
          <w:p w14:paraId="785C5B23">
            <w:pPr>
              <w:pStyle w:val="149"/>
            </w:pPr>
            <w:r>
              <w:t>　</w:t>
            </w:r>
          </w:p>
        </w:tc>
        <w:tc>
          <w:tcPr>
            <w:tcW w:w="695" w:type="dxa"/>
            <w:tcBorders>
              <w:top w:val="nil"/>
              <w:left w:val="nil"/>
              <w:bottom w:val="single" w:color="auto" w:sz="4" w:space="0"/>
              <w:right w:val="single" w:color="auto" w:sz="4" w:space="0"/>
            </w:tcBorders>
            <w:shd w:val="clear" w:color="auto" w:fill="auto"/>
            <w:vAlign w:val="center"/>
          </w:tcPr>
          <w:p w14:paraId="764B1B1F">
            <w:pPr>
              <w:pStyle w:val="149"/>
            </w:pPr>
            <w:r>
              <w:t>　</w:t>
            </w:r>
          </w:p>
        </w:tc>
        <w:tc>
          <w:tcPr>
            <w:tcW w:w="1290" w:type="dxa"/>
            <w:tcBorders>
              <w:top w:val="nil"/>
              <w:left w:val="nil"/>
              <w:bottom w:val="single" w:color="auto" w:sz="4" w:space="0"/>
              <w:right w:val="single" w:color="auto" w:sz="4" w:space="0"/>
            </w:tcBorders>
            <w:shd w:val="clear" w:color="auto" w:fill="auto"/>
            <w:vAlign w:val="center"/>
          </w:tcPr>
          <w:p w14:paraId="2A27922E">
            <w:pPr>
              <w:pStyle w:val="149"/>
            </w:pPr>
            <w:r>
              <w:t>　</w:t>
            </w:r>
          </w:p>
        </w:tc>
        <w:tc>
          <w:tcPr>
            <w:tcW w:w="850" w:type="dxa"/>
            <w:tcBorders>
              <w:top w:val="nil"/>
              <w:left w:val="nil"/>
              <w:bottom w:val="single" w:color="auto" w:sz="4" w:space="0"/>
              <w:right w:val="single" w:color="auto" w:sz="4" w:space="0"/>
            </w:tcBorders>
            <w:shd w:val="clear" w:color="auto" w:fill="auto"/>
            <w:vAlign w:val="center"/>
          </w:tcPr>
          <w:p w14:paraId="7691582C">
            <w:pPr>
              <w:pStyle w:val="149"/>
            </w:pPr>
            <w:r>
              <w:t xml:space="preserve">63468 </w:t>
            </w:r>
          </w:p>
        </w:tc>
        <w:tc>
          <w:tcPr>
            <w:tcW w:w="993" w:type="dxa"/>
            <w:tcBorders>
              <w:top w:val="nil"/>
              <w:left w:val="nil"/>
              <w:bottom w:val="single" w:color="auto" w:sz="4" w:space="0"/>
              <w:right w:val="single" w:color="auto" w:sz="4" w:space="0"/>
            </w:tcBorders>
            <w:shd w:val="clear" w:color="auto" w:fill="auto"/>
            <w:vAlign w:val="center"/>
          </w:tcPr>
          <w:p w14:paraId="4F9E505E">
            <w:pPr>
              <w:pStyle w:val="149"/>
            </w:pPr>
            <w:r>
              <w:t xml:space="preserve">30102 </w:t>
            </w:r>
          </w:p>
        </w:tc>
        <w:tc>
          <w:tcPr>
            <w:tcW w:w="1155" w:type="dxa"/>
            <w:tcBorders>
              <w:top w:val="nil"/>
              <w:left w:val="nil"/>
              <w:bottom w:val="single" w:color="auto" w:sz="4" w:space="0"/>
              <w:right w:val="single" w:color="auto" w:sz="4" w:space="0"/>
            </w:tcBorders>
            <w:shd w:val="clear" w:color="auto" w:fill="auto"/>
            <w:vAlign w:val="center"/>
          </w:tcPr>
          <w:p w14:paraId="2F18E955">
            <w:pPr>
              <w:pStyle w:val="149"/>
            </w:pPr>
            <w:r>
              <w:t xml:space="preserve">33366 </w:t>
            </w:r>
          </w:p>
        </w:tc>
      </w:tr>
    </w:tbl>
    <w:p w14:paraId="68D499C9">
      <w:pPr>
        <w:pStyle w:val="44"/>
        <w:rPr>
          <w:color w:val="000000" w:themeColor="text1"/>
          <w14:textFill>
            <w14:solidFill>
              <w14:schemeClr w14:val="tx1"/>
            </w14:solidFill>
          </w14:textFill>
        </w:rPr>
      </w:pPr>
    </w:p>
    <w:p w14:paraId="1A8F1FE8">
      <w:pPr>
        <w:spacing w:line="240" w:lineRule="auto"/>
        <w:ind w:firstLine="0" w:firstLineChars="0"/>
        <w:jc w:val="left"/>
        <w:rPr>
          <w:rFonts w:eastAsia="宋体" w:cs="仿宋"/>
          <w:b/>
          <w:color w:val="000000" w:themeColor="text1"/>
          <w:spacing w:val="4"/>
          <w:szCs w:val="18"/>
          <w:lang w:eastAsia="en-US"/>
          <w14:textFill>
            <w14:solidFill>
              <w14:schemeClr w14:val="tx1"/>
            </w14:solidFill>
          </w14:textFill>
        </w:rPr>
      </w:pPr>
      <w:r>
        <w:rPr>
          <w:color w:val="000000" w:themeColor="text1"/>
          <w14:textFill>
            <w14:solidFill>
              <w14:schemeClr w14:val="tx1"/>
            </w14:solidFill>
          </w14:textFill>
        </w:rPr>
        <w:br w:type="page"/>
      </w:r>
    </w:p>
    <w:p w14:paraId="44350AEB">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 4-16                                                 包头金山经济开发区</w:t>
      </w:r>
      <w:r>
        <w:rPr>
          <w:rFonts w:hint="eastAsia"/>
          <w:color w:val="000000" w:themeColor="text1"/>
          <w:lang w:eastAsia="zh-CN"/>
          <w14:textFill>
            <w14:solidFill>
              <w14:schemeClr w14:val="tx1"/>
            </w14:solidFill>
          </w14:textFill>
        </w:rPr>
        <w:t>各预测单元水土流失量汇总表</w:t>
      </w:r>
    </w:p>
    <w:tbl>
      <w:tblPr>
        <w:tblStyle w:val="27"/>
        <w:tblW w:w="5000" w:type="pct"/>
        <w:jc w:val="center"/>
        <w:tblLayout w:type="autofit"/>
        <w:tblCellMar>
          <w:top w:w="0" w:type="dxa"/>
          <w:left w:w="108" w:type="dxa"/>
          <w:bottom w:w="0" w:type="dxa"/>
          <w:right w:w="108" w:type="dxa"/>
        </w:tblCellMar>
      </w:tblPr>
      <w:tblGrid>
        <w:gridCol w:w="1403"/>
        <w:gridCol w:w="2099"/>
        <w:gridCol w:w="989"/>
        <w:gridCol w:w="1180"/>
        <w:gridCol w:w="980"/>
        <w:gridCol w:w="1123"/>
        <w:gridCol w:w="1181"/>
        <w:gridCol w:w="961"/>
        <w:gridCol w:w="1144"/>
        <w:gridCol w:w="1201"/>
        <w:gridCol w:w="846"/>
        <w:gridCol w:w="1169"/>
      </w:tblGrid>
      <w:tr w14:paraId="167B3465">
        <w:tblPrEx>
          <w:tblCellMar>
            <w:top w:w="0" w:type="dxa"/>
            <w:left w:w="108" w:type="dxa"/>
            <w:bottom w:w="0" w:type="dxa"/>
            <w:right w:w="108" w:type="dxa"/>
          </w:tblCellMar>
        </w:tblPrEx>
        <w:trPr>
          <w:trHeight w:val="397" w:hRule="atLeast"/>
          <w:jc w:val="center"/>
        </w:trPr>
        <w:tc>
          <w:tcPr>
            <w:tcW w:w="1230" w:type="pct"/>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46AFD8FE">
            <w:pPr>
              <w:pStyle w:val="149"/>
            </w:pPr>
            <w:r>
              <w:rPr>
                <w:rFonts w:hint="eastAsia"/>
              </w:rPr>
              <w:t>调查与预测单元</w:t>
            </w:r>
          </w:p>
        </w:tc>
        <w:tc>
          <w:tcPr>
            <w:tcW w:w="1108" w:type="pct"/>
            <w:gridSpan w:val="3"/>
            <w:tcBorders>
              <w:top w:val="single" w:color="auto" w:sz="4" w:space="0"/>
              <w:left w:val="nil"/>
              <w:bottom w:val="single" w:color="auto" w:sz="4" w:space="0"/>
              <w:right w:val="single" w:color="auto" w:sz="4" w:space="0"/>
            </w:tcBorders>
            <w:shd w:val="clear" w:color="auto" w:fill="auto"/>
            <w:vAlign w:val="center"/>
          </w:tcPr>
          <w:p w14:paraId="7AE9C3C4">
            <w:pPr>
              <w:pStyle w:val="149"/>
            </w:pPr>
            <w:r>
              <w:rPr>
                <w:rFonts w:hint="eastAsia"/>
              </w:rPr>
              <w:t>施工期</w:t>
            </w:r>
          </w:p>
        </w:tc>
        <w:tc>
          <w:tcPr>
            <w:tcW w:w="1148" w:type="pct"/>
            <w:gridSpan w:val="3"/>
            <w:tcBorders>
              <w:top w:val="single" w:color="auto" w:sz="4" w:space="0"/>
              <w:left w:val="nil"/>
              <w:bottom w:val="single" w:color="auto" w:sz="4" w:space="0"/>
              <w:right w:val="single" w:color="auto" w:sz="4" w:space="0"/>
            </w:tcBorders>
            <w:shd w:val="clear" w:color="auto" w:fill="auto"/>
            <w:vAlign w:val="center"/>
          </w:tcPr>
          <w:p w14:paraId="1AD18A06">
            <w:pPr>
              <w:pStyle w:val="149"/>
            </w:pPr>
            <w:r>
              <w:rPr>
                <w:rFonts w:hint="eastAsia"/>
              </w:rPr>
              <w:t>自然恢复期</w:t>
            </w:r>
          </w:p>
        </w:tc>
        <w:tc>
          <w:tcPr>
            <w:tcW w:w="1103" w:type="pct"/>
            <w:gridSpan w:val="3"/>
            <w:tcBorders>
              <w:top w:val="single" w:color="auto" w:sz="4" w:space="0"/>
              <w:left w:val="nil"/>
              <w:bottom w:val="single" w:color="auto" w:sz="4" w:space="0"/>
              <w:right w:val="single" w:color="auto" w:sz="4" w:space="0"/>
            </w:tcBorders>
            <w:shd w:val="clear" w:color="auto" w:fill="auto"/>
            <w:vAlign w:val="center"/>
          </w:tcPr>
          <w:p w14:paraId="6EE127A0">
            <w:pPr>
              <w:pStyle w:val="149"/>
            </w:pPr>
            <w:r>
              <w:rPr>
                <w:rFonts w:hint="eastAsia"/>
              </w:rPr>
              <w:t>合计</w:t>
            </w:r>
          </w:p>
        </w:tc>
        <w:tc>
          <w:tcPr>
            <w:tcW w:w="41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A4C8CC">
            <w:pPr>
              <w:pStyle w:val="149"/>
            </w:pPr>
            <w:r>
              <w:rPr>
                <w:rFonts w:hint="eastAsia"/>
              </w:rPr>
              <w:t>占总新增</w:t>
            </w:r>
          </w:p>
          <w:p w14:paraId="784065E8">
            <w:pPr>
              <w:pStyle w:val="149"/>
            </w:pPr>
            <w:r>
              <w:rPr>
                <w:rFonts w:hint="eastAsia"/>
              </w:rPr>
              <w:t>量的百分</w:t>
            </w:r>
          </w:p>
          <w:p w14:paraId="6E53A1F3">
            <w:pPr>
              <w:pStyle w:val="149"/>
            </w:pPr>
            <w:r>
              <w:rPr>
                <w:rFonts w:hint="eastAsia"/>
              </w:rPr>
              <w:t>比（</w:t>
            </w:r>
            <w:r>
              <w:t>%</w:t>
            </w:r>
            <w:r>
              <w:rPr>
                <w:rFonts w:hint="eastAsia"/>
              </w:rPr>
              <w:t>）</w:t>
            </w:r>
          </w:p>
        </w:tc>
      </w:tr>
      <w:tr w14:paraId="5F9B9A0B">
        <w:tblPrEx>
          <w:tblCellMar>
            <w:top w:w="0" w:type="dxa"/>
            <w:left w:w="108" w:type="dxa"/>
            <w:bottom w:w="0" w:type="dxa"/>
            <w:right w:w="108" w:type="dxa"/>
          </w:tblCellMar>
        </w:tblPrEx>
        <w:trPr>
          <w:trHeight w:val="397" w:hRule="atLeast"/>
          <w:jc w:val="center"/>
        </w:trPr>
        <w:tc>
          <w:tcPr>
            <w:tcW w:w="1230" w:type="pct"/>
            <w:gridSpan w:val="2"/>
            <w:vMerge w:val="continue"/>
            <w:tcBorders>
              <w:top w:val="single" w:color="auto" w:sz="4" w:space="0"/>
              <w:left w:val="single" w:color="auto" w:sz="4" w:space="0"/>
              <w:bottom w:val="double" w:color="auto" w:sz="4" w:space="0"/>
              <w:right w:val="single" w:color="000000" w:sz="4" w:space="0"/>
            </w:tcBorders>
            <w:vAlign w:val="center"/>
          </w:tcPr>
          <w:p w14:paraId="75F2C086">
            <w:pPr>
              <w:pStyle w:val="149"/>
            </w:pPr>
          </w:p>
        </w:tc>
        <w:tc>
          <w:tcPr>
            <w:tcW w:w="348" w:type="pct"/>
            <w:tcBorders>
              <w:top w:val="nil"/>
              <w:left w:val="nil"/>
              <w:bottom w:val="double" w:color="auto" w:sz="4" w:space="0"/>
              <w:right w:val="single" w:color="auto" w:sz="4" w:space="0"/>
            </w:tcBorders>
            <w:shd w:val="clear" w:color="auto" w:fill="auto"/>
            <w:vAlign w:val="center"/>
          </w:tcPr>
          <w:p w14:paraId="5FCE1BDE">
            <w:pPr>
              <w:pStyle w:val="149"/>
            </w:pPr>
            <w:r>
              <w:rPr>
                <w:rFonts w:hint="eastAsia"/>
              </w:rPr>
              <w:t>总流失量</w:t>
            </w:r>
          </w:p>
        </w:tc>
        <w:tc>
          <w:tcPr>
            <w:tcW w:w="415" w:type="pct"/>
            <w:tcBorders>
              <w:top w:val="nil"/>
              <w:left w:val="nil"/>
              <w:bottom w:val="double" w:color="auto" w:sz="4" w:space="0"/>
              <w:right w:val="single" w:color="auto" w:sz="4" w:space="0"/>
            </w:tcBorders>
            <w:shd w:val="clear" w:color="auto" w:fill="auto"/>
            <w:vAlign w:val="center"/>
          </w:tcPr>
          <w:p w14:paraId="59EA1DA9">
            <w:pPr>
              <w:pStyle w:val="149"/>
            </w:pPr>
            <w:r>
              <w:rPr>
                <w:rFonts w:hint="eastAsia"/>
              </w:rPr>
              <w:t>原地貌（</w:t>
            </w:r>
            <w:r>
              <w:t>t</w:t>
            </w:r>
            <w:r>
              <w:rPr>
                <w:rFonts w:hint="eastAsia"/>
              </w:rPr>
              <w:t>）</w:t>
            </w:r>
          </w:p>
        </w:tc>
        <w:tc>
          <w:tcPr>
            <w:tcW w:w="345" w:type="pct"/>
            <w:tcBorders>
              <w:top w:val="nil"/>
              <w:left w:val="nil"/>
              <w:bottom w:val="double" w:color="auto" w:sz="4" w:space="0"/>
              <w:right w:val="single" w:color="auto" w:sz="4" w:space="0"/>
            </w:tcBorders>
            <w:shd w:val="clear" w:color="auto" w:fill="auto"/>
            <w:vAlign w:val="center"/>
          </w:tcPr>
          <w:p w14:paraId="09E0227F">
            <w:pPr>
              <w:pStyle w:val="149"/>
            </w:pPr>
            <w:r>
              <w:rPr>
                <w:rFonts w:hint="eastAsia"/>
              </w:rPr>
              <w:t>新增量</w:t>
            </w:r>
            <w:r>
              <w:t>(t)</w:t>
            </w:r>
          </w:p>
        </w:tc>
        <w:tc>
          <w:tcPr>
            <w:tcW w:w="395" w:type="pct"/>
            <w:tcBorders>
              <w:top w:val="nil"/>
              <w:left w:val="nil"/>
              <w:bottom w:val="double" w:color="auto" w:sz="4" w:space="0"/>
              <w:right w:val="single" w:color="auto" w:sz="4" w:space="0"/>
            </w:tcBorders>
            <w:shd w:val="clear" w:color="auto" w:fill="auto"/>
            <w:vAlign w:val="center"/>
          </w:tcPr>
          <w:p w14:paraId="033C6382">
            <w:pPr>
              <w:pStyle w:val="149"/>
            </w:pPr>
            <w:r>
              <w:rPr>
                <w:rFonts w:hint="eastAsia"/>
              </w:rPr>
              <w:t>总流失量</w:t>
            </w:r>
            <w:r>
              <w:t>(t)</w:t>
            </w:r>
          </w:p>
        </w:tc>
        <w:tc>
          <w:tcPr>
            <w:tcW w:w="415" w:type="pct"/>
            <w:tcBorders>
              <w:top w:val="nil"/>
              <w:left w:val="nil"/>
              <w:bottom w:val="double" w:color="auto" w:sz="4" w:space="0"/>
              <w:right w:val="single" w:color="auto" w:sz="4" w:space="0"/>
            </w:tcBorders>
            <w:shd w:val="clear" w:color="auto" w:fill="auto"/>
            <w:vAlign w:val="center"/>
          </w:tcPr>
          <w:p w14:paraId="69A9FEAD">
            <w:pPr>
              <w:pStyle w:val="149"/>
            </w:pPr>
            <w:r>
              <w:rPr>
                <w:rFonts w:hint="eastAsia"/>
              </w:rPr>
              <w:t>原地貌（</w:t>
            </w:r>
            <w:r>
              <w:t>t</w:t>
            </w:r>
            <w:r>
              <w:rPr>
                <w:rFonts w:hint="eastAsia"/>
              </w:rPr>
              <w:t>）</w:t>
            </w:r>
          </w:p>
        </w:tc>
        <w:tc>
          <w:tcPr>
            <w:tcW w:w="338" w:type="pct"/>
            <w:tcBorders>
              <w:top w:val="nil"/>
              <w:left w:val="nil"/>
              <w:bottom w:val="double" w:color="auto" w:sz="4" w:space="0"/>
              <w:right w:val="single" w:color="auto" w:sz="4" w:space="0"/>
            </w:tcBorders>
            <w:shd w:val="clear" w:color="auto" w:fill="auto"/>
            <w:vAlign w:val="center"/>
          </w:tcPr>
          <w:p w14:paraId="03EF95D0">
            <w:pPr>
              <w:pStyle w:val="149"/>
            </w:pPr>
            <w:r>
              <w:rPr>
                <w:rFonts w:hint="eastAsia"/>
              </w:rPr>
              <w:t>新增量</w:t>
            </w:r>
            <w:r>
              <w:t>(t)</w:t>
            </w:r>
          </w:p>
        </w:tc>
        <w:tc>
          <w:tcPr>
            <w:tcW w:w="402" w:type="pct"/>
            <w:tcBorders>
              <w:top w:val="nil"/>
              <w:left w:val="nil"/>
              <w:bottom w:val="double" w:color="auto" w:sz="4" w:space="0"/>
              <w:right w:val="single" w:color="auto" w:sz="4" w:space="0"/>
            </w:tcBorders>
            <w:shd w:val="clear" w:color="auto" w:fill="auto"/>
            <w:vAlign w:val="center"/>
          </w:tcPr>
          <w:p w14:paraId="5EDAAB39">
            <w:pPr>
              <w:pStyle w:val="149"/>
            </w:pPr>
            <w:r>
              <w:rPr>
                <w:rFonts w:hint="eastAsia"/>
              </w:rPr>
              <w:t>总流失量</w:t>
            </w:r>
            <w:r>
              <w:t>(t)</w:t>
            </w:r>
          </w:p>
        </w:tc>
        <w:tc>
          <w:tcPr>
            <w:tcW w:w="422" w:type="pct"/>
            <w:tcBorders>
              <w:top w:val="nil"/>
              <w:left w:val="nil"/>
              <w:bottom w:val="double" w:color="auto" w:sz="4" w:space="0"/>
              <w:right w:val="single" w:color="auto" w:sz="4" w:space="0"/>
            </w:tcBorders>
            <w:shd w:val="clear" w:color="auto" w:fill="auto"/>
            <w:vAlign w:val="center"/>
          </w:tcPr>
          <w:p w14:paraId="597BB359">
            <w:pPr>
              <w:pStyle w:val="149"/>
            </w:pPr>
            <w:r>
              <w:rPr>
                <w:rFonts w:hint="eastAsia"/>
              </w:rPr>
              <w:t>原地貌（</w:t>
            </w:r>
            <w:r>
              <w:t>t</w:t>
            </w:r>
            <w:r>
              <w:rPr>
                <w:rFonts w:hint="eastAsia"/>
              </w:rPr>
              <w:t>）</w:t>
            </w:r>
          </w:p>
        </w:tc>
        <w:tc>
          <w:tcPr>
            <w:tcW w:w="279" w:type="pct"/>
            <w:tcBorders>
              <w:top w:val="nil"/>
              <w:left w:val="nil"/>
              <w:bottom w:val="double" w:color="auto" w:sz="4" w:space="0"/>
              <w:right w:val="single" w:color="auto" w:sz="4" w:space="0"/>
            </w:tcBorders>
            <w:shd w:val="clear" w:color="auto" w:fill="auto"/>
            <w:vAlign w:val="center"/>
          </w:tcPr>
          <w:p w14:paraId="05EBF579">
            <w:pPr>
              <w:pStyle w:val="149"/>
            </w:pPr>
            <w:r>
              <w:rPr>
                <w:rFonts w:hint="eastAsia"/>
              </w:rPr>
              <w:t>新增量</w:t>
            </w:r>
            <w:r>
              <w:t>(t)</w:t>
            </w:r>
          </w:p>
        </w:tc>
        <w:tc>
          <w:tcPr>
            <w:tcW w:w="411" w:type="pct"/>
            <w:vMerge w:val="continue"/>
            <w:tcBorders>
              <w:top w:val="single" w:color="auto" w:sz="4" w:space="0"/>
              <w:left w:val="single" w:color="auto" w:sz="4" w:space="0"/>
              <w:bottom w:val="double" w:color="auto" w:sz="4" w:space="0"/>
              <w:right w:val="single" w:color="auto" w:sz="4" w:space="0"/>
            </w:tcBorders>
            <w:vAlign w:val="center"/>
          </w:tcPr>
          <w:p w14:paraId="08B99740">
            <w:pPr>
              <w:pStyle w:val="149"/>
            </w:pPr>
          </w:p>
        </w:tc>
      </w:tr>
      <w:tr w14:paraId="12FE04D9">
        <w:tblPrEx>
          <w:tblCellMar>
            <w:top w:w="0" w:type="dxa"/>
            <w:left w:w="108" w:type="dxa"/>
            <w:bottom w:w="0" w:type="dxa"/>
            <w:right w:w="108" w:type="dxa"/>
          </w:tblCellMar>
        </w:tblPrEx>
        <w:trPr>
          <w:trHeight w:val="397" w:hRule="atLeast"/>
          <w:jc w:val="center"/>
        </w:trPr>
        <w:tc>
          <w:tcPr>
            <w:tcW w:w="493" w:type="pct"/>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1438CC13">
            <w:pPr>
              <w:pStyle w:val="149"/>
            </w:pPr>
            <w:r>
              <w:rPr>
                <w:rFonts w:hint="eastAsia"/>
              </w:rPr>
              <w:t>金山产业园北区</w:t>
            </w:r>
          </w:p>
        </w:tc>
        <w:tc>
          <w:tcPr>
            <w:tcW w:w="737" w:type="pct"/>
            <w:tcBorders>
              <w:top w:val="double" w:color="auto" w:sz="4" w:space="0"/>
              <w:left w:val="nil"/>
              <w:bottom w:val="single" w:color="auto" w:sz="4" w:space="0"/>
              <w:right w:val="single" w:color="auto" w:sz="4" w:space="0"/>
            </w:tcBorders>
            <w:shd w:val="clear" w:color="auto" w:fill="auto"/>
            <w:vAlign w:val="center"/>
          </w:tcPr>
          <w:p w14:paraId="11064CEA">
            <w:pPr>
              <w:pStyle w:val="149"/>
            </w:pPr>
            <w:r>
              <w:rPr>
                <w:rFonts w:hint="eastAsia"/>
              </w:rPr>
              <w:t>公共管理与公共服务用地</w:t>
            </w:r>
          </w:p>
        </w:tc>
        <w:tc>
          <w:tcPr>
            <w:tcW w:w="348" w:type="pct"/>
            <w:tcBorders>
              <w:top w:val="double" w:color="auto" w:sz="4" w:space="0"/>
              <w:left w:val="nil"/>
              <w:bottom w:val="single" w:color="auto" w:sz="4" w:space="0"/>
              <w:right w:val="single" w:color="auto" w:sz="4" w:space="0"/>
            </w:tcBorders>
            <w:shd w:val="clear" w:color="auto" w:fill="auto"/>
            <w:vAlign w:val="center"/>
          </w:tcPr>
          <w:p w14:paraId="5A0F9070">
            <w:pPr>
              <w:pStyle w:val="149"/>
            </w:pPr>
            <w:r>
              <w:t xml:space="preserve">183 </w:t>
            </w:r>
          </w:p>
        </w:tc>
        <w:tc>
          <w:tcPr>
            <w:tcW w:w="415" w:type="pct"/>
            <w:tcBorders>
              <w:top w:val="double" w:color="auto" w:sz="4" w:space="0"/>
              <w:left w:val="nil"/>
              <w:bottom w:val="single" w:color="auto" w:sz="4" w:space="0"/>
              <w:right w:val="single" w:color="auto" w:sz="4" w:space="0"/>
            </w:tcBorders>
            <w:shd w:val="clear" w:color="auto" w:fill="auto"/>
            <w:vAlign w:val="center"/>
          </w:tcPr>
          <w:p w14:paraId="11A9C52D">
            <w:pPr>
              <w:pStyle w:val="149"/>
            </w:pPr>
            <w:r>
              <w:t xml:space="preserve">51 </w:t>
            </w:r>
          </w:p>
        </w:tc>
        <w:tc>
          <w:tcPr>
            <w:tcW w:w="345" w:type="pct"/>
            <w:tcBorders>
              <w:top w:val="double" w:color="auto" w:sz="4" w:space="0"/>
              <w:left w:val="nil"/>
              <w:bottom w:val="single" w:color="auto" w:sz="4" w:space="0"/>
              <w:right w:val="single" w:color="auto" w:sz="4" w:space="0"/>
            </w:tcBorders>
            <w:shd w:val="clear" w:color="auto" w:fill="auto"/>
            <w:vAlign w:val="center"/>
          </w:tcPr>
          <w:p w14:paraId="2D4A1DFA">
            <w:pPr>
              <w:pStyle w:val="149"/>
            </w:pPr>
            <w:r>
              <w:t xml:space="preserve">132 </w:t>
            </w:r>
          </w:p>
        </w:tc>
        <w:tc>
          <w:tcPr>
            <w:tcW w:w="395" w:type="pct"/>
            <w:tcBorders>
              <w:top w:val="double" w:color="auto" w:sz="4" w:space="0"/>
              <w:left w:val="nil"/>
              <w:bottom w:val="single" w:color="auto" w:sz="4" w:space="0"/>
              <w:right w:val="single" w:color="auto" w:sz="4" w:space="0"/>
            </w:tcBorders>
            <w:shd w:val="clear" w:color="auto" w:fill="auto"/>
            <w:vAlign w:val="center"/>
          </w:tcPr>
          <w:p w14:paraId="264D69DD">
            <w:pPr>
              <w:pStyle w:val="149"/>
            </w:pPr>
            <w:r>
              <w:t xml:space="preserve">111 </w:t>
            </w:r>
          </w:p>
        </w:tc>
        <w:tc>
          <w:tcPr>
            <w:tcW w:w="415" w:type="pct"/>
            <w:tcBorders>
              <w:top w:val="double" w:color="auto" w:sz="4" w:space="0"/>
              <w:left w:val="nil"/>
              <w:bottom w:val="single" w:color="auto" w:sz="4" w:space="0"/>
              <w:right w:val="single" w:color="auto" w:sz="4" w:space="0"/>
            </w:tcBorders>
            <w:shd w:val="clear" w:color="auto" w:fill="auto"/>
            <w:vAlign w:val="center"/>
          </w:tcPr>
          <w:p w14:paraId="1432F5C5">
            <w:pPr>
              <w:pStyle w:val="149"/>
            </w:pPr>
            <w:r>
              <w:t xml:space="preserve">53 </w:t>
            </w:r>
          </w:p>
        </w:tc>
        <w:tc>
          <w:tcPr>
            <w:tcW w:w="338" w:type="pct"/>
            <w:tcBorders>
              <w:top w:val="double" w:color="auto" w:sz="4" w:space="0"/>
              <w:left w:val="nil"/>
              <w:bottom w:val="single" w:color="auto" w:sz="4" w:space="0"/>
              <w:right w:val="single" w:color="auto" w:sz="4" w:space="0"/>
            </w:tcBorders>
            <w:shd w:val="clear" w:color="auto" w:fill="auto"/>
            <w:vAlign w:val="center"/>
          </w:tcPr>
          <w:p w14:paraId="2C9F375F">
            <w:pPr>
              <w:pStyle w:val="149"/>
            </w:pPr>
            <w:r>
              <w:t xml:space="preserve">57 </w:t>
            </w:r>
          </w:p>
        </w:tc>
        <w:tc>
          <w:tcPr>
            <w:tcW w:w="402" w:type="pct"/>
            <w:tcBorders>
              <w:top w:val="double" w:color="auto" w:sz="4" w:space="0"/>
              <w:left w:val="nil"/>
              <w:bottom w:val="single" w:color="auto" w:sz="4" w:space="0"/>
              <w:right w:val="single" w:color="auto" w:sz="4" w:space="0"/>
            </w:tcBorders>
            <w:shd w:val="clear" w:color="auto" w:fill="auto"/>
            <w:vAlign w:val="center"/>
          </w:tcPr>
          <w:p w14:paraId="50BEC448">
            <w:pPr>
              <w:pStyle w:val="149"/>
            </w:pPr>
            <w:r>
              <w:t xml:space="preserve">293 </w:t>
            </w:r>
          </w:p>
        </w:tc>
        <w:tc>
          <w:tcPr>
            <w:tcW w:w="422" w:type="pct"/>
            <w:tcBorders>
              <w:top w:val="double" w:color="auto" w:sz="4" w:space="0"/>
              <w:left w:val="nil"/>
              <w:bottom w:val="single" w:color="auto" w:sz="4" w:space="0"/>
              <w:right w:val="single" w:color="auto" w:sz="4" w:space="0"/>
            </w:tcBorders>
            <w:shd w:val="clear" w:color="auto" w:fill="auto"/>
            <w:vAlign w:val="center"/>
          </w:tcPr>
          <w:p w14:paraId="76EC8498">
            <w:pPr>
              <w:pStyle w:val="149"/>
            </w:pPr>
            <w:r>
              <w:t xml:space="preserve">104 </w:t>
            </w:r>
          </w:p>
        </w:tc>
        <w:tc>
          <w:tcPr>
            <w:tcW w:w="279" w:type="pct"/>
            <w:tcBorders>
              <w:top w:val="double" w:color="auto" w:sz="4" w:space="0"/>
              <w:left w:val="nil"/>
              <w:bottom w:val="single" w:color="auto" w:sz="4" w:space="0"/>
              <w:right w:val="single" w:color="auto" w:sz="4" w:space="0"/>
            </w:tcBorders>
            <w:shd w:val="clear" w:color="auto" w:fill="auto"/>
            <w:vAlign w:val="center"/>
          </w:tcPr>
          <w:p w14:paraId="3A8ADCBE">
            <w:pPr>
              <w:pStyle w:val="149"/>
            </w:pPr>
            <w:r>
              <w:t xml:space="preserve">189 </w:t>
            </w:r>
          </w:p>
        </w:tc>
        <w:tc>
          <w:tcPr>
            <w:tcW w:w="411" w:type="pct"/>
            <w:tcBorders>
              <w:top w:val="double" w:color="auto" w:sz="4" w:space="0"/>
              <w:left w:val="nil"/>
              <w:bottom w:val="single" w:color="auto" w:sz="4" w:space="0"/>
              <w:right w:val="single" w:color="auto" w:sz="4" w:space="0"/>
            </w:tcBorders>
            <w:shd w:val="clear" w:color="auto" w:fill="auto"/>
            <w:vAlign w:val="center"/>
          </w:tcPr>
          <w:p w14:paraId="2CEC8596">
            <w:pPr>
              <w:pStyle w:val="149"/>
            </w:pPr>
            <w:r>
              <w:t xml:space="preserve">0.11 </w:t>
            </w:r>
          </w:p>
        </w:tc>
      </w:tr>
      <w:tr w14:paraId="42DB095B">
        <w:tblPrEx>
          <w:tblCellMar>
            <w:top w:w="0" w:type="dxa"/>
            <w:left w:w="108" w:type="dxa"/>
            <w:bottom w:w="0" w:type="dxa"/>
            <w:right w:w="108" w:type="dxa"/>
          </w:tblCellMar>
        </w:tblPrEx>
        <w:trPr>
          <w:trHeight w:val="397" w:hRule="atLeast"/>
          <w:jc w:val="center"/>
        </w:trPr>
        <w:tc>
          <w:tcPr>
            <w:tcW w:w="493" w:type="pct"/>
            <w:vMerge w:val="continue"/>
            <w:tcBorders>
              <w:top w:val="nil"/>
              <w:left w:val="single" w:color="auto" w:sz="4" w:space="0"/>
              <w:bottom w:val="single" w:color="auto" w:sz="4" w:space="0"/>
              <w:right w:val="single" w:color="auto" w:sz="4" w:space="0"/>
            </w:tcBorders>
            <w:vAlign w:val="center"/>
          </w:tcPr>
          <w:p w14:paraId="63070525">
            <w:pPr>
              <w:pStyle w:val="149"/>
            </w:pPr>
          </w:p>
        </w:tc>
        <w:tc>
          <w:tcPr>
            <w:tcW w:w="737" w:type="pct"/>
            <w:tcBorders>
              <w:top w:val="nil"/>
              <w:left w:val="nil"/>
              <w:bottom w:val="single" w:color="auto" w:sz="4" w:space="0"/>
              <w:right w:val="single" w:color="auto" w:sz="4" w:space="0"/>
            </w:tcBorders>
            <w:shd w:val="clear" w:color="auto" w:fill="auto"/>
            <w:vAlign w:val="center"/>
          </w:tcPr>
          <w:p w14:paraId="2F35EF4F">
            <w:pPr>
              <w:pStyle w:val="149"/>
            </w:pPr>
            <w:r>
              <w:rPr>
                <w:rFonts w:hint="eastAsia"/>
              </w:rPr>
              <w:t>商业服务业用地</w:t>
            </w:r>
          </w:p>
        </w:tc>
        <w:tc>
          <w:tcPr>
            <w:tcW w:w="348" w:type="pct"/>
            <w:tcBorders>
              <w:top w:val="nil"/>
              <w:left w:val="nil"/>
              <w:bottom w:val="single" w:color="auto" w:sz="4" w:space="0"/>
              <w:right w:val="single" w:color="auto" w:sz="4" w:space="0"/>
            </w:tcBorders>
            <w:shd w:val="clear" w:color="auto" w:fill="auto"/>
            <w:vAlign w:val="center"/>
          </w:tcPr>
          <w:p w14:paraId="6BD6C86D">
            <w:pPr>
              <w:pStyle w:val="149"/>
            </w:pPr>
            <w:r>
              <w:t xml:space="preserve">439 </w:t>
            </w:r>
          </w:p>
        </w:tc>
        <w:tc>
          <w:tcPr>
            <w:tcW w:w="415" w:type="pct"/>
            <w:tcBorders>
              <w:top w:val="nil"/>
              <w:left w:val="nil"/>
              <w:bottom w:val="single" w:color="auto" w:sz="4" w:space="0"/>
              <w:right w:val="single" w:color="auto" w:sz="4" w:space="0"/>
            </w:tcBorders>
            <w:shd w:val="clear" w:color="auto" w:fill="auto"/>
            <w:vAlign w:val="center"/>
          </w:tcPr>
          <w:p w14:paraId="23A1A0E7">
            <w:pPr>
              <w:pStyle w:val="149"/>
            </w:pPr>
            <w:r>
              <w:t xml:space="preserve">120 </w:t>
            </w:r>
          </w:p>
        </w:tc>
        <w:tc>
          <w:tcPr>
            <w:tcW w:w="345" w:type="pct"/>
            <w:tcBorders>
              <w:top w:val="nil"/>
              <w:left w:val="nil"/>
              <w:bottom w:val="single" w:color="auto" w:sz="4" w:space="0"/>
              <w:right w:val="single" w:color="auto" w:sz="4" w:space="0"/>
            </w:tcBorders>
            <w:shd w:val="clear" w:color="auto" w:fill="auto"/>
            <w:vAlign w:val="center"/>
          </w:tcPr>
          <w:p w14:paraId="71429D99">
            <w:pPr>
              <w:pStyle w:val="149"/>
            </w:pPr>
            <w:r>
              <w:t xml:space="preserve">319 </w:t>
            </w:r>
          </w:p>
        </w:tc>
        <w:tc>
          <w:tcPr>
            <w:tcW w:w="395" w:type="pct"/>
            <w:tcBorders>
              <w:top w:val="nil"/>
              <w:left w:val="nil"/>
              <w:bottom w:val="single" w:color="auto" w:sz="4" w:space="0"/>
              <w:right w:val="single" w:color="auto" w:sz="4" w:space="0"/>
            </w:tcBorders>
            <w:shd w:val="clear" w:color="auto" w:fill="auto"/>
            <w:vAlign w:val="center"/>
          </w:tcPr>
          <w:p w14:paraId="4BB2FFBF">
            <w:pPr>
              <w:pStyle w:val="149"/>
            </w:pPr>
            <w:r>
              <w:t xml:space="preserve">451 </w:t>
            </w:r>
          </w:p>
        </w:tc>
        <w:tc>
          <w:tcPr>
            <w:tcW w:w="415" w:type="pct"/>
            <w:tcBorders>
              <w:top w:val="nil"/>
              <w:left w:val="nil"/>
              <w:bottom w:val="single" w:color="auto" w:sz="4" w:space="0"/>
              <w:right w:val="single" w:color="auto" w:sz="4" w:space="0"/>
            </w:tcBorders>
            <w:shd w:val="clear" w:color="auto" w:fill="auto"/>
            <w:vAlign w:val="center"/>
          </w:tcPr>
          <w:p w14:paraId="487B9C28">
            <w:pPr>
              <w:pStyle w:val="149"/>
            </w:pPr>
            <w:r>
              <w:t xml:space="preserve">218 </w:t>
            </w:r>
          </w:p>
        </w:tc>
        <w:tc>
          <w:tcPr>
            <w:tcW w:w="338" w:type="pct"/>
            <w:tcBorders>
              <w:top w:val="nil"/>
              <w:left w:val="nil"/>
              <w:bottom w:val="single" w:color="auto" w:sz="4" w:space="0"/>
              <w:right w:val="single" w:color="auto" w:sz="4" w:space="0"/>
            </w:tcBorders>
            <w:shd w:val="clear" w:color="auto" w:fill="auto"/>
            <w:vAlign w:val="center"/>
          </w:tcPr>
          <w:p w14:paraId="2BA2C75B">
            <w:pPr>
              <w:pStyle w:val="149"/>
            </w:pPr>
            <w:r>
              <w:t xml:space="preserve">234 </w:t>
            </w:r>
          </w:p>
        </w:tc>
        <w:tc>
          <w:tcPr>
            <w:tcW w:w="402" w:type="pct"/>
            <w:tcBorders>
              <w:top w:val="nil"/>
              <w:left w:val="nil"/>
              <w:bottom w:val="single" w:color="auto" w:sz="4" w:space="0"/>
              <w:right w:val="single" w:color="auto" w:sz="4" w:space="0"/>
            </w:tcBorders>
            <w:shd w:val="clear" w:color="auto" w:fill="auto"/>
            <w:vAlign w:val="center"/>
          </w:tcPr>
          <w:p w14:paraId="7CCE9095">
            <w:pPr>
              <w:pStyle w:val="149"/>
            </w:pPr>
            <w:r>
              <w:t xml:space="preserve">890 </w:t>
            </w:r>
          </w:p>
        </w:tc>
        <w:tc>
          <w:tcPr>
            <w:tcW w:w="422" w:type="pct"/>
            <w:tcBorders>
              <w:top w:val="nil"/>
              <w:left w:val="nil"/>
              <w:bottom w:val="single" w:color="auto" w:sz="4" w:space="0"/>
              <w:right w:val="single" w:color="auto" w:sz="4" w:space="0"/>
            </w:tcBorders>
            <w:shd w:val="clear" w:color="auto" w:fill="auto"/>
            <w:vAlign w:val="center"/>
          </w:tcPr>
          <w:p w14:paraId="41AB3307">
            <w:pPr>
              <w:pStyle w:val="149"/>
            </w:pPr>
            <w:r>
              <w:t xml:space="preserve">338 </w:t>
            </w:r>
          </w:p>
        </w:tc>
        <w:tc>
          <w:tcPr>
            <w:tcW w:w="279" w:type="pct"/>
            <w:tcBorders>
              <w:top w:val="nil"/>
              <w:left w:val="nil"/>
              <w:bottom w:val="single" w:color="auto" w:sz="4" w:space="0"/>
              <w:right w:val="single" w:color="auto" w:sz="4" w:space="0"/>
            </w:tcBorders>
            <w:shd w:val="clear" w:color="auto" w:fill="auto"/>
            <w:vAlign w:val="center"/>
          </w:tcPr>
          <w:p w14:paraId="42DA88DF">
            <w:pPr>
              <w:pStyle w:val="149"/>
            </w:pPr>
            <w:r>
              <w:t xml:space="preserve">552 </w:t>
            </w:r>
          </w:p>
        </w:tc>
        <w:tc>
          <w:tcPr>
            <w:tcW w:w="411" w:type="pct"/>
            <w:tcBorders>
              <w:top w:val="nil"/>
              <w:left w:val="nil"/>
              <w:bottom w:val="single" w:color="auto" w:sz="4" w:space="0"/>
              <w:right w:val="single" w:color="auto" w:sz="4" w:space="0"/>
            </w:tcBorders>
            <w:shd w:val="clear" w:color="auto" w:fill="auto"/>
            <w:vAlign w:val="center"/>
          </w:tcPr>
          <w:p w14:paraId="546A7777">
            <w:pPr>
              <w:pStyle w:val="149"/>
            </w:pPr>
            <w:r>
              <w:t xml:space="preserve">0.31 </w:t>
            </w:r>
          </w:p>
        </w:tc>
      </w:tr>
      <w:tr w14:paraId="41040CEB">
        <w:tblPrEx>
          <w:tblCellMar>
            <w:top w:w="0" w:type="dxa"/>
            <w:left w:w="108" w:type="dxa"/>
            <w:bottom w:w="0" w:type="dxa"/>
            <w:right w:w="108" w:type="dxa"/>
          </w:tblCellMar>
        </w:tblPrEx>
        <w:trPr>
          <w:trHeight w:val="397" w:hRule="atLeast"/>
          <w:jc w:val="center"/>
        </w:trPr>
        <w:tc>
          <w:tcPr>
            <w:tcW w:w="493" w:type="pct"/>
            <w:vMerge w:val="continue"/>
            <w:tcBorders>
              <w:top w:val="nil"/>
              <w:left w:val="single" w:color="auto" w:sz="4" w:space="0"/>
              <w:bottom w:val="single" w:color="auto" w:sz="4" w:space="0"/>
              <w:right w:val="single" w:color="auto" w:sz="4" w:space="0"/>
            </w:tcBorders>
            <w:vAlign w:val="center"/>
          </w:tcPr>
          <w:p w14:paraId="39C795B5">
            <w:pPr>
              <w:pStyle w:val="149"/>
            </w:pPr>
          </w:p>
        </w:tc>
        <w:tc>
          <w:tcPr>
            <w:tcW w:w="737" w:type="pct"/>
            <w:tcBorders>
              <w:top w:val="nil"/>
              <w:left w:val="nil"/>
              <w:bottom w:val="single" w:color="auto" w:sz="4" w:space="0"/>
              <w:right w:val="single" w:color="auto" w:sz="4" w:space="0"/>
            </w:tcBorders>
            <w:shd w:val="clear" w:color="auto" w:fill="auto"/>
            <w:vAlign w:val="center"/>
          </w:tcPr>
          <w:p w14:paraId="7BEB766C">
            <w:pPr>
              <w:pStyle w:val="149"/>
            </w:pPr>
            <w:r>
              <w:rPr>
                <w:rFonts w:hint="eastAsia"/>
              </w:rPr>
              <w:t>工矿用地</w:t>
            </w:r>
          </w:p>
        </w:tc>
        <w:tc>
          <w:tcPr>
            <w:tcW w:w="348" w:type="pct"/>
            <w:tcBorders>
              <w:top w:val="nil"/>
              <w:left w:val="nil"/>
              <w:bottom w:val="single" w:color="auto" w:sz="4" w:space="0"/>
              <w:right w:val="single" w:color="auto" w:sz="4" w:space="0"/>
            </w:tcBorders>
            <w:shd w:val="clear" w:color="auto" w:fill="auto"/>
            <w:vAlign w:val="center"/>
          </w:tcPr>
          <w:p w14:paraId="3F66A7A6">
            <w:pPr>
              <w:pStyle w:val="149"/>
            </w:pPr>
            <w:r>
              <w:t xml:space="preserve">158853 </w:t>
            </w:r>
          </w:p>
        </w:tc>
        <w:tc>
          <w:tcPr>
            <w:tcW w:w="415" w:type="pct"/>
            <w:tcBorders>
              <w:top w:val="nil"/>
              <w:left w:val="nil"/>
              <w:bottom w:val="single" w:color="auto" w:sz="4" w:space="0"/>
              <w:right w:val="single" w:color="auto" w:sz="4" w:space="0"/>
            </w:tcBorders>
            <w:shd w:val="clear" w:color="auto" w:fill="auto"/>
            <w:vAlign w:val="center"/>
          </w:tcPr>
          <w:p w14:paraId="69AC0C9D">
            <w:pPr>
              <w:pStyle w:val="149"/>
            </w:pPr>
            <w:r>
              <w:t xml:space="preserve">52189 </w:t>
            </w:r>
          </w:p>
        </w:tc>
        <w:tc>
          <w:tcPr>
            <w:tcW w:w="345" w:type="pct"/>
            <w:tcBorders>
              <w:top w:val="nil"/>
              <w:left w:val="nil"/>
              <w:bottom w:val="single" w:color="auto" w:sz="4" w:space="0"/>
              <w:right w:val="single" w:color="auto" w:sz="4" w:space="0"/>
            </w:tcBorders>
            <w:shd w:val="clear" w:color="auto" w:fill="auto"/>
            <w:vAlign w:val="center"/>
          </w:tcPr>
          <w:p w14:paraId="4AC2AD39">
            <w:pPr>
              <w:pStyle w:val="149"/>
            </w:pPr>
            <w:r>
              <w:t xml:space="preserve">106664 </w:t>
            </w:r>
          </w:p>
        </w:tc>
        <w:tc>
          <w:tcPr>
            <w:tcW w:w="395" w:type="pct"/>
            <w:tcBorders>
              <w:top w:val="nil"/>
              <w:left w:val="nil"/>
              <w:bottom w:val="single" w:color="auto" w:sz="4" w:space="0"/>
              <w:right w:val="single" w:color="auto" w:sz="4" w:space="0"/>
            </w:tcBorders>
            <w:shd w:val="clear" w:color="auto" w:fill="auto"/>
            <w:vAlign w:val="center"/>
          </w:tcPr>
          <w:p w14:paraId="2C68EA5B">
            <w:pPr>
              <w:pStyle w:val="149"/>
            </w:pPr>
            <w:r>
              <w:t xml:space="preserve">59280 </w:t>
            </w:r>
          </w:p>
        </w:tc>
        <w:tc>
          <w:tcPr>
            <w:tcW w:w="415" w:type="pct"/>
            <w:tcBorders>
              <w:top w:val="nil"/>
              <w:left w:val="nil"/>
              <w:bottom w:val="single" w:color="auto" w:sz="4" w:space="0"/>
              <w:right w:val="single" w:color="auto" w:sz="4" w:space="0"/>
            </w:tcBorders>
            <w:shd w:val="clear" w:color="auto" w:fill="auto"/>
            <w:vAlign w:val="center"/>
          </w:tcPr>
          <w:p w14:paraId="445507CB">
            <w:pPr>
              <w:pStyle w:val="149"/>
            </w:pPr>
            <w:r>
              <w:t xml:space="preserve">28611 </w:t>
            </w:r>
          </w:p>
        </w:tc>
        <w:tc>
          <w:tcPr>
            <w:tcW w:w="338" w:type="pct"/>
            <w:tcBorders>
              <w:top w:val="nil"/>
              <w:left w:val="nil"/>
              <w:bottom w:val="single" w:color="auto" w:sz="4" w:space="0"/>
              <w:right w:val="single" w:color="auto" w:sz="4" w:space="0"/>
            </w:tcBorders>
            <w:shd w:val="clear" w:color="auto" w:fill="auto"/>
            <w:vAlign w:val="center"/>
          </w:tcPr>
          <w:p w14:paraId="42BA7FA9">
            <w:pPr>
              <w:pStyle w:val="149"/>
            </w:pPr>
            <w:r>
              <w:t xml:space="preserve">30669 </w:t>
            </w:r>
          </w:p>
        </w:tc>
        <w:tc>
          <w:tcPr>
            <w:tcW w:w="402" w:type="pct"/>
            <w:tcBorders>
              <w:top w:val="nil"/>
              <w:left w:val="nil"/>
              <w:bottom w:val="single" w:color="auto" w:sz="4" w:space="0"/>
              <w:right w:val="single" w:color="auto" w:sz="4" w:space="0"/>
            </w:tcBorders>
            <w:shd w:val="clear" w:color="auto" w:fill="auto"/>
            <w:vAlign w:val="center"/>
          </w:tcPr>
          <w:p w14:paraId="650F03BD">
            <w:pPr>
              <w:pStyle w:val="149"/>
            </w:pPr>
            <w:r>
              <w:t xml:space="preserve">218133 </w:t>
            </w:r>
          </w:p>
        </w:tc>
        <w:tc>
          <w:tcPr>
            <w:tcW w:w="422" w:type="pct"/>
            <w:tcBorders>
              <w:top w:val="nil"/>
              <w:left w:val="nil"/>
              <w:bottom w:val="single" w:color="auto" w:sz="4" w:space="0"/>
              <w:right w:val="single" w:color="auto" w:sz="4" w:space="0"/>
            </w:tcBorders>
            <w:shd w:val="clear" w:color="auto" w:fill="auto"/>
            <w:vAlign w:val="center"/>
          </w:tcPr>
          <w:p w14:paraId="5309D5A6">
            <w:pPr>
              <w:pStyle w:val="149"/>
            </w:pPr>
            <w:r>
              <w:t xml:space="preserve">80800 </w:t>
            </w:r>
          </w:p>
        </w:tc>
        <w:tc>
          <w:tcPr>
            <w:tcW w:w="279" w:type="pct"/>
            <w:tcBorders>
              <w:top w:val="nil"/>
              <w:left w:val="nil"/>
              <w:bottom w:val="single" w:color="auto" w:sz="4" w:space="0"/>
              <w:right w:val="single" w:color="auto" w:sz="4" w:space="0"/>
            </w:tcBorders>
            <w:shd w:val="clear" w:color="auto" w:fill="auto"/>
            <w:vAlign w:val="center"/>
          </w:tcPr>
          <w:p w14:paraId="0F617B10">
            <w:pPr>
              <w:pStyle w:val="149"/>
            </w:pPr>
            <w:r>
              <w:t xml:space="preserve">137333 </w:t>
            </w:r>
          </w:p>
        </w:tc>
        <w:tc>
          <w:tcPr>
            <w:tcW w:w="411" w:type="pct"/>
            <w:tcBorders>
              <w:top w:val="nil"/>
              <w:left w:val="nil"/>
              <w:bottom w:val="single" w:color="auto" w:sz="4" w:space="0"/>
              <w:right w:val="single" w:color="auto" w:sz="4" w:space="0"/>
            </w:tcBorders>
            <w:shd w:val="clear" w:color="auto" w:fill="auto"/>
            <w:vAlign w:val="center"/>
          </w:tcPr>
          <w:p w14:paraId="7C71EF0D">
            <w:pPr>
              <w:pStyle w:val="149"/>
            </w:pPr>
            <w:r>
              <w:t xml:space="preserve">77.29 </w:t>
            </w:r>
          </w:p>
        </w:tc>
      </w:tr>
      <w:tr w14:paraId="1623B153">
        <w:tblPrEx>
          <w:tblCellMar>
            <w:top w:w="0" w:type="dxa"/>
            <w:left w:w="108" w:type="dxa"/>
            <w:bottom w:w="0" w:type="dxa"/>
            <w:right w:w="108" w:type="dxa"/>
          </w:tblCellMar>
        </w:tblPrEx>
        <w:trPr>
          <w:trHeight w:val="397" w:hRule="atLeast"/>
          <w:jc w:val="center"/>
        </w:trPr>
        <w:tc>
          <w:tcPr>
            <w:tcW w:w="493" w:type="pct"/>
            <w:vMerge w:val="continue"/>
            <w:tcBorders>
              <w:top w:val="nil"/>
              <w:left w:val="single" w:color="auto" w:sz="4" w:space="0"/>
              <w:bottom w:val="single" w:color="auto" w:sz="4" w:space="0"/>
              <w:right w:val="single" w:color="auto" w:sz="4" w:space="0"/>
            </w:tcBorders>
            <w:vAlign w:val="center"/>
          </w:tcPr>
          <w:p w14:paraId="03355DEE">
            <w:pPr>
              <w:pStyle w:val="149"/>
            </w:pPr>
          </w:p>
        </w:tc>
        <w:tc>
          <w:tcPr>
            <w:tcW w:w="737" w:type="pct"/>
            <w:tcBorders>
              <w:top w:val="nil"/>
              <w:left w:val="nil"/>
              <w:bottom w:val="single" w:color="auto" w:sz="4" w:space="0"/>
              <w:right w:val="single" w:color="auto" w:sz="4" w:space="0"/>
            </w:tcBorders>
            <w:shd w:val="clear" w:color="auto" w:fill="auto"/>
            <w:vAlign w:val="center"/>
          </w:tcPr>
          <w:p w14:paraId="49BA1399">
            <w:pPr>
              <w:pStyle w:val="149"/>
            </w:pPr>
            <w:r>
              <w:rPr>
                <w:rFonts w:hint="eastAsia"/>
              </w:rPr>
              <w:t>交通运输用地</w:t>
            </w:r>
          </w:p>
        </w:tc>
        <w:tc>
          <w:tcPr>
            <w:tcW w:w="348" w:type="pct"/>
            <w:tcBorders>
              <w:top w:val="nil"/>
              <w:left w:val="nil"/>
              <w:bottom w:val="single" w:color="auto" w:sz="4" w:space="0"/>
              <w:right w:val="single" w:color="auto" w:sz="4" w:space="0"/>
            </w:tcBorders>
            <w:shd w:val="clear" w:color="auto" w:fill="auto"/>
            <w:vAlign w:val="center"/>
          </w:tcPr>
          <w:p w14:paraId="59300F8D">
            <w:pPr>
              <w:pStyle w:val="149"/>
            </w:pPr>
            <w:r>
              <w:t xml:space="preserve">14137 </w:t>
            </w:r>
          </w:p>
        </w:tc>
        <w:tc>
          <w:tcPr>
            <w:tcW w:w="415" w:type="pct"/>
            <w:tcBorders>
              <w:top w:val="nil"/>
              <w:left w:val="nil"/>
              <w:bottom w:val="single" w:color="auto" w:sz="4" w:space="0"/>
              <w:right w:val="single" w:color="auto" w:sz="4" w:space="0"/>
            </w:tcBorders>
            <w:shd w:val="clear" w:color="auto" w:fill="auto"/>
            <w:vAlign w:val="center"/>
          </w:tcPr>
          <w:p w14:paraId="06C0DC8B">
            <w:pPr>
              <w:pStyle w:val="149"/>
            </w:pPr>
            <w:r>
              <w:t xml:space="preserve">4405 </w:t>
            </w:r>
          </w:p>
        </w:tc>
        <w:tc>
          <w:tcPr>
            <w:tcW w:w="345" w:type="pct"/>
            <w:tcBorders>
              <w:top w:val="nil"/>
              <w:left w:val="nil"/>
              <w:bottom w:val="single" w:color="auto" w:sz="4" w:space="0"/>
              <w:right w:val="single" w:color="auto" w:sz="4" w:space="0"/>
            </w:tcBorders>
            <w:shd w:val="clear" w:color="auto" w:fill="auto"/>
            <w:vAlign w:val="center"/>
          </w:tcPr>
          <w:p w14:paraId="1060C6D2">
            <w:pPr>
              <w:pStyle w:val="149"/>
            </w:pPr>
            <w:r>
              <w:t xml:space="preserve">9732 </w:t>
            </w:r>
          </w:p>
        </w:tc>
        <w:tc>
          <w:tcPr>
            <w:tcW w:w="395" w:type="pct"/>
            <w:tcBorders>
              <w:top w:val="nil"/>
              <w:left w:val="nil"/>
              <w:bottom w:val="single" w:color="auto" w:sz="4" w:space="0"/>
              <w:right w:val="single" w:color="auto" w:sz="4" w:space="0"/>
            </w:tcBorders>
            <w:shd w:val="clear" w:color="auto" w:fill="auto"/>
            <w:vAlign w:val="center"/>
          </w:tcPr>
          <w:p w14:paraId="4A78D463">
            <w:pPr>
              <w:pStyle w:val="149"/>
            </w:pPr>
            <w:r>
              <w:t xml:space="preserve">11679 </w:t>
            </w:r>
          </w:p>
        </w:tc>
        <w:tc>
          <w:tcPr>
            <w:tcW w:w="415" w:type="pct"/>
            <w:tcBorders>
              <w:top w:val="nil"/>
              <w:left w:val="nil"/>
              <w:bottom w:val="single" w:color="auto" w:sz="4" w:space="0"/>
              <w:right w:val="single" w:color="auto" w:sz="4" w:space="0"/>
            </w:tcBorders>
            <w:shd w:val="clear" w:color="auto" w:fill="auto"/>
            <w:vAlign w:val="center"/>
          </w:tcPr>
          <w:p w14:paraId="51C8F7E1">
            <w:pPr>
              <w:pStyle w:val="149"/>
            </w:pPr>
            <w:r>
              <w:t xml:space="preserve">5622 </w:t>
            </w:r>
          </w:p>
        </w:tc>
        <w:tc>
          <w:tcPr>
            <w:tcW w:w="338" w:type="pct"/>
            <w:tcBorders>
              <w:top w:val="nil"/>
              <w:left w:val="nil"/>
              <w:bottom w:val="single" w:color="auto" w:sz="4" w:space="0"/>
              <w:right w:val="single" w:color="auto" w:sz="4" w:space="0"/>
            </w:tcBorders>
            <w:shd w:val="clear" w:color="auto" w:fill="auto"/>
            <w:vAlign w:val="center"/>
          </w:tcPr>
          <w:p w14:paraId="438AB432">
            <w:pPr>
              <w:pStyle w:val="149"/>
            </w:pPr>
            <w:r>
              <w:t xml:space="preserve">6057 </w:t>
            </w:r>
          </w:p>
        </w:tc>
        <w:tc>
          <w:tcPr>
            <w:tcW w:w="402" w:type="pct"/>
            <w:tcBorders>
              <w:top w:val="nil"/>
              <w:left w:val="nil"/>
              <w:bottom w:val="single" w:color="auto" w:sz="4" w:space="0"/>
              <w:right w:val="single" w:color="auto" w:sz="4" w:space="0"/>
            </w:tcBorders>
            <w:shd w:val="clear" w:color="auto" w:fill="auto"/>
            <w:vAlign w:val="center"/>
          </w:tcPr>
          <w:p w14:paraId="05743E16">
            <w:pPr>
              <w:pStyle w:val="149"/>
            </w:pPr>
            <w:r>
              <w:t xml:space="preserve">25816 </w:t>
            </w:r>
          </w:p>
        </w:tc>
        <w:tc>
          <w:tcPr>
            <w:tcW w:w="422" w:type="pct"/>
            <w:tcBorders>
              <w:top w:val="nil"/>
              <w:left w:val="nil"/>
              <w:bottom w:val="single" w:color="auto" w:sz="4" w:space="0"/>
              <w:right w:val="single" w:color="auto" w:sz="4" w:space="0"/>
            </w:tcBorders>
            <w:shd w:val="clear" w:color="auto" w:fill="auto"/>
            <w:vAlign w:val="center"/>
          </w:tcPr>
          <w:p w14:paraId="207FED02">
            <w:pPr>
              <w:pStyle w:val="149"/>
            </w:pPr>
            <w:r>
              <w:t xml:space="preserve">10027 </w:t>
            </w:r>
          </w:p>
        </w:tc>
        <w:tc>
          <w:tcPr>
            <w:tcW w:w="279" w:type="pct"/>
            <w:tcBorders>
              <w:top w:val="nil"/>
              <w:left w:val="nil"/>
              <w:bottom w:val="single" w:color="auto" w:sz="4" w:space="0"/>
              <w:right w:val="single" w:color="auto" w:sz="4" w:space="0"/>
            </w:tcBorders>
            <w:shd w:val="clear" w:color="auto" w:fill="auto"/>
            <w:vAlign w:val="center"/>
          </w:tcPr>
          <w:p w14:paraId="3C9C5C93">
            <w:pPr>
              <w:pStyle w:val="149"/>
            </w:pPr>
            <w:r>
              <w:t xml:space="preserve">15789 </w:t>
            </w:r>
          </w:p>
        </w:tc>
        <w:tc>
          <w:tcPr>
            <w:tcW w:w="411" w:type="pct"/>
            <w:tcBorders>
              <w:top w:val="nil"/>
              <w:left w:val="nil"/>
              <w:bottom w:val="single" w:color="auto" w:sz="4" w:space="0"/>
              <w:right w:val="single" w:color="auto" w:sz="4" w:space="0"/>
            </w:tcBorders>
            <w:shd w:val="clear" w:color="auto" w:fill="auto"/>
            <w:vAlign w:val="center"/>
          </w:tcPr>
          <w:p w14:paraId="7825BC05">
            <w:pPr>
              <w:pStyle w:val="149"/>
            </w:pPr>
            <w:r>
              <w:t xml:space="preserve">8.89 </w:t>
            </w:r>
          </w:p>
        </w:tc>
      </w:tr>
      <w:tr w14:paraId="3C34ED15">
        <w:tblPrEx>
          <w:tblCellMar>
            <w:top w:w="0" w:type="dxa"/>
            <w:left w:w="108" w:type="dxa"/>
            <w:bottom w:w="0" w:type="dxa"/>
            <w:right w:w="108" w:type="dxa"/>
          </w:tblCellMar>
        </w:tblPrEx>
        <w:trPr>
          <w:trHeight w:val="397" w:hRule="atLeast"/>
          <w:jc w:val="center"/>
        </w:trPr>
        <w:tc>
          <w:tcPr>
            <w:tcW w:w="493" w:type="pct"/>
            <w:vMerge w:val="continue"/>
            <w:tcBorders>
              <w:top w:val="nil"/>
              <w:left w:val="single" w:color="auto" w:sz="4" w:space="0"/>
              <w:bottom w:val="single" w:color="auto" w:sz="4" w:space="0"/>
              <w:right w:val="single" w:color="auto" w:sz="4" w:space="0"/>
            </w:tcBorders>
            <w:vAlign w:val="center"/>
          </w:tcPr>
          <w:p w14:paraId="23A74F8C">
            <w:pPr>
              <w:pStyle w:val="149"/>
            </w:pPr>
          </w:p>
        </w:tc>
        <w:tc>
          <w:tcPr>
            <w:tcW w:w="737" w:type="pct"/>
            <w:tcBorders>
              <w:top w:val="nil"/>
              <w:left w:val="nil"/>
              <w:bottom w:val="single" w:color="auto" w:sz="4" w:space="0"/>
              <w:right w:val="single" w:color="auto" w:sz="4" w:space="0"/>
            </w:tcBorders>
            <w:shd w:val="clear" w:color="auto" w:fill="auto"/>
            <w:vAlign w:val="center"/>
          </w:tcPr>
          <w:p w14:paraId="796FC7A9">
            <w:pPr>
              <w:pStyle w:val="149"/>
            </w:pPr>
            <w:r>
              <w:rPr>
                <w:rFonts w:hint="eastAsia"/>
              </w:rPr>
              <w:t>公用设施用地</w:t>
            </w:r>
          </w:p>
        </w:tc>
        <w:tc>
          <w:tcPr>
            <w:tcW w:w="348" w:type="pct"/>
            <w:tcBorders>
              <w:top w:val="nil"/>
              <w:left w:val="nil"/>
              <w:bottom w:val="single" w:color="auto" w:sz="4" w:space="0"/>
              <w:right w:val="single" w:color="auto" w:sz="4" w:space="0"/>
            </w:tcBorders>
            <w:shd w:val="clear" w:color="auto" w:fill="auto"/>
            <w:vAlign w:val="center"/>
          </w:tcPr>
          <w:p w14:paraId="1F0E23B6">
            <w:pPr>
              <w:pStyle w:val="149"/>
            </w:pPr>
            <w:r>
              <w:t xml:space="preserve">1109 </w:t>
            </w:r>
          </w:p>
        </w:tc>
        <w:tc>
          <w:tcPr>
            <w:tcW w:w="415" w:type="pct"/>
            <w:tcBorders>
              <w:top w:val="nil"/>
              <w:left w:val="nil"/>
              <w:bottom w:val="single" w:color="auto" w:sz="4" w:space="0"/>
              <w:right w:val="single" w:color="auto" w:sz="4" w:space="0"/>
            </w:tcBorders>
            <w:shd w:val="clear" w:color="auto" w:fill="auto"/>
            <w:vAlign w:val="center"/>
          </w:tcPr>
          <w:p w14:paraId="044AAFE3">
            <w:pPr>
              <w:pStyle w:val="149"/>
            </w:pPr>
            <w:r>
              <w:t xml:space="preserve">320 </w:t>
            </w:r>
          </w:p>
        </w:tc>
        <w:tc>
          <w:tcPr>
            <w:tcW w:w="345" w:type="pct"/>
            <w:tcBorders>
              <w:top w:val="nil"/>
              <w:left w:val="nil"/>
              <w:bottom w:val="single" w:color="auto" w:sz="4" w:space="0"/>
              <w:right w:val="single" w:color="auto" w:sz="4" w:space="0"/>
            </w:tcBorders>
            <w:shd w:val="clear" w:color="auto" w:fill="auto"/>
            <w:vAlign w:val="center"/>
          </w:tcPr>
          <w:p w14:paraId="7B744A71">
            <w:pPr>
              <w:pStyle w:val="149"/>
            </w:pPr>
            <w:r>
              <w:t xml:space="preserve">789 </w:t>
            </w:r>
          </w:p>
        </w:tc>
        <w:tc>
          <w:tcPr>
            <w:tcW w:w="395" w:type="pct"/>
            <w:tcBorders>
              <w:top w:val="nil"/>
              <w:left w:val="nil"/>
              <w:bottom w:val="single" w:color="auto" w:sz="4" w:space="0"/>
              <w:right w:val="single" w:color="auto" w:sz="4" w:space="0"/>
            </w:tcBorders>
            <w:shd w:val="clear" w:color="auto" w:fill="auto"/>
            <w:vAlign w:val="center"/>
          </w:tcPr>
          <w:p w14:paraId="76585DE8">
            <w:pPr>
              <w:pStyle w:val="149"/>
            </w:pPr>
            <w:r>
              <w:t xml:space="preserve">1101 </w:t>
            </w:r>
          </w:p>
        </w:tc>
        <w:tc>
          <w:tcPr>
            <w:tcW w:w="415" w:type="pct"/>
            <w:tcBorders>
              <w:top w:val="nil"/>
              <w:left w:val="nil"/>
              <w:bottom w:val="single" w:color="auto" w:sz="4" w:space="0"/>
              <w:right w:val="single" w:color="auto" w:sz="4" w:space="0"/>
            </w:tcBorders>
            <w:shd w:val="clear" w:color="auto" w:fill="auto"/>
            <w:vAlign w:val="center"/>
          </w:tcPr>
          <w:p w14:paraId="2D652BEC">
            <w:pPr>
              <w:pStyle w:val="149"/>
            </w:pPr>
            <w:r>
              <w:t xml:space="preserve">531 </w:t>
            </w:r>
          </w:p>
        </w:tc>
        <w:tc>
          <w:tcPr>
            <w:tcW w:w="338" w:type="pct"/>
            <w:tcBorders>
              <w:top w:val="nil"/>
              <w:left w:val="nil"/>
              <w:bottom w:val="single" w:color="auto" w:sz="4" w:space="0"/>
              <w:right w:val="single" w:color="auto" w:sz="4" w:space="0"/>
            </w:tcBorders>
            <w:shd w:val="clear" w:color="auto" w:fill="auto"/>
            <w:vAlign w:val="center"/>
          </w:tcPr>
          <w:p w14:paraId="0804FD03">
            <w:pPr>
              <w:pStyle w:val="149"/>
            </w:pPr>
            <w:r>
              <w:t xml:space="preserve">570 </w:t>
            </w:r>
          </w:p>
        </w:tc>
        <w:tc>
          <w:tcPr>
            <w:tcW w:w="402" w:type="pct"/>
            <w:tcBorders>
              <w:top w:val="nil"/>
              <w:left w:val="nil"/>
              <w:bottom w:val="single" w:color="auto" w:sz="4" w:space="0"/>
              <w:right w:val="single" w:color="auto" w:sz="4" w:space="0"/>
            </w:tcBorders>
            <w:shd w:val="clear" w:color="auto" w:fill="auto"/>
            <w:vAlign w:val="center"/>
          </w:tcPr>
          <w:p w14:paraId="72595287">
            <w:pPr>
              <w:pStyle w:val="149"/>
            </w:pPr>
            <w:r>
              <w:t xml:space="preserve">2211 </w:t>
            </w:r>
          </w:p>
        </w:tc>
        <w:tc>
          <w:tcPr>
            <w:tcW w:w="422" w:type="pct"/>
            <w:tcBorders>
              <w:top w:val="nil"/>
              <w:left w:val="nil"/>
              <w:bottom w:val="single" w:color="auto" w:sz="4" w:space="0"/>
              <w:right w:val="single" w:color="auto" w:sz="4" w:space="0"/>
            </w:tcBorders>
            <w:shd w:val="clear" w:color="auto" w:fill="auto"/>
            <w:vAlign w:val="center"/>
          </w:tcPr>
          <w:p w14:paraId="51983620">
            <w:pPr>
              <w:pStyle w:val="149"/>
            </w:pPr>
            <w:r>
              <w:t xml:space="preserve">852 </w:t>
            </w:r>
          </w:p>
        </w:tc>
        <w:tc>
          <w:tcPr>
            <w:tcW w:w="279" w:type="pct"/>
            <w:tcBorders>
              <w:top w:val="nil"/>
              <w:left w:val="nil"/>
              <w:bottom w:val="single" w:color="auto" w:sz="4" w:space="0"/>
              <w:right w:val="single" w:color="auto" w:sz="4" w:space="0"/>
            </w:tcBorders>
            <w:shd w:val="clear" w:color="auto" w:fill="auto"/>
            <w:vAlign w:val="center"/>
          </w:tcPr>
          <w:p w14:paraId="08E1352A">
            <w:pPr>
              <w:pStyle w:val="149"/>
            </w:pPr>
            <w:r>
              <w:t xml:space="preserve">1359 </w:t>
            </w:r>
          </w:p>
        </w:tc>
        <w:tc>
          <w:tcPr>
            <w:tcW w:w="411" w:type="pct"/>
            <w:tcBorders>
              <w:top w:val="nil"/>
              <w:left w:val="nil"/>
              <w:bottom w:val="single" w:color="auto" w:sz="4" w:space="0"/>
              <w:right w:val="single" w:color="auto" w:sz="4" w:space="0"/>
            </w:tcBorders>
            <w:shd w:val="clear" w:color="auto" w:fill="auto"/>
            <w:vAlign w:val="center"/>
          </w:tcPr>
          <w:p w14:paraId="462B0A7B">
            <w:pPr>
              <w:pStyle w:val="149"/>
            </w:pPr>
            <w:r>
              <w:t xml:space="preserve">0.76 </w:t>
            </w:r>
          </w:p>
        </w:tc>
      </w:tr>
      <w:tr w14:paraId="0A5B7672">
        <w:tblPrEx>
          <w:tblCellMar>
            <w:top w:w="0" w:type="dxa"/>
            <w:left w:w="108" w:type="dxa"/>
            <w:bottom w:w="0" w:type="dxa"/>
            <w:right w:w="108" w:type="dxa"/>
          </w:tblCellMar>
        </w:tblPrEx>
        <w:trPr>
          <w:trHeight w:val="397" w:hRule="atLeast"/>
          <w:jc w:val="center"/>
        </w:trPr>
        <w:tc>
          <w:tcPr>
            <w:tcW w:w="493" w:type="pct"/>
            <w:vMerge w:val="continue"/>
            <w:tcBorders>
              <w:top w:val="nil"/>
              <w:left w:val="single" w:color="auto" w:sz="4" w:space="0"/>
              <w:bottom w:val="single" w:color="auto" w:sz="4" w:space="0"/>
              <w:right w:val="single" w:color="auto" w:sz="4" w:space="0"/>
            </w:tcBorders>
            <w:vAlign w:val="center"/>
          </w:tcPr>
          <w:p w14:paraId="31F6DD7B">
            <w:pPr>
              <w:pStyle w:val="149"/>
            </w:pPr>
          </w:p>
        </w:tc>
        <w:tc>
          <w:tcPr>
            <w:tcW w:w="737" w:type="pct"/>
            <w:tcBorders>
              <w:top w:val="nil"/>
              <w:left w:val="nil"/>
              <w:bottom w:val="single" w:color="auto" w:sz="4" w:space="0"/>
              <w:right w:val="single" w:color="auto" w:sz="4" w:space="0"/>
            </w:tcBorders>
            <w:shd w:val="clear" w:color="auto" w:fill="auto"/>
            <w:vAlign w:val="center"/>
          </w:tcPr>
          <w:p w14:paraId="7145B419">
            <w:pPr>
              <w:pStyle w:val="149"/>
            </w:pPr>
            <w:r>
              <w:rPr>
                <w:rFonts w:hint="eastAsia"/>
              </w:rPr>
              <w:t>绿地与开敞空间用地</w:t>
            </w:r>
          </w:p>
        </w:tc>
        <w:tc>
          <w:tcPr>
            <w:tcW w:w="348" w:type="pct"/>
            <w:tcBorders>
              <w:top w:val="nil"/>
              <w:left w:val="nil"/>
              <w:bottom w:val="single" w:color="auto" w:sz="4" w:space="0"/>
              <w:right w:val="single" w:color="auto" w:sz="4" w:space="0"/>
            </w:tcBorders>
            <w:shd w:val="clear" w:color="auto" w:fill="auto"/>
            <w:vAlign w:val="center"/>
          </w:tcPr>
          <w:p w14:paraId="36254522">
            <w:pPr>
              <w:pStyle w:val="149"/>
            </w:pPr>
            <w:r>
              <w:t xml:space="preserve">216 </w:t>
            </w:r>
          </w:p>
        </w:tc>
        <w:tc>
          <w:tcPr>
            <w:tcW w:w="415" w:type="pct"/>
            <w:tcBorders>
              <w:top w:val="nil"/>
              <w:left w:val="nil"/>
              <w:bottom w:val="single" w:color="auto" w:sz="4" w:space="0"/>
              <w:right w:val="single" w:color="auto" w:sz="4" w:space="0"/>
            </w:tcBorders>
            <w:shd w:val="clear" w:color="auto" w:fill="auto"/>
            <w:vAlign w:val="center"/>
          </w:tcPr>
          <w:p w14:paraId="6C611FCC">
            <w:pPr>
              <w:pStyle w:val="149"/>
            </w:pPr>
            <w:r>
              <w:t xml:space="preserve">96 </w:t>
            </w:r>
          </w:p>
        </w:tc>
        <w:tc>
          <w:tcPr>
            <w:tcW w:w="345" w:type="pct"/>
            <w:tcBorders>
              <w:top w:val="nil"/>
              <w:left w:val="nil"/>
              <w:bottom w:val="single" w:color="auto" w:sz="4" w:space="0"/>
              <w:right w:val="single" w:color="auto" w:sz="4" w:space="0"/>
            </w:tcBorders>
            <w:shd w:val="clear" w:color="auto" w:fill="auto"/>
            <w:vAlign w:val="center"/>
          </w:tcPr>
          <w:p w14:paraId="42C7A6BB">
            <w:pPr>
              <w:pStyle w:val="149"/>
            </w:pPr>
            <w:r>
              <w:t xml:space="preserve">121 </w:t>
            </w:r>
          </w:p>
        </w:tc>
        <w:tc>
          <w:tcPr>
            <w:tcW w:w="395" w:type="pct"/>
            <w:tcBorders>
              <w:top w:val="nil"/>
              <w:left w:val="nil"/>
              <w:bottom w:val="single" w:color="auto" w:sz="4" w:space="0"/>
              <w:right w:val="single" w:color="auto" w:sz="4" w:space="0"/>
            </w:tcBorders>
            <w:shd w:val="clear" w:color="auto" w:fill="auto"/>
            <w:vAlign w:val="center"/>
          </w:tcPr>
          <w:p w14:paraId="4870F6DC">
            <w:pPr>
              <w:pStyle w:val="149"/>
            </w:pPr>
            <w:r>
              <w:t xml:space="preserve">995 </w:t>
            </w:r>
          </w:p>
        </w:tc>
        <w:tc>
          <w:tcPr>
            <w:tcW w:w="415" w:type="pct"/>
            <w:tcBorders>
              <w:top w:val="nil"/>
              <w:left w:val="nil"/>
              <w:bottom w:val="single" w:color="auto" w:sz="4" w:space="0"/>
              <w:right w:val="single" w:color="auto" w:sz="4" w:space="0"/>
            </w:tcBorders>
            <w:shd w:val="clear" w:color="auto" w:fill="auto"/>
            <w:vAlign w:val="center"/>
          </w:tcPr>
          <w:p w14:paraId="043A371C">
            <w:pPr>
              <w:pStyle w:val="149"/>
            </w:pPr>
            <w:r>
              <w:t xml:space="preserve">479 </w:t>
            </w:r>
          </w:p>
        </w:tc>
        <w:tc>
          <w:tcPr>
            <w:tcW w:w="338" w:type="pct"/>
            <w:tcBorders>
              <w:top w:val="nil"/>
              <w:left w:val="nil"/>
              <w:bottom w:val="single" w:color="auto" w:sz="4" w:space="0"/>
              <w:right w:val="single" w:color="auto" w:sz="4" w:space="0"/>
            </w:tcBorders>
            <w:shd w:val="clear" w:color="auto" w:fill="auto"/>
            <w:vAlign w:val="center"/>
          </w:tcPr>
          <w:p w14:paraId="74003375">
            <w:pPr>
              <w:pStyle w:val="149"/>
            </w:pPr>
            <w:r>
              <w:t xml:space="preserve">516 </w:t>
            </w:r>
          </w:p>
        </w:tc>
        <w:tc>
          <w:tcPr>
            <w:tcW w:w="402" w:type="pct"/>
            <w:tcBorders>
              <w:top w:val="nil"/>
              <w:left w:val="nil"/>
              <w:bottom w:val="single" w:color="auto" w:sz="4" w:space="0"/>
              <w:right w:val="single" w:color="auto" w:sz="4" w:space="0"/>
            </w:tcBorders>
            <w:shd w:val="clear" w:color="auto" w:fill="auto"/>
            <w:vAlign w:val="center"/>
          </w:tcPr>
          <w:p w14:paraId="17086816">
            <w:pPr>
              <w:pStyle w:val="149"/>
            </w:pPr>
            <w:r>
              <w:t xml:space="preserve">1212 </w:t>
            </w:r>
          </w:p>
        </w:tc>
        <w:tc>
          <w:tcPr>
            <w:tcW w:w="422" w:type="pct"/>
            <w:tcBorders>
              <w:top w:val="nil"/>
              <w:left w:val="nil"/>
              <w:bottom w:val="single" w:color="auto" w:sz="4" w:space="0"/>
              <w:right w:val="single" w:color="auto" w:sz="4" w:space="0"/>
            </w:tcBorders>
            <w:shd w:val="clear" w:color="auto" w:fill="auto"/>
            <w:vAlign w:val="center"/>
          </w:tcPr>
          <w:p w14:paraId="2B416CB6">
            <w:pPr>
              <w:pStyle w:val="149"/>
            </w:pPr>
            <w:r>
              <w:t xml:space="preserve">575 </w:t>
            </w:r>
          </w:p>
        </w:tc>
        <w:tc>
          <w:tcPr>
            <w:tcW w:w="279" w:type="pct"/>
            <w:tcBorders>
              <w:top w:val="nil"/>
              <w:left w:val="nil"/>
              <w:bottom w:val="single" w:color="auto" w:sz="4" w:space="0"/>
              <w:right w:val="single" w:color="auto" w:sz="4" w:space="0"/>
            </w:tcBorders>
            <w:shd w:val="clear" w:color="auto" w:fill="auto"/>
            <w:vAlign w:val="center"/>
          </w:tcPr>
          <w:p w14:paraId="1BA8DB96">
            <w:pPr>
              <w:pStyle w:val="149"/>
            </w:pPr>
            <w:r>
              <w:t xml:space="preserve">637 </w:t>
            </w:r>
          </w:p>
        </w:tc>
        <w:tc>
          <w:tcPr>
            <w:tcW w:w="411" w:type="pct"/>
            <w:tcBorders>
              <w:top w:val="nil"/>
              <w:left w:val="nil"/>
              <w:bottom w:val="single" w:color="auto" w:sz="4" w:space="0"/>
              <w:right w:val="single" w:color="auto" w:sz="4" w:space="0"/>
            </w:tcBorders>
            <w:shd w:val="clear" w:color="auto" w:fill="auto"/>
            <w:vAlign w:val="center"/>
          </w:tcPr>
          <w:p w14:paraId="7249E994">
            <w:pPr>
              <w:pStyle w:val="149"/>
            </w:pPr>
            <w:r>
              <w:t xml:space="preserve">0.36 </w:t>
            </w:r>
          </w:p>
        </w:tc>
      </w:tr>
      <w:tr w14:paraId="3DA49D11">
        <w:tblPrEx>
          <w:tblCellMar>
            <w:top w:w="0" w:type="dxa"/>
            <w:left w:w="108" w:type="dxa"/>
            <w:bottom w:w="0" w:type="dxa"/>
            <w:right w:w="108" w:type="dxa"/>
          </w:tblCellMar>
        </w:tblPrEx>
        <w:trPr>
          <w:trHeight w:val="397" w:hRule="atLeast"/>
          <w:jc w:val="center"/>
        </w:trPr>
        <w:tc>
          <w:tcPr>
            <w:tcW w:w="493" w:type="pct"/>
            <w:vMerge w:val="continue"/>
            <w:tcBorders>
              <w:top w:val="nil"/>
              <w:left w:val="single" w:color="auto" w:sz="4" w:space="0"/>
              <w:bottom w:val="single" w:color="auto" w:sz="4" w:space="0"/>
              <w:right w:val="single" w:color="auto" w:sz="4" w:space="0"/>
            </w:tcBorders>
            <w:vAlign w:val="center"/>
          </w:tcPr>
          <w:p w14:paraId="62485B8E">
            <w:pPr>
              <w:pStyle w:val="149"/>
            </w:pPr>
          </w:p>
        </w:tc>
        <w:tc>
          <w:tcPr>
            <w:tcW w:w="737" w:type="pct"/>
            <w:tcBorders>
              <w:top w:val="nil"/>
              <w:left w:val="nil"/>
              <w:bottom w:val="single" w:color="auto" w:sz="4" w:space="0"/>
              <w:right w:val="single" w:color="auto" w:sz="4" w:space="0"/>
            </w:tcBorders>
            <w:shd w:val="clear" w:color="auto" w:fill="auto"/>
            <w:vAlign w:val="center"/>
          </w:tcPr>
          <w:p w14:paraId="7B5004BD">
            <w:pPr>
              <w:pStyle w:val="149"/>
            </w:pPr>
            <w:r>
              <w:rPr>
                <w:rFonts w:hint="eastAsia"/>
              </w:rPr>
              <w:t>小计</w:t>
            </w:r>
          </w:p>
        </w:tc>
        <w:tc>
          <w:tcPr>
            <w:tcW w:w="348" w:type="pct"/>
            <w:tcBorders>
              <w:top w:val="nil"/>
              <w:left w:val="nil"/>
              <w:bottom w:val="single" w:color="auto" w:sz="4" w:space="0"/>
              <w:right w:val="single" w:color="auto" w:sz="4" w:space="0"/>
            </w:tcBorders>
            <w:shd w:val="clear" w:color="auto" w:fill="auto"/>
            <w:vAlign w:val="center"/>
          </w:tcPr>
          <w:p w14:paraId="432E639C">
            <w:pPr>
              <w:pStyle w:val="149"/>
            </w:pPr>
            <w:r>
              <w:t xml:space="preserve">174937 </w:t>
            </w:r>
          </w:p>
        </w:tc>
        <w:tc>
          <w:tcPr>
            <w:tcW w:w="415" w:type="pct"/>
            <w:tcBorders>
              <w:top w:val="nil"/>
              <w:left w:val="nil"/>
              <w:bottom w:val="single" w:color="auto" w:sz="4" w:space="0"/>
              <w:right w:val="single" w:color="auto" w:sz="4" w:space="0"/>
            </w:tcBorders>
            <w:shd w:val="clear" w:color="auto" w:fill="auto"/>
            <w:vAlign w:val="center"/>
          </w:tcPr>
          <w:p w14:paraId="40CB30C2">
            <w:pPr>
              <w:pStyle w:val="149"/>
            </w:pPr>
            <w:r>
              <w:t xml:space="preserve">57180 </w:t>
            </w:r>
          </w:p>
        </w:tc>
        <w:tc>
          <w:tcPr>
            <w:tcW w:w="345" w:type="pct"/>
            <w:tcBorders>
              <w:top w:val="nil"/>
              <w:left w:val="nil"/>
              <w:bottom w:val="single" w:color="auto" w:sz="4" w:space="0"/>
              <w:right w:val="single" w:color="auto" w:sz="4" w:space="0"/>
            </w:tcBorders>
            <w:shd w:val="clear" w:color="auto" w:fill="auto"/>
            <w:vAlign w:val="center"/>
          </w:tcPr>
          <w:p w14:paraId="757404C1">
            <w:pPr>
              <w:pStyle w:val="149"/>
            </w:pPr>
            <w:r>
              <w:t xml:space="preserve">117757 </w:t>
            </w:r>
          </w:p>
        </w:tc>
        <w:tc>
          <w:tcPr>
            <w:tcW w:w="395" w:type="pct"/>
            <w:tcBorders>
              <w:top w:val="nil"/>
              <w:left w:val="nil"/>
              <w:bottom w:val="single" w:color="auto" w:sz="4" w:space="0"/>
              <w:right w:val="single" w:color="auto" w:sz="4" w:space="0"/>
            </w:tcBorders>
            <w:shd w:val="clear" w:color="auto" w:fill="auto"/>
            <w:vAlign w:val="center"/>
          </w:tcPr>
          <w:p w14:paraId="7A1CDF49">
            <w:pPr>
              <w:pStyle w:val="149"/>
            </w:pPr>
            <w:r>
              <w:t xml:space="preserve">73617 </w:t>
            </w:r>
          </w:p>
        </w:tc>
        <w:tc>
          <w:tcPr>
            <w:tcW w:w="415" w:type="pct"/>
            <w:tcBorders>
              <w:top w:val="nil"/>
              <w:left w:val="nil"/>
              <w:bottom w:val="single" w:color="auto" w:sz="4" w:space="0"/>
              <w:right w:val="single" w:color="auto" w:sz="4" w:space="0"/>
            </w:tcBorders>
            <w:shd w:val="clear" w:color="auto" w:fill="auto"/>
            <w:vAlign w:val="center"/>
          </w:tcPr>
          <w:p w14:paraId="350A12F6">
            <w:pPr>
              <w:pStyle w:val="149"/>
            </w:pPr>
            <w:r>
              <w:t xml:space="preserve">35515 </w:t>
            </w:r>
          </w:p>
        </w:tc>
        <w:tc>
          <w:tcPr>
            <w:tcW w:w="338" w:type="pct"/>
            <w:tcBorders>
              <w:top w:val="nil"/>
              <w:left w:val="nil"/>
              <w:bottom w:val="single" w:color="auto" w:sz="4" w:space="0"/>
              <w:right w:val="single" w:color="auto" w:sz="4" w:space="0"/>
            </w:tcBorders>
            <w:shd w:val="clear" w:color="auto" w:fill="auto"/>
            <w:vAlign w:val="center"/>
          </w:tcPr>
          <w:p w14:paraId="4C3F22FC">
            <w:pPr>
              <w:pStyle w:val="149"/>
            </w:pPr>
            <w:r>
              <w:t xml:space="preserve">38103 </w:t>
            </w:r>
          </w:p>
        </w:tc>
        <w:tc>
          <w:tcPr>
            <w:tcW w:w="402" w:type="pct"/>
            <w:tcBorders>
              <w:top w:val="nil"/>
              <w:left w:val="nil"/>
              <w:bottom w:val="single" w:color="auto" w:sz="4" w:space="0"/>
              <w:right w:val="single" w:color="auto" w:sz="4" w:space="0"/>
            </w:tcBorders>
            <w:shd w:val="clear" w:color="auto" w:fill="auto"/>
            <w:vAlign w:val="center"/>
          </w:tcPr>
          <w:p w14:paraId="1C9ABBA0">
            <w:pPr>
              <w:pStyle w:val="149"/>
            </w:pPr>
            <w:r>
              <w:t xml:space="preserve">248555 </w:t>
            </w:r>
          </w:p>
        </w:tc>
        <w:tc>
          <w:tcPr>
            <w:tcW w:w="422" w:type="pct"/>
            <w:tcBorders>
              <w:top w:val="nil"/>
              <w:left w:val="nil"/>
              <w:bottom w:val="single" w:color="auto" w:sz="4" w:space="0"/>
              <w:right w:val="single" w:color="auto" w:sz="4" w:space="0"/>
            </w:tcBorders>
            <w:shd w:val="clear" w:color="auto" w:fill="auto"/>
            <w:vAlign w:val="center"/>
          </w:tcPr>
          <w:p w14:paraId="3A6C451F">
            <w:pPr>
              <w:pStyle w:val="149"/>
            </w:pPr>
            <w:r>
              <w:t xml:space="preserve">92695 </w:t>
            </w:r>
          </w:p>
        </w:tc>
        <w:tc>
          <w:tcPr>
            <w:tcW w:w="279" w:type="pct"/>
            <w:tcBorders>
              <w:top w:val="nil"/>
              <w:left w:val="nil"/>
              <w:bottom w:val="single" w:color="auto" w:sz="4" w:space="0"/>
              <w:right w:val="single" w:color="auto" w:sz="4" w:space="0"/>
            </w:tcBorders>
            <w:shd w:val="clear" w:color="auto" w:fill="auto"/>
            <w:vAlign w:val="center"/>
          </w:tcPr>
          <w:p w14:paraId="3B97DF68">
            <w:pPr>
              <w:pStyle w:val="149"/>
            </w:pPr>
            <w:r>
              <w:t xml:space="preserve">155859 </w:t>
            </w:r>
          </w:p>
        </w:tc>
        <w:tc>
          <w:tcPr>
            <w:tcW w:w="411" w:type="pct"/>
            <w:tcBorders>
              <w:top w:val="nil"/>
              <w:left w:val="nil"/>
              <w:bottom w:val="single" w:color="auto" w:sz="4" w:space="0"/>
              <w:right w:val="single" w:color="auto" w:sz="4" w:space="0"/>
            </w:tcBorders>
            <w:shd w:val="clear" w:color="auto" w:fill="auto"/>
            <w:vAlign w:val="center"/>
          </w:tcPr>
          <w:p w14:paraId="0DED12DE">
            <w:pPr>
              <w:pStyle w:val="149"/>
            </w:pPr>
            <w:r>
              <w:t xml:space="preserve">87.72 </w:t>
            </w:r>
          </w:p>
        </w:tc>
      </w:tr>
      <w:tr w14:paraId="6193540C">
        <w:tblPrEx>
          <w:tblCellMar>
            <w:top w:w="0" w:type="dxa"/>
            <w:left w:w="108" w:type="dxa"/>
            <w:bottom w:w="0" w:type="dxa"/>
            <w:right w:w="108" w:type="dxa"/>
          </w:tblCellMar>
        </w:tblPrEx>
        <w:trPr>
          <w:trHeight w:val="397" w:hRule="atLeast"/>
          <w:jc w:val="center"/>
        </w:trPr>
        <w:tc>
          <w:tcPr>
            <w:tcW w:w="493" w:type="pct"/>
            <w:vMerge w:val="restart"/>
            <w:tcBorders>
              <w:top w:val="nil"/>
              <w:left w:val="single" w:color="auto" w:sz="4" w:space="0"/>
              <w:bottom w:val="single" w:color="auto" w:sz="4" w:space="0"/>
              <w:right w:val="single" w:color="auto" w:sz="4" w:space="0"/>
            </w:tcBorders>
            <w:shd w:val="clear" w:color="auto" w:fill="auto"/>
            <w:vAlign w:val="center"/>
          </w:tcPr>
          <w:p w14:paraId="1B4EF542">
            <w:pPr>
              <w:pStyle w:val="149"/>
            </w:pPr>
            <w:r>
              <w:rPr>
                <w:rFonts w:hint="eastAsia"/>
              </w:rPr>
              <w:t>下湿壕片区</w:t>
            </w:r>
          </w:p>
        </w:tc>
        <w:tc>
          <w:tcPr>
            <w:tcW w:w="737" w:type="pct"/>
            <w:tcBorders>
              <w:top w:val="nil"/>
              <w:left w:val="nil"/>
              <w:bottom w:val="single" w:color="auto" w:sz="4" w:space="0"/>
              <w:right w:val="single" w:color="auto" w:sz="4" w:space="0"/>
            </w:tcBorders>
            <w:shd w:val="clear" w:color="auto" w:fill="auto"/>
            <w:vAlign w:val="center"/>
          </w:tcPr>
          <w:p w14:paraId="4091BA87">
            <w:pPr>
              <w:pStyle w:val="149"/>
            </w:pPr>
            <w:r>
              <w:rPr>
                <w:rFonts w:hint="eastAsia"/>
              </w:rPr>
              <w:t>工矿用地</w:t>
            </w:r>
          </w:p>
        </w:tc>
        <w:tc>
          <w:tcPr>
            <w:tcW w:w="348" w:type="pct"/>
            <w:tcBorders>
              <w:top w:val="nil"/>
              <w:left w:val="nil"/>
              <w:bottom w:val="single" w:color="auto" w:sz="4" w:space="0"/>
              <w:right w:val="single" w:color="auto" w:sz="4" w:space="0"/>
            </w:tcBorders>
            <w:shd w:val="clear" w:color="auto" w:fill="auto"/>
            <w:vAlign w:val="center"/>
          </w:tcPr>
          <w:p w14:paraId="15E778E6">
            <w:pPr>
              <w:pStyle w:val="149"/>
            </w:pPr>
            <w:r>
              <w:t xml:space="preserve">23819 </w:t>
            </w:r>
          </w:p>
        </w:tc>
        <w:tc>
          <w:tcPr>
            <w:tcW w:w="415" w:type="pct"/>
            <w:tcBorders>
              <w:top w:val="nil"/>
              <w:left w:val="nil"/>
              <w:bottom w:val="single" w:color="auto" w:sz="4" w:space="0"/>
              <w:right w:val="single" w:color="auto" w:sz="4" w:space="0"/>
            </w:tcBorders>
            <w:shd w:val="clear" w:color="auto" w:fill="auto"/>
            <w:vAlign w:val="center"/>
          </w:tcPr>
          <w:p w14:paraId="196E2C4D">
            <w:pPr>
              <w:pStyle w:val="149"/>
            </w:pPr>
            <w:r>
              <w:t xml:space="preserve">7564 </w:t>
            </w:r>
          </w:p>
        </w:tc>
        <w:tc>
          <w:tcPr>
            <w:tcW w:w="345" w:type="pct"/>
            <w:tcBorders>
              <w:top w:val="nil"/>
              <w:left w:val="nil"/>
              <w:bottom w:val="single" w:color="auto" w:sz="4" w:space="0"/>
              <w:right w:val="single" w:color="auto" w:sz="4" w:space="0"/>
            </w:tcBorders>
            <w:shd w:val="clear" w:color="auto" w:fill="auto"/>
            <w:vAlign w:val="center"/>
          </w:tcPr>
          <w:p w14:paraId="0FA40551">
            <w:pPr>
              <w:pStyle w:val="149"/>
            </w:pPr>
            <w:r>
              <w:t xml:space="preserve">16255 </w:t>
            </w:r>
          </w:p>
        </w:tc>
        <w:tc>
          <w:tcPr>
            <w:tcW w:w="395" w:type="pct"/>
            <w:tcBorders>
              <w:top w:val="nil"/>
              <w:left w:val="nil"/>
              <w:bottom w:val="single" w:color="auto" w:sz="4" w:space="0"/>
              <w:right w:val="single" w:color="auto" w:sz="4" w:space="0"/>
            </w:tcBorders>
            <w:shd w:val="clear" w:color="auto" w:fill="auto"/>
            <w:vAlign w:val="center"/>
          </w:tcPr>
          <w:p w14:paraId="2BCE373E">
            <w:pPr>
              <w:pStyle w:val="149"/>
            </w:pPr>
            <w:r>
              <w:t xml:space="preserve">8682 </w:t>
            </w:r>
          </w:p>
        </w:tc>
        <w:tc>
          <w:tcPr>
            <w:tcW w:w="415" w:type="pct"/>
            <w:tcBorders>
              <w:top w:val="nil"/>
              <w:left w:val="nil"/>
              <w:bottom w:val="single" w:color="auto" w:sz="4" w:space="0"/>
              <w:right w:val="single" w:color="auto" w:sz="4" w:space="0"/>
            </w:tcBorders>
            <w:shd w:val="clear" w:color="auto" w:fill="auto"/>
            <w:vAlign w:val="center"/>
          </w:tcPr>
          <w:p w14:paraId="7D48AEA8">
            <w:pPr>
              <w:pStyle w:val="149"/>
            </w:pPr>
            <w:r>
              <w:t xml:space="preserve">4190 </w:t>
            </w:r>
          </w:p>
        </w:tc>
        <w:tc>
          <w:tcPr>
            <w:tcW w:w="338" w:type="pct"/>
            <w:tcBorders>
              <w:top w:val="nil"/>
              <w:left w:val="nil"/>
              <w:bottom w:val="single" w:color="auto" w:sz="4" w:space="0"/>
              <w:right w:val="single" w:color="auto" w:sz="4" w:space="0"/>
            </w:tcBorders>
            <w:shd w:val="clear" w:color="auto" w:fill="auto"/>
            <w:vAlign w:val="center"/>
          </w:tcPr>
          <w:p w14:paraId="539C8234">
            <w:pPr>
              <w:pStyle w:val="149"/>
            </w:pPr>
            <w:r>
              <w:t xml:space="preserve">4492 </w:t>
            </w:r>
          </w:p>
        </w:tc>
        <w:tc>
          <w:tcPr>
            <w:tcW w:w="402" w:type="pct"/>
            <w:tcBorders>
              <w:top w:val="nil"/>
              <w:left w:val="nil"/>
              <w:bottom w:val="single" w:color="auto" w:sz="4" w:space="0"/>
              <w:right w:val="single" w:color="auto" w:sz="4" w:space="0"/>
            </w:tcBorders>
            <w:shd w:val="clear" w:color="auto" w:fill="auto"/>
            <w:vAlign w:val="center"/>
          </w:tcPr>
          <w:p w14:paraId="2CC06B3C">
            <w:pPr>
              <w:pStyle w:val="149"/>
            </w:pPr>
            <w:r>
              <w:t xml:space="preserve">32501 </w:t>
            </w:r>
          </w:p>
        </w:tc>
        <w:tc>
          <w:tcPr>
            <w:tcW w:w="422" w:type="pct"/>
            <w:tcBorders>
              <w:top w:val="nil"/>
              <w:left w:val="nil"/>
              <w:bottom w:val="single" w:color="auto" w:sz="4" w:space="0"/>
              <w:right w:val="single" w:color="auto" w:sz="4" w:space="0"/>
            </w:tcBorders>
            <w:shd w:val="clear" w:color="auto" w:fill="auto"/>
            <w:vAlign w:val="center"/>
          </w:tcPr>
          <w:p w14:paraId="04399AC6">
            <w:pPr>
              <w:pStyle w:val="149"/>
            </w:pPr>
            <w:r>
              <w:t xml:space="preserve">11754 </w:t>
            </w:r>
          </w:p>
        </w:tc>
        <w:tc>
          <w:tcPr>
            <w:tcW w:w="279" w:type="pct"/>
            <w:tcBorders>
              <w:top w:val="nil"/>
              <w:left w:val="nil"/>
              <w:bottom w:val="single" w:color="auto" w:sz="4" w:space="0"/>
              <w:right w:val="single" w:color="auto" w:sz="4" w:space="0"/>
            </w:tcBorders>
            <w:shd w:val="clear" w:color="auto" w:fill="auto"/>
            <w:vAlign w:val="center"/>
          </w:tcPr>
          <w:p w14:paraId="046610CF">
            <w:pPr>
              <w:pStyle w:val="149"/>
            </w:pPr>
            <w:r>
              <w:t xml:space="preserve">20747 </w:t>
            </w:r>
          </w:p>
        </w:tc>
        <w:tc>
          <w:tcPr>
            <w:tcW w:w="411" w:type="pct"/>
            <w:tcBorders>
              <w:top w:val="nil"/>
              <w:left w:val="nil"/>
              <w:bottom w:val="single" w:color="auto" w:sz="4" w:space="0"/>
              <w:right w:val="single" w:color="auto" w:sz="4" w:space="0"/>
            </w:tcBorders>
            <w:shd w:val="clear" w:color="auto" w:fill="auto"/>
            <w:vAlign w:val="center"/>
          </w:tcPr>
          <w:p w14:paraId="3910E2B4">
            <w:pPr>
              <w:pStyle w:val="149"/>
            </w:pPr>
            <w:r>
              <w:t xml:space="preserve">11.68 </w:t>
            </w:r>
          </w:p>
        </w:tc>
      </w:tr>
      <w:tr w14:paraId="5214C201">
        <w:tblPrEx>
          <w:tblCellMar>
            <w:top w:w="0" w:type="dxa"/>
            <w:left w:w="108" w:type="dxa"/>
            <w:bottom w:w="0" w:type="dxa"/>
            <w:right w:w="108" w:type="dxa"/>
          </w:tblCellMar>
        </w:tblPrEx>
        <w:trPr>
          <w:trHeight w:val="397" w:hRule="atLeast"/>
          <w:jc w:val="center"/>
        </w:trPr>
        <w:tc>
          <w:tcPr>
            <w:tcW w:w="493" w:type="pct"/>
            <w:vMerge w:val="continue"/>
            <w:tcBorders>
              <w:top w:val="nil"/>
              <w:left w:val="single" w:color="auto" w:sz="4" w:space="0"/>
              <w:bottom w:val="single" w:color="auto" w:sz="4" w:space="0"/>
              <w:right w:val="single" w:color="auto" w:sz="4" w:space="0"/>
            </w:tcBorders>
            <w:vAlign w:val="center"/>
          </w:tcPr>
          <w:p w14:paraId="6BF5CAEA">
            <w:pPr>
              <w:pStyle w:val="149"/>
            </w:pPr>
          </w:p>
        </w:tc>
        <w:tc>
          <w:tcPr>
            <w:tcW w:w="737" w:type="pct"/>
            <w:tcBorders>
              <w:top w:val="nil"/>
              <w:left w:val="nil"/>
              <w:bottom w:val="single" w:color="auto" w:sz="4" w:space="0"/>
              <w:right w:val="single" w:color="auto" w:sz="4" w:space="0"/>
            </w:tcBorders>
            <w:shd w:val="clear" w:color="auto" w:fill="auto"/>
            <w:vAlign w:val="center"/>
          </w:tcPr>
          <w:p w14:paraId="1AD5E283">
            <w:pPr>
              <w:pStyle w:val="149"/>
            </w:pPr>
            <w:r>
              <w:rPr>
                <w:rFonts w:hint="eastAsia"/>
              </w:rPr>
              <w:t>交通运输用地</w:t>
            </w:r>
          </w:p>
        </w:tc>
        <w:tc>
          <w:tcPr>
            <w:tcW w:w="348" w:type="pct"/>
            <w:tcBorders>
              <w:top w:val="nil"/>
              <w:left w:val="nil"/>
              <w:bottom w:val="single" w:color="auto" w:sz="4" w:space="0"/>
              <w:right w:val="single" w:color="auto" w:sz="4" w:space="0"/>
            </w:tcBorders>
            <w:shd w:val="clear" w:color="auto" w:fill="auto"/>
            <w:vAlign w:val="center"/>
          </w:tcPr>
          <w:p w14:paraId="60F1E3D5">
            <w:pPr>
              <w:pStyle w:val="149"/>
            </w:pPr>
            <w:r>
              <w:t xml:space="preserve">508 </w:t>
            </w:r>
          </w:p>
        </w:tc>
        <w:tc>
          <w:tcPr>
            <w:tcW w:w="415" w:type="pct"/>
            <w:tcBorders>
              <w:top w:val="nil"/>
              <w:left w:val="nil"/>
              <w:bottom w:val="single" w:color="auto" w:sz="4" w:space="0"/>
              <w:right w:val="single" w:color="auto" w:sz="4" w:space="0"/>
            </w:tcBorders>
            <w:shd w:val="clear" w:color="auto" w:fill="auto"/>
            <w:vAlign w:val="center"/>
          </w:tcPr>
          <w:p w14:paraId="1CDA7548">
            <w:pPr>
              <w:pStyle w:val="149"/>
            </w:pPr>
            <w:r>
              <w:t xml:space="preserve">151 </w:t>
            </w:r>
          </w:p>
        </w:tc>
        <w:tc>
          <w:tcPr>
            <w:tcW w:w="345" w:type="pct"/>
            <w:tcBorders>
              <w:top w:val="nil"/>
              <w:left w:val="nil"/>
              <w:bottom w:val="single" w:color="auto" w:sz="4" w:space="0"/>
              <w:right w:val="single" w:color="auto" w:sz="4" w:space="0"/>
            </w:tcBorders>
            <w:shd w:val="clear" w:color="auto" w:fill="auto"/>
            <w:vAlign w:val="center"/>
          </w:tcPr>
          <w:p w14:paraId="6388BE30">
            <w:pPr>
              <w:pStyle w:val="149"/>
            </w:pPr>
            <w:r>
              <w:t xml:space="preserve">356 </w:t>
            </w:r>
          </w:p>
        </w:tc>
        <w:tc>
          <w:tcPr>
            <w:tcW w:w="395" w:type="pct"/>
            <w:tcBorders>
              <w:top w:val="nil"/>
              <w:left w:val="nil"/>
              <w:bottom w:val="single" w:color="auto" w:sz="4" w:space="0"/>
              <w:right w:val="single" w:color="auto" w:sz="4" w:space="0"/>
            </w:tcBorders>
            <w:shd w:val="clear" w:color="auto" w:fill="auto"/>
            <w:vAlign w:val="center"/>
          </w:tcPr>
          <w:p w14:paraId="6EBEBB3F">
            <w:pPr>
              <w:pStyle w:val="149"/>
            </w:pPr>
            <w:r>
              <w:t xml:space="preserve">337 </w:t>
            </w:r>
          </w:p>
        </w:tc>
        <w:tc>
          <w:tcPr>
            <w:tcW w:w="415" w:type="pct"/>
            <w:tcBorders>
              <w:top w:val="nil"/>
              <w:left w:val="nil"/>
              <w:bottom w:val="single" w:color="auto" w:sz="4" w:space="0"/>
              <w:right w:val="single" w:color="auto" w:sz="4" w:space="0"/>
            </w:tcBorders>
            <w:shd w:val="clear" w:color="auto" w:fill="auto"/>
            <w:vAlign w:val="center"/>
          </w:tcPr>
          <w:p w14:paraId="43D21496">
            <w:pPr>
              <w:pStyle w:val="149"/>
            </w:pPr>
            <w:r>
              <w:t xml:space="preserve">162 </w:t>
            </w:r>
          </w:p>
        </w:tc>
        <w:tc>
          <w:tcPr>
            <w:tcW w:w="338" w:type="pct"/>
            <w:tcBorders>
              <w:top w:val="nil"/>
              <w:left w:val="nil"/>
              <w:bottom w:val="single" w:color="auto" w:sz="4" w:space="0"/>
              <w:right w:val="single" w:color="auto" w:sz="4" w:space="0"/>
            </w:tcBorders>
            <w:shd w:val="clear" w:color="auto" w:fill="auto"/>
            <w:vAlign w:val="center"/>
          </w:tcPr>
          <w:p w14:paraId="649C1EF2">
            <w:pPr>
              <w:pStyle w:val="149"/>
            </w:pPr>
            <w:r>
              <w:t xml:space="preserve">175 </w:t>
            </w:r>
          </w:p>
        </w:tc>
        <w:tc>
          <w:tcPr>
            <w:tcW w:w="402" w:type="pct"/>
            <w:tcBorders>
              <w:top w:val="nil"/>
              <w:left w:val="nil"/>
              <w:bottom w:val="single" w:color="auto" w:sz="4" w:space="0"/>
              <w:right w:val="single" w:color="auto" w:sz="4" w:space="0"/>
            </w:tcBorders>
            <w:shd w:val="clear" w:color="auto" w:fill="auto"/>
            <w:vAlign w:val="center"/>
          </w:tcPr>
          <w:p w14:paraId="40BC78BB">
            <w:pPr>
              <w:pStyle w:val="149"/>
            </w:pPr>
            <w:r>
              <w:t xml:space="preserve">845 </w:t>
            </w:r>
          </w:p>
        </w:tc>
        <w:tc>
          <w:tcPr>
            <w:tcW w:w="422" w:type="pct"/>
            <w:tcBorders>
              <w:top w:val="nil"/>
              <w:left w:val="nil"/>
              <w:bottom w:val="single" w:color="auto" w:sz="4" w:space="0"/>
              <w:right w:val="single" w:color="auto" w:sz="4" w:space="0"/>
            </w:tcBorders>
            <w:shd w:val="clear" w:color="auto" w:fill="auto"/>
            <w:vAlign w:val="center"/>
          </w:tcPr>
          <w:p w14:paraId="1C827BB9">
            <w:pPr>
              <w:pStyle w:val="149"/>
            </w:pPr>
            <w:r>
              <w:t xml:space="preserve">314 </w:t>
            </w:r>
          </w:p>
        </w:tc>
        <w:tc>
          <w:tcPr>
            <w:tcW w:w="279" w:type="pct"/>
            <w:tcBorders>
              <w:top w:val="nil"/>
              <w:left w:val="nil"/>
              <w:bottom w:val="single" w:color="auto" w:sz="4" w:space="0"/>
              <w:right w:val="single" w:color="auto" w:sz="4" w:space="0"/>
            </w:tcBorders>
            <w:shd w:val="clear" w:color="auto" w:fill="auto"/>
            <w:vAlign w:val="center"/>
          </w:tcPr>
          <w:p w14:paraId="300B6015">
            <w:pPr>
              <w:pStyle w:val="149"/>
            </w:pPr>
            <w:r>
              <w:t xml:space="preserve">531 </w:t>
            </w:r>
          </w:p>
        </w:tc>
        <w:tc>
          <w:tcPr>
            <w:tcW w:w="411" w:type="pct"/>
            <w:tcBorders>
              <w:top w:val="nil"/>
              <w:left w:val="nil"/>
              <w:bottom w:val="single" w:color="auto" w:sz="4" w:space="0"/>
              <w:right w:val="single" w:color="auto" w:sz="4" w:space="0"/>
            </w:tcBorders>
            <w:shd w:val="clear" w:color="auto" w:fill="auto"/>
            <w:vAlign w:val="center"/>
          </w:tcPr>
          <w:p w14:paraId="5DAD1986">
            <w:pPr>
              <w:pStyle w:val="149"/>
            </w:pPr>
            <w:r>
              <w:t xml:space="preserve">0.30 </w:t>
            </w:r>
          </w:p>
        </w:tc>
      </w:tr>
      <w:tr w14:paraId="20F10AD0">
        <w:tblPrEx>
          <w:tblCellMar>
            <w:top w:w="0" w:type="dxa"/>
            <w:left w:w="108" w:type="dxa"/>
            <w:bottom w:w="0" w:type="dxa"/>
            <w:right w:w="108" w:type="dxa"/>
          </w:tblCellMar>
        </w:tblPrEx>
        <w:trPr>
          <w:trHeight w:val="397" w:hRule="atLeast"/>
          <w:jc w:val="center"/>
        </w:trPr>
        <w:tc>
          <w:tcPr>
            <w:tcW w:w="493" w:type="pct"/>
            <w:vMerge w:val="continue"/>
            <w:tcBorders>
              <w:top w:val="nil"/>
              <w:left w:val="single" w:color="auto" w:sz="4" w:space="0"/>
              <w:bottom w:val="single" w:color="auto" w:sz="4" w:space="0"/>
              <w:right w:val="single" w:color="auto" w:sz="4" w:space="0"/>
            </w:tcBorders>
            <w:vAlign w:val="center"/>
          </w:tcPr>
          <w:p w14:paraId="1B3BAB2B">
            <w:pPr>
              <w:pStyle w:val="149"/>
            </w:pPr>
          </w:p>
        </w:tc>
        <w:tc>
          <w:tcPr>
            <w:tcW w:w="737" w:type="pct"/>
            <w:tcBorders>
              <w:top w:val="nil"/>
              <w:left w:val="nil"/>
              <w:bottom w:val="single" w:color="auto" w:sz="4" w:space="0"/>
              <w:right w:val="single" w:color="auto" w:sz="4" w:space="0"/>
            </w:tcBorders>
            <w:shd w:val="clear" w:color="auto" w:fill="auto"/>
            <w:vAlign w:val="center"/>
          </w:tcPr>
          <w:p w14:paraId="23038507">
            <w:pPr>
              <w:pStyle w:val="149"/>
            </w:pPr>
            <w:r>
              <w:rPr>
                <w:rFonts w:hint="eastAsia"/>
              </w:rPr>
              <w:t>绿地与开敞空间用地</w:t>
            </w:r>
          </w:p>
        </w:tc>
        <w:tc>
          <w:tcPr>
            <w:tcW w:w="348" w:type="pct"/>
            <w:tcBorders>
              <w:top w:val="nil"/>
              <w:left w:val="nil"/>
              <w:bottom w:val="single" w:color="auto" w:sz="4" w:space="0"/>
              <w:right w:val="single" w:color="auto" w:sz="4" w:space="0"/>
            </w:tcBorders>
            <w:shd w:val="clear" w:color="auto" w:fill="auto"/>
            <w:vAlign w:val="center"/>
          </w:tcPr>
          <w:p w14:paraId="154DE088">
            <w:pPr>
              <w:pStyle w:val="149"/>
            </w:pPr>
            <w:r>
              <w:t xml:space="preserve">109 </w:t>
            </w:r>
          </w:p>
        </w:tc>
        <w:tc>
          <w:tcPr>
            <w:tcW w:w="415" w:type="pct"/>
            <w:tcBorders>
              <w:top w:val="nil"/>
              <w:left w:val="nil"/>
              <w:bottom w:val="single" w:color="auto" w:sz="4" w:space="0"/>
              <w:right w:val="single" w:color="auto" w:sz="4" w:space="0"/>
            </w:tcBorders>
            <w:shd w:val="clear" w:color="auto" w:fill="auto"/>
            <w:vAlign w:val="center"/>
          </w:tcPr>
          <w:p w14:paraId="301E4F80">
            <w:pPr>
              <w:pStyle w:val="149"/>
            </w:pPr>
            <w:r>
              <w:t xml:space="preserve">47 </w:t>
            </w:r>
          </w:p>
        </w:tc>
        <w:tc>
          <w:tcPr>
            <w:tcW w:w="345" w:type="pct"/>
            <w:tcBorders>
              <w:top w:val="nil"/>
              <w:left w:val="nil"/>
              <w:bottom w:val="single" w:color="auto" w:sz="4" w:space="0"/>
              <w:right w:val="single" w:color="auto" w:sz="4" w:space="0"/>
            </w:tcBorders>
            <w:shd w:val="clear" w:color="auto" w:fill="auto"/>
            <w:vAlign w:val="center"/>
          </w:tcPr>
          <w:p w14:paraId="0321C954">
            <w:pPr>
              <w:pStyle w:val="149"/>
            </w:pPr>
            <w:r>
              <w:t xml:space="preserve">62 </w:t>
            </w:r>
          </w:p>
        </w:tc>
        <w:tc>
          <w:tcPr>
            <w:tcW w:w="395" w:type="pct"/>
            <w:tcBorders>
              <w:top w:val="nil"/>
              <w:left w:val="nil"/>
              <w:bottom w:val="single" w:color="auto" w:sz="4" w:space="0"/>
              <w:right w:val="single" w:color="auto" w:sz="4" w:space="0"/>
            </w:tcBorders>
            <w:shd w:val="clear" w:color="auto" w:fill="auto"/>
            <w:vAlign w:val="center"/>
          </w:tcPr>
          <w:p w14:paraId="45033090">
            <w:pPr>
              <w:pStyle w:val="149"/>
            </w:pPr>
            <w:r>
              <w:t xml:space="preserve">525 </w:t>
            </w:r>
          </w:p>
        </w:tc>
        <w:tc>
          <w:tcPr>
            <w:tcW w:w="415" w:type="pct"/>
            <w:tcBorders>
              <w:top w:val="nil"/>
              <w:left w:val="nil"/>
              <w:bottom w:val="single" w:color="auto" w:sz="4" w:space="0"/>
              <w:right w:val="single" w:color="auto" w:sz="4" w:space="0"/>
            </w:tcBorders>
            <w:shd w:val="clear" w:color="auto" w:fill="auto"/>
            <w:vAlign w:val="center"/>
          </w:tcPr>
          <w:p w14:paraId="0FEF9C20">
            <w:pPr>
              <w:pStyle w:val="149"/>
            </w:pPr>
            <w:r>
              <w:t xml:space="preserve">248 </w:t>
            </w:r>
          </w:p>
        </w:tc>
        <w:tc>
          <w:tcPr>
            <w:tcW w:w="338" w:type="pct"/>
            <w:tcBorders>
              <w:top w:val="nil"/>
              <w:left w:val="nil"/>
              <w:bottom w:val="single" w:color="auto" w:sz="4" w:space="0"/>
              <w:right w:val="single" w:color="auto" w:sz="4" w:space="0"/>
            </w:tcBorders>
            <w:shd w:val="clear" w:color="auto" w:fill="auto"/>
            <w:vAlign w:val="center"/>
          </w:tcPr>
          <w:p w14:paraId="69F17A59">
            <w:pPr>
              <w:pStyle w:val="149"/>
            </w:pPr>
            <w:r>
              <w:t xml:space="preserve">278 </w:t>
            </w:r>
          </w:p>
        </w:tc>
        <w:tc>
          <w:tcPr>
            <w:tcW w:w="402" w:type="pct"/>
            <w:tcBorders>
              <w:top w:val="nil"/>
              <w:left w:val="nil"/>
              <w:bottom w:val="single" w:color="auto" w:sz="4" w:space="0"/>
              <w:right w:val="single" w:color="auto" w:sz="4" w:space="0"/>
            </w:tcBorders>
            <w:shd w:val="clear" w:color="auto" w:fill="auto"/>
            <w:vAlign w:val="center"/>
          </w:tcPr>
          <w:p w14:paraId="3C3FEACC">
            <w:pPr>
              <w:pStyle w:val="149"/>
            </w:pPr>
            <w:r>
              <w:t xml:space="preserve">635 </w:t>
            </w:r>
          </w:p>
        </w:tc>
        <w:tc>
          <w:tcPr>
            <w:tcW w:w="422" w:type="pct"/>
            <w:tcBorders>
              <w:top w:val="nil"/>
              <w:left w:val="nil"/>
              <w:bottom w:val="single" w:color="auto" w:sz="4" w:space="0"/>
              <w:right w:val="single" w:color="auto" w:sz="4" w:space="0"/>
            </w:tcBorders>
            <w:shd w:val="clear" w:color="auto" w:fill="auto"/>
            <w:vAlign w:val="center"/>
          </w:tcPr>
          <w:p w14:paraId="5E7AE724">
            <w:pPr>
              <w:pStyle w:val="149"/>
            </w:pPr>
            <w:r>
              <w:t xml:space="preserve">294 </w:t>
            </w:r>
          </w:p>
        </w:tc>
        <w:tc>
          <w:tcPr>
            <w:tcW w:w="279" w:type="pct"/>
            <w:tcBorders>
              <w:top w:val="nil"/>
              <w:left w:val="nil"/>
              <w:bottom w:val="single" w:color="auto" w:sz="4" w:space="0"/>
              <w:right w:val="single" w:color="auto" w:sz="4" w:space="0"/>
            </w:tcBorders>
            <w:shd w:val="clear" w:color="auto" w:fill="auto"/>
            <w:vAlign w:val="center"/>
          </w:tcPr>
          <w:p w14:paraId="7EEEFE14">
            <w:pPr>
              <w:pStyle w:val="149"/>
            </w:pPr>
            <w:r>
              <w:t xml:space="preserve">340 </w:t>
            </w:r>
          </w:p>
        </w:tc>
        <w:tc>
          <w:tcPr>
            <w:tcW w:w="411" w:type="pct"/>
            <w:tcBorders>
              <w:top w:val="nil"/>
              <w:left w:val="nil"/>
              <w:bottom w:val="single" w:color="auto" w:sz="4" w:space="0"/>
              <w:right w:val="single" w:color="auto" w:sz="4" w:space="0"/>
            </w:tcBorders>
            <w:shd w:val="clear" w:color="auto" w:fill="auto"/>
            <w:vAlign w:val="center"/>
          </w:tcPr>
          <w:p w14:paraId="3EFEF78D">
            <w:pPr>
              <w:pStyle w:val="149"/>
            </w:pPr>
            <w:r>
              <w:t xml:space="preserve">0.19 </w:t>
            </w:r>
          </w:p>
        </w:tc>
      </w:tr>
      <w:tr w14:paraId="1B750B0A">
        <w:tblPrEx>
          <w:tblCellMar>
            <w:top w:w="0" w:type="dxa"/>
            <w:left w:w="108" w:type="dxa"/>
            <w:bottom w:w="0" w:type="dxa"/>
            <w:right w:w="108" w:type="dxa"/>
          </w:tblCellMar>
        </w:tblPrEx>
        <w:trPr>
          <w:trHeight w:val="397" w:hRule="atLeast"/>
          <w:jc w:val="center"/>
        </w:trPr>
        <w:tc>
          <w:tcPr>
            <w:tcW w:w="493" w:type="pct"/>
            <w:vMerge w:val="continue"/>
            <w:tcBorders>
              <w:top w:val="nil"/>
              <w:left w:val="single" w:color="auto" w:sz="4" w:space="0"/>
              <w:bottom w:val="single" w:color="auto" w:sz="4" w:space="0"/>
              <w:right w:val="single" w:color="auto" w:sz="4" w:space="0"/>
            </w:tcBorders>
            <w:vAlign w:val="center"/>
          </w:tcPr>
          <w:p w14:paraId="5A596AED">
            <w:pPr>
              <w:pStyle w:val="149"/>
            </w:pPr>
          </w:p>
        </w:tc>
        <w:tc>
          <w:tcPr>
            <w:tcW w:w="737" w:type="pct"/>
            <w:tcBorders>
              <w:top w:val="nil"/>
              <w:left w:val="nil"/>
              <w:bottom w:val="single" w:color="auto" w:sz="4" w:space="0"/>
              <w:right w:val="single" w:color="auto" w:sz="4" w:space="0"/>
            </w:tcBorders>
            <w:shd w:val="clear" w:color="auto" w:fill="auto"/>
            <w:vAlign w:val="center"/>
          </w:tcPr>
          <w:p w14:paraId="034406CB">
            <w:pPr>
              <w:pStyle w:val="149"/>
            </w:pPr>
            <w:r>
              <w:rPr>
                <w:rFonts w:hint="eastAsia"/>
              </w:rPr>
              <w:t>陆地水域</w:t>
            </w:r>
          </w:p>
        </w:tc>
        <w:tc>
          <w:tcPr>
            <w:tcW w:w="348" w:type="pct"/>
            <w:tcBorders>
              <w:top w:val="nil"/>
              <w:left w:val="nil"/>
              <w:bottom w:val="single" w:color="auto" w:sz="4" w:space="0"/>
              <w:right w:val="single" w:color="auto" w:sz="4" w:space="0"/>
            </w:tcBorders>
            <w:shd w:val="clear" w:color="auto" w:fill="auto"/>
            <w:vAlign w:val="center"/>
          </w:tcPr>
          <w:p w14:paraId="14D007C7">
            <w:pPr>
              <w:pStyle w:val="149"/>
            </w:pPr>
            <w:r>
              <w:t xml:space="preserve">66 </w:t>
            </w:r>
          </w:p>
        </w:tc>
        <w:tc>
          <w:tcPr>
            <w:tcW w:w="415" w:type="pct"/>
            <w:tcBorders>
              <w:top w:val="nil"/>
              <w:left w:val="nil"/>
              <w:bottom w:val="single" w:color="auto" w:sz="4" w:space="0"/>
              <w:right w:val="single" w:color="auto" w:sz="4" w:space="0"/>
            </w:tcBorders>
            <w:shd w:val="clear" w:color="auto" w:fill="auto"/>
            <w:vAlign w:val="center"/>
          </w:tcPr>
          <w:p w14:paraId="4271C376">
            <w:pPr>
              <w:pStyle w:val="149"/>
            </w:pPr>
            <w:r>
              <w:t xml:space="preserve">28 </w:t>
            </w:r>
          </w:p>
        </w:tc>
        <w:tc>
          <w:tcPr>
            <w:tcW w:w="345" w:type="pct"/>
            <w:tcBorders>
              <w:top w:val="nil"/>
              <w:left w:val="nil"/>
              <w:bottom w:val="single" w:color="auto" w:sz="4" w:space="0"/>
              <w:right w:val="single" w:color="auto" w:sz="4" w:space="0"/>
            </w:tcBorders>
            <w:shd w:val="clear" w:color="auto" w:fill="auto"/>
            <w:vAlign w:val="center"/>
          </w:tcPr>
          <w:p w14:paraId="4F20D520">
            <w:pPr>
              <w:pStyle w:val="149"/>
            </w:pPr>
            <w:r>
              <w:t xml:space="preserve">37 </w:t>
            </w:r>
          </w:p>
        </w:tc>
        <w:tc>
          <w:tcPr>
            <w:tcW w:w="395" w:type="pct"/>
            <w:tcBorders>
              <w:top w:val="nil"/>
              <w:left w:val="nil"/>
              <w:bottom w:val="single" w:color="auto" w:sz="4" w:space="0"/>
              <w:right w:val="single" w:color="auto" w:sz="4" w:space="0"/>
            </w:tcBorders>
            <w:shd w:val="clear" w:color="auto" w:fill="auto"/>
            <w:vAlign w:val="center"/>
          </w:tcPr>
          <w:p w14:paraId="5B471965">
            <w:pPr>
              <w:pStyle w:val="149"/>
            </w:pPr>
            <w:r>
              <w:t xml:space="preserve">316 </w:t>
            </w:r>
          </w:p>
        </w:tc>
        <w:tc>
          <w:tcPr>
            <w:tcW w:w="415" w:type="pct"/>
            <w:tcBorders>
              <w:top w:val="nil"/>
              <w:left w:val="nil"/>
              <w:bottom w:val="single" w:color="auto" w:sz="4" w:space="0"/>
              <w:right w:val="single" w:color="auto" w:sz="4" w:space="0"/>
            </w:tcBorders>
            <w:shd w:val="clear" w:color="auto" w:fill="auto"/>
            <w:vAlign w:val="center"/>
          </w:tcPr>
          <w:p w14:paraId="39D5C64A">
            <w:pPr>
              <w:pStyle w:val="149"/>
            </w:pPr>
            <w:r>
              <w:t xml:space="preserve">149 </w:t>
            </w:r>
          </w:p>
        </w:tc>
        <w:tc>
          <w:tcPr>
            <w:tcW w:w="338" w:type="pct"/>
            <w:tcBorders>
              <w:top w:val="nil"/>
              <w:left w:val="nil"/>
              <w:bottom w:val="single" w:color="auto" w:sz="4" w:space="0"/>
              <w:right w:val="single" w:color="auto" w:sz="4" w:space="0"/>
            </w:tcBorders>
            <w:shd w:val="clear" w:color="auto" w:fill="auto"/>
            <w:vAlign w:val="center"/>
          </w:tcPr>
          <w:p w14:paraId="0C366724">
            <w:pPr>
              <w:pStyle w:val="149"/>
            </w:pPr>
            <w:r>
              <w:t xml:space="preserve">167 </w:t>
            </w:r>
          </w:p>
        </w:tc>
        <w:tc>
          <w:tcPr>
            <w:tcW w:w="402" w:type="pct"/>
            <w:tcBorders>
              <w:top w:val="nil"/>
              <w:left w:val="nil"/>
              <w:bottom w:val="single" w:color="auto" w:sz="4" w:space="0"/>
              <w:right w:val="single" w:color="auto" w:sz="4" w:space="0"/>
            </w:tcBorders>
            <w:shd w:val="clear" w:color="auto" w:fill="auto"/>
            <w:vAlign w:val="center"/>
          </w:tcPr>
          <w:p w14:paraId="237723C6">
            <w:pPr>
              <w:pStyle w:val="149"/>
            </w:pPr>
            <w:r>
              <w:t xml:space="preserve">381 </w:t>
            </w:r>
          </w:p>
        </w:tc>
        <w:tc>
          <w:tcPr>
            <w:tcW w:w="422" w:type="pct"/>
            <w:tcBorders>
              <w:top w:val="nil"/>
              <w:left w:val="nil"/>
              <w:bottom w:val="single" w:color="auto" w:sz="4" w:space="0"/>
              <w:right w:val="single" w:color="auto" w:sz="4" w:space="0"/>
            </w:tcBorders>
            <w:shd w:val="clear" w:color="auto" w:fill="auto"/>
            <w:vAlign w:val="center"/>
          </w:tcPr>
          <w:p w14:paraId="7DE2A60C">
            <w:pPr>
              <w:pStyle w:val="149"/>
            </w:pPr>
            <w:r>
              <w:t xml:space="preserve">177 </w:t>
            </w:r>
          </w:p>
        </w:tc>
        <w:tc>
          <w:tcPr>
            <w:tcW w:w="279" w:type="pct"/>
            <w:tcBorders>
              <w:top w:val="nil"/>
              <w:left w:val="nil"/>
              <w:bottom w:val="single" w:color="auto" w:sz="4" w:space="0"/>
              <w:right w:val="single" w:color="auto" w:sz="4" w:space="0"/>
            </w:tcBorders>
            <w:shd w:val="clear" w:color="auto" w:fill="auto"/>
            <w:vAlign w:val="center"/>
          </w:tcPr>
          <w:p w14:paraId="708593A9">
            <w:pPr>
              <w:pStyle w:val="149"/>
            </w:pPr>
            <w:r>
              <w:t xml:space="preserve">204 </w:t>
            </w:r>
          </w:p>
        </w:tc>
        <w:tc>
          <w:tcPr>
            <w:tcW w:w="411" w:type="pct"/>
            <w:tcBorders>
              <w:top w:val="nil"/>
              <w:left w:val="nil"/>
              <w:bottom w:val="single" w:color="auto" w:sz="4" w:space="0"/>
              <w:right w:val="single" w:color="auto" w:sz="4" w:space="0"/>
            </w:tcBorders>
            <w:shd w:val="clear" w:color="auto" w:fill="auto"/>
            <w:vAlign w:val="center"/>
          </w:tcPr>
          <w:p w14:paraId="510A4A65">
            <w:pPr>
              <w:pStyle w:val="149"/>
            </w:pPr>
            <w:r>
              <w:t xml:space="preserve">0.12 </w:t>
            </w:r>
          </w:p>
        </w:tc>
      </w:tr>
      <w:tr w14:paraId="62CD2930">
        <w:tblPrEx>
          <w:tblCellMar>
            <w:top w:w="0" w:type="dxa"/>
            <w:left w:w="108" w:type="dxa"/>
            <w:bottom w:w="0" w:type="dxa"/>
            <w:right w:w="108" w:type="dxa"/>
          </w:tblCellMar>
        </w:tblPrEx>
        <w:trPr>
          <w:trHeight w:val="397" w:hRule="atLeast"/>
          <w:jc w:val="center"/>
        </w:trPr>
        <w:tc>
          <w:tcPr>
            <w:tcW w:w="493" w:type="pct"/>
            <w:vMerge w:val="continue"/>
            <w:tcBorders>
              <w:top w:val="nil"/>
              <w:left w:val="single" w:color="auto" w:sz="4" w:space="0"/>
              <w:bottom w:val="single" w:color="auto" w:sz="4" w:space="0"/>
              <w:right w:val="single" w:color="auto" w:sz="4" w:space="0"/>
            </w:tcBorders>
            <w:vAlign w:val="center"/>
          </w:tcPr>
          <w:p w14:paraId="6961D4B7">
            <w:pPr>
              <w:pStyle w:val="149"/>
            </w:pPr>
          </w:p>
        </w:tc>
        <w:tc>
          <w:tcPr>
            <w:tcW w:w="737" w:type="pct"/>
            <w:tcBorders>
              <w:top w:val="nil"/>
              <w:left w:val="nil"/>
              <w:bottom w:val="single" w:color="auto" w:sz="4" w:space="0"/>
              <w:right w:val="single" w:color="auto" w:sz="4" w:space="0"/>
            </w:tcBorders>
            <w:shd w:val="clear" w:color="auto" w:fill="auto"/>
            <w:vAlign w:val="center"/>
          </w:tcPr>
          <w:p w14:paraId="6816D502">
            <w:pPr>
              <w:pStyle w:val="149"/>
            </w:pPr>
            <w:r>
              <w:rPr>
                <w:rFonts w:hint="eastAsia"/>
              </w:rPr>
              <w:t>小计</w:t>
            </w:r>
          </w:p>
        </w:tc>
        <w:tc>
          <w:tcPr>
            <w:tcW w:w="348" w:type="pct"/>
            <w:tcBorders>
              <w:top w:val="nil"/>
              <w:left w:val="nil"/>
              <w:bottom w:val="single" w:color="auto" w:sz="4" w:space="0"/>
              <w:right w:val="single" w:color="auto" w:sz="4" w:space="0"/>
            </w:tcBorders>
            <w:shd w:val="clear" w:color="auto" w:fill="auto"/>
            <w:vAlign w:val="center"/>
          </w:tcPr>
          <w:p w14:paraId="078A7571">
            <w:pPr>
              <w:pStyle w:val="149"/>
            </w:pPr>
            <w:r>
              <w:t xml:space="preserve">24501 </w:t>
            </w:r>
          </w:p>
        </w:tc>
        <w:tc>
          <w:tcPr>
            <w:tcW w:w="415" w:type="pct"/>
            <w:tcBorders>
              <w:top w:val="nil"/>
              <w:left w:val="nil"/>
              <w:bottom w:val="single" w:color="auto" w:sz="4" w:space="0"/>
              <w:right w:val="single" w:color="auto" w:sz="4" w:space="0"/>
            </w:tcBorders>
            <w:shd w:val="clear" w:color="auto" w:fill="auto"/>
            <w:vAlign w:val="center"/>
          </w:tcPr>
          <w:p w14:paraId="563D6FA7">
            <w:pPr>
              <w:pStyle w:val="149"/>
            </w:pPr>
            <w:r>
              <w:t xml:space="preserve">7790 </w:t>
            </w:r>
          </w:p>
        </w:tc>
        <w:tc>
          <w:tcPr>
            <w:tcW w:w="345" w:type="pct"/>
            <w:tcBorders>
              <w:top w:val="nil"/>
              <w:left w:val="nil"/>
              <w:bottom w:val="single" w:color="auto" w:sz="4" w:space="0"/>
              <w:right w:val="single" w:color="auto" w:sz="4" w:space="0"/>
            </w:tcBorders>
            <w:shd w:val="clear" w:color="auto" w:fill="auto"/>
            <w:vAlign w:val="center"/>
          </w:tcPr>
          <w:p w14:paraId="5F7D0754">
            <w:pPr>
              <w:pStyle w:val="149"/>
            </w:pPr>
            <w:r>
              <w:t xml:space="preserve">16712 </w:t>
            </w:r>
          </w:p>
        </w:tc>
        <w:tc>
          <w:tcPr>
            <w:tcW w:w="395" w:type="pct"/>
            <w:tcBorders>
              <w:top w:val="nil"/>
              <w:left w:val="nil"/>
              <w:bottom w:val="single" w:color="auto" w:sz="4" w:space="0"/>
              <w:right w:val="single" w:color="auto" w:sz="4" w:space="0"/>
            </w:tcBorders>
            <w:shd w:val="clear" w:color="auto" w:fill="auto"/>
            <w:vAlign w:val="center"/>
          </w:tcPr>
          <w:p w14:paraId="1A6EA7DF">
            <w:pPr>
              <w:pStyle w:val="149"/>
            </w:pPr>
            <w:r>
              <w:t xml:space="preserve">9860 </w:t>
            </w:r>
          </w:p>
        </w:tc>
        <w:tc>
          <w:tcPr>
            <w:tcW w:w="415" w:type="pct"/>
            <w:tcBorders>
              <w:top w:val="nil"/>
              <w:left w:val="nil"/>
              <w:bottom w:val="single" w:color="auto" w:sz="4" w:space="0"/>
              <w:right w:val="single" w:color="auto" w:sz="4" w:space="0"/>
            </w:tcBorders>
            <w:shd w:val="clear" w:color="auto" w:fill="auto"/>
            <w:vAlign w:val="center"/>
          </w:tcPr>
          <w:p w14:paraId="16584AE3">
            <w:pPr>
              <w:pStyle w:val="149"/>
            </w:pPr>
            <w:r>
              <w:t xml:space="preserve">4749 </w:t>
            </w:r>
          </w:p>
        </w:tc>
        <w:tc>
          <w:tcPr>
            <w:tcW w:w="338" w:type="pct"/>
            <w:tcBorders>
              <w:top w:val="nil"/>
              <w:left w:val="nil"/>
              <w:bottom w:val="single" w:color="auto" w:sz="4" w:space="0"/>
              <w:right w:val="single" w:color="auto" w:sz="4" w:space="0"/>
            </w:tcBorders>
            <w:shd w:val="clear" w:color="auto" w:fill="auto"/>
            <w:vAlign w:val="center"/>
          </w:tcPr>
          <w:p w14:paraId="6FB974C5">
            <w:pPr>
              <w:pStyle w:val="149"/>
            </w:pPr>
            <w:r>
              <w:t xml:space="preserve">5111 </w:t>
            </w:r>
          </w:p>
        </w:tc>
        <w:tc>
          <w:tcPr>
            <w:tcW w:w="402" w:type="pct"/>
            <w:tcBorders>
              <w:top w:val="nil"/>
              <w:left w:val="nil"/>
              <w:bottom w:val="single" w:color="auto" w:sz="4" w:space="0"/>
              <w:right w:val="single" w:color="auto" w:sz="4" w:space="0"/>
            </w:tcBorders>
            <w:shd w:val="clear" w:color="auto" w:fill="auto"/>
            <w:vAlign w:val="center"/>
          </w:tcPr>
          <w:p w14:paraId="1117F690">
            <w:pPr>
              <w:pStyle w:val="149"/>
            </w:pPr>
            <w:r>
              <w:t xml:space="preserve">34362 </w:t>
            </w:r>
          </w:p>
        </w:tc>
        <w:tc>
          <w:tcPr>
            <w:tcW w:w="422" w:type="pct"/>
            <w:tcBorders>
              <w:top w:val="nil"/>
              <w:left w:val="nil"/>
              <w:bottom w:val="single" w:color="auto" w:sz="4" w:space="0"/>
              <w:right w:val="single" w:color="auto" w:sz="4" w:space="0"/>
            </w:tcBorders>
            <w:shd w:val="clear" w:color="auto" w:fill="auto"/>
            <w:vAlign w:val="center"/>
          </w:tcPr>
          <w:p w14:paraId="083C6D24">
            <w:pPr>
              <w:pStyle w:val="149"/>
            </w:pPr>
            <w:r>
              <w:t xml:space="preserve">12539 </w:t>
            </w:r>
          </w:p>
        </w:tc>
        <w:tc>
          <w:tcPr>
            <w:tcW w:w="279" w:type="pct"/>
            <w:tcBorders>
              <w:top w:val="nil"/>
              <w:left w:val="nil"/>
              <w:bottom w:val="single" w:color="auto" w:sz="4" w:space="0"/>
              <w:right w:val="single" w:color="auto" w:sz="4" w:space="0"/>
            </w:tcBorders>
            <w:shd w:val="clear" w:color="auto" w:fill="auto"/>
            <w:vAlign w:val="center"/>
          </w:tcPr>
          <w:p w14:paraId="5056A914">
            <w:pPr>
              <w:pStyle w:val="149"/>
            </w:pPr>
            <w:r>
              <w:t xml:space="preserve">21823 </w:t>
            </w:r>
          </w:p>
        </w:tc>
        <w:tc>
          <w:tcPr>
            <w:tcW w:w="411" w:type="pct"/>
            <w:tcBorders>
              <w:top w:val="nil"/>
              <w:left w:val="nil"/>
              <w:bottom w:val="single" w:color="auto" w:sz="4" w:space="0"/>
              <w:right w:val="single" w:color="auto" w:sz="4" w:space="0"/>
            </w:tcBorders>
            <w:shd w:val="clear" w:color="auto" w:fill="auto"/>
            <w:vAlign w:val="center"/>
          </w:tcPr>
          <w:p w14:paraId="54D9A72A">
            <w:pPr>
              <w:pStyle w:val="149"/>
            </w:pPr>
            <w:r>
              <w:t xml:space="preserve">12.28 </w:t>
            </w:r>
          </w:p>
        </w:tc>
      </w:tr>
      <w:tr w14:paraId="3A2273AB">
        <w:tblPrEx>
          <w:tblCellMar>
            <w:top w:w="0" w:type="dxa"/>
            <w:left w:w="108" w:type="dxa"/>
            <w:bottom w:w="0" w:type="dxa"/>
            <w:right w:w="108" w:type="dxa"/>
          </w:tblCellMar>
        </w:tblPrEx>
        <w:trPr>
          <w:trHeight w:val="397" w:hRule="atLeast"/>
          <w:jc w:val="center"/>
        </w:trPr>
        <w:tc>
          <w:tcPr>
            <w:tcW w:w="123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C3F98E">
            <w:pPr>
              <w:pStyle w:val="149"/>
            </w:pPr>
            <w:r>
              <w:rPr>
                <w:rFonts w:hint="eastAsia"/>
              </w:rPr>
              <w:t>合计</w:t>
            </w:r>
          </w:p>
        </w:tc>
        <w:tc>
          <w:tcPr>
            <w:tcW w:w="348" w:type="pct"/>
            <w:tcBorders>
              <w:top w:val="nil"/>
              <w:left w:val="nil"/>
              <w:bottom w:val="single" w:color="auto" w:sz="4" w:space="0"/>
              <w:right w:val="single" w:color="auto" w:sz="4" w:space="0"/>
            </w:tcBorders>
            <w:shd w:val="clear" w:color="auto" w:fill="auto"/>
            <w:vAlign w:val="center"/>
          </w:tcPr>
          <w:p w14:paraId="61D6AB02">
            <w:pPr>
              <w:pStyle w:val="149"/>
            </w:pPr>
            <w:r>
              <w:t xml:space="preserve">199439 </w:t>
            </w:r>
          </w:p>
        </w:tc>
        <w:tc>
          <w:tcPr>
            <w:tcW w:w="415" w:type="pct"/>
            <w:tcBorders>
              <w:top w:val="nil"/>
              <w:left w:val="nil"/>
              <w:bottom w:val="single" w:color="auto" w:sz="4" w:space="0"/>
              <w:right w:val="single" w:color="auto" w:sz="4" w:space="0"/>
            </w:tcBorders>
            <w:shd w:val="clear" w:color="auto" w:fill="auto"/>
            <w:vAlign w:val="center"/>
          </w:tcPr>
          <w:p w14:paraId="3CCC772F">
            <w:pPr>
              <w:pStyle w:val="149"/>
            </w:pPr>
            <w:r>
              <w:t xml:space="preserve">64970 </w:t>
            </w:r>
          </w:p>
        </w:tc>
        <w:tc>
          <w:tcPr>
            <w:tcW w:w="345" w:type="pct"/>
            <w:tcBorders>
              <w:top w:val="nil"/>
              <w:left w:val="nil"/>
              <w:bottom w:val="single" w:color="auto" w:sz="4" w:space="0"/>
              <w:right w:val="single" w:color="auto" w:sz="4" w:space="0"/>
            </w:tcBorders>
            <w:shd w:val="clear" w:color="auto" w:fill="auto"/>
            <w:vAlign w:val="center"/>
          </w:tcPr>
          <w:p w14:paraId="48A4745D">
            <w:pPr>
              <w:pStyle w:val="149"/>
            </w:pPr>
            <w:r>
              <w:t xml:space="preserve">134468 </w:t>
            </w:r>
          </w:p>
        </w:tc>
        <w:tc>
          <w:tcPr>
            <w:tcW w:w="395" w:type="pct"/>
            <w:tcBorders>
              <w:top w:val="nil"/>
              <w:left w:val="nil"/>
              <w:bottom w:val="single" w:color="auto" w:sz="4" w:space="0"/>
              <w:right w:val="single" w:color="auto" w:sz="4" w:space="0"/>
            </w:tcBorders>
            <w:shd w:val="clear" w:color="auto" w:fill="auto"/>
            <w:vAlign w:val="center"/>
          </w:tcPr>
          <w:p w14:paraId="29A4B3CB">
            <w:pPr>
              <w:pStyle w:val="149"/>
            </w:pPr>
            <w:r>
              <w:t xml:space="preserve">83478 </w:t>
            </w:r>
          </w:p>
        </w:tc>
        <w:tc>
          <w:tcPr>
            <w:tcW w:w="415" w:type="pct"/>
            <w:tcBorders>
              <w:top w:val="nil"/>
              <w:left w:val="nil"/>
              <w:bottom w:val="single" w:color="auto" w:sz="4" w:space="0"/>
              <w:right w:val="single" w:color="auto" w:sz="4" w:space="0"/>
            </w:tcBorders>
            <w:shd w:val="clear" w:color="auto" w:fill="auto"/>
            <w:vAlign w:val="center"/>
          </w:tcPr>
          <w:p w14:paraId="4D6A92D4">
            <w:pPr>
              <w:pStyle w:val="149"/>
            </w:pPr>
            <w:r>
              <w:t xml:space="preserve">40264 </w:t>
            </w:r>
          </w:p>
        </w:tc>
        <w:tc>
          <w:tcPr>
            <w:tcW w:w="338" w:type="pct"/>
            <w:tcBorders>
              <w:top w:val="nil"/>
              <w:left w:val="nil"/>
              <w:bottom w:val="single" w:color="auto" w:sz="4" w:space="0"/>
              <w:right w:val="single" w:color="auto" w:sz="4" w:space="0"/>
            </w:tcBorders>
            <w:shd w:val="clear" w:color="auto" w:fill="auto"/>
            <w:vAlign w:val="center"/>
          </w:tcPr>
          <w:p w14:paraId="7153A6BD">
            <w:pPr>
              <w:pStyle w:val="149"/>
            </w:pPr>
            <w:r>
              <w:t xml:space="preserve">43214 </w:t>
            </w:r>
          </w:p>
        </w:tc>
        <w:tc>
          <w:tcPr>
            <w:tcW w:w="402" w:type="pct"/>
            <w:tcBorders>
              <w:top w:val="nil"/>
              <w:left w:val="nil"/>
              <w:bottom w:val="single" w:color="auto" w:sz="4" w:space="0"/>
              <w:right w:val="single" w:color="auto" w:sz="4" w:space="0"/>
            </w:tcBorders>
            <w:shd w:val="clear" w:color="auto" w:fill="auto"/>
            <w:vAlign w:val="center"/>
          </w:tcPr>
          <w:p w14:paraId="76A2DDCC">
            <w:pPr>
              <w:pStyle w:val="149"/>
            </w:pPr>
            <w:r>
              <w:t xml:space="preserve">282916 </w:t>
            </w:r>
          </w:p>
        </w:tc>
        <w:tc>
          <w:tcPr>
            <w:tcW w:w="422" w:type="pct"/>
            <w:tcBorders>
              <w:top w:val="nil"/>
              <w:left w:val="nil"/>
              <w:bottom w:val="single" w:color="auto" w:sz="4" w:space="0"/>
              <w:right w:val="single" w:color="auto" w:sz="4" w:space="0"/>
            </w:tcBorders>
            <w:shd w:val="clear" w:color="auto" w:fill="auto"/>
            <w:vAlign w:val="center"/>
          </w:tcPr>
          <w:p w14:paraId="36674F73">
            <w:pPr>
              <w:pStyle w:val="149"/>
            </w:pPr>
            <w:r>
              <w:t xml:space="preserve">105234 </w:t>
            </w:r>
          </w:p>
        </w:tc>
        <w:tc>
          <w:tcPr>
            <w:tcW w:w="279" w:type="pct"/>
            <w:tcBorders>
              <w:top w:val="nil"/>
              <w:left w:val="nil"/>
              <w:bottom w:val="single" w:color="auto" w:sz="4" w:space="0"/>
              <w:right w:val="single" w:color="auto" w:sz="4" w:space="0"/>
            </w:tcBorders>
            <w:shd w:val="clear" w:color="auto" w:fill="auto"/>
            <w:vAlign w:val="center"/>
          </w:tcPr>
          <w:p w14:paraId="1B509EAF">
            <w:pPr>
              <w:pStyle w:val="149"/>
            </w:pPr>
            <w:r>
              <w:t xml:space="preserve">177682 </w:t>
            </w:r>
          </w:p>
        </w:tc>
        <w:tc>
          <w:tcPr>
            <w:tcW w:w="411" w:type="pct"/>
            <w:tcBorders>
              <w:top w:val="nil"/>
              <w:left w:val="nil"/>
              <w:bottom w:val="single" w:color="auto" w:sz="4" w:space="0"/>
              <w:right w:val="single" w:color="auto" w:sz="4" w:space="0"/>
            </w:tcBorders>
            <w:shd w:val="clear" w:color="auto" w:fill="auto"/>
            <w:vAlign w:val="center"/>
          </w:tcPr>
          <w:p w14:paraId="5B674867">
            <w:pPr>
              <w:pStyle w:val="149"/>
            </w:pPr>
            <w:r>
              <w:t xml:space="preserve">100.00 </w:t>
            </w:r>
          </w:p>
        </w:tc>
      </w:tr>
      <w:tr w14:paraId="779CD9D8">
        <w:tblPrEx>
          <w:tblCellMar>
            <w:top w:w="0" w:type="dxa"/>
            <w:left w:w="108" w:type="dxa"/>
            <w:bottom w:w="0" w:type="dxa"/>
            <w:right w:w="108" w:type="dxa"/>
          </w:tblCellMar>
        </w:tblPrEx>
        <w:trPr>
          <w:trHeight w:val="397" w:hRule="atLeast"/>
          <w:jc w:val="center"/>
        </w:trPr>
        <w:tc>
          <w:tcPr>
            <w:tcW w:w="123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3BC378">
            <w:pPr>
              <w:pStyle w:val="149"/>
            </w:pPr>
            <w:r>
              <w:rPr>
                <w:rFonts w:hint="eastAsia"/>
              </w:rPr>
              <w:t>占总新增量的百分比（</w:t>
            </w:r>
            <w:r>
              <w:t>%</w:t>
            </w:r>
            <w:r>
              <w:rPr>
                <w:rFonts w:hint="eastAsia"/>
              </w:rPr>
              <w:t>）</w:t>
            </w:r>
          </w:p>
        </w:tc>
        <w:tc>
          <w:tcPr>
            <w:tcW w:w="348" w:type="pct"/>
            <w:tcBorders>
              <w:top w:val="nil"/>
              <w:left w:val="nil"/>
              <w:bottom w:val="single" w:color="auto" w:sz="4" w:space="0"/>
              <w:right w:val="single" w:color="auto" w:sz="4" w:space="0"/>
            </w:tcBorders>
            <w:shd w:val="clear" w:color="auto" w:fill="auto"/>
            <w:vAlign w:val="center"/>
          </w:tcPr>
          <w:p w14:paraId="4D282895">
            <w:pPr>
              <w:pStyle w:val="149"/>
            </w:pPr>
            <w:r>
              <w:t>　</w:t>
            </w:r>
          </w:p>
        </w:tc>
        <w:tc>
          <w:tcPr>
            <w:tcW w:w="415" w:type="pct"/>
            <w:tcBorders>
              <w:top w:val="nil"/>
              <w:left w:val="nil"/>
              <w:bottom w:val="single" w:color="auto" w:sz="4" w:space="0"/>
              <w:right w:val="single" w:color="auto" w:sz="4" w:space="0"/>
            </w:tcBorders>
            <w:shd w:val="clear" w:color="auto" w:fill="auto"/>
            <w:vAlign w:val="center"/>
          </w:tcPr>
          <w:p w14:paraId="0C8359F9">
            <w:pPr>
              <w:pStyle w:val="149"/>
            </w:pPr>
            <w:r>
              <w:t>　</w:t>
            </w:r>
          </w:p>
        </w:tc>
        <w:tc>
          <w:tcPr>
            <w:tcW w:w="345" w:type="pct"/>
            <w:tcBorders>
              <w:top w:val="nil"/>
              <w:left w:val="nil"/>
              <w:bottom w:val="single" w:color="auto" w:sz="4" w:space="0"/>
              <w:right w:val="single" w:color="auto" w:sz="4" w:space="0"/>
            </w:tcBorders>
            <w:shd w:val="clear" w:color="auto" w:fill="auto"/>
            <w:vAlign w:val="center"/>
          </w:tcPr>
          <w:p w14:paraId="2CCFBD74">
            <w:pPr>
              <w:pStyle w:val="149"/>
            </w:pPr>
            <w:r>
              <w:t xml:space="preserve">75.68 </w:t>
            </w:r>
          </w:p>
        </w:tc>
        <w:tc>
          <w:tcPr>
            <w:tcW w:w="395" w:type="pct"/>
            <w:tcBorders>
              <w:top w:val="nil"/>
              <w:left w:val="nil"/>
              <w:bottom w:val="single" w:color="auto" w:sz="4" w:space="0"/>
              <w:right w:val="single" w:color="auto" w:sz="4" w:space="0"/>
            </w:tcBorders>
            <w:shd w:val="clear" w:color="auto" w:fill="auto"/>
            <w:vAlign w:val="center"/>
          </w:tcPr>
          <w:p w14:paraId="12922A99">
            <w:pPr>
              <w:pStyle w:val="149"/>
            </w:pPr>
            <w:r>
              <w:t>　</w:t>
            </w:r>
          </w:p>
        </w:tc>
        <w:tc>
          <w:tcPr>
            <w:tcW w:w="415" w:type="pct"/>
            <w:tcBorders>
              <w:top w:val="nil"/>
              <w:left w:val="nil"/>
              <w:bottom w:val="single" w:color="auto" w:sz="4" w:space="0"/>
              <w:right w:val="single" w:color="auto" w:sz="4" w:space="0"/>
            </w:tcBorders>
            <w:shd w:val="clear" w:color="auto" w:fill="auto"/>
            <w:vAlign w:val="center"/>
          </w:tcPr>
          <w:p w14:paraId="2C854462">
            <w:pPr>
              <w:pStyle w:val="149"/>
            </w:pPr>
            <w:r>
              <w:t>　</w:t>
            </w:r>
          </w:p>
        </w:tc>
        <w:tc>
          <w:tcPr>
            <w:tcW w:w="338" w:type="pct"/>
            <w:tcBorders>
              <w:top w:val="nil"/>
              <w:left w:val="nil"/>
              <w:bottom w:val="single" w:color="auto" w:sz="4" w:space="0"/>
              <w:right w:val="single" w:color="auto" w:sz="4" w:space="0"/>
            </w:tcBorders>
            <w:shd w:val="clear" w:color="auto" w:fill="auto"/>
            <w:vAlign w:val="center"/>
          </w:tcPr>
          <w:p w14:paraId="62706DD9">
            <w:pPr>
              <w:pStyle w:val="149"/>
            </w:pPr>
            <w:r>
              <w:t xml:space="preserve">24.32 </w:t>
            </w:r>
          </w:p>
        </w:tc>
        <w:tc>
          <w:tcPr>
            <w:tcW w:w="402" w:type="pct"/>
            <w:tcBorders>
              <w:top w:val="nil"/>
              <w:left w:val="nil"/>
              <w:bottom w:val="single" w:color="auto" w:sz="4" w:space="0"/>
              <w:right w:val="single" w:color="auto" w:sz="4" w:space="0"/>
            </w:tcBorders>
            <w:shd w:val="clear" w:color="auto" w:fill="auto"/>
            <w:vAlign w:val="center"/>
          </w:tcPr>
          <w:p w14:paraId="3750789B">
            <w:pPr>
              <w:pStyle w:val="149"/>
            </w:pPr>
            <w:r>
              <w:t>　</w:t>
            </w:r>
          </w:p>
        </w:tc>
        <w:tc>
          <w:tcPr>
            <w:tcW w:w="422" w:type="pct"/>
            <w:tcBorders>
              <w:top w:val="nil"/>
              <w:left w:val="nil"/>
              <w:bottom w:val="single" w:color="auto" w:sz="4" w:space="0"/>
              <w:right w:val="single" w:color="auto" w:sz="4" w:space="0"/>
            </w:tcBorders>
            <w:shd w:val="clear" w:color="auto" w:fill="auto"/>
            <w:vAlign w:val="center"/>
          </w:tcPr>
          <w:p w14:paraId="6820AFC4">
            <w:pPr>
              <w:pStyle w:val="149"/>
            </w:pPr>
            <w:r>
              <w:t>　</w:t>
            </w:r>
          </w:p>
        </w:tc>
        <w:tc>
          <w:tcPr>
            <w:tcW w:w="279" w:type="pct"/>
            <w:tcBorders>
              <w:top w:val="nil"/>
              <w:left w:val="nil"/>
              <w:bottom w:val="single" w:color="auto" w:sz="4" w:space="0"/>
              <w:right w:val="single" w:color="auto" w:sz="4" w:space="0"/>
            </w:tcBorders>
            <w:shd w:val="clear" w:color="auto" w:fill="auto"/>
            <w:vAlign w:val="center"/>
          </w:tcPr>
          <w:p w14:paraId="27B0BD5A">
            <w:pPr>
              <w:pStyle w:val="149"/>
            </w:pPr>
            <w:r>
              <w:t xml:space="preserve">100.00 </w:t>
            </w:r>
          </w:p>
        </w:tc>
        <w:tc>
          <w:tcPr>
            <w:tcW w:w="411" w:type="pct"/>
            <w:tcBorders>
              <w:top w:val="nil"/>
              <w:left w:val="nil"/>
              <w:bottom w:val="single" w:color="auto" w:sz="4" w:space="0"/>
              <w:right w:val="single" w:color="auto" w:sz="4" w:space="0"/>
            </w:tcBorders>
            <w:shd w:val="clear" w:color="auto" w:fill="auto"/>
            <w:vAlign w:val="center"/>
          </w:tcPr>
          <w:p w14:paraId="30B5D695">
            <w:pPr>
              <w:pStyle w:val="149"/>
            </w:pPr>
            <w:r>
              <w:t>　</w:t>
            </w:r>
          </w:p>
        </w:tc>
      </w:tr>
    </w:tbl>
    <w:p w14:paraId="44A67F85">
      <w:pPr>
        <w:pStyle w:val="66"/>
        <w:sectPr>
          <w:footerReference r:id="rId75" w:type="default"/>
          <w:pgSz w:w="16840" w:h="11910" w:orient="landscape"/>
          <w:pgMar w:top="1560" w:right="1360" w:bottom="1340" w:left="1420" w:header="876" w:footer="1227" w:gutter="0"/>
          <w:cols w:space="720" w:num="1"/>
          <w:docGrid w:linePitch="326" w:charSpace="0"/>
        </w:sectPr>
      </w:pPr>
    </w:p>
    <w:p w14:paraId="49327B6E">
      <w:pPr>
        <w:pStyle w:val="3"/>
        <w:spacing w:before="120" w:after="120"/>
      </w:pPr>
      <w:bookmarkStart w:id="281" w:name="_Toc88821222"/>
      <w:bookmarkStart w:id="282" w:name="_Toc11421424"/>
      <w:bookmarkStart w:id="283" w:name="_Toc152535479"/>
      <w:bookmarkStart w:id="284" w:name="_Toc55920615"/>
      <w:bookmarkStart w:id="285" w:name="_Toc88833983"/>
      <w:bookmarkStart w:id="286" w:name="_Toc85444597"/>
      <w:bookmarkStart w:id="287" w:name="_Toc85444730"/>
      <w:bookmarkStart w:id="288" w:name="_Toc85444454"/>
      <w:r>
        <w:t>水土流失危害分析</w:t>
      </w:r>
      <w:bookmarkEnd w:id="281"/>
      <w:bookmarkEnd w:id="282"/>
      <w:bookmarkEnd w:id="283"/>
      <w:bookmarkEnd w:id="284"/>
      <w:bookmarkEnd w:id="285"/>
      <w:bookmarkEnd w:id="286"/>
      <w:bookmarkEnd w:id="287"/>
      <w:bookmarkEnd w:id="288"/>
    </w:p>
    <w:bookmarkEnd w:id="246"/>
    <w:bookmarkEnd w:id="247"/>
    <w:bookmarkEnd w:id="248"/>
    <w:p w14:paraId="0589336E">
      <w:pPr>
        <w:pStyle w:val="4"/>
        <w:spacing w:before="120" w:after="120"/>
      </w:pPr>
      <w:bookmarkStart w:id="289" w:name="_Toc256342030"/>
      <w:bookmarkStart w:id="290" w:name="_Toc244940234"/>
      <w:bookmarkStart w:id="291" w:name="_Toc231439359"/>
      <w:r>
        <w:t>水土流失现状分析</w:t>
      </w:r>
    </w:p>
    <w:p w14:paraId="04D7CB42">
      <w:pPr>
        <w:pStyle w:val="5"/>
        <w:rPr>
          <w:color w:val="000000" w:themeColor="text1"/>
          <w14:textFill>
            <w14:solidFill>
              <w14:schemeClr w14:val="tx1"/>
            </w14:solidFill>
          </w14:textFill>
        </w:rPr>
      </w:pPr>
      <w:bookmarkStart w:id="292" w:name="4.4.1.1建筑类工程"/>
      <w:bookmarkEnd w:id="292"/>
      <w:r>
        <w:rPr>
          <w:color w:val="000000" w:themeColor="text1"/>
          <w14:textFill>
            <w14:solidFill>
              <w14:schemeClr w14:val="tx1"/>
            </w14:solidFill>
          </w14:textFill>
        </w:rPr>
        <w:t>建筑类工程</w:t>
      </w:r>
    </w:p>
    <w:p w14:paraId="7CA2FCBD">
      <w:pPr>
        <w:pStyle w:val="66"/>
      </w:pPr>
      <w:r>
        <w:t>建筑类工程包含</w:t>
      </w:r>
      <w:r>
        <w:rPr>
          <w:rFonts w:hint="eastAsia"/>
        </w:rPr>
        <w:t>公共管理与公共服务用地</w:t>
      </w:r>
      <w:r>
        <w:t>、</w:t>
      </w:r>
      <w:r>
        <w:rPr>
          <w:rFonts w:hint="eastAsia"/>
        </w:rPr>
        <w:t>工矿用地</w:t>
      </w:r>
      <w:r>
        <w:t>、商业服务</w:t>
      </w:r>
      <w:r>
        <w:rPr>
          <w:rFonts w:hint="eastAsia"/>
        </w:rPr>
        <w:t>用地和公用设施用地</w:t>
      </w:r>
      <w:r>
        <w:t>等工程。本次区域评估范围建筑类项目已建成区域基本无水土流失，道路为硬化路面，工业场地、</w:t>
      </w:r>
      <w:r>
        <w:rPr>
          <w:rFonts w:hint="eastAsia"/>
        </w:rPr>
        <w:t>各企业</w:t>
      </w:r>
      <w:r>
        <w:t>建筑内部及道路两侧均进行了较好的景观绿化，目前已发挥水土保持效益；排水通畅，雨排水管网均接入园区雨水管网。区域内将会发生水土流失问题的地块主要集中在在建及未建区域，通过对现场勘查，在建工程地块周围已采取工程围挡措施，但是底部未采取全封闭式围挡，可能造成场内污水流出场外；施工出入口布设了洗车平台及配套设施，有效的减少外带泥土；基坑开挖区域周边未设置截排水沟及相关沉淀措施，将可能会导致雨季雨水携带泥土向外散排造成水土流失，甚至可能造成带有泥浆的污水流入园区雨水管网，对园区管网产生淤堵影响；裸露的土壤表面未采取苫盖措施，如遇大风天气，可能产生水土流失现象。</w:t>
      </w:r>
    </w:p>
    <w:p w14:paraId="1D239D5F">
      <w:pPr>
        <w:pStyle w:val="5"/>
        <w:rPr>
          <w:color w:val="000000" w:themeColor="text1"/>
          <w14:textFill>
            <w14:solidFill>
              <w14:schemeClr w14:val="tx1"/>
            </w14:solidFill>
          </w14:textFill>
        </w:rPr>
      </w:pPr>
      <w:bookmarkStart w:id="293" w:name="4.4.1.2道路与交通设施类工程"/>
      <w:bookmarkEnd w:id="293"/>
      <w:r>
        <w:rPr>
          <w:color w:val="000000" w:themeColor="text1"/>
          <w14:textFill>
            <w14:solidFill>
              <w14:schemeClr w14:val="tx1"/>
            </w14:solidFill>
          </w14:textFill>
        </w:rPr>
        <w:t>道路与交通设施类工程</w:t>
      </w:r>
    </w:p>
    <w:p w14:paraId="2C2AD404">
      <w:pPr>
        <w:pStyle w:val="66"/>
      </w:pPr>
      <w:r>
        <w:t>评估范围内道路纵横交错，园区道路</w:t>
      </w:r>
      <w:r>
        <w:rPr>
          <w:rFonts w:hint="eastAsia"/>
        </w:rPr>
        <w:t>管网</w:t>
      </w:r>
      <w:r>
        <w:t>已</w:t>
      </w:r>
      <w:r>
        <w:rPr>
          <w:rFonts w:hint="eastAsia"/>
        </w:rPr>
        <w:t>基本</w:t>
      </w:r>
      <w:r>
        <w:t>建成，项目基本无水土流失，此类项目可能产生水土流失危害问题的主要为</w:t>
      </w:r>
      <w:r>
        <w:rPr>
          <w:rFonts w:hint="eastAsia"/>
        </w:rPr>
        <w:t>新建道路</w:t>
      </w:r>
      <w:r>
        <w:t>。此类项目存在水土流失隐患，由于路基开挖机填方边坡增大了原地面的坡度，形成松散的裸露地表，降低了植被覆盖率，并对原地表植被、土层结构造成破坏，改变原地形地貌、地表结构和产汇流条件，从而导致土体抗侵蚀能力降低，固土保水能力减弱，加速了项目区的水土流失进程。</w:t>
      </w:r>
    </w:p>
    <w:p w14:paraId="600EA953">
      <w:pPr>
        <w:pStyle w:val="4"/>
        <w:spacing w:before="120" w:after="120"/>
      </w:pPr>
      <w:bookmarkStart w:id="294" w:name="4.4.1.3绿地广场类工程"/>
      <w:bookmarkEnd w:id="294"/>
      <w:bookmarkStart w:id="295" w:name="4.4.2水土流失危害分析"/>
      <w:bookmarkEnd w:id="295"/>
      <w:r>
        <w:t>水土流失危害分析</w:t>
      </w:r>
    </w:p>
    <w:p w14:paraId="73C2719A">
      <w:pPr>
        <w:pStyle w:val="66"/>
      </w:pPr>
      <w:r>
        <w:rPr>
          <w:rFonts w:hint="eastAsia"/>
        </w:rPr>
        <w:t>（1）对局部生态环境的影响</w:t>
      </w:r>
    </w:p>
    <w:p w14:paraId="0E7A5A2D">
      <w:pPr>
        <w:pStyle w:val="66"/>
      </w:pPr>
      <w:r>
        <w:rPr>
          <w:rFonts w:hint="eastAsia"/>
        </w:rPr>
        <w:t>区域建设涉及较大规模的土地性质变更，原农用地、林草地等用地变更为建设用地，使原有的自然植被景观被施工现场和人工新建绿化所替代，同时施工期和运行期需堆弃大量土方，在水力侵蚀作用下，产生水土流失，对局部区域生态环境造成不良影响，也会在一定程度上影响当地生态景观。</w:t>
      </w:r>
    </w:p>
    <w:p w14:paraId="03E91920">
      <w:pPr>
        <w:pStyle w:val="66"/>
      </w:pPr>
      <w:r>
        <w:rPr>
          <w:rFonts w:hint="eastAsia"/>
        </w:rPr>
        <w:t>（2）加剧原有的水土流失</w:t>
      </w:r>
    </w:p>
    <w:p w14:paraId="7D6D7549">
      <w:pPr>
        <w:pStyle w:val="66"/>
      </w:pPr>
      <w:r>
        <w:rPr>
          <w:rFonts w:hint="eastAsia"/>
        </w:rPr>
        <w:t>工程施工期，场地开挖和填筑、施工机械、运输车辆的碾压，土石料临时堆放扰动原地形地貌，特别是地下工程基坑开挖，使得区内土壤侵蚀急剧上升，挖填边坡如不进行防护，松散土方受雨水冲刷四处流溢冲淘，造成场地内外原有水土保持设施的损坏，使其截留降水、涵蓄水分、滞缓径流、固土拦泥的作用降低，使其原有的水土保持功能降低或丧失。</w:t>
      </w:r>
    </w:p>
    <w:p w14:paraId="1A86B4C7">
      <w:pPr>
        <w:pStyle w:val="66"/>
      </w:pPr>
      <w:r>
        <w:rPr>
          <w:rFonts w:hint="eastAsia"/>
        </w:rPr>
        <w:t>（3）淤塞河道及排水管网，造成洪涝灾害</w:t>
      </w:r>
    </w:p>
    <w:p w14:paraId="1686D5A4">
      <w:pPr>
        <w:pStyle w:val="66"/>
      </w:pPr>
      <w:r>
        <w:rPr>
          <w:rFonts w:hint="eastAsia"/>
        </w:rPr>
        <w:t>施工中的松散填筑土方、大规模的开挖裸露面，若不进行防护，经雨水冲刷极易造成流失，流失的土石将会淤塞区内河道及雨排管网，使河道行洪能力和防洪排水标准降低，也会造成洪涝灾害，淤塞或冲毁周边的道路、建筑；另外水土流失可带走土壤表层的营养物质，降低土壤肥力，土地退化影响植物生长。</w:t>
      </w:r>
    </w:p>
    <w:p w14:paraId="07E4A9EA">
      <w:pPr>
        <w:pStyle w:val="66"/>
      </w:pPr>
      <w:r>
        <w:rPr>
          <w:rFonts w:hint="eastAsia"/>
        </w:rPr>
        <w:t>（4）水土流失及生态破坏，影响园区企业正常生产</w:t>
      </w:r>
    </w:p>
    <w:p w14:paraId="5FCC2814">
      <w:pPr>
        <w:pStyle w:val="66"/>
      </w:pPr>
      <w:r>
        <w:rPr>
          <w:rFonts w:hint="eastAsia"/>
        </w:rPr>
        <w:t>水土流失会导致土地生态系统的破坏，影响园区企业的正常生产和经营。生态环境的恶化不仅会影响企业的形象和声誉，还会增加企业的运营成本。此外，淤塞河道和排水管网也会影响企业的物流和运输，降低企业的竞争力。</w:t>
      </w:r>
    </w:p>
    <w:p w14:paraId="6B5F3230">
      <w:pPr>
        <w:pStyle w:val="66"/>
      </w:pPr>
      <w:r>
        <w:rPr>
          <w:rFonts w:hint="eastAsia"/>
        </w:rPr>
        <w:t>综上所述，园区水土流失的危害是多方面的，不仅会影响局部生态环境和社会环境，还会增加洪涝灾害的风险，影响园区企业的正常生产和经营。</w:t>
      </w:r>
      <w:bookmarkStart w:id="296" w:name="4.5指导性意见"/>
      <w:bookmarkEnd w:id="296"/>
      <w:bookmarkStart w:id="297" w:name="_Toc152535480"/>
      <w:r>
        <w:rPr>
          <w:rFonts w:hint="eastAsia"/>
        </w:rPr>
        <w:t>因此，只要按照设计的施工时序组织，以及方案中的水土保持设计进行施工，加强施工期的水土保持管理工作，工程建设造成的水土流失危害可以得到减轻或避免。</w:t>
      </w:r>
    </w:p>
    <w:p w14:paraId="6C282615">
      <w:pPr>
        <w:pStyle w:val="3"/>
        <w:spacing w:before="120" w:after="120"/>
      </w:pPr>
      <w:r>
        <w:t>指导性意见</w:t>
      </w:r>
      <w:bookmarkEnd w:id="297"/>
    </w:p>
    <w:p w14:paraId="5585D3D5">
      <w:pPr>
        <w:pStyle w:val="4"/>
        <w:spacing w:before="120" w:after="120"/>
      </w:pPr>
      <w:bookmarkStart w:id="298" w:name="4.5.1综合分析"/>
      <w:bookmarkEnd w:id="298"/>
      <w:r>
        <w:t>综合分析</w:t>
      </w:r>
    </w:p>
    <w:p w14:paraId="06869D58">
      <w:pPr>
        <w:pStyle w:val="66"/>
      </w:pPr>
      <w:r>
        <w:t>（1）根据预测结果，园区建设中是水土流失治理的重点时段，重点防治和监测区域为工业企业建设区。明确重点防治时期和重点防治区域，并采取相应的防治措施，对控制工程造成的水土流失具有关键的作用。</w:t>
      </w:r>
    </w:p>
    <w:p w14:paraId="0CB60C56">
      <w:pPr>
        <w:pStyle w:val="66"/>
      </w:pPr>
      <w:r>
        <w:t>（2）水土流失防治措施</w:t>
      </w:r>
    </w:p>
    <w:p w14:paraId="04E00D5A">
      <w:pPr>
        <w:pStyle w:val="66"/>
      </w:pPr>
      <w:r>
        <w:t>根据气候和地形特点，园区施工期大部分区域土壤侵蚀以风力侵蚀为主，间有水力侵蚀，水土保持措施以防治风蚀为主，兼顾水蚀的治理。根据本工程不同的施工区域、施工工艺、施工特点与施工时间，因害设防的制定防治方案，使防治措施形成一个完整、有效的水土流失防治体系，在保障工程施工顺利完成的同时，使水土流失得到有效控制，区域生态环境得到保护与改善。</w:t>
      </w:r>
    </w:p>
    <w:p w14:paraId="63739AA1">
      <w:pPr>
        <w:pStyle w:val="66"/>
      </w:pPr>
      <w:r>
        <w:t>（3）水土保持监测</w:t>
      </w:r>
    </w:p>
    <w:p w14:paraId="01C2119F">
      <w:pPr>
        <w:pStyle w:val="66"/>
      </w:pPr>
      <w:r>
        <w:t>本园区水土保持监测期为规划期，重点监测区域为工矿用地。</w:t>
      </w:r>
    </w:p>
    <w:p w14:paraId="235BD78A">
      <w:pPr>
        <w:pStyle w:val="4"/>
        <w:spacing w:before="120" w:after="120"/>
      </w:pPr>
      <w:bookmarkStart w:id="299" w:name="4.5.2指导意见"/>
      <w:bookmarkEnd w:id="299"/>
      <w:r>
        <w:t>指导意见</w:t>
      </w:r>
    </w:p>
    <w:p w14:paraId="4509682C">
      <w:pPr>
        <w:pStyle w:val="66"/>
      </w:pPr>
      <w:r>
        <w:t>（1）水土流失防治的指导性意见</w:t>
      </w:r>
    </w:p>
    <w:p w14:paraId="771BCF35">
      <w:pPr>
        <w:pStyle w:val="66"/>
      </w:pPr>
      <w:r>
        <w:t>该预测结果是在没有采取任何防护措施的情况下可能发生的水土流失。产生水土流失的因素较多，地面坡度、地表物质组成与结构及降雨强度是造成水力侵蚀的主导因素，地面组成物质与结构和风力的大小是风力侵蚀的主导因素。</w:t>
      </w:r>
    </w:p>
    <w:p w14:paraId="08CECFDC">
      <w:pPr>
        <w:pStyle w:val="66"/>
      </w:pPr>
      <w:r>
        <w:t>施工结束后，可以人为控制新增水土流失强度和进行水土流失防治。通过合理布置水土保持措施，以降低新增水土流失强度。根据以往的经验，防治风蚀最有效的手段是植物措施，防治水蚀以工程措施为基础，结</w:t>
      </w:r>
      <w:r>
        <w:rPr>
          <w:rFonts w:hint="eastAsia"/>
        </w:rPr>
        <w:t>合</w:t>
      </w:r>
      <w:r>
        <w:t>植物措施。根据园区各个项目的特点，水土保持措施设计应坚持立足现状、尽量减小二次扰动、植物措施为主工程措施为辅的原则，通过查漏补缺，消除现状中存在的问题，以使项目区尽快恢复植被，减少因生产建设造成的水土流失量。根据气候特点和主体工程进度安排，园区侵蚀类型以</w:t>
      </w:r>
      <w:r>
        <w:rPr>
          <w:rFonts w:hint="eastAsia"/>
        </w:rPr>
        <w:t>风</w:t>
      </w:r>
      <w:r>
        <w:t>力侵蚀为主。水土保持防护措施的设计及布设应以防治</w:t>
      </w:r>
      <w:r>
        <w:rPr>
          <w:rFonts w:hint="eastAsia"/>
        </w:rPr>
        <w:t>风</w:t>
      </w:r>
      <w:r>
        <w:t>力侵蚀为主，结</w:t>
      </w:r>
      <w:r>
        <w:rPr>
          <w:rFonts w:hint="eastAsia"/>
        </w:rPr>
        <w:t>合</w:t>
      </w:r>
      <w:r>
        <w:t>施工特点和工程性质，</w:t>
      </w:r>
      <w:r>
        <w:rPr>
          <w:rFonts w:hint="eastAsia"/>
        </w:rPr>
        <w:t>合</w:t>
      </w:r>
      <w:r>
        <w:t>理布设。</w:t>
      </w:r>
    </w:p>
    <w:p w14:paraId="673999A1">
      <w:pPr>
        <w:pStyle w:val="66"/>
      </w:pPr>
      <w:r>
        <w:t>（2）对水土保持监测的指导性意见</w:t>
      </w:r>
    </w:p>
    <w:p w14:paraId="680A6B89">
      <w:pPr>
        <w:pStyle w:val="66"/>
      </w:pPr>
      <w:r>
        <w:t>根据预测结果，工程建设期的新增水土流失较为突出，建设期是水土流失监测的重点时段。</w:t>
      </w:r>
    </w:p>
    <w:p w14:paraId="4B66A318">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表4-17                         水土流失预测结果综合分析与评价表</w:t>
      </w:r>
    </w:p>
    <w:p w14:paraId="6539ED2B">
      <w:pPr>
        <w:pStyle w:val="12"/>
        <w:spacing w:before="8"/>
        <w:ind w:left="3360" w:firstLine="100"/>
        <w:rPr>
          <w:rFonts w:ascii="Times New Roman" w:hAnsi="Times New Roman" w:eastAsia="仿宋_GB2312"/>
          <w:b/>
          <w:color w:val="000000" w:themeColor="text1"/>
          <w:sz w:val="5"/>
          <w14:textFill>
            <w14:solidFill>
              <w14:schemeClr w14:val="tx1"/>
            </w14:solidFill>
          </w14:textFill>
        </w:rPr>
      </w:pPr>
    </w:p>
    <w:tbl>
      <w:tblPr>
        <w:tblStyle w:val="14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673"/>
        <w:gridCol w:w="1282"/>
        <w:gridCol w:w="1024"/>
        <w:gridCol w:w="1024"/>
        <w:gridCol w:w="1026"/>
        <w:gridCol w:w="1024"/>
        <w:gridCol w:w="1027"/>
      </w:tblGrid>
      <w:tr w14:paraId="453DF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472" w:type="pct"/>
            <w:vMerge w:val="restart"/>
            <w:vAlign w:val="center"/>
          </w:tcPr>
          <w:p w14:paraId="18B592A7">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pacing w:val="-2"/>
                <w:sz w:val="18"/>
                <w:lang w:eastAsia="en-US"/>
                <w14:textFill>
                  <w14:solidFill>
                    <w14:schemeClr w14:val="tx1"/>
                  </w14:solidFill>
                </w14:textFill>
              </w:rPr>
              <w:t>重点流失区域</w:t>
            </w:r>
          </w:p>
        </w:tc>
        <w:tc>
          <w:tcPr>
            <w:tcW w:w="706" w:type="pct"/>
            <w:vMerge w:val="restart"/>
            <w:vAlign w:val="center"/>
          </w:tcPr>
          <w:p w14:paraId="451C1832">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pacing w:val="-2"/>
                <w:sz w:val="18"/>
                <w:lang w:eastAsia="en-US"/>
                <w14:textFill>
                  <w14:solidFill>
                    <w14:schemeClr w14:val="tx1"/>
                  </w14:solidFill>
                </w14:textFill>
              </w:rPr>
              <w:t>重点防治区</w:t>
            </w:r>
          </w:p>
        </w:tc>
        <w:tc>
          <w:tcPr>
            <w:tcW w:w="1693" w:type="pct"/>
            <w:gridSpan w:val="3"/>
            <w:vAlign w:val="center"/>
          </w:tcPr>
          <w:p w14:paraId="17E2E497">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pacing w:val="-2"/>
                <w:sz w:val="18"/>
                <w:lang w:eastAsia="en-US"/>
                <w14:textFill>
                  <w14:solidFill>
                    <w14:schemeClr w14:val="tx1"/>
                  </w14:solidFill>
                </w14:textFill>
              </w:rPr>
              <w:t>应采取的防护工程</w:t>
            </w:r>
          </w:p>
        </w:tc>
        <w:tc>
          <w:tcPr>
            <w:tcW w:w="1129" w:type="pct"/>
            <w:gridSpan w:val="2"/>
            <w:vAlign w:val="center"/>
          </w:tcPr>
          <w:p w14:paraId="41FB4024">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pacing w:val="-2"/>
                <w:sz w:val="18"/>
                <w:lang w:eastAsia="en-US"/>
                <w14:textFill>
                  <w14:solidFill>
                    <w14:schemeClr w14:val="tx1"/>
                  </w14:solidFill>
                </w14:textFill>
              </w:rPr>
              <w:t>水土保持监测</w:t>
            </w:r>
          </w:p>
        </w:tc>
      </w:tr>
      <w:tr w14:paraId="361B7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472" w:type="pct"/>
            <w:vMerge w:val="continue"/>
            <w:tcBorders>
              <w:top w:val="nil"/>
              <w:bottom w:val="double" w:color="auto" w:sz="4" w:space="0"/>
            </w:tcBorders>
            <w:vAlign w:val="center"/>
          </w:tcPr>
          <w:p w14:paraId="0119500F">
            <w:pPr>
              <w:widowControl w:val="0"/>
              <w:autoSpaceDE w:val="0"/>
              <w:autoSpaceDN w:val="0"/>
              <w:spacing w:line="240" w:lineRule="auto"/>
              <w:ind w:firstLine="0" w:firstLineChars="0"/>
              <w:jc w:val="center"/>
              <w:rPr>
                <w:rFonts w:ascii="Times New Roman" w:hAnsi="Times New Roman" w:cs="Times New Roman"/>
                <w:color w:val="000000" w:themeColor="text1"/>
                <w:sz w:val="2"/>
                <w:szCs w:val="2"/>
                <w:lang w:eastAsia="en-US"/>
                <w14:textFill>
                  <w14:solidFill>
                    <w14:schemeClr w14:val="tx1"/>
                  </w14:solidFill>
                </w14:textFill>
              </w:rPr>
            </w:pPr>
          </w:p>
        </w:tc>
        <w:tc>
          <w:tcPr>
            <w:tcW w:w="706" w:type="pct"/>
            <w:vMerge w:val="continue"/>
            <w:tcBorders>
              <w:top w:val="nil"/>
              <w:bottom w:val="double" w:color="auto" w:sz="4" w:space="0"/>
            </w:tcBorders>
            <w:vAlign w:val="center"/>
          </w:tcPr>
          <w:p w14:paraId="6BDFABC8">
            <w:pPr>
              <w:widowControl w:val="0"/>
              <w:autoSpaceDE w:val="0"/>
              <w:autoSpaceDN w:val="0"/>
              <w:spacing w:line="240" w:lineRule="auto"/>
              <w:ind w:firstLine="0" w:firstLineChars="0"/>
              <w:jc w:val="center"/>
              <w:rPr>
                <w:rFonts w:ascii="Times New Roman" w:hAnsi="Times New Roman" w:cs="Times New Roman"/>
                <w:color w:val="000000" w:themeColor="text1"/>
                <w:sz w:val="2"/>
                <w:szCs w:val="2"/>
                <w:lang w:eastAsia="en-US"/>
                <w14:textFill>
                  <w14:solidFill>
                    <w14:schemeClr w14:val="tx1"/>
                  </w14:solidFill>
                </w14:textFill>
              </w:rPr>
            </w:pPr>
          </w:p>
        </w:tc>
        <w:tc>
          <w:tcPr>
            <w:tcW w:w="564" w:type="pct"/>
            <w:tcBorders>
              <w:bottom w:val="double" w:color="auto" w:sz="4" w:space="0"/>
            </w:tcBorders>
            <w:vAlign w:val="center"/>
          </w:tcPr>
          <w:p w14:paraId="749F10BA">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pacing w:val="-3"/>
                <w:sz w:val="18"/>
                <w:lang w:eastAsia="en-US"/>
                <w14:textFill>
                  <w14:solidFill>
                    <w14:schemeClr w14:val="tx1"/>
                  </w14:solidFill>
                </w14:textFill>
              </w:rPr>
              <w:t>工程措施</w:t>
            </w:r>
          </w:p>
        </w:tc>
        <w:tc>
          <w:tcPr>
            <w:tcW w:w="564" w:type="pct"/>
            <w:tcBorders>
              <w:bottom w:val="double" w:color="auto" w:sz="4" w:space="0"/>
            </w:tcBorders>
            <w:vAlign w:val="center"/>
          </w:tcPr>
          <w:p w14:paraId="6D5E5B26">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pacing w:val="-3"/>
                <w:sz w:val="18"/>
                <w:lang w:eastAsia="en-US"/>
                <w14:textFill>
                  <w14:solidFill>
                    <w14:schemeClr w14:val="tx1"/>
                  </w14:solidFill>
                </w14:textFill>
              </w:rPr>
              <w:t>植物措施</w:t>
            </w:r>
          </w:p>
        </w:tc>
        <w:tc>
          <w:tcPr>
            <w:tcW w:w="564" w:type="pct"/>
            <w:tcBorders>
              <w:bottom w:val="double" w:color="auto" w:sz="4" w:space="0"/>
            </w:tcBorders>
            <w:vAlign w:val="center"/>
          </w:tcPr>
          <w:p w14:paraId="76C33C15">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pacing w:val="-3"/>
                <w:sz w:val="18"/>
                <w:lang w:eastAsia="en-US"/>
                <w14:textFill>
                  <w14:solidFill>
                    <w14:schemeClr w14:val="tx1"/>
                  </w14:solidFill>
                </w14:textFill>
              </w:rPr>
              <w:t>临时工程</w:t>
            </w:r>
          </w:p>
        </w:tc>
        <w:tc>
          <w:tcPr>
            <w:tcW w:w="564" w:type="pct"/>
            <w:tcBorders>
              <w:bottom w:val="double" w:color="auto" w:sz="4" w:space="0"/>
            </w:tcBorders>
            <w:vAlign w:val="center"/>
          </w:tcPr>
          <w:p w14:paraId="7EE4EE5A">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pacing w:val="-3"/>
                <w:sz w:val="18"/>
                <w:lang w:eastAsia="en-US"/>
                <w14:textFill>
                  <w14:solidFill>
                    <w14:schemeClr w14:val="tx1"/>
                  </w14:solidFill>
                </w14:textFill>
              </w:rPr>
              <w:t>重点时段</w:t>
            </w:r>
          </w:p>
        </w:tc>
        <w:tc>
          <w:tcPr>
            <w:tcW w:w="564" w:type="pct"/>
            <w:tcBorders>
              <w:bottom w:val="double" w:color="auto" w:sz="4" w:space="0"/>
            </w:tcBorders>
            <w:vAlign w:val="center"/>
          </w:tcPr>
          <w:p w14:paraId="14446594">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pacing w:val="-3"/>
                <w:sz w:val="18"/>
                <w:lang w:eastAsia="en-US"/>
                <w14:textFill>
                  <w14:solidFill>
                    <w14:schemeClr w14:val="tx1"/>
                  </w14:solidFill>
                </w14:textFill>
              </w:rPr>
              <w:t>监测点位</w:t>
            </w:r>
          </w:p>
        </w:tc>
      </w:tr>
      <w:tr w14:paraId="50686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472" w:type="pct"/>
            <w:tcBorders>
              <w:top w:val="double" w:color="auto" w:sz="4" w:space="0"/>
            </w:tcBorders>
            <w:vAlign w:val="center"/>
          </w:tcPr>
          <w:p w14:paraId="31712DA7">
            <w:pPr>
              <w:pStyle w:val="142"/>
              <w:rPr>
                <w:rFonts w:ascii="Times New Roman" w:hAnsi="Times New Roman" w:eastAsia="仿宋_GB2312" w:cs="Times New Roman"/>
                <w:color w:val="000000" w:themeColor="text1"/>
                <w:sz w:val="18"/>
                <w:lang w:eastAsia="zh-CN"/>
                <w14:textFill>
                  <w14:solidFill>
                    <w14:schemeClr w14:val="tx1"/>
                  </w14:solidFill>
                </w14:textFill>
              </w:rPr>
            </w:pPr>
            <w:r>
              <w:rPr>
                <w:rFonts w:ascii="Times New Roman" w:hAnsi="Times New Roman" w:eastAsia="仿宋_GB2312" w:cs="Times New Roman"/>
                <w:color w:val="000000" w:themeColor="text1"/>
                <w:spacing w:val="-17"/>
                <w:sz w:val="18"/>
                <w:lang w:eastAsia="zh-CN"/>
                <w14:textFill>
                  <w14:solidFill>
                    <w14:schemeClr w14:val="tx1"/>
                  </w14:solidFill>
                </w14:textFill>
              </w:rPr>
              <w:t>地块1（金山产业园北区）</w:t>
            </w:r>
          </w:p>
        </w:tc>
        <w:tc>
          <w:tcPr>
            <w:tcW w:w="706" w:type="pct"/>
            <w:tcBorders>
              <w:top w:val="double" w:color="auto" w:sz="4" w:space="0"/>
            </w:tcBorders>
            <w:vAlign w:val="center"/>
          </w:tcPr>
          <w:p w14:paraId="1B19E075">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pacing w:val="-4"/>
                <w:sz w:val="18"/>
                <w:lang w:eastAsia="en-US"/>
                <w14:textFill>
                  <w14:solidFill>
                    <w14:schemeClr w14:val="tx1"/>
                  </w14:solidFill>
                </w14:textFill>
              </w:rPr>
              <w:t>施工区</w:t>
            </w:r>
          </w:p>
        </w:tc>
        <w:tc>
          <w:tcPr>
            <w:tcW w:w="564" w:type="pct"/>
            <w:tcBorders>
              <w:top w:val="double" w:color="auto" w:sz="4" w:space="0"/>
            </w:tcBorders>
            <w:vAlign w:val="center"/>
          </w:tcPr>
          <w:p w14:paraId="6EB234D6">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z w:val="18"/>
                <w:lang w:eastAsia="en-US"/>
                <w14:textFill>
                  <w14:solidFill>
                    <w14:schemeClr w14:val="tx1"/>
                  </w14:solidFill>
                </w14:textFill>
              </w:rPr>
              <w:t>√</w:t>
            </w:r>
          </w:p>
        </w:tc>
        <w:tc>
          <w:tcPr>
            <w:tcW w:w="564" w:type="pct"/>
            <w:tcBorders>
              <w:top w:val="double" w:color="auto" w:sz="4" w:space="0"/>
            </w:tcBorders>
            <w:vAlign w:val="center"/>
          </w:tcPr>
          <w:p w14:paraId="30B7209F">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z w:val="18"/>
                <w:lang w:eastAsia="en-US"/>
                <w14:textFill>
                  <w14:solidFill>
                    <w14:schemeClr w14:val="tx1"/>
                  </w14:solidFill>
                </w14:textFill>
              </w:rPr>
              <w:t>√</w:t>
            </w:r>
          </w:p>
        </w:tc>
        <w:tc>
          <w:tcPr>
            <w:tcW w:w="564" w:type="pct"/>
            <w:tcBorders>
              <w:top w:val="double" w:color="auto" w:sz="4" w:space="0"/>
            </w:tcBorders>
            <w:vAlign w:val="center"/>
          </w:tcPr>
          <w:p w14:paraId="35F7F9F1">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z w:val="18"/>
                <w:lang w:eastAsia="en-US"/>
                <w14:textFill>
                  <w14:solidFill>
                    <w14:schemeClr w14:val="tx1"/>
                  </w14:solidFill>
                </w14:textFill>
              </w:rPr>
              <w:t>√</w:t>
            </w:r>
          </w:p>
        </w:tc>
        <w:tc>
          <w:tcPr>
            <w:tcW w:w="564" w:type="pct"/>
            <w:tcBorders>
              <w:top w:val="double" w:color="auto" w:sz="4" w:space="0"/>
            </w:tcBorders>
            <w:vAlign w:val="center"/>
          </w:tcPr>
          <w:p w14:paraId="66F2B7C6">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pacing w:val="-4"/>
                <w:sz w:val="18"/>
                <w:lang w:eastAsia="en-US"/>
                <w14:textFill>
                  <w14:solidFill>
                    <w14:schemeClr w14:val="tx1"/>
                  </w14:solidFill>
                </w14:textFill>
              </w:rPr>
              <w:t>施工期</w:t>
            </w:r>
          </w:p>
        </w:tc>
        <w:tc>
          <w:tcPr>
            <w:tcW w:w="564" w:type="pct"/>
            <w:tcBorders>
              <w:top w:val="double" w:color="auto" w:sz="4" w:space="0"/>
            </w:tcBorders>
            <w:vAlign w:val="center"/>
          </w:tcPr>
          <w:p w14:paraId="60A00167">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pacing w:val="-4"/>
                <w:sz w:val="18"/>
                <w:lang w:eastAsia="en-US"/>
                <w14:textFill>
                  <w14:solidFill>
                    <w14:schemeClr w14:val="tx1"/>
                  </w14:solidFill>
                </w14:textFill>
              </w:rPr>
              <w:t>施工区</w:t>
            </w:r>
          </w:p>
        </w:tc>
      </w:tr>
      <w:tr w14:paraId="730BC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472" w:type="pct"/>
            <w:vAlign w:val="center"/>
          </w:tcPr>
          <w:p w14:paraId="15F6B83F">
            <w:pPr>
              <w:pStyle w:val="142"/>
              <w:rPr>
                <w:rFonts w:ascii="Times New Roman" w:hAnsi="Times New Roman" w:eastAsia="仿宋_GB2312" w:cs="Times New Roman"/>
                <w:color w:val="000000" w:themeColor="text1"/>
                <w:sz w:val="18"/>
                <w:lang w:eastAsia="zh-CN"/>
                <w14:textFill>
                  <w14:solidFill>
                    <w14:schemeClr w14:val="tx1"/>
                  </w14:solidFill>
                </w14:textFill>
              </w:rPr>
            </w:pPr>
            <w:r>
              <w:rPr>
                <w:rFonts w:ascii="Times New Roman" w:hAnsi="Times New Roman" w:eastAsia="仿宋_GB2312" w:cs="Times New Roman"/>
                <w:color w:val="000000" w:themeColor="text1"/>
                <w:spacing w:val="-17"/>
                <w:sz w:val="18"/>
                <w:lang w:eastAsia="zh-CN"/>
                <w14:textFill>
                  <w14:solidFill>
                    <w14:schemeClr w14:val="tx1"/>
                  </w14:solidFill>
                </w14:textFill>
              </w:rPr>
              <w:t>地块2（下湿壕片区）</w:t>
            </w:r>
          </w:p>
        </w:tc>
        <w:tc>
          <w:tcPr>
            <w:tcW w:w="706" w:type="pct"/>
            <w:vAlign w:val="center"/>
          </w:tcPr>
          <w:p w14:paraId="126DA2A9">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pacing w:val="-4"/>
                <w:sz w:val="18"/>
                <w:lang w:eastAsia="en-US"/>
                <w14:textFill>
                  <w14:solidFill>
                    <w14:schemeClr w14:val="tx1"/>
                  </w14:solidFill>
                </w14:textFill>
              </w:rPr>
              <w:t>施工区</w:t>
            </w:r>
          </w:p>
        </w:tc>
        <w:tc>
          <w:tcPr>
            <w:tcW w:w="564" w:type="pct"/>
            <w:vAlign w:val="center"/>
          </w:tcPr>
          <w:p w14:paraId="4AB3719A">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z w:val="18"/>
                <w:lang w:eastAsia="en-US"/>
                <w14:textFill>
                  <w14:solidFill>
                    <w14:schemeClr w14:val="tx1"/>
                  </w14:solidFill>
                </w14:textFill>
              </w:rPr>
              <w:t>√</w:t>
            </w:r>
          </w:p>
        </w:tc>
        <w:tc>
          <w:tcPr>
            <w:tcW w:w="564" w:type="pct"/>
            <w:vAlign w:val="center"/>
          </w:tcPr>
          <w:p w14:paraId="1AA385E7">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z w:val="18"/>
                <w:lang w:eastAsia="en-US"/>
                <w14:textFill>
                  <w14:solidFill>
                    <w14:schemeClr w14:val="tx1"/>
                  </w14:solidFill>
                </w14:textFill>
              </w:rPr>
              <w:t>√</w:t>
            </w:r>
          </w:p>
        </w:tc>
        <w:tc>
          <w:tcPr>
            <w:tcW w:w="564" w:type="pct"/>
            <w:vAlign w:val="center"/>
          </w:tcPr>
          <w:p w14:paraId="5481672C">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z w:val="18"/>
                <w:lang w:eastAsia="en-US"/>
                <w14:textFill>
                  <w14:solidFill>
                    <w14:schemeClr w14:val="tx1"/>
                  </w14:solidFill>
                </w14:textFill>
              </w:rPr>
              <w:t>√</w:t>
            </w:r>
          </w:p>
        </w:tc>
        <w:tc>
          <w:tcPr>
            <w:tcW w:w="564" w:type="pct"/>
            <w:vAlign w:val="center"/>
          </w:tcPr>
          <w:p w14:paraId="1961FB6F">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pacing w:val="-4"/>
                <w:sz w:val="18"/>
                <w:lang w:eastAsia="en-US"/>
                <w14:textFill>
                  <w14:solidFill>
                    <w14:schemeClr w14:val="tx1"/>
                  </w14:solidFill>
                </w14:textFill>
              </w:rPr>
              <w:t>施工期</w:t>
            </w:r>
          </w:p>
        </w:tc>
        <w:tc>
          <w:tcPr>
            <w:tcW w:w="564" w:type="pct"/>
            <w:vAlign w:val="center"/>
          </w:tcPr>
          <w:p w14:paraId="1A61B9F3">
            <w:pPr>
              <w:pStyle w:val="142"/>
              <w:rPr>
                <w:rFonts w:ascii="Times New Roman" w:hAnsi="Times New Roman" w:eastAsia="仿宋_GB2312" w:cs="Times New Roman"/>
                <w:color w:val="000000" w:themeColor="text1"/>
                <w:sz w:val="18"/>
                <w:lang w:eastAsia="en-US"/>
                <w14:textFill>
                  <w14:solidFill>
                    <w14:schemeClr w14:val="tx1"/>
                  </w14:solidFill>
                </w14:textFill>
              </w:rPr>
            </w:pPr>
            <w:r>
              <w:rPr>
                <w:rFonts w:ascii="Times New Roman" w:hAnsi="Times New Roman" w:eastAsia="仿宋_GB2312" w:cs="Times New Roman"/>
                <w:color w:val="000000" w:themeColor="text1"/>
                <w:spacing w:val="-4"/>
                <w:sz w:val="18"/>
                <w:lang w:eastAsia="en-US"/>
                <w14:textFill>
                  <w14:solidFill>
                    <w14:schemeClr w14:val="tx1"/>
                  </w14:solidFill>
                </w14:textFill>
              </w:rPr>
              <w:t>施工区</w:t>
            </w:r>
          </w:p>
        </w:tc>
      </w:tr>
    </w:tbl>
    <w:p w14:paraId="49E85858">
      <w:pPr>
        <w:widowControl w:val="0"/>
        <w:spacing w:line="348" w:lineRule="auto"/>
        <w:ind w:firstLine="472"/>
        <w:contextualSpacing/>
        <w:rPr>
          <w:rFonts w:cs="Times New Roman"/>
          <w:color w:val="000000" w:themeColor="text1"/>
          <w14:textFill>
            <w14:solidFill>
              <w14:schemeClr w14:val="tx1"/>
            </w14:solidFill>
          </w14:textFill>
        </w:rPr>
      </w:pPr>
      <w:r>
        <w:rPr>
          <w:rFonts w:cs="Times New Roman"/>
          <w:color w:val="000000" w:themeColor="text1"/>
          <w:spacing w:val="-4"/>
          <w14:textFill>
            <w14:solidFill>
              <w14:schemeClr w14:val="tx1"/>
            </w14:solidFill>
          </w14:textFill>
        </w:rPr>
        <w:t>综上所述，在施工结束后应加强水土流失的防治，以便有效控制因工程建设</w:t>
      </w:r>
      <w:r>
        <w:rPr>
          <w:rFonts w:cs="Times New Roman"/>
          <w:color w:val="000000" w:themeColor="text1"/>
          <w:spacing w:val="-2"/>
          <w14:textFill>
            <w14:solidFill>
              <w14:schemeClr w14:val="tx1"/>
            </w14:solidFill>
          </w14:textFill>
        </w:rPr>
        <w:t>而引起的水土流失，将项目建设对区域产生的负面影响降低到最低限度。</w:t>
      </w:r>
    </w:p>
    <w:bookmarkEnd w:id="289"/>
    <w:bookmarkEnd w:id="290"/>
    <w:bookmarkEnd w:id="291"/>
    <w:p w14:paraId="145003B5">
      <w:pPr>
        <w:widowControl w:val="0"/>
        <w:ind w:firstLine="480"/>
        <w:contextualSpacing/>
        <w:rPr>
          <w:rFonts w:cs="Times New Roman"/>
          <w:color w:val="000000" w:themeColor="text1"/>
          <w14:textFill>
            <w14:solidFill>
              <w14:schemeClr w14:val="tx1"/>
            </w14:solidFill>
          </w14:textFill>
        </w:rPr>
        <w:sectPr>
          <w:footerReference r:id="rId76" w:type="default"/>
          <w:pgSz w:w="11906" w:h="16838"/>
          <w:pgMar w:top="1418" w:right="1418" w:bottom="1418" w:left="1418" w:header="850" w:footer="850" w:gutter="0"/>
          <w:cols w:space="720" w:num="1"/>
          <w:docGrid w:linePitch="326" w:charSpace="0"/>
        </w:sectPr>
      </w:pPr>
    </w:p>
    <w:p w14:paraId="3E03F888">
      <w:pPr>
        <w:pStyle w:val="2"/>
        <w:rPr>
          <w:color w:val="000000" w:themeColor="text1"/>
          <w14:textFill>
            <w14:solidFill>
              <w14:schemeClr w14:val="tx1"/>
            </w14:solidFill>
          </w14:textFill>
        </w:rPr>
      </w:pPr>
      <w:bookmarkStart w:id="300" w:name="_Toc4863465"/>
      <w:bookmarkEnd w:id="300"/>
      <w:bookmarkStart w:id="301" w:name="_Toc4863301"/>
      <w:bookmarkEnd w:id="301"/>
      <w:bookmarkStart w:id="302" w:name="_Toc4863091"/>
      <w:bookmarkEnd w:id="302"/>
      <w:bookmarkStart w:id="303" w:name="_Toc4863099"/>
      <w:bookmarkEnd w:id="303"/>
      <w:bookmarkStart w:id="304" w:name="_Toc4863119"/>
      <w:bookmarkEnd w:id="304"/>
      <w:bookmarkStart w:id="305" w:name="_Toc4863126"/>
      <w:bookmarkEnd w:id="305"/>
      <w:bookmarkStart w:id="306" w:name="_Toc4863127"/>
      <w:bookmarkEnd w:id="306"/>
      <w:bookmarkStart w:id="307" w:name="_Toc4863159"/>
      <w:bookmarkEnd w:id="307"/>
      <w:bookmarkStart w:id="308" w:name="_Toc4863123"/>
      <w:bookmarkEnd w:id="308"/>
      <w:bookmarkStart w:id="309" w:name="_Toc4863233"/>
      <w:bookmarkEnd w:id="309"/>
      <w:bookmarkStart w:id="310" w:name="_Toc4863121"/>
      <w:bookmarkEnd w:id="310"/>
      <w:bookmarkStart w:id="311" w:name="_Toc4863118"/>
      <w:bookmarkEnd w:id="311"/>
      <w:bookmarkStart w:id="312" w:name="_Toc4863190"/>
      <w:bookmarkEnd w:id="312"/>
      <w:bookmarkStart w:id="313" w:name="_Toc4863128"/>
      <w:bookmarkEnd w:id="313"/>
      <w:bookmarkStart w:id="314" w:name="_Toc4863462"/>
      <w:bookmarkEnd w:id="314"/>
      <w:bookmarkStart w:id="315" w:name="_Toc4863297"/>
      <w:bookmarkEnd w:id="315"/>
      <w:bookmarkStart w:id="316" w:name="_Toc4863186"/>
      <w:bookmarkEnd w:id="316"/>
      <w:bookmarkStart w:id="317" w:name="_Toc4863292"/>
      <w:bookmarkEnd w:id="317"/>
      <w:bookmarkStart w:id="318" w:name="_Toc4863188"/>
      <w:bookmarkEnd w:id="318"/>
      <w:bookmarkStart w:id="319" w:name="_Toc4863259"/>
      <w:bookmarkEnd w:id="319"/>
      <w:bookmarkStart w:id="320" w:name="_Toc4863195"/>
      <w:bookmarkEnd w:id="320"/>
      <w:bookmarkStart w:id="321" w:name="_Toc4863125"/>
      <w:bookmarkEnd w:id="321"/>
      <w:bookmarkStart w:id="322" w:name="_Toc4863122"/>
      <w:bookmarkEnd w:id="322"/>
      <w:bookmarkStart w:id="323" w:name="_Toc4863294"/>
      <w:bookmarkEnd w:id="323"/>
      <w:bookmarkStart w:id="324" w:name="_Toc4863234"/>
      <w:bookmarkEnd w:id="324"/>
      <w:bookmarkStart w:id="325" w:name="_Toc4863260"/>
      <w:bookmarkEnd w:id="325"/>
      <w:bookmarkStart w:id="326" w:name="_Toc4863116"/>
      <w:bookmarkEnd w:id="326"/>
      <w:bookmarkStart w:id="327" w:name="_Toc4863098"/>
      <w:bookmarkEnd w:id="327"/>
      <w:bookmarkStart w:id="328" w:name="_Toc4863124"/>
      <w:bookmarkEnd w:id="328"/>
      <w:bookmarkStart w:id="329" w:name="_Toc4863152"/>
      <w:bookmarkEnd w:id="329"/>
      <w:bookmarkStart w:id="330" w:name="_Toc4863097"/>
      <w:bookmarkEnd w:id="330"/>
      <w:bookmarkStart w:id="331" w:name="_Toc4863117"/>
      <w:bookmarkEnd w:id="331"/>
      <w:bookmarkStart w:id="332" w:name="_Toc4863185"/>
      <w:bookmarkEnd w:id="332"/>
      <w:bookmarkStart w:id="333" w:name="_Toc4863089"/>
      <w:bookmarkEnd w:id="333"/>
      <w:bookmarkStart w:id="334" w:name="_Toc4863086"/>
      <w:bookmarkEnd w:id="334"/>
      <w:bookmarkStart w:id="335" w:name="_Toc4863090"/>
      <w:bookmarkEnd w:id="335"/>
      <w:bookmarkStart w:id="336" w:name="_Toc4863096"/>
      <w:bookmarkEnd w:id="336"/>
      <w:bookmarkStart w:id="337" w:name="_Toc4863189"/>
      <w:bookmarkEnd w:id="337"/>
      <w:bookmarkStart w:id="338" w:name="_Toc4863459"/>
      <w:bookmarkEnd w:id="338"/>
      <w:bookmarkStart w:id="339" w:name="_Toc4863094"/>
      <w:bookmarkEnd w:id="339"/>
      <w:bookmarkStart w:id="340" w:name="_Toc4863166"/>
      <w:bookmarkEnd w:id="340"/>
      <w:bookmarkStart w:id="341" w:name="_Toc4863093"/>
      <w:bookmarkEnd w:id="341"/>
      <w:bookmarkStart w:id="342" w:name="_Toc4863087"/>
      <w:bookmarkEnd w:id="342"/>
      <w:bookmarkStart w:id="343" w:name="_Toc4863461"/>
      <w:bookmarkEnd w:id="343"/>
      <w:bookmarkStart w:id="344" w:name="_Toc4863473"/>
      <w:bookmarkEnd w:id="344"/>
      <w:bookmarkStart w:id="345" w:name="_Toc4863120"/>
      <w:bookmarkEnd w:id="345"/>
      <w:bookmarkStart w:id="346" w:name="_Toc4863474"/>
      <w:bookmarkEnd w:id="346"/>
      <w:bookmarkStart w:id="347" w:name="_Toc4863092"/>
      <w:bookmarkEnd w:id="347"/>
      <w:bookmarkStart w:id="348" w:name="_Toc4863305"/>
      <w:bookmarkEnd w:id="348"/>
      <w:bookmarkStart w:id="349" w:name="_Toc4863472"/>
      <w:bookmarkEnd w:id="349"/>
      <w:bookmarkStart w:id="350" w:name="_Toc4863088"/>
      <w:bookmarkEnd w:id="350"/>
      <w:bookmarkStart w:id="351" w:name="_Toc4863095"/>
      <w:bookmarkEnd w:id="351"/>
      <w:bookmarkStart w:id="352" w:name="_Toc4863350"/>
      <w:bookmarkEnd w:id="352"/>
      <w:bookmarkStart w:id="353" w:name="_Toc4863340"/>
      <w:bookmarkEnd w:id="353"/>
      <w:bookmarkStart w:id="354" w:name="_Toc4863308"/>
      <w:bookmarkEnd w:id="354"/>
      <w:bookmarkStart w:id="355" w:name="_Toc4863458"/>
      <w:bookmarkEnd w:id="355"/>
      <w:bookmarkStart w:id="356" w:name="_Toc4863467"/>
      <w:bookmarkEnd w:id="356"/>
      <w:bookmarkStart w:id="357" w:name="_Toc4863460"/>
      <w:bookmarkEnd w:id="357"/>
      <w:bookmarkStart w:id="358" w:name="_Toc4863302"/>
      <w:bookmarkEnd w:id="358"/>
      <w:bookmarkStart w:id="359" w:name="_Toc4863085"/>
      <w:bookmarkEnd w:id="359"/>
      <w:bookmarkStart w:id="360" w:name="_Toc4863307"/>
      <w:bookmarkEnd w:id="360"/>
      <w:bookmarkStart w:id="361" w:name="_Toc4863429"/>
      <w:bookmarkEnd w:id="361"/>
      <w:bookmarkStart w:id="362" w:name="_Toc4863463"/>
      <w:bookmarkEnd w:id="362"/>
      <w:bookmarkStart w:id="363" w:name="_Toc4863298"/>
      <w:bookmarkEnd w:id="363"/>
      <w:bookmarkStart w:id="364" w:name="_Toc4863084"/>
      <w:bookmarkEnd w:id="364"/>
      <w:bookmarkStart w:id="365" w:name="_Toc4863470"/>
      <w:bookmarkEnd w:id="365"/>
      <w:bookmarkStart w:id="366" w:name="_Toc4863303"/>
      <w:bookmarkEnd w:id="366"/>
      <w:bookmarkStart w:id="367" w:name="_Toc4863309"/>
      <w:bookmarkEnd w:id="367"/>
      <w:bookmarkStart w:id="368" w:name="_Toc4863306"/>
      <w:bookmarkEnd w:id="368"/>
      <w:bookmarkStart w:id="369" w:name="_Toc4863300"/>
      <w:bookmarkEnd w:id="369"/>
      <w:bookmarkStart w:id="370" w:name="_Toc4863471"/>
      <w:bookmarkEnd w:id="370"/>
      <w:bookmarkStart w:id="371" w:name="_Toc4863464"/>
      <w:bookmarkEnd w:id="371"/>
      <w:bookmarkStart w:id="372" w:name="_Toc4863299"/>
      <w:bookmarkEnd w:id="372"/>
      <w:bookmarkStart w:id="373" w:name="_Toc4863304"/>
      <w:bookmarkEnd w:id="373"/>
      <w:bookmarkStart w:id="374" w:name="_Toc4863202"/>
      <w:bookmarkEnd w:id="374"/>
      <w:bookmarkStart w:id="375" w:name="_Toc4863296"/>
      <w:bookmarkEnd w:id="375"/>
      <w:bookmarkStart w:id="376" w:name="_Toc4863419"/>
      <w:bookmarkEnd w:id="376"/>
      <w:bookmarkStart w:id="377" w:name="_Toc4863457"/>
      <w:bookmarkEnd w:id="377"/>
      <w:bookmarkStart w:id="378" w:name="_Toc4863360"/>
      <w:bookmarkEnd w:id="378"/>
      <w:bookmarkStart w:id="379" w:name="_Toc4863466"/>
      <w:bookmarkEnd w:id="379"/>
      <w:bookmarkStart w:id="380" w:name="_Toc4863409"/>
      <w:bookmarkEnd w:id="380"/>
      <w:bookmarkStart w:id="381" w:name="_Toc4863468"/>
      <w:bookmarkEnd w:id="381"/>
      <w:bookmarkStart w:id="382" w:name="_Toc4863192"/>
      <w:bookmarkEnd w:id="382"/>
      <w:bookmarkStart w:id="383" w:name="_Toc4863295"/>
      <w:bookmarkEnd w:id="383"/>
      <w:bookmarkStart w:id="384" w:name="_Toc4863257"/>
      <w:bookmarkEnd w:id="384"/>
      <w:bookmarkStart w:id="385" w:name="_Toc4863258"/>
      <w:bookmarkEnd w:id="385"/>
      <w:bookmarkStart w:id="386" w:name="_Toc4863197"/>
      <w:bookmarkEnd w:id="386"/>
      <w:bookmarkStart w:id="387" w:name="_Toc4863291"/>
      <w:bookmarkEnd w:id="387"/>
      <w:bookmarkStart w:id="388" w:name="_Toc4863196"/>
      <w:bookmarkEnd w:id="388"/>
      <w:bookmarkStart w:id="389" w:name="_Toc4863187"/>
      <w:bookmarkEnd w:id="389"/>
      <w:bookmarkStart w:id="390" w:name="_Toc4863235"/>
      <w:bookmarkEnd w:id="390"/>
      <w:bookmarkStart w:id="391" w:name="_Toc4863231"/>
      <w:bookmarkEnd w:id="391"/>
      <w:bookmarkStart w:id="392" w:name="_Toc4863469"/>
      <w:bookmarkEnd w:id="392"/>
      <w:bookmarkStart w:id="393" w:name="_Toc4863236"/>
      <w:bookmarkEnd w:id="393"/>
      <w:bookmarkStart w:id="394" w:name="_Toc4863193"/>
      <w:bookmarkEnd w:id="394"/>
      <w:bookmarkStart w:id="395" w:name="_Toc4863279"/>
      <w:bookmarkEnd w:id="395"/>
      <w:bookmarkStart w:id="396" w:name="_Toc4863194"/>
      <w:bookmarkEnd w:id="396"/>
      <w:bookmarkStart w:id="397" w:name="_Toc4863288"/>
      <w:bookmarkEnd w:id="397"/>
      <w:bookmarkStart w:id="398" w:name="_Toc4863289"/>
      <w:bookmarkEnd w:id="398"/>
      <w:bookmarkStart w:id="399" w:name="_Toc4863232"/>
      <w:bookmarkEnd w:id="399"/>
      <w:bookmarkStart w:id="400" w:name="_Toc4863133"/>
      <w:bookmarkEnd w:id="400"/>
      <w:bookmarkStart w:id="401" w:name="_Toc4863293"/>
      <w:bookmarkEnd w:id="401"/>
      <w:bookmarkStart w:id="402" w:name="_Toc4863230"/>
      <w:bookmarkEnd w:id="402"/>
      <w:bookmarkStart w:id="403" w:name="_Toc4863191"/>
      <w:bookmarkEnd w:id="403"/>
      <w:bookmarkStart w:id="404" w:name="_Toc4863475"/>
      <w:bookmarkEnd w:id="404"/>
      <w:bookmarkStart w:id="405" w:name="_Toc4863290"/>
      <w:bookmarkEnd w:id="405"/>
      <w:bookmarkStart w:id="406" w:name="_Toc4863274"/>
      <w:bookmarkEnd w:id="406"/>
      <w:bookmarkStart w:id="407" w:name="_Toc10263545"/>
      <w:bookmarkStart w:id="408" w:name="_Toc55920617"/>
      <w:bookmarkStart w:id="409" w:name="_Toc10262607"/>
      <w:bookmarkStart w:id="410" w:name="_Toc5480396"/>
      <w:bookmarkStart w:id="411" w:name="_Toc10263303"/>
      <w:bookmarkStart w:id="412" w:name="_Toc88833985"/>
      <w:bookmarkStart w:id="413" w:name="_Toc85444732"/>
      <w:bookmarkStart w:id="414" w:name="_Toc85444601"/>
      <w:bookmarkStart w:id="415" w:name="_Toc88821224"/>
      <w:bookmarkStart w:id="416" w:name="_Toc85444456"/>
      <w:bookmarkStart w:id="417" w:name="_Toc152535481"/>
      <w:r>
        <w:rPr>
          <w:color w:val="000000" w:themeColor="text1"/>
          <w14:textFill>
            <w14:solidFill>
              <w14:schemeClr w14:val="tx1"/>
            </w14:solidFill>
          </w14:textFill>
        </w:rPr>
        <w:t>水土</w:t>
      </w:r>
      <w:bookmarkEnd w:id="407"/>
      <w:bookmarkEnd w:id="408"/>
      <w:bookmarkEnd w:id="409"/>
      <w:bookmarkEnd w:id="410"/>
      <w:bookmarkEnd w:id="411"/>
      <w:r>
        <w:rPr>
          <w:color w:val="000000" w:themeColor="text1"/>
          <w14:textFill>
            <w14:solidFill>
              <w14:schemeClr w14:val="tx1"/>
            </w14:solidFill>
          </w14:textFill>
        </w:rPr>
        <w:t>流失防治方案</w:t>
      </w:r>
      <w:bookmarkEnd w:id="412"/>
      <w:bookmarkEnd w:id="413"/>
      <w:bookmarkEnd w:id="414"/>
      <w:bookmarkEnd w:id="415"/>
      <w:bookmarkEnd w:id="416"/>
      <w:bookmarkEnd w:id="417"/>
    </w:p>
    <w:p w14:paraId="726504F8">
      <w:pPr>
        <w:pStyle w:val="3"/>
        <w:spacing w:before="120" w:after="120"/>
      </w:pPr>
      <w:bookmarkStart w:id="418" w:name="_Toc85444733"/>
      <w:bookmarkStart w:id="419" w:name="_Toc152535482"/>
      <w:bookmarkStart w:id="420" w:name="_Toc85444602"/>
      <w:bookmarkStart w:id="421" w:name="_Toc88821225"/>
      <w:bookmarkStart w:id="422" w:name="_Toc85444457"/>
      <w:bookmarkStart w:id="423" w:name="_Toc88833986"/>
      <w:r>
        <w:t>水土流失防治目标</w:t>
      </w:r>
      <w:bookmarkEnd w:id="418"/>
      <w:bookmarkEnd w:id="419"/>
      <w:bookmarkEnd w:id="420"/>
      <w:bookmarkEnd w:id="421"/>
      <w:bookmarkEnd w:id="422"/>
      <w:bookmarkEnd w:id="423"/>
    </w:p>
    <w:p w14:paraId="2D834AD6">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（1）区域总体控制目标</w:t>
      </w:r>
    </w:p>
    <w:p w14:paraId="5FF64BFB">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依据《内蒙古自治区水土保持区域评估报告编制要点》（试行）</w:t>
      </w:r>
      <w:r>
        <w:rPr>
          <w:rFonts w:hint="eastAsia" w:ascii="Times New Roman" w:hAnsi="Times New Roman" w:eastAsia="仿宋_GB2312"/>
          <w:color w:val="000000" w:themeColor="text1"/>
          <w14:textFill>
            <w14:solidFill>
              <w14:schemeClr w14:val="tx1"/>
            </w14:solidFill>
          </w14:textFill>
        </w:rPr>
        <w:t>和</w:t>
      </w:r>
      <w:r>
        <w:rPr>
          <w:rFonts w:ascii="Times New Roman" w:hAnsi="Times New Roman" w:eastAsia="仿宋_GB2312"/>
          <w:color w:val="000000" w:themeColor="text1"/>
          <w14:textFill>
            <w14:solidFill>
              <w14:schemeClr w14:val="tx1"/>
            </w14:solidFill>
          </w14:textFill>
        </w:rPr>
        <w:t>《生产建设项目水土流失防治标准》（GB/T50434-2018），结合包头金山经济开发区水土流失特点、气候、土壤及植被等相关资料，提出</w:t>
      </w:r>
      <w:r>
        <w:rPr>
          <w:rFonts w:hint="eastAsia" w:ascii="Times New Roman" w:hAnsi="Times New Roman" w:eastAsia="仿宋_GB2312"/>
          <w:color w:val="000000" w:themeColor="text1"/>
          <w14:textFill>
            <w14:solidFill>
              <w14:schemeClr w14:val="tx1"/>
            </w14:solidFill>
          </w14:textFill>
        </w:rPr>
        <w:t>园区</w:t>
      </w:r>
      <w:r>
        <w:rPr>
          <w:rFonts w:ascii="Times New Roman" w:hAnsi="Times New Roman" w:eastAsia="仿宋_GB2312"/>
          <w:color w:val="000000" w:themeColor="text1"/>
          <w14:textFill>
            <w14:solidFill>
              <w14:schemeClr w14:val="tx1"/>
            </w14:solidFill>
          </w14:textFill>
        </w:rPr>
        <w:t>水土流失总体控制目标，详见表5-1。</w:t>
      </w:r>
    </w:p>
    <w:p w14:paraId="5DDF59B1">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表5-1                                园区水土流失总体控制目标值</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2106"/>
        <w:gridCol w:w="1636"/>
        <w:gridCol w:w="4933"/>
      </w:tblGrid>
      <w:tr w14:paraId="1DDEF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9" w:type="pct"/>
            <w:tcBorders>
              <w:bottom w:val="double" w:color="auto" w:sz="4" w:space="0"/>
            </w:tcBorders>
            <w:shd w:val="clear" w:color="auto" w:fill="auto"/>
            <w:vAlign w:val="center"/>
          </w:tcPr>
          <w:p w14:paraId="6D5000A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序号</w:t>
            </w:r>
          </w:p>
        </w:tc>
        <w:tc>
          <w:tcPr>
            <w:tcW w:w="1134" w:type="pct"/>
            <w:tcBorders>
              <w:bottom w:val="double" w:color="auto" w:sz="4" w:space="0"/>
            </w:tcBorders>
            <w:shd w:val="clear" w:color="auto" w:fill="auto"/>
            <w:vAlign w:val="center"/>
          </w:tcPr>
          <w:p w14:paraId="0D6661C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控制指标</w:t>
            </w:r>
          </w:p>
        </w:tc>
        <w:tc>
          <w:tcPr>
            <w:tcW w:w="881" w:type="pct"/>
            <w:tcBorders>
              <w:bottom w:val="double" w:color="auto" w:sz="4" w:space="0"/>
            </w:tcBorders>
            <w:shd w:val="clear" w:color="auto" w:fill="auto"/>
            <w:vAlign w:val="center"/>
          </w:tcPr>
          <w:p w14:paraId="34DF1AE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指标值</w:t>
            </w:r>
          </w:p>
        </w:tc>
        <w:tc>
          <w:tcPr>
            <w:tcW w:w="2656" w:type="pct"/>
            <w:tcBorders>
              <w:bottom w:val="double" w:color="auto" w:sz="4" w:space="0"/>
            </w:tcBorders>
            <w:shd w:val="clear" w:color="auto" w:fill="auto"/>
            <w:vAlign w:val="center"/>
          </w:tcPr>
          <w:p w14:paraId="6893A9B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备注</w:t>
            </w:r>
          </w:p>
        </w:tc>
      </w:tr>
      <w:tr w14:paraId="2B08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9" w:type="pct"/>
            <w:tcBorders>
              <w:top w:val="double" w:color="auto" w:sz="4" w:space="0"/>
            </w:tcBorders>
            <w:shd w:val="clear" w:color="auto" w:fill="auto"/>
            <w:vAlign w:val="center"/>
          </w:tcPr>
          <w:p w14:paraId="36E4A8C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w:t>
            </w:r>
          </w:p>
        </w:tc>
        <w:tc>
          <w:tcPr>
            <w:tcW w:w="1134" w:type="pct"/>
            <w:tcBorders>
              <w:top w:val="double" w:color="auto" w:sz="4" w:space="0"/>
            </w:tcBorders>
            <w:shd w:val="clear" w:color="auto" w:fill="auto"/>
            <w:vAlign w:val="center"/>
          </w:tcPr>
          <w:p w14:paraId="116B28A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水土流失治理度（%）</w:t>
            </w:r>
          </w:p>
        </w:tc>
        <w:tc>
          <w:tcPr>
            <w:tcW w:w="881" w:type="pct"/>
            <w:tcBorders>
              <w:top w:val="double" w:color="auto" w:sz="4" w:space="0"/>
            </w:tcBorders>
            <w:shd w:val="clear" w:color="auto" w:fill="auto"/>
            <w:vAlign w:val="center"/>
          </w:tcPr>
          <w:p w14:paraId="0607D4C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93</w:t>
            </w:r>
          </w:p>
        </w:tc>
        <w:tc>
          <w:tcPr>
            <w:tcW w:w="2656" w:type="pct"/>
            <w:tcBorders>
              <w:top w:val="double" w:color="auto" w:sz="4" w:space="0"/>
            </w:tcBorders>
            <w:shd w:val="clear" w:color="auto" w:fill="auto"/>
            <w:vAlign w:val="center"/>
          </w:tcPr>
          <w:p w14:paraId="1B893B1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水土流失治理达标面积占区域水土流失总面积的百分比</w:t>
            </w:r>
          </w:p>
        </w:tc>
      </w:tr>
      <w:tr w14:paraId="01A1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9" w:type="pct"/>
            <w:shd w:val="clear" w:color="auto" w:fill="auto"/>
            <w:vAlign w:val="center"/>
          </w:tcPr>
          <w:p w14:paraId="4E49549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w:t>
            </w:r>
          </w:p>
        </w:tc>
        <w:tc>
          <w:tcPr>
            <w:tcW w:w="1134" w:type="pct"/>
            <w:shd w:val="clear" w:color="auto" w:fill="auto"/>
            <w:vAlign w:val="center"/>
          </w:tcPr>
          <w:p w14:paraId="475971B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表土保护利用率（%）</w:t>
            </w:r>
          </w:p>
        </w:tc>
        <w:tc>
          <w:tcPr>
            <w:tcW w:w="881" w:type="pct"/>
            <w:shd w:val="clear" w:color="auto" w:fill="auto"/>
            <w:vAlign w:val="center"/>
          </w:tcPr>
          <w:p w14:paraId="0297DD2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90</w:t>
            </w:r>
          </w:p>
        </w:tc>
        <w:tc>
          <w:tcPr>
            <w:tcW w:w="2656" w:type="pct"/>
            <w:shd w:val="clear" w:color="auto" w:fill="auto"/>
            <w:vAlign w:val="center"/>
          </w:tcPr>
          <w:p w14:paraId="7F27E0C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区域内保护和利用的表土数量占可剥离表土总量的百分比</w:t>
            </w:r>
          </w:p>
        </w:tc>
      </w:tr>
      <w:tr w14:paraId="7398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9" w:type="pct"/>
            <w:shd w:val="clear" w:color="auto" w:fill="auto"/>
            <w:vAlign w:val="center"/>
          </w:tcPr>
          <w:p w14:paraId="3A9EE4D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w:t>
            </w:r>
          </w:p>
        </w:tc>
        <w:tc>
          <w:tcPr>
            <w:tcW w:w="1134" w:type="pct"/>
            <w:shd w:val="clear" w:color="auto" w:fill="auto"/>
            <w:vAlign w:val="center"/>
          </w:tcPr>
          <w:p w14:paraId="3BABADE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土石方综利用率（%）</w:t>
            </w:r>
          </w:p>
        </w:tc>
        <w:tc>
          <w:tcPr>
            <w:tcW w:w="881" w:type="pct"/>
            <w:shd w:val="clear" w:color="auto" w:fill="auto"/>
            <w:vAlign w:val="center"/>
          </w:tcPr>
          <w:p w14:paraId="1D3E529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100</w:t>
            </w:r>
          </w:p>
        </w:tc>
        <w:tc>
          <w:tcPr>
            <w:tcW w:w="2656" w:type="pct"/>
            <w:shd w:val="clear" w:color="auto" w:fill="auto"/>
            <w:vAlign w:val="center"/>
          </w:tcPr>
          <w:p w14:paraId="23FD6D4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区域内土石方利用量占开挖量的百分比</w:t>
            </w:r>
          </w:p>
        </w:tc>
      </w:tr>
      <w:tr w14:paraId="7A53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9" w:type="pct"/>
            <w:shd w:val="clear" w:color="auto" w:fill="auto"/>
            <w:vAlign w:val="center"/>
          </w:tcPr>
          <w:p w14:paraId="055C4E6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w:t>
            </w:r>
          </w:p>
        </w:tc>
        <w:tc>
          <w:tcPr>
            <w:tcW w:w="1134" w:type="pct"/>
            <w:shd w:val="clear" w:color="auto" w:fill="auto"/>
            <w:vAlign w:val="center"/>
          </w:tcPr>
          <w:p w14:paraId="533EE45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渣土防护率（%）</w:t>
            </w:r>
          </w:p>
        </w:tc>
        <w:tc>
          <w:tcPr>
            <w:tcW w:w="881" w:type="pct"/>
            <w:shd w:val="clear" w:color="auto" w:fill="auto"/>
            <w:vAlign w:val="center"/>
          </w:tcPr>
          <w:p w14:paraId="2A66A12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92</w:t>
            </w:r>
          </w:p>
        </w:tc>
        <w:tc>
          <w:tcPr>
            <w:tcW w:w="2656" w:type="pct"/>
            <w:shd w:val="clear" w:color="auto" w:fill="auto"/>
            <w:vAlign w:val="center"/>
          </w:tcPr>
          <w:p w14:paraId="76B55FF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区域内采取措施挡护的渣土量占渣土总量的百分比</w:t>
            </w:r>
          </w:p>
        </w:tc>
      </w:tr>
      <w:tr w14:paraId="447E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9" w:type="pct"/>
            <w:shd w:val="clear" w:color="auto" w:fill="auto"/>
            <w:vAlign w:val="center"/>
          </w:tcPr>
          <w:p w14:paraId="05993D1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c>
          <w:tcPr>
            <w:tcW w:w="1134" w:type="pct"/>
            <w:shd w:val="clear" w:color="auto" w:fill="auto"/>
            <w:vAlign w:val="center"/>
          </w:tcPr>
          <w:p w14:paraId="4262A3C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裸露地表防护率（%）</w:t>
            </w:r>
          </w:p>
        </w:tc>
        <w:tc>
          <w:tcPr>
            <w:tcW w:w="881" w:type="pct"/>
            <w:shd w:val="clear" w:color="auto" w:fill="auto"/>
            <w:vAlign w:val="center"/>
          </w:tcPr>
          <w:p w14:paraId="3526296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95</w:t>
            </w:r>
          </w:p>
        </w:tc>
        <w:tc>
          <w:tcPr>
            <w:tcW w:w="2656" w:type="pct"/>
            <w:shd w:val="clear" w:color="auto" w:fill="auto"/>
            <w:vAlign w:val="center"/>
          </w:tcPr>
          <w:p w14:paraId="621CFC1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区域开发建设扰动后裸露地表防护面积占裸露地表总面积的百分比</w:t>
            </w:r>
          </w:p>
        </w:tc>
      </w:tr>
      <w:tr w14:paraId="0EC5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9" w:type="pct"/>
            <w:shd w:val="clear" w:color="auto" w:fill="auto"/>
            <w:vAlign w:val="center"/>
          </w:tcPr>
          <w:p w14:paraId="7B96737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6</w:t>
            </w:r>
          </w:p>
        </w:tc>
        <w:tc>
          <w:tcPr>
            <w:tcW w:w="1134" w:type="pct"/>
            <w:shd w:val="clear" w:color="auto" w:fill="auto"/>
            <w:vAlign w:val="center"/>
          </w:tcPr>
          <w:p w14:paraId="3376499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林草覆盖率（%）</w:t>
            </w:r>
          </w:p>
        </w:tc>
        <w:tc>
          <w:tcPr>
            <w:tcW w:w="881" w:type="pct"/>
            <w:shd w:val="clear" w:color="auto" w:fill="auto"/>
            <w:vAlign w:val="center"/>
          </w:tcPr>
          <w:p w14:paraId="20A2B6A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22</w:t>
            </w:r>
          </w:p>
        </w:tc>
        <w:tc>
          <w:tcPr>
            <w:tcW w:w="2656" w:type="pct"/>
            <w:shd w:val="clear" w:color="auto" w:fill="auto"/>
            <w:vAlign w:val="center"/>
          </w:tcPr>
          <w:p w14:paraId="2E9BDC9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区域内林草植被面积占区域总面积的百分比</w:t>
            </w:r>
          </w:p>
        </w:tc>
      </w:tr>
    </w:tbl>
    <w:p w14:paraId="23569CC5">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（2）分区水土流失总目标值</w:t>
      </w:r>
    </w:p>
    <w:p w14:paraId="31D625CA">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根据园区规划和功能区特点，结合相关规定和水土保持要求，确定园区水土流失总体控制目标。部分指标做出调整，调整如下。</w:t>
      </w:r>
    </w:p>
    <w:p w14:paraId="489A21D2">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表5-2                                     分区水土流失总目标值</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1599"/>
        <w:gridCol w:w="1391"/>
        <w:gridCol w:w="1159"/>
        <w:gridCol w:w="3568"/>
      </w:tblGrid>
      <w:tr w14:paraId="21DE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45" w:type="pct"/>
            <w:vMerge w:val="restart"/>
            <w:shd w:val="clear" w:color="auto" w:fill="auto"/>
            <w:vAlign w:val="center"/>
          </w:tcPr>
          <w:p w14:paraId="1CD61E7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控制目标</w:t>
            </w:r>
          </w:p>
        </w:tc>
        <w:tc>
          <w:tcPr>
            <w:tcW w:w="1610" w:type="pct"/>
            <w:gridSpan w:val="2"/>
            <w:shd w:val="clear" w:color="auto" w:fill="auto"/>
            <w:vAlign w:val="center"/>
          </w:tcPr>
          <w:p w14:paraId="1D982CB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功能区指标值（%）</w:t>
            </w:r>
          </w:p>
        </w:tc>
        <w:tc>
          <w:tcPr>
            <w:tcW w:w="624" w:type="pct"/>
            <w:vMerge w:val="restart"/>
            <w:shd w:val="clear" w:color="auto" w:fill="auto"/>
            <w:vAlign w:val="center"/>
          </w:tcPr>
          <w:p w14:paraId="0A0CB19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总指标值（%）</w:t>
            </w:r>
          </w:p>
        </w:tc>
        <w:tc>
          <w:tcPr>
            <w:tcW w:w="1921" w:type="pct"/>
            <w:vMerge w:val="restart"/>
            <w:shd w:val="clear" w:color="auto" w:fill="auto"/>
            <w:vAlign w:val="center"/>
          </w:tcPr>
          <w:p w14:paraId="452834D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备注</w:t>
            </w:r>
          </w:p>
        </w:tc>
      </w:tr>
      <w:tr w14:paraId="7A9B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45" w:type="pct"/>
            <w:vMerge w:val="continue"/>
            <w:tcBorders>
              <w:bottom w:val="double" w:color="auto" w:sz="4" w:space="0"/>
            </w:tcBorders>
            <w:vAlign w:val="center"/>
          </w:tcPr>
          <w:p w14:paraId="42C77CE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61" w:type="pct"/>
            <w:tcBorders>
              <w:bottom w:val="double" w:color="auto" w:sz="4" w:space="0"/>
            </w:tcBorders>
            <w:shd w:val="clear" w:color="auto" w:fill="auto"/>
            <w:vAlign w:val="center"/>
          </w:tcPr>
          <w:p w14:paraId="256E22F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749" w:type="pct"/>
            <w:tcBorders>
              <w:bottom w:val="double" w:color="auto" w:sz="4" w:space="0"/>
            </w:tcBorders>
            <w:shd w:val="clear" w:color="auto" w:fill="auto"/>
            <w:vAlign w:val="center"/>
          </w:tcPr>
          <w:p w14:paraId="32ECCF2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624" w:type="pct"/>
            <w:vMerge w:val="continue"/>
            <w:tcBorders>
              <w:bottom w:val="double" w:color="auto" w:sz="4" w:space="0"/>
            </w:tcBorders>
            <w:vAlign w:val="center"/>
          </w:tcPr>
          <w:p w14:paraId="5258258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921" w:type="pct"/>
            <w:vMerge w:val="continue"/>
            <w:tcBorders>
              <w:bottom w:val="double" w:color="auto" w:sz="4" w:space="0"/>
            </w:tcBorders>
            <w:vAlign w:val="center"/>
          </w:tcPr>
          <w:p w14:paraId="5972A94F">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27C57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5" w:type="pct"/>
            <w:tcBorders>
              <w:top w:val="double" w:color="auto" w:sz="4" w:space="0"/>
            </w:tcBorders>
            <w:shd w:val="clear" w:color="auto" w:fill="auto"/>
            <w:vAlign w:val="center"/>
          </w:tcPr>
          <w:p w14:paraId="564BACB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水土流失治理度（%）</w:t>
            </w:r>
          </w:p>
        </w:tc>
        <w:tc>
          <w:tcPr>
            <w:tcW w:w="861" w:type="pct"/>
            <w:tcBorders>
              <w:top w:val="double" w:color="auto" w:sz="4" w:space="0"/>
            </w:tcBorders>
            <w:shd w:val="clear" w:color="auto" w:fill="auto"/>
            <w:vAlign w:val="center"/>
          </w:tcPr>
          <w:p w14:paraId="7220759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93</w:t>
            </w:r>
          </w:p>
        </w:tc>
        <w:tc>
          <w:tcPr>
            <w:tcW w:w="749" w:type="pct"/>
            <w:tcBorders>
              <w:top w:val="double" w:color="auto" w:sz="4" w:space="0"/>
            </w:tcBorders>
            <w:shd w:val="clear" w:color="auto" w:fill="auto"/>
            <w:vAlign w:val="center"/>
          </w:tcPr>
          <w:p w14:paraId="2820F66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93</w:t>
            </w:r>
          </w:p>
        </w:tc>
        <w:tc>
          <w:tcPr>
            <w:tcW w:w="624" w:type="pct"/>
            <w:tcBorders>
              <w:top w:val="double" w:color="auto" w:sz="4" w:space="0"/>
            </w:tcBorders>
            <w:shd w:val="clear" w:color="auto" w:fill="auto"/>
            <w:vAlign w:val="center"/>
          </w:tcPr>
          <w:p w14:paraId="4C351E9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93</w:t>
            </w:r>
          </w:p>
        </w:tc>
        <w:tc>
          <w:tcPr>
            <w:tcW w:w="1921" w:type="pct"/>
            <w:tcBorders>
              <w:top w:val="double" w:color="auto" w:sz="4" w:space="0"/>
            </w:tcBorders>
            <w:shd w:val="clear" w:color="auto" w:fill="auto"/>
            <w:vAlign w:val="center"/>
          </w:tcPr>
          <w:p w14:paraId="3CD7624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水土流失治理达标面积占区域水土流失总面积的百分比</w:t>
            </w:r>
          </w:p>
        </w:tc>
      </w:tr>
      <w:tr w14:paraId="36D6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45" w:type="pct"/>
            <w:shd w:val="clear" w:color="auto" w:fill="auto"/>
            <w:vAlign w:val="center"/>
          </w:tcPr>
          <w:p w14:paraId="6B0C06C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表土保护利用率（%）</w:t>
            </w:r>
          </w:p>
        </w:tc>
        <w:tc>
          <w:tcPr>
            <w:tcW w:w="861" w:type="pct"/>
            <w:shd w:val="clear" w:color="auto" w:fill="auto"/>
            <w:vAlign w:val="center"/>
          </w:tcPr>
          <w:p w14:paraId="681E1A9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90</w:t>
            </w:r>
          </w:p>
        </w:tc>
        <w:tc>
          <w:tcPr>
            <w:tcW w:w="749" w:type="pct"/>
            <w:shd w:val="clear" w:color="auto" w:fill="auto"/>
            <w:vAlign w:val="center"/>
          </w:tcPr>
          <w:p w14:paraId="1A42F97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90</w:t>
            </w:r>
          </w:p>
        </w:tc>
        <w:tc>
          <w:tcPr>
            <w:tcW w:w="624" w:type="pct"/>
            <w:shd w:val="clear" w:color="auto" w:fill="auto"/>
            <w:vAlign w:val="center"/>
          </w:tcPr>
          <w:p w14:paraId="0DE9657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90</w:t>
            </w:r>
          </w:p>
        </w:tc>
        <w:tc>
          <w:tcPr>
            <w:tcW w:w="1921" w:type="pct"/>
            <w:shd w:val="clear" w:color="auto" w:fill="auto"/>
            <w:vAlign w:val="center"/>
          </w:tcPr>
          <w:p w14:paraId="17FA2B24">
            <w:pPr>
              <w:spacing w:line="240" w:lineRule="auto"/>
              <w:ind w:firstLine="42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区域内保护和利用的表土数量占可剥离表土总量的百分比</w:t>
            </w:r>
          </w:p>
        </w:tc>
      </w:tr>
      <w:tr w14:paraId="4FEB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45" w:type="pct"/>
            <w:shd w:val="clear" w:color="auto" w:fill="auto"/>
            <w:vAlign w:val="center"/>
          </w:tcPr>
          <w:p w14:paraId="0595B3D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土石方综合利用率（%）</w:t>
            </w:r>
          </w:p>
        </w:tc>
        <w:tc>
          <w:tcPr>
            <w:tcW w:w="861" w:type="pct"/>
            <w:shd w:val="clear" w:color="auto" w:fill="auto"/>
            <w:vAlign w:val="center"/>
          </w:tcPr>
          <w:p w14:paraId="2918AB2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100</w:t>
            </w:r>
          </w:p>
        </w:tc>
        <w:tc>
          <w:tcPr>
            <w:tcW w:w="749" w:type="pct"/>
            <w:shd w:val="clear" w:color="auto" w:fill="auto"/>
            <w:vAlign w:val="center"/>
          </w:tcPr>
          <w:p w14:paraId="6863796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100</w:t>
            </w:r>
          </w:p>
        </w:tc>
        <w:tc>
          <w:tcPr>
            <w:tcW w:w="624" w:type="pct"/>
            <w:shd w:val="clear" w:color="auto" w:fill="auto"/>
            <w:vAlign w:val="center"/>
          </w:tcPr>
          <w:p w14:paraId="2496403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100</w:t>
            </w:r>
          </w:p>
        </w:tc>
        <w:tc>
          <w:tcPr>
            <w:tcW w:w="1921" w:type="pct"/>
            <w:shd w:val="clear" w:color="auto" w:fill="auto"/>
            <w:vAlign w:val="center"/>
          </w:tcPr>
          <w:p w14:paraId="64AAA80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区域内土石方利用量占开挖量的百分比</w:t>
            </w:r>
          </w:p>
        </w:tc>
      </w:tr>
      <w:tr w14:paraId="04FF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45" w:type="pct"/>
            <w:shd w:val="clear" w:color="auto" w:fill="auto"/>
            <w:vAlign w:val="center"/>
          </w:tcPr>
          <w:p w14:paraId="2DDF1D7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渣土防护率（%）</w:t>
            </w:r>
          </w:p>
        </w:tc>
        <w:tc>
          <w:tcPr>
            <w:tcW w:w="861" w:type="pct"/>
            <w:shd w:val="clear" w:color="auto" w:fill="auto"/>
            <w:vAlign w:val="center"/>
          </w:tcPr>
          <w:p w14:paraId="62C9B14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92</w:t>
            </w:r>
          </w:p>
        </w:tc>
        <w:tc>
          <w:tcPr>
            <w:tcW w:w="749" w:type="pct"/>
            <w:shd w:val="clear" w:color="auto" w:fill="auto"/>
            <w:vAlign w:val="center"/>
          </w:tcPr>
          <w:p w14:paraId="0785035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92</w:t>
            </w:r>
          </w:p>
        </w:tc>
        <w:tc>
          <w:tcPr>
            <w:tcW w:w="624" w:type="pct"/>
            <w:shd w:val="clear" w:color="auto" w:fill="auto"/>
            <w:vAlign w:val="center"/>
          </w:tcPr>
          <w:p w14:paraId="4F10B41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92</w:t>
            </w:r>
          </w:p>
        </w:tc>
        <w:tc>
          <w:tcPr>
            <w:tcW w:w="1921" w:type="pct"/>
            <w:shd w:val="clear" w:color="auto" w:fill="auto"/>
            <w:vAlign w:val="center"/>
          </w:tcPr>
          <w:p w14:paraId="598BFE0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区域内采取措施挡护的渣土量占渣土总量的百分比</w:t>
            </w:r>
          </w:p>
        </w:tc>
      </w:tr>
      <w:tr w14:paraId="11EF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45" w:type="pct"/>
            <w:shd w:val="clear" w:color="auto" w:fill="auto"/>
            <w:vAlign w:val="center"/>
          </w:tcPr>
          <w:p w14:paraId="5007F54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裸露地表防护率（%）</w:t>
            </w:r>
          </w:p>
        </w:tc>
        <w:tc>
          <w:tcPr>
            <w:tcW w:w="861" w:type="pct"/>
            <w:shd w:val="clear" w:color="auto" w:fill="auto"/>
            <w:vAlign w:val="center"/>
          </w:tcPr>
          <w:p w14:paraId="63439C7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95</w:t>
            </w:r>
          </w:p>
        </w:tc>
        <w:tc>
          <w:tcPr>
            <w:tcW w:w="749" w:type="pct"/>
            <w:shd w:val="clear" w:color="auto" w:fill="auto"/>
            <w:vAlign w:val="center"/>
          </w:tcPr>
          <w:p w14:paraId="5FFDFC9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95</w:t>
            </w:r>
          </w:p>
        </w:tc>
        <w:tc>
          <w:tcPr>
            <w:tcW w:w="624" w:type="pct"/>
            <w:shd w:val="clear" w:color="auto" w:fill="auto"/>
            <w:vAlign w:val="center"/>
          </w:tcPr>
          <w:p w14:paraId="546ADA5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95</w:t>
            </w:r>
          </w:p>
        </w:tc>
        <w:tc>
          <w:tcPr>
            <w:tcW w:w="1921" w:type="pct"/>
            <w:shd w:val="clear" w:color="auto" w:fill="auto"/>
            <w:vAlign w:val="center"/>
          </w:tcPr>
          <w:p w14:paraId="01896517">
            <w:pPr>
              <w:spacing w:line="240" w:lineRule="auto"/>
              <w:ind w:firstLine="210" w:firstLineChars="10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区域开发建设扰动后裸露地表防护面积占裸露地表总面积的百分比</w:t>
            </w:r>
          </w:p>
        </w:tc>
      </w:tr>
      <w:tr w14:paraId="0DF4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45" w:type="pct"/>
            <w:shd w:val="clear" w:color="auto" w:fill="auto"/>
            <w:vAlign w:val="center"/>
          </w:tcPr>
          <w:p w14:paraId="5570B47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林草覆盖率（%）</w:t>
            </w:r>
          </w:p>
        </w:tc>
        <w:tc>
          <w:tcPr>
            <w:tcW w:w="861" w:type="pct"/>
            <w:shd w:val="clear" w:color="auto" w:fill="auto"/>
            <w:vAlign w:val="center"/>
          </w:tcPr>
          <w:p w14:paraId="38EB07F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22</w:t>
            </w:r>
          </w:p>
        </w:tc>
        <w:tc>
          <w:tcPr>
            <w:tcW w:w="749" w:type="pct"/>
            <w:shd w:val="clear" w:color="auto" w:fill="auto"/>
            <w:vAlign w:val="center"/>
          </w:tcPr>
          <w:p w14:paraId="5C7C86C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22</w:t>
            </w:r>
          </w:p>
        </w:tc>
        <w:tc>
          <w:tcPr>
            <w:tcW w:w="624" w:type="pct"/>
            <w:shd w:val="clear" w:color="auto" w:fill="auto"/>
            <w:vAlign w:val="center"/>
          </w:tcPr>
          <w:p w14:paraId="28310CA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22</w:t>
            </w:r>
          </w:p>
        </w:tc>
        <w:tc>
          <w:tcPr>
            <w:tcW w:w="1921" w:type="pct"/>
            <w:shd w:val="clear" w:color="auto" w:fill="auto"/>
            <w:vAlign w:val="center"/>
          </w:tcPr>
          <w:p w14:paraId="4C2016D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通过对区块的林草覆盖率加权平均得到区域林草覆盖率目标值</w:t>
            </w:r>
          </w:p>
        </w:tc>
      </w:tr>
    </w:tbl>
    <w:p w14:paraId="298A7422">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（3）区域内项目防治目标</w:t>
      </w:r>
    </w:p>
    <w:p w14:paraId="2E5E8A23">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根据《全国水土保持规划国家级水土流失重点预防区和重点治理区复核划分成果》（水利部办水保〔2013〕188号）、《内蒙古自治区人民政府关于划分水土流失重点预防区和重点防治区的通告》（内政发〔2016〕44号）及全国水土保持区划（试行）》（水利部办水保〔2012〕512号），包头金山经济开发区地处</w:t>
      </w:r>
      <w:r>
        <w:rPr>
          <w:rFonts w:hint="eastAsia" w:ascii="Times New Roman" w:hAnsi="Times New Roman" w:eastAsia="仿宋_GB2312"/>
          <w:color w:val="000000" w:themeColor="text1"/>
          <w14:textFill>
            <w14:solidFill>
              <w14:schemeClr w14:val="tx1"/>
            </w14:solidFill>
          </w14:textFill>
        </w:rPr>
        <w:t>西北黄土高原区</w:t>
      </w:r>
      <w:r>
        <w:rPr>
          <w:rFonts w:ascii="Times New Roman" w:hAnsi="Times New Roman" w:eastAsia="仿宋_GB2312"/>
          <w:color w:val="000000" w:themeColor="text1"/>
          <w14:textFill>
            <w14:solidFill>
              <w14:schemeClr w14:val="tx1"/>
            </w14:solidFill>
          </w14:textFill>
        </w:rPr>
        <w:t>，所在区域</w:t>
      </w:r>
      <w:r>
        <w:rPr>
          <w:rFonts w:hint="eastAsia" w:ascii="Times New Roman" w:hAnsi="Times New Roman" w:eastAsia="仿宋_GB2312"/>
          <w:color w:val="000000" w:themeColor="text1"/>
          <w14:textFill>
            <w14:solidFill>
              <w14:schemeClr w14:val="tx1"/>
            </w14:solidFill>
          </w14:textFill>
        </w:rPr>
        <w:t>固阳县</w:t>
      </w:r>
      <w:r>
        <w:rPr>
          <w:rFonts w:ascii="Times New Roman" w:hAnsi="Times New Roman" w:eastAsia="仿宋_GB2312"/>
          <w:color w:val="000000" w:themeColor="text1"/>
          <w14:textFill>
            <w14:solidFill>
              <w14:schemeClr w14:val="tx1"/>
            </w14:solidFill>
          </w14:textFill>
        </w:rPr>
        <w:t>属</w:t>
      </w:r>
      <w:r>
        <w:rPr>
          <w:rFonts w:hint="eastAsia" w:ascii="Times New Roman" w:hAnsi="Times New Roman" w:eastAsia="仿宋_GB2312"/>
          <w:color w:val="000000" w:themeColor="text1"/>
          <w14:textFill>
            <w14:solidFill>
              <w14:schemeClr w14:val="tx1"/>
            </w14:solidFill>
          </w14:textFill>
        </w:rPr>
        <w:t>黄河自治区级水土流失重点治理区</w:t>
      </w:r>
      <w:r>
        <w:rPr>
          <w:rFonts w:ascii="Times New Roman" w:hAnsi="Times New Roman" w:eastAsia="仿宋_GB2312"/>
          <w:color w:val="000000" w:themeColor="text1"/>
          <w14:textFill>
            <w14:solidFill>
              <w14:schemeClr w14:val="tx1"/>
            </w14:solidFill>
          </w14:textFill>
        </w:rPr>
        <w:t>，按照《生产建设项目水土流失防治标准》（GB/T50434-2018）规定，区域内项目水土流失防治标准执行</w:t>
      </w:r>
      <w:r>
        <w:rPr>
          <w:rFonts w:hint="eastAsia" w:ascii="Times New Roman" w:hAnsi="Times New Roman" w:eastAsia="仿宋_GB2312"/>
          <w:color w:val="000000" w:themeColor="text1"/>
          <w14:textFill>
            <w14:solidFill>
              <w14:schemeClr w14:val="tx1"/>
            </w14:solidFill>
          </w14:textFill>
        </w:rPr>
        <w:t>西北黄土高原区一级标准</w:t>
      </w:r>
      <w:r>
        <w:rPr>
          <w:rFonts w:ascii="Times New Roman" w:hAnsi="Times New Roman" w:eastAsia="仿宋_GB2312"/>
          <w:color w:val="000000" w:themeColor="text1"/>
          <w14:textFill>
            <w14:solidFill>
              <w14:schemeClr w14:val="tx1"/>
            </w14:solidFill>
          </w14:textFill>
        </w:rPr>
        <w:t>。</w:t>
      </w:r>
      <w:r>
        <w:rPr>
          <w:rFonts w:hint="eastAsia" w:ascii="Times New Roman" w:hAnsi="Times New Roman" w:eastAsia="仿宋_GB2312"/>
          <w:color w:val="000000" w:themeColor="text1"/>
          <w14:textFill>
            <w14:solidFill>
              <w14:schemeClr w14:val="tx1"/>
            </w14:solidFill>
          </w14:textFill>
        </w:rPr>
        <w:t>建设项目防治目标执行《生产建设项目水土流失防治标准》（GB/T50434-2018）内规定，并按照标准中的规定及入园项目行业设计规范等对目标值进行修正。</w:t>
      </w:r>
    </w:p>
    <w:p w14:paraId="40D478DA">
      <w:pPr>
        <w:pStyle w:val="3"/>
        <w:spacing w:before="120" w:after="120"/>
      </w:pPr>
      <w:bookmarkStart w:id="424" w:name="_Toc85444458"/>
      <w:bookmarkStart w:id="425" w:name="_Toc85444605"/>
      <w:bookmarkStart w:id="426" w:name="_Toc85444734"/>
      <w:bookmarkStart w:id="427" w:name="_Toc88821226"/>
      <w:bookmarkStart w:id="428" w:name="_Toc88833987"/>
      <w:bookmarkStart w:id="429" w:name="_Toc152535483"/>
      <w:r>
        <w:t>防治分区</w:t>
      </w:r>
      <w:bookmarkEnd w:id="424"/>
      <w:bookmarkEnd w:id="425"/>
      <w:bookmarkEnd w:id="426"/>
      <w:bookmarkEnd w:id="427"/>
      <w:bookmarkEnd w:id="428"/>
      <w:bookmarkEnd w:id="429"/>
    </w:p>
    <w:p w14:paraId="21C70440">
      <w:pPr>
        <w:pStyle w:val="12"/>
        <w:ind w:firstLine="44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16"/>
          <w14:textFill>
            <w14:solidFill>
              <w14:schemeClr w14:val="tx1"/>
            </w14:solidFill>
          </w14:textFill>
        </w:rPr>
        <w:t>按照评估报告编制的原则，在实际调查的基础上，根据项目建设的施工布局、</w:t>
      </w:r>
      <w:r>
        <w:rPr>
          <w:rFonts w:ascii="Times New Roman" w:hAnsi="Times New Roman" w:eastAsia="仿宋_GB2312"/>
          <w:color w:val="000000" w:themeColor="text1"/>
          <w14:textFill>
            <w14:solidFill>
              <w14:schemeClr w14:val="tx1"/>
            </w14:solidFill>
          </w14:textFill>
        </w:rPr>
        <w:t>地形地貌、施工扰动特点、水土流失特点，划分水土流失防治分区，确定</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14:textFill>
            <w14:solidFill>
              <w14:schemeClr w14:val="tx1"/>
            </w14:solidFill>
          </w14:textFill>
        </w:rPr>
        <w:t>分区防治任务，因地制宜，因害设防，分区分类布设水土流失防治措施，实现水土保持方案确定的防治目标。</w:t>
      </w:r>
    </w:p>
    <w:p w14:paraId="1CA31A4B">
      <w:pPr>
        <w:pStyle w:val="12"/>
        <w:ind w:firstLine="46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8"/>
          <w14:textFill>
            <w14:solidFill>
              <w14:schemeClr w14:val="tx1"/>
            </w14:solidFill>
          </w14:textFill>
        </w:rPr>
        <w:t>产业园根据产业布局分布特点分为</w:t>
      </w:r>
      <w:r>
        <w:rPr>
          <w:rFonts w:ascii="Times New Roman" w:hAnsi="Times New Roman" w:eastAsia="仿宋_GB2312"/>
          <w:color w:val="000000" w:themeColor="text1"/>
          <w:spacing w:val="-4"/>
          <w14:textFill>
            <w14:solidFill>
              <w14:schemeClr w14:val="tx1"/>
            </w14:solidFill>
          </w14:textFill>
        </w:rPr>
        <w:t>2</w:t>
      </w:r>
      <w:r>
        <w:rPr>
          <w:rFonts w:ascii="Times New Roman" w:hAnsi="Times New Roman" w:eastAsia="仿宋_GB2312"/>
          <w:color w:val="000000" w:themeColor="text1"/>
          <w:spacing w:val="-10"/>
          <w14:textFill>
            <w14:solidFill>
              <w14:schemeClr w14:val="tx1"/>
            </w14:solidFill>
          </w14:textFill>
        </w:rPr>
        <w:t>个一级分区：</w:t>
      </w:r>
      <w:r>
        <w:rPr>
          <w:rFonts w:ascii="Times New Roman" w:hAnsi="Times New Roman" w:eastAsia="仿宋_GB2312"/>
          <w:color w:val="000000" w:themeColor="text1"/>
          <w:spacing w:val="-4"/>
          <w14:textFill>
            <w14:solidFill>
              <w14:schemeClr w14:val="tx1"/>
            </w14:solidFill>
          </w14:textFill>
        </w:rPr>
        <w:t>地块1（金山产业园北区）、</w:t>
      </w:r>
      <w:r>
        <w:rPr>
          <w:rFonts w:ascii="Times New Roman" w:hAnsi="Times New Roman" w:eastAsia="仿宋_GB2312"/>
          <w:color w:val="000000" w:themeColor="text1"/>
          <w:spacing w:val="-21"/>
          <w14:textFill>
            <w14:solidFill>
              <w14:schemeClr w14:val="tx1"/>
            </w14:solidFill>
          </w14:textFill>
        </w:rPr>
        <w:t>地块</w:t>
      </w:r>
      <w:r>
        <w:rPr>
          <w:rFonts w:ascii="Times New Roman" w:hAnsi="Times New Roman" w:eastAsia="仿宋_GB2312"/>
          <w:color w:val="000000" w:themeColor="text1"/>
          <w14:textFill>
            <w14:solidFill>
              <w14:schemeClr w14:val="tx1"/>
            </w14:solidFill>
          </w14:textFill>
        </w:rPr>
        <w:t>2（下湿壕片区）；7个二级分区：公共管理与公共服务用地、商业服务业用地、工矿用地、交通运输用地、公用设施用地、绿地与开敞空间用地和陆地水域。根据土地用途将防治分</w:t>
      </w:r>
      <w:r>
        <w:rPr>
          <w:rFonts w:ascii="Times New Roman" w:hAnsi="Times New Roman" w:eastAsia="仿宋_GB2312"/>
          <w:color w:val="000000" w:themeColor="text1"/>
          <w:spacing w:val="-5"/>
          <w14:textFill>
            <w14:solidFill>
              <w14:schemeClr w14:val="tx1"/>
            </w14:solidFill>
          </w14:textFill>
        </w:rPr>
        <w:t>区划分为</w:t>
      </w:r>
      <w:r>
        <w:rPr>
          <w:rFonts w:ascii="Times New Roman" w:hAnsi="Times New Roman" w:eastAsia="仿宋_GB2312"/>
          <w:color w:val="000000" w:themeColor="text1"/>
          <w14:textFill>
            <w14:solidFill>
              <w14:schemeClr w14:val="tx1"/>
            </w14:solidFill>
          </w14:textFill>
        </w:rPr>
        <w:t>12个三级分区：机关团体用地、商业用地、工业用地、城镇道路用地、交通场站用地、排水用地、供电用地、供燃气用地、环卫用地、消防用地、防护绿地和陆地水域。</w:t>
      </w:r>
    </w:p>
    <w:p w14:paraId="52B0DD58">
      <w:pPr>
        <w:pStyle w:val="12"/>
        <w:ind w:firstLine="482"/>
        <w:rPr>
          <w:rFonts w:ascii="Times New Roman" w:hAnsi="Times New Roman" w:eastAsia="仿宋_GB2312"/>
          <w:b/>
          <w:bCs/>
          <w:color w:val="000000" w:themeColor="text1"/>
          <w14:textFill>
            <w14:solidFill>
              <w14:schemeClr w14:val="tx1"/>
            </w14:solidFill>
          </w14:textFill>
        </w:rPr>
      </w:pPr>
      <w:r>
        <w:rPr>
          <w:rFonts w:ascii="Times New Roman" w:hAnsi="Times New Roman" w:eastAsia="仿宋_GB2312"/>
          <w:b/>
          <w:bCs/>
          <w:color w:val="000000" w:themeColor="text1"/>
          <w14:textFill>
            <w14:solidFill>
              <w14:schemeClr w14:val="tx1"/>
            </w14:solidFill>
          </w14:textFill>
        </w:rPr>
        <w:t>表5-</w:t>
      </w:r>
      <w:bookmarkStart w:id="430" w:name="_Hlk85412683"/>
      <w:r>
        <w:rPr>
          <w:rFonts w:ascii="Times New Roman" w:hAnsi="Times New Roman" w:eastAsia="仿宋_GB2312"/>
          <w:b/>
          <w:bCs/>
          <w:color w:val="000000" w:themeColor="text1"/>
          <w14:textFill>
            <w14:solidFill>
              <w14:schemeClr w14:val="tx1"/>
            </w14:solidFill>
          </w14:textFill>
        </w:rPr>
        <w:t xml:space="preserve">3                               </w:t>
      </w:r>
      <w:bookmarkEnd w:id="430"/>
      <w:r>
        <w:rPr>
          <w:rFonts w:ascii="Times New Roman" w:hAnsi="Times New Roman" w:eastAsia="仿宋_GB2312"/>
          <w:b/>
          <w:bCs/>
          <w:color w:val="000000" w:themeColor="text1"/>
          <w14:textFill>
            <w14:solidFill>
              <w14:schemeClr w14:val="tx1"/>
            </w14:solidFill>
          </w14:textFill>
        </w:rPr>
        <w:t>园区水土流失防治分区</w:t>
      </w:r>
      <w:r>
        <w:rPr>
          <w:rFonts w:ascii="Times New Roman" w:hAnsi="Times New Roman" w:eastAsia="仿宋_GB2312"/>
          <w:b/>
          <w:bCs/>
          <w:color w:val="000000" w:themeColor="text1"/>
          <w:spacing w:val="-10"/>
          <w14:textFill>
            <w14:solidFill>
              <w14:schemeClr w14:val="tx1"/>
            </w14:solidFill>
          </w14:textFill>
        </w:rPr>
        <w:t>表</w:t>
      </w:r>
      <w:r>
        <w:rPr>
          <w:rFonts w:ascii="Times New Roman" w:hAnsi="Times New Roman" w:eastAsia="仿宋_GB2312"/>
          <w:b/>
          <w:bCs/>
          <w:color w:val="000000" w:themeColor="text1"/>
          <w14:textFill>
            <w14:solidFill>
              <w14:schemeClr w14:val="tx1"/>
            </w14:solidFill>
          </w14:textFill>
        </w:rPr>
        <w:t xml:space="preserve">                         （单位：hm²）</w:t>
      </w:r>
    </w:p>
    <w:tbl>
      <w:tblPr>
        <w:tblStyle w:val="27"/>
        <w:tblW w:w="5000" w:type="pct"/>
        <w:tblInd w:w="0" w:type="dxa"/>
        <w:tblLayout w:type="autofit"/>
        <w:tblCellMar>
          <w:top w:w="0" w:type="dxa"/>
          <w:left w:w="108" w:type="dxa"/>
          <w:bottom w:w="0" w:type="dxa"/>
          <w:right w:w="108" w:type="dxa"/>
        </w:tblCellMar>
      </w:tblPr>
      <w:tblGrid>
        <w:gridCol w:w="3501"/>
        <w:gridCol w:w="3298"/>
        <w:gridCol w:w="2487"/>
      </w:tblGrid>
      <w:tr w14:paraId="30C0CA7F">
        <w:tblPrEx>
          <w:tblCellMar>
            <w:top w:w="0" w:type="dxa"/>
            <w:left w:w="108" w:type="dxa"/>
            <w:bottom w:w="0" w:type="dxa"/>
            <w:right w:w="108" w:type="dxa"/>
          </w:tblCellMar>
        </w:tblPrEx>
        <w:trPr>
          <w:trHeight w:val="397" w:hRule="atLeast"/>
        </w:trPr>
        <w:tc>
          <w:tcPr>
            <w:tcW w:w="1885" w:type="pct"/>
            <w:tcBorders>
              <w:top w:val="single" w:color="auto" w:sz="4" w:space="0"/>
              <w:left w:val="single" w:color="auto" w:sz="4" w:space="0"/>
              <w:bottom w:val="double" w:color="auto" w:sz="4" w:space="0"/>
              <w:right w:val="single" w:color="auto" w:sz="4" w:space="0"/>
            </w:tcBorders>
            <w:shd w:val="clear" w:color="auto" w:fill="auto"/>
            <w:vAlign w:val="center"/>
          </w:tcPr>
          <w:p w14:paraId="45E66F6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一级分区</w:t>
            </w:r>
          </w:p>
        </w:tc>
        <w:tc>
          <w:tcPr>
            <w:tcW w:w="1776" w:type="pct"/>
            <w:tcBorders>
              <w:top w:val="single" w:color="auto" w:sz="4" w:space="0"/>
              <w:left w:val="nil"/>
              <w:bottom w:val="double" w:color="auto" w:sz="4" w:space="0"/>
              <w:right w:val="single" w:color="auto" w:sz="4" w:space="0"/>
            </w:tcBorders>
            <w:shd w:val="clear" w:color="auto" w:fill="auto"/>
            <w:vAlign w:val="center"/>
          </w:tcPr>
          <w:p w14:paraId="15DD754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二级分区</w:t>
            </w:r>
          </w:p>
        </w:tc>
        <w:tc>
          <w:tcPr>
            <w:tcW w:w="1339" w:type="pct"/>
            <w:tcBorders>
              <w:top w:val="single" w:color="auto" w:sz="4" w:space="0"/>
              <w:left w:val="nil"/>
              <w:bottom w:val="double" w:color="auto" w:sz="4" w:space="0"/>
              <w:right w:val="single" w:color="auto" w:sz="4" w:space="0"/>
            </w:tcBorders>
            <w:shd w:val="clear" w:color="auto" w:fill="auto"/>
            <w:vAlign w:val="center"/>
          </w:tcPr>
          <w:p w14:paraId="205006D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三级分区</w:t>
            </w:r>
          </w:p>
        </w:tc>
      </w:tr>
      <w:tr w14:paraId="5E9DE199">
        <w:tblPrEx>
          <w:tblCellMar>
            <w:top w:w="0" w:type="dxa"/>
            <w:left w:w="108" w:type="dxa"/>
            <w:bottom w:w="0" w:type="dxa"/>
            <w:right w:w="108" w:type="dxa"/>
          </w:tblCellMar>
        </w:tblPrEx>
        <w:trPr>
          <w:trHeight w:val="397" w:hRule="atLeast"/>
        </w:trPr>
        <w:tc>
          <w:tcPr>
            <w:tcW w:w="1885" w:type="pct"/>
            <w:vMerge w:val="restart"/>
            <w:tcBorders>
              <w:top w:val="double" w:color="auto" w:sz="4" w:space="0"/>
              <w:left w:val="single" w:color="auto" w:sz="4" w:space="0"/>
              <w:bottom w:val="single" w:color="000000" w:sz="4" w:space="0"/>
              <w:right w:val="single" w:color="auto" w:sz="4" w:space="0"/>
            </w:tcBorders>
            <w:shd w:val="clear" w:color="auto" w:fill="auto"/>
            <w:vAlign w:val="center"/>
          </w:tcPr>
          <w:p w14:paraId="14889DA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1776" w:type="pct"/>
            <w:tcBorders>
              <w:top w:val="double" w:color="auto" w:sz="4" w:space="0"/>
              <w:left w:val="nil"/>
              <w:bottom w:val="single" w:color="auto" w:sz="4" w:space="0"/>
              <w:right w:val="single" w:color="auto" w:sz="4" w:space="0"/>
            </w:tcBorders>
            <w:shd w:val="clear" w:color="auto" w:fill="auto"/>
            <w:vAlign w:val="center"/>
          </w:tcPr>
          <w:p w14:paraId="0093274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公共管理与公共服务用地</w:t>
            </w:r>
          </w:p>
        </w:tc>
        <w:tc>
          <w:tcPr>
            <w:tcW w:w="1339" w:type="pct"/>
            <w:tcBorders>
              <w:top w:val="double" w:color="auto" w:sz="4" w:space="0"/>
              <w:left w:val="nil"/>
              <w:bottom w:val="single" w:color="auto" w:sz="4" w:space="0"/>
              <w:right w:val="single" w:color="auto" w:sz="4" w:space="0"/>
            </w:tcBorders>
            <w:shd w:val="clear" w:color="auto" w:fill="auto"/>
            <w:vAlign w:val="center"/>
          </w:tcPr>
          <w:p w14:paraId="179C4BF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机关团体用地</w:t>
            </w:r>
          </w:p>
        </w:tc>
      </w:tr>
      <w:tr w14:paraId="6C0E3753">
        <w:tblPrEx>
          <w:tblCellMar>
            <w:top w:w="0" w:type="dxa"/>
            <w:left w:w="108" w:type="dxa"/>
            <w:bottom w:w="0" w:type="dxa"/>
            <w:right w:w="108" w:type="dxa"/>
          </w:tblCellMar>
        </w:tblPrEx>
        <w:trPr>
          <w:trHeight w:val="397" w:hRule="atLeast"/>
        </w:trPr>
        <w:tc>
          <w:tcPr>
            <w:tcW w:w="1885" w:type="pct"/>
            <w:vMerge w:val="continue"/>
            <w:tcBorders>
              <w:top w:val="nil"/>
              <w:left w:val="single" w:color="auto" w:sz="4" w:space="0"/>
              <w:bottom w:val="single" w:color="000000" w:sz="4" w:space="0"/>
              <w:right w:val="single" w:color="auto" w:sz="4" w:space="0"/>
            </w:tcBorders>
            <w:vAlign w:val="center"/>
          </w:tcPr>
          <w:p w14:paraId="047BDD2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76" w:type="pct"/>
            <w:tcBorders>
              <w:top w:val="nil"/>
              <w:left w:val="nil"/>
              <w:bottom w:val="single" w:color="auto" w:sz="4" w:space="0"/>
              <w:right w:val="single" w:color="auto" w:sz="4" w:space="0"/>
            </w:tcBorders>
            <w:shd w:val="clear" w:color="auto" w:fill="auto"/>
            <w:vAlign w:val="center"/>
          </w:tcPr>
          <w:p w14:paraId="58BA1FA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商业服务业用地</w:t>
            </w:r>
          </w:p>
        </w:tc>
        <w:tc>
          <w:tcPr>
            <w:tcW w:w="1339" w:type="pct"/>
            <w:tcBorders>
              <w:top w:val="nil"/>
              <w:left w:val="nil"/>
              <w:bottom w:val="single" w:color="auto" w:sz="4" w:space="0"/>
              <w:right w:val="single" w:color="auto" w:sz="4" w:space="0"/>
            </w:tcBorders>
            <w:shd w:val="clear" w:color="auto" w:fill="auto"/>
            <w:noWrap/>
            <w:vAlign w:val="center"/>
          </w:tcPr>
          <w:p w14:paraId="6AAF516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商业用地</w:t>
            </w:r>
          </w:p>
        </w:tc>
      </w:tr>
      <w:tr w14:paraId="5EDA7B2D">
        <w:tblPrEx>
          <w:tblCellMar>
            <w:top w:w="0" w:type="dxa"/>
            <w:left w:w="108" w:type="dxa"/>
            <w:bottom w:w="0" w:type="dxa"/>
            <w:right w:w="108" w:type="dxa"/>
          </w:tblCellMar>
        </w:tblPrEx>
        <w:trPr>
          <w:trHeight w:val="397" w:hRule="atLeast"/>
        </w:trPr>
        <w:tc>
          <w:tcPr>
            <w:tcW w:w="1885" w:type="pct"/>
            <w:vMerge w:val="continue"/>
            <w:tcBorders>
              <w:top w:val="nil"/>
              <w:left w:val="single" w:color="auto" w:sz="4" w:space="0"/>
              <w:bottom w:val="single" w:color="000000" w:sz="4" w:space="0"/>
              <w:right w:val="single" w:color="auto" w:sz="4" w:space="0"/>
            </w:tcBorders>
            <w:vAlign w:val="center"/>
          </w:tcPr>
          <w:p w14:paraId="017ADEF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76" w:type="pct"/>
            <w:tcBorders>
              <w:top w:val="nil"/>
              <w:left w:val="nil"/>
              <w:bottom w:val="single" w:color="auto" w:sz="4" w:space="0"/>
              <w:right w:val="single" w:color="auto" w:sz="4" w:space="0"/>
            </w:tcBorders>
            <w:shd w:val="clear" w:color="auto" w:fill="auto"/>
            <w:vAlign w:val="center"/>
          </w:tcPr>
          <w:p w14:paraId="641E0EB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1339" w:type="pct"/>
            <w:tcBorders>
              <w:top w:val="nil"/>
              <w:left w:val="nil"/>
              <w:bottom w:val="single" w:color="auto" w:sz="4" w:space="0"/>
              <w:right w:val="single" w:color="auto" w:sz="4" w:space="0"/>
            </w:tcBorders>
            <w:shd w:val="clear" w:color="auto" w:fill="auto"/>
            <w:noWrap/>
            <w:vAlign w:val="center"/>
          </w:tcPr>
          <w:p w14:paraId="7F68B85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工业用地</w:t>
            </w:r>
          </w:p>
        </w:tc>
      </w:tr>
      <w:tr w14:paraId="6D21C120">
        <w:tblPrEx>
          <w:tblCellMar>
            <w:top w:w="0" w:type="dxa"/>
            <w:left w:w="108" w:type="dxa"/>
            <w:bottom w:w="0" w:type="dxa"/>
            <w:right w:w="108" w:type="dxa"/>
          </w:tblCellMar>
        </w:tblPrEx>
        <w:trPr>
          <w:trHeight w:val="397" w:hRule="atLeast"/>
        </w:trPr>
        <w:tc>
          <w:tcPr>
            <w:tcW w:w="1885" w:type="pct"/>
            <w:vMerge w:val="continue"/>
            <w:tcBorders>
              <w:top w:val="nil"/>
              <w:left w:val="single" w:color="auto" w:sz="4" w:space="0"/>
              <w:bottom w:val="single" w:color="000000" w:sz="4" w:space="0"/>
              <w:right w:val="single" w:color="auto" w:sz="4" w:space="0"/>
            </w:tcBorders>
            <w:vAlign w:val="center"/>
          </w:tcPr>
          <w:p w14:paraId="6621BBB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76" w:type="pct"/>
            <w:vMerge w:val="restart"/>
            <w:tcBorders>
              <w:top w:val="nil"/>
              <w:left w:val="single" w:color="auto" w:sz="4" w:space="0"/>
              <w:bottom w:val="single" w:color="auto" w:sz="4" w:space="0"/>
              <w:right w:val="single" w:color="auto" w:sz="4" w:space="0"/>
            </w:tcBorders>
            <w:shd w:val="clear" w:color="auto" w:fill="auto"/>
            <w:vAlign w:val="center"/>
          </w:tcPr>
          <w:p w14:paraId="5C85015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1339" w:type="pct"/>
            <w:tcBorders>
              <w:top w:val="nil"/>
              <w:left w:val="nil"/>
              <w:bottom w:val="single" w:color="auto" w:sz="4" w:space="0"/>
              <w:right w:val="single" w:color="auto" w:sz="4" w:space="0"/>
            </w:tcBorders>
            <w:shd w:val="clear" w:color="auto" w:fill="auto"/>
            <w:noWrap/>
            <w:vAlign w:val="center"/>
          </w:tcPr>
          <w:p w14:paraId="34CDF36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城镇道路用地</w:t>
            </w:r>
          </w:p>
        </w:tc>
      </w:tr>
      <w:tr w14:paraId="2B9B2BDD">
        <w:tblPrEx>
          <w:tblCellMar>
            <w:top w:w="0" w:type="dxa"/>
            <w:left w:w="108" w:type="dxa"/>
            <w:bottom w:w="0" w:type="dxa"/>
            <w:right w:w="108" w:type="dxa"/>
          </w:tblCellMar>
        </w:tblPrEx>
        <w:trPr>
          <w:trHeight w:val="397" w:hRule="atLeast"/>
        </w:trPr>
        <w:tc>
          <w:tcPr>
            <w:tcW w:w="1885" w:type="pct"/>
            <w:vMerge w:val="continue"/>
            <w:tcBorders>
              <w:top w:val="nil"/>
              <w:left w:val="single" w:color="auto" w:sz="4" w:space="0"/>
              <w:bottom w:val="single" w:color="000000" w:sz="4" w:space="0"/>
              <w:right w:val="single" w:color="auto" w:sz="4" w:space="0"/>
            </w:tcBorders>
            <w:vAlign w:val="center"/>
          </w:tcPr>
          <w:p w14:paraId="3B7EA44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76" w:type="pct"/>
            <w:vMerge w:val="continue"/>
            <w:tcBorders>
              <w:top w:val="nil"/>
              <w:left w:val="single" w:color="auto" w:sz="4" w:space="0"/>
              <w:bottom w:val="single" w:color="auto" w:sz="4" w:space="0"/>
              <w:right w:val="single" w:color="auto" w:sz="4" w:space="0"/>
            </w:tcBorders>
            <w:vAlign w:val="center"/>
          </w:tcPr>
          <w:p w14:paraId="28CC6EA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339" w:type="pct"/>
            <w:tcBorders>
              <w:top w:val="nil"/>
              <w:left w:val="nil"/>
              <w:bottom w:val="single" w:color="auto" w:sz="4" w:space="0"/>
              <w:right w:val="single" w:color="auto" w:sz="4" w:space="0"/>
            </w:tcBorders>
            <w:shd w:val="clear" w:color="auto" w:fill="auto"/>
            <w:noWrap/>
            <w:vAlign w:val="center"/>
          </w:tcPr>
          <w:p w14:paraId="6079BAF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交通场站用地</w:t>
            </w:r>
          </w:p>
        </w:tc>
      </w:tr>
      <w:tr w14:paraId="79F23EE9">
        <w:tblPrEx>
          <w:tblCellMar>
            <w:top w:w="0" w:type="dxa"/>
            <w:left w:w="108" w:type="dxa"/>
            <w:bottom w:w="0" w:type="dxa"/>
            <w:right w:w="108" w:type="dxa"/>
          </w:tblCellMar>
        </w:tblPrEx>
        <w:trPr>
          <w:trHeight w:val="397" w:hRule="atLeast"/>
        </w:trPr>
        <w:tc>
          <w:tcPr>
            <w:tcW w:w="1885" w:type="pct"/>
            <w:vMerge w:val="continue"/>
            <w:tcBorders>
              <w:top w:val="nil"/>
              <w:left w:val="single" w:color="auto" w:sz="4" w:space="0"/>
              <w:bottom w:val="single" w:color="000000" w:sz="4" w:space="0"/>
              <w:right w:val="single" w:color="auto" w:sz="4" w:space="0"/>
            </w:tcBorders>
            <w:vAlign w:val="center"/>
          </w:tcPr>
          <w:p w14:paraId="0483CF1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76" w:type="pct"/>
            <w:vMerge w:val="restart"/>
            <w:tcBorders>
              <w:top w:val="nil"/>
              <w:left w:val="single" w:color="auto" w:sz="4" w:space="0"/>
              <w:bottom w:val="single" w:color="auto" w:sz="4" w:space="0"/>
              <w:right w:val="single" w:color="auto" w:sz="4" w:space="0"/>
            </w:tcBorders>
            <w:shd w:val="clear" w:color="auto" w:fill="auto"/>
            <w:vAlign w:val="center"/>
          </w:tcPr>
          <w:p w14:paraId="7141659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公用设施用地</w:t>
            </w:r>
          </w:p>
        </w:tc>
        <w:tc>
          <w:tcPr>
            <w:tcW w:w="1339" w:type="pct"/>
            <w:tcBorders>
              <w:top w:val="nil"/>
              <w:left w:val="nil"/>
              <w:bottom w:val="single" w:color="auto" w:sz="4" w:space="0"/>
              <w:right w:val="single" w:color="auto" w:sz="4" w:space="0"/>
            </w:tcBorders>
            <w:shd w:val="clear" w:color="auto" w:fill="auto"/>
            <w:noWrap/>
            <w:vAlign w:val="center"/>
          </w:tcPr>
          <w:p w14:paraId="710C263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排水用地</w:t>
            </w:r>
          </w:p>
        </w:tc>
      </w:tr>
      <w:tr w14:paraId="3ED3608C">
        <w:tblPrEx>
          <w:tblCellMar>
            <w:top w:w="0" w:type="dxa"/>
            <w:left w:w="108" w:type="dxa"/>
            <w:bottom w:w="0" w:type="dxa"/>
            <w:right w:w="108" w:type="dxa"/>
          </w:tblCellMar>
        </w:tblPrEx>
        <w:trPr>
          <w:trHeight w:val="397" w:hRule="atLeast"/>
        </w:trPr>
        <w:tc>
          <w:tcPr>
            <w:tcW w:w="1885" w:type="pct"/>
            <w:vMerge w:val="continue"/>
            <w:tcBorders>
              <w:top w:val="nil"/>
              <w:left w:val="single" w:color="auto" w:sz="4" w:space="0"/>
              <w:bottom w:val="single" w:color="000000" w:sz="4" w:space="0"/>
              <w:right w:val="single" w:color="auto" w:sz="4" w:space="0"/>
            </w:tcBorders>
            <w:vAlign w:val="center"/>
          </w:tcPr>
          <w:p w14:paraId="5F2C78E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76" w:type="pct"/>
            <w:vMerge w:val="continue"/>
            <w:tcBorders>
              <w:top w:val="nil"/>
              <w:left w:val="single" w:color="auto" w:sz="4" w:space="0"/>
              <w:bottom w:val="single" w:color="auto" w:sz="4" w:space="0"/>
              <w:right w:val="single" w:color="auto" w:sz="4" w:space="0"/>
            </w:tcBorders>
            <w:vAlign w:val="center"/>
          </w:tcPr>
          <w:p w14:paraId="3436476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339" w:type="pct"/>
            <w:tcBorders>
              <w:top w:val="nil"/>
              <w:left w:val="nil"/>
              <w:bottom w:val="single" w:color="auto" w:sz="4" w:space="0"/>
              <w:right w:val="single" w:color="auto" w:sz="4" w:space="0"/>
            </w:tcBorders>
            <w:shd w:val="clear" w:color="auto" w:fill="auto"/>
            <w:noWrap/>
            <w:vAlign w:val="center"/>
          </w:tcPr>
          <w:p w14:paraId="50F62C2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供电用地</w:t>
            </w:r>
          </w:p>
        </w:tc>
      </w:tr>
      <w:tr w14:paraId="17F6E5BA">
        <w:tblPrEx>
          <w:tblCellMar>
            <w:top w:w="0" w:type="dxa"/>
            <w:left w:w="108" w:type="dxa"/>
            <w:bottom w:w="0" w:type="dxa"/>
            <w:right w:w="108" w:type="dxa"/>
          </w:tblCellMar>
        </w:tblPrEx>
        <w:trPr>
          <w:trHeight w:val="397" w:hRule="atLeast"/>
        </w:trPr>
        <w:tc>
          <w:tcPr>
            <w:tcW w:w="1885" w:type="pct"/>
            <w:vMerge w:val="continue"/>
            <w:tcBorders>
              <w:top w:val="nil"/>
              <w:left w:val="single" w:color="auto" w:sz="4" w:space="0"/>
              <w:bottom w:val="single" w:color="000000" w:sz="4" w:space="0"/>
              <w:right w:val="single" w:color="auto" w:sz="4" w:space="0"/>
            </w:tcBorders>
            <w:vAlign w:val="center"/>
          </w:tcPr>
          <w:p w14:paraId="4B110E6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76" w:type="pct"/>
            <w:vMerge w:val="continue"/>
            <w:tcBorders>
              <w:top w:val="nil"/>
              <w:left w:val="single" w:color="auto" w:sz="4" w:space="0"/>
              <w:bottom w:val="single" w:color="auto" w:sz="4" w:space="0"/>
              <w:right w:val="single" w:color="auto" w:sz="4" w:space="0"/>
            </w:tcBorders>
            <w:vAlign w:val="center"/>
          </w:tcPr>
          <w:p w14:paraId="7F03C28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339" w:type="pct"/>
            <w:tcBorders>
              <w:top w:val="nil"/>
              <w:left w:val="nil"/>
              <w:bottom w:val="single" w:color="auto" w:sz="4" w:space="0"/>
              <w:right w:val="single" w:color="auto" w:sz="4" w:space="0"/>
            </w:tcBorders>
            <w:shd w:val="clear" w:color="auto" w:fill="auto"/>
            <w:noWrap/>
            <w:vAlign w:val="center"/>
          </w:tcPr>
          <w:p w14:paraId="1A90671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供燃气用地</w:t>
            </w:r>
          </w:p>
        </w:tc>
      </w:tr>
      <w:tr w14:paraId="7FC03E75">
        <w:tblPrEx>
          <w:tblCellMar>
            <w:top w:w="0" w:type="dxa"/>
            <w:left w:w="108" w:type="dxa"/>
            <w:bottom w:w="0" w:type="dxa"/>
            <w:right w:w="108" w:type="dxa"/>
          </w:tblCellMar>
        </w:tblPrEx>
        <w:trPr>
          <w:trHeight w:val="397" w:hRule="atLeast"/>
        </w:trPr>
        <w:tc>
          <w:tcPr>
            <w:tcW w:w="1885" w:type="pct"/>
            <w:vMerge w:val="continue"/>
            <w:tcBorders>
              <w:top w:val="nil"/>
              <w:left w:val="single" w:color="auto" w:sz="4" w:space="0"/>
              <w:bottom w:val="single" w:color="000000" w:sz="4" w:space="0"/>
              <w:right w:val="single" w:color="auto" w:sz="4" w:space="0"/>
            </w:tcBorders>
            <w:vAlign w:val="center"/>
          </w:tcPr>
          <w:p w14:paraId="728EC32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76" w:type="pct"/>
            <w:vMerge w:val="continue"/>
            <w:tcBorders>
              <w:top w:val="nil"/>
              <w:left w:val="single" w:color="auto" w:sz="4" w:space="0"/>
              <w:bottom w:val="single" w:color="auto" w:sz="4" w:space="0"/>
              <w:right w:val="single" w:color="auto" w:sz="4" w:space="0"/>
            </w:tcBorders>
            <w:vAlign w:val="center"/>
          </w:tcPr>
          <w:p w14:paraId="46185E9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339" w:type="pct"/>
            <w:tcBorders>
              <w:top w:val="nil"/>
              <w:left w:val="nil"/>
              <w:bottom w:val="single" w:color="auto" w:sz="4" w:space="0"/>
              <w:right w:val="single" w:color="auto" w:sz="4" w:space="0"/>
            </w:tcBorders>
            <w:shd w:val="clear" w:color="auto" w:fill="auto"/>
            <w:noWrap/>
            <w:vAlign w:val="center"/>
          </w:tcPr>
          <w:p w14:paraId="6D50313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环卫用地</w:t>
            </w:r>
          </w:p>
        </w:tc>
      </w:tr>
      <w:tr w14:paraId="4224609B">
        <w:tblPrEx>
          <w:tblCellMar>
            <w:top w:w="0" w:type="dxa"/>
            <w:left w:w="108" w:type="dxa"/>
            <w:bottom w:w="0" w:type="dxa"/>
            <w:right w:w="108" w:type="dxa"/>
          </w:tblCellMar>
        </w:tblPrEx>
        <w:trPr>
          <w:trHeight w:val="397" w:hRule="atLeast"/>
        </w:trPr>
        <w:tc>
          <w:tcPr>
            <w:tcW w:w="1885" w:type="pct"/>
            <w:vMerge w:val="continue"/>
            <w:tcBorders>
              <w:top w:val="nil"/>
              <w:left w:val="single" w:color="auto" w:sz="4" w:space="0"/>
              <w:bottom w:val="single" w:color="000000" w:sz="4" w:space="0"/>
              <w:right w:val="single" w:color="auto" w:sz="4" w:space="0"/>
            </w:tcBorders>
            <w:vAlign w:val="center"/>
          </w:tcPr>
          <w:p w14:paraId="441092A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76" w:type="pct"/>
            <w:vMerge w:val="continue"/>
            <w:tcBorders>
              <w:top w:val="nil"/>
              <w:left w:val="single" w:color="auto" w:sz="4" w:space="0"/>
              <w:bottom w:val="single" w:color="auto" w:sz="4" w:space="0"/>
              <w:right w:val="single" w:color="auto" w:sz="4" w:space="0"/>
            </w:tcBorders>
            <w:vAlign w:val="center"/>
          </w:tcPr>
          <w:p w14:paraId="3D5B69A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339" w:type="pct"/>
            <w:tcBorders>
              <w:top w:val="nil"/>
              <w:left w:val="nil"/>
              <w:bottom w:val="single" w:color="auto" w:sz="4" w:space="0"/>
              <w:right w:val="single" w:color="auto" w:sz="4" w:space="0"/>
            </w:tcBorders>
            <w:shd w:val="clear" w:color="auto" w:fill="auto"/>
            <w:noWrap/>
            <w:vAlign w:val="center"/>
          </w:tcPr>
          <w:p w14:paraId="59E6089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消防用地</w:t>
            </w:r>
          </w:p>
        </w:tc>
      </w:tr>
      <w:tr w14:paraId="4290F3C5">
        <w:tblPrEx>
          <w:tblCellMar>
            <w:top w:w="0" w:type="dxa"/>
            <w:left w:w="108" w:type="dxa"/>
            <w:bottom w:w="0" w:type="dxa"/>
            <w:right w:w="108" w:type="dxa"/>
          </w:tblCellMar>
        </w:tblPrEx>
        <w:trPr>
          <w:trHeight w:val="397" w:hRule="atLeast"/>
        </w:trPr>
        <w:tc>
          <w:tcPr>
            <w:tcW w:w="1885" w:type="pct"/>
            <w:vMerge w:val="continue"/>
            <w:tcBorders>
              <w:top w:val="nil"/>
              <w:left w:val="single" w:color="auto" w:sz="4" w:space="0"/>
              <w:bottom w:val="single" w:color="000000" w:sz="4" w:space="0"/>
              <w:right w:val="single" w:color="auto" w:sz="4" w:space="0"/>
            </w:tcBorders>
            <w:vAlign w:val="center"/>
          </w:tcPr>
          <w:p w14:paraId="0B3315B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76" w:type="pct"/>
            <w:tcBorders>
              <w:top w:val="nil"/>
              <w:left w:val="nil"/>
              <w:bottom w:val="single" w:color="auto" w:sz="4" w:space="0"/>
              <w:right w:val="single" w:color="auto" w:sz="4" w:space="0"/>
            </w:tcBorders>
            <w:shd w:val="clear" w:color="auto" w:fill="auto"/>
            <w:vAlign w:val="center"/>
          </w:tcPr>
          <w:p w14:paraId="0233289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1339" w:type="pct"/>
            <w:tcBorders>
              <w:top w:val="nil"/>
              <w:left w:val="nil"/>
              <w:bottom w:val="single" w:color="auto" w:sz="4" w:space="0"/>
              <w:right w:val="single" w:color="auto" w:sz="4" w:space="0"/>
            </w:tcBorders>
            <w:shd w:val="clear" w:color="auto" w:fill="auto"/>
            <w:noWrap/>
            <w:vAlign w:val="center"/>
          </w:tcPr>
          <w:p w14:paraId="5EC03D0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防护绿地</w:t>
            </w:r>
          </w:p>
        </w:tc>
      </w:tr>
      <w:tr w14:paraId="483AE675">
        <w:tblPrEx>
          <w:tblCellMar>
            <w:top w:w="0" w:type="dxa"/>
            <w:left w:w="108" w:type="dxa"/>
            <w:bottom w:w="0" w:type="dxa"/>
            <w:right w:w="108" w:type="dxa"/>
          </w:tblCellMar>
        </w:tblPrEx>
        <w:trPr>
          <w:trHeight w:val="397" w:hRule="atLeast"/>
        </w:trPr>
        <w:tc>
          <w:tcPr>
            <w:tcW w:w="1885" w:type="pct"/>
            <w:vMerge w:val="restart"/>
            <w:tcBorders>
              <w:top w:val="nil"/>
              <w:left w:val="single" w:color="auto" w:sz="4" w:space="0"/>
              <w:bottom w:val="single" w:color="auto" w:sz="4" w:space="0"/>
              <w:right w:val="single" w:color="auto" w:sz="4" w:space="0"/>
            </w:tcBorders>
            <w:shd w:val="clear" w:color="auto" w:fill="auto"/>
            <w:vAlign w:val="center"/>
          </w:tcPr>
          <w:p w14:paraId="3773D98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1776" w:type="pct"/>
            <w:tcBorders>
              <w:top w:val="nil"/>
              <w:left w:val="nil"/>
              <w:bottom w:val="single" w:color="auto" w:sz="4" w:space="0"/>
              <w:right w:val="single" w:color="auto" w:sz="4" w:space="0"/>
            </w:tcBorders>
            <w:shd w:val="clear" w:color="auto" w:fill="auto"/>
            <w:vAlign w:val="center"/>
          </w:tcPr>
          <w:p w14:paraId="173A843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1339" w:type="pct"/>
            <w:tcBorders>
              <w:top w:val="nil"/>
              <w:left w:val="nil"/>
              <w:bottom w:val="single" w:color="auto" w:sz="4" w:space="0"/>
              <w:right w:val="single" w:color="auto" w:sz="4" w:space="0"/>
            </w:tcBorders>
            <w:shd w:val="clear" w:color="auto" w:fill="auto"/>
            <w:noWrap/>
            <w:vAlign w:val="center"/>
          </w:tcPr>
          <w:p w14:paraId="58C5912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工业用地</w:t>
            </w:r>
          </w:p>
        </w:tc>
      </w:tr>
      <w:tr w14:paraId="75219707">
        <w:tblPrEx>
          <w:tblCellMar>
            <w:top w:w="0" w:type="dxa"/>
            <w:left w:w="108" w:type="dxa"/>
            <w:bottom w:w="0" w:type="dxa"/>
            <w:right w:w="108" w:type="dxa"/>
          </w:tblCellMar>
        </w:tblPrEx>
        <w:trPr>
          <w:trHeight w:val="397" w:hRule="atLeast"/>
        </w:trPr>
        <w:tc>
          <w:tcPr>
            <w:tcW w:w="1885" w:type="pct"/>
            <w:vMerge w:val="continue"/>
            <w:tcBorders>
              <w:top w:val="nil"/>
              <w:left w:val="single" w:color="auto" w:sz="4" w:space="0"/>
              <w:bottom w:val="single" w:color="auto" w:sz="4" w:space="0"/>
              <w:right w:val="single" w:color="auto" w:sz="4" w:space="0"/>
            </w:tcBorders>
            <w:vAlign w:val="center"/>
          </w:tcPr>
          <w:p w14:paraId="33016EB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76" w:type="pct"/>
            <w:tcBorders>
              <w:top w:val="nil"/>
              <w:left w:val="nil"/>
              <w:bottom w:val="single" w:color="auto" w:sz="4" w:space="0"/>
              <w:right w:val="single" w:color="auto" w:sz="4" w:space="0"/>
            </w:tcBorders>
            <w:shd w:val="clear" w:color="auto" w:fill="auto"/>
            <w:vAlign w:val="center"/>
          </w:tcPr>
          <w:p w14:paraId="2014A2A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1339" w:type="pct"/>
            <w:tcBorders>
              <w:top w:val="nil"/>
              <w:left w:val="nil"/>
              <w:bottom w:val="single" w:color="auto" w:sz="4" w:space="0"/>
              <w:right w:val="single" w:color="auto" w:sz="4" w:space="0"/>
            </w:tcBorders>
            <w:shd w:val="clear" w:color="auto" w:fill="auto"/>
            <w:noWrap/>
            <w:vAlign w:val="center"/>
          </w:tcPr>
          <w:p w14:paraId="23913D0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城镇道路用地</w:t>
            </w:r>
          </w:p>
        </w:tc>
      </w:tr>
      <w:tr w14:paraId="06808B58">
        <w:tblPrEx>
          <w:tblCellMar>
            <w:top w:w="0" w:type="dxa"/>
            <w:left w:w="108" w:type="dxa"/>
            <w:bottom w:w="0" w:type="dxa"/>
            <w:right w:w="108" w:type="dxa"/>
          </w:tblCellMar>
        </w:tblPrEx>
        <w:trPr>
          <w:trHeight w:val="397" w:hRule="atLeast"/>
        </w:trPr>
        <w:tc>
          <w:tcPr>
            <w:tcW w:w="1885" w:type="pct"/>
            <w:vMerge w:val="continue"/>
            <w:tcBorders>
              <w:top w:val="nil"/>
              <w:left w:val="single" w:color="auto" w:sz="4" w:space="0"/>
              <w:bottom w:val="single" w:color="auto" w:sz="4" w:space="0"/>
              <w:right w:val="single" w:color="auto" w:sz="4" w:space="0"/>
            </w:tcBorders>
            <w:vAlign w:val="center"/>
          </w:tcPr>
          <w:p w14:paraId="261E5CA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76" w:type="pct"/>
            <w:tcBorders>
              <w:top w:val="nil"/>
              <w:left w:val="nil"/>
              <w:bottom w:val="single" w:color="auto" w:sz="4" w:space="0"/>
              <w:right w:val="single" w:color="auto" w:sz="4" w:space="0"/>
            </w:tcBorders>
            <w:shd w:val="clear" w:color="auto" w:fill="auto"/>
            <w:vAlign w:val="center"/>
          </w:tcPr>
          <w:p w14:paraId="726773C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1339" w:type="pct"/>
            <w:tcBorders>
              <w:top w:val="nil"/>
              <w:left w:val="nil"/>
              <w:bottom w:val="single" w:color="auto" w:sz="4" w:space="0"/>
              <w:right w:val="single" w:color="auto" w:sz="4" w:space="0"/>
            </w:tcBorders>
            <w:shd w:val="clear" w:color="auto" w:fill="auto"/>
            <w:noWrap/>
            <w:vAlign w:val="center"/>
          </w:tcPr>
          <w:p w14:paraId="0036FF3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防护绿地</w:t>
            </w:r>
          </w:p>
        </w:tc>
      </w:tr>
      <w:tr w14:paraId="36DFEDBD">
        <w:tblPrEx>
          <w:tblCellMar>
            <w:top w:w="0" w:type="dxa"/>
            <w:left w:w="108" w:type="dxa"/>
            <w:bottom w:w="0" w:type="dxa"/>
            <w:right w:w="108" w:type="dxa"/>
          </w:tblCellMar>
        </w:tblPrEx>
        <w:trPr>
          <w:trHeight w:val="397" w:hRule="atLeast"/>
        </w:trPr>
        <w:tc>
          <w:tcPr>
            <w:tcW w:w="1885" w:type="pct"/>
            <w:vMerge w:val="continue"/>
            <w:tcBorders>
              <w:top w:val="nil"/>
              <w:left w:val="single" w:color="auto" w:sz="4" w:space="0"/>
              <w:bottom w:val="single" w:color="auto" w:sz="4" w:space="0"/>
              <w:right w:val="single" w:color="auto" w:sz="4" w:space="0"/>
            </w:tcBorders>
            <w:vAlign w:val="center"/>
          </w:tcPr>
          <w:p w14:paraId="1E1DA96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76" w:type="pct"/>
            <w:tcBorders>
              <w:top w:val="nil"/>
              <w:left w:val="nil"/>
              <w:bottom w:val="single" w:color="auto" w:sz="4" w:space="0"/>
              <w:right w:val="single" w:color="auto" w:sz="4" w:space="0"/>
            </w:tcBorders>
            <w:shd w:val="clear" w:color="auto" w:fill="auto"/>
            <w:noWrap/>
            <w:vAlign w:val="center"/>
          </w:tcPr>
          <w:p w14:paraId="052B464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陆地水域</w:t>
            </w:r>
          </w:p>
        </w:tc>
        <w:tc>
          <w:tcPr>
            <w:tcW w:w="1339" w:type="pct"/>
            <w:tcBorders>
              <w:top w:val="nil"/>
              <w:left w:val="nil"/>
              <w:bottom w:val="single" w:color="auto" w:sz="4" w:space="0"/>
              <w:right w:val="single" w:color="auto" w:sz="4" w:space="0"/>
            </w:tcBorders>
            <w:shd w:val="clear" w:color="auto" w:fill="auto"/>
            <w:noWrap/>
            <w:vAlign w:val="center"/>
          </w:tcPr>
          <w:p w14:paraId="7D07BAA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陆地水域</w:t>
            </w:r>
          </w:p>
        </w:tc>
      </w:tr>
    </w:tbl>
    <w:p w14:paraId="2E59BFB0">
      <w:pPr>
        <w:pStyle w:val="3"/>
        <w:spacing w:before="120" w:after="120"/>
      </w:pPr>
      <w:bookmarkStart w:id="431" w:name="_Toc4863479"/>
      <w:bookmarkEnd w:id="431"/>
      <w:bookmarkStart w:id="432" w:name="_Toc4863478"/>
      <w:bookmarkEnd w:id="432"/>
      <w:bookmarkStart w:id="433" w:name="_Toc152535484"/>
      <w:bookmarkStart w:id="434" w:name="_Toc85444459"/>
      <w:bookmarkStart w:id="435" w:name="_Toc85444608"/>
      <w:bookmarkStart w:id="436" w:name="_Toc88821227"/>
      <w:bookmarkStart w:id="437" w:name="_Toc85444735"/>
      <w:bookmarkStart w:id="438" w:name="_Toc88833988"/>
      <w:r>
        <w:t>水土保持措施体系</w:t>
      </w:r>
      <w:bookmarkEnd w:id="433"/>
      <w:bookmarkEnd w:id="434"/>
      <w:bookmarkEnd w:id="435"/>
      <w:bookmarkEnd w:id="436"/>
      <w:bookmarkEnd w:id="437"/>
      <w:bookmarkEnd w:id="438"/>
    </w:p>
    <w:p w14:paraId="280B4F14">
      <w:pPr>
        <w:pStyle w:val="4"/>
        <w:spacing w:before="120" w:after="120"/>
      </w:pPr>
      <w:bookmarkStart w:id="439" w:name="_Toc85444609"/>
      <w:r>
        <w:t>水土保持措施布设原则</w:t>
      </w:r>
      <w:bookmarkEnd w:id="439"/>
    </w:p>
    <w:p w14:paraId="65C67E1B">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为维护本园区建设及运行的安全，保护项目建设区生态环境，园区水土保持</w:t>
      </w:r>
      <w:r>
        <w:rPr>
          <w:rFonts w:ascii="Times New Roman" w:hAnsi="Times New Roman" w:eastAsia="仿宋_GB2312"/>
          <w:color w:val="000000" w:themeColor="text1"/>
          <w14:textFill>
            <w14:solidFill>
              <w14:schemeClr w14:val="tx1"/>
            </w14:solidFill>
          </w14:textFill>
        </w:rPr>
        <w:t>工程设计中必须坚持“预防为主、保护优先、全面规划、</w:t>
      </w:r>
      <w:r>
        <w:rPr>
          <w:rFonts w:ascii="Times New Roman" w:hAnsi="Times New Roman" w:eastAsia="仿宋_GB2312"/>
          <w:color w:val="000000" w:themeColor="text1"/>
          <w:spacing w:val="2"/>
          <w14:textFill>
            <w14:solidFill>
              <w14:schemeClr w14:val="tx1"/>
            </w14:solidFill>
          </w14:textFill>
        </w:rPr>
        <w:t>综</w:t>
      </w:r>
      <w:r>
        <w:rPr>
          <w:rFonts w:ascii="Times New Roman" w:hAnsi="Times New Roman" w:eastAsia="仿宋_GB2312"/>
          <w:color w:val="000000" w:themeColor="text1"/>
          <w:spacing w:val="12"/>
          <w:position w:val="-1"/>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治理、因地制宜、突出重点、科学管理、注重效益”的水土保持方针，遵循生态规律和经济规律，结</w:t>
      </w:r>
      <w:r>
        <w:rPr>
          <w:rFonts w:ascii="Times New Roman" w:hAnsi="Times New Roman" w:eastAsia="仿宋_GB2312"/>
          <w:color w:val="000000" w:themeColor="text1"/>
          <w:spacing w:val="10"/>
          <w:position w:val="-2"/>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园区规划的特点</w:t>
      </w:r>
      <w:r>
        <w:rPr>
          <w:rFonts w:ascii="Times New Roman" w:hAnsi="Times New Roman" w:eastAsia="仿宋_GB2312"/>
          <w:color w:val="000000" w:themeColor="text1"/>
          <w:spacing w:val="10"/>
          <w:position w:val="-2"/>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理进行水土保持措施布设。据此，在水土保持措施设计中应遵循以下原则：</w:t>
      </w:r>
    </w:p>
    <w:p w14:paraId="3D4EDF1A">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（1）采取分区治理，工程措施与植物措施相</w:t>
      </w:r>
      <w:r>
        <w:rPr>
          <w:rFonts w:ascii="Times New Roman" w:hAnsi="Times New Roman" w:eastAsia="仿宋_GB2312"/>
          <w:color w:val="000000" w:themeColor="text1"/>
          <w:spacing w:val="2"/>
          <w14:textFill>
            <w14:solidFill>
              <w14:schemeClr w14:val="tx1"/>
            </w14:solidFill>
          </w14:textFill>
        </w:rPr>
        <w:t>结</w:t>
      </w:r>
      <w:r>
        <w:rPr>
          <w:rFonts w:ascii="Times New Roman" w:hAnsi="Times New Roman" w:eastAsia="仿宋_GB2312"/>
          <w:color w:val="000000" w:themeColor="text1"/>
          <w:spacing w:val="12"/>
          <w:position w:val="-2"/>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，永久措施与临时措施相结</w:t>
      </w:r>
      <w:r>
        <w:rPr>
          <w:rFonts w:ascii="Times New Roman" w:hAnsi="Times New Roman" w:eastAsia="仿宋_GB2312"/>
          <w:color w:val="000000" w:themeColor="text1"/>
          <w:spacing w:val="10"/>
          <w:position w:val="-2"/>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的原则。园区建设过程中，应根据</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14:textFill>
            <w14:solidFill>
              <w14:schemeClr w14:val="tx1"/>
            </w14:solidFill>
          </w14:textFill>
        </w:rPr>
        <w:t>分区的地形地貌、水土流失特点及施工布置，分别采取适当的防治措施。</w:t>
      </w:r>
    </w:p>
    <w:p w14:paraId="19793BA1">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（2）注重防治措施的时效性的原则。注意</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14:textFill>
            <w14:solidFill>
              <w14:schemeClr w14:val="tx1"/>
            </w14:solidFill>
          </w14:textFill>
        </w:rPr>
        <w:t>种防护措施在时间安排上的</w:t>
      </w:r>
      <w:r>
        <w:rPr>
          <w:rFonts w:ascii="Times New Roman" w:hAnsi="Times New Roman" w:eastAsia="仿宋_GB2312"/>
          <w:color w:val="000000" w:themeColor="text1"/>
          <w:spacing w:val="10"/>
          <w:position w:val="-1"/>
          <w14:textFill>
            <w14:solidFill>
              <w14:schemeClr w14:val="tx1"/>
            </w14:solidFill>
          </w14:textFill>
        </w:rPr>
        <w:t>合</w:t>
      </w:r>
      <w:r>
        <w:rPr>
          <w:rFonts w:ascii="Times New Roman" w:hAnsi="Times New Roman" w:eastAsia="仿宋_GB2312"/>
          <w:color w:val="000000" w:themeColor="text1"/>
          <w:spacing w:val="-4"/>
          <w14:textFill>
            <w14:solidFill>
              <w14:schemeClr w14:val="tx1"/>
            </w14:solidFill>
          </w14:textFill>
        </w:rPr>
        <w:t>理性，使</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spacing w:val="-4"/>
          <w14:textFill>
            <w14:solidFill>
              <w14:schemeClr w14:val="tx1"/>
            </w14:solidFill>
          </w14:textFill>
        </w:rPr>
        <w:t>种措施充分发挥其效能。工业场地平整等施工前，应事先做好开挖扰</w:t>
      </w:r>
      <w:r>
        <w:rPr>
          <w:rFonts w:ascii="Times New Roman" w:hAnsi="Times New Roman" w:eastAsia="仿宋_GB2312"/>
          <w:color w:val="000000" w:themeColor="text1"/>
          <w:spacing w:val="-6"/>
          <w14:textFill>
            <w14:solidFill>
              <w14:schemeClr w14:val="tx1"/>
            </w14:solidFill>
          </w14:textFill>
        </w:rPr>
        <w:t>动区的防护措施及表土剥离临时堆存的防护措施，以有效防止施工过程中的水土</w:t>
      </w:r>
      <w:r>
        <w:rPr>
          <w:rFonts w:ascii="Times New Roman" w:hAnsi="Times New Roman" w:eastAsia="仿宋_GB2312"/>
          <w:color w:val="000000" w:themeColor="text1"/>
          <w:spacing w:val="-4"/>
          <w14:textFill>
            <w14:solidFill>
              <w14:schemeClr w14:val="tx1"/>
            </w14:solidFill>
          </w14:textFill>
        </w:rPr>
        <w:t>流失。</w:t>
      </w:r>
    </w:p>
    <w:p w14:paraId="37925E4E">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（3）坚持不重复不漏，系统全面的原则。将园区建设范围内已有的水土保持措施作为本园区水土保持措施的重要组成部分</w:t>
      </w:r>
      <w:r>
        <w:rPr>
          <w:rFonts w:ascii="Times New Roman" w:hAnsi="Times New Roman" w:eastAsia="仿宋_GB2312"/>
          <w:color w:val="000000" w:themeColor="text1"/>
          <w:spacing w:val="-89"/>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同时补充完善</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14:textFill>
            <w14:solidFill>
              <w14:schemeClr w14:val="tx1"/>
            </w14:solidFill>
          </w14:textFill>
        </w:rPr>
        <w:t>分区新增的水</w:t>
      </w:r>
      <w:r>
        <w:rPr>
          <w:rFonts w:ascii="Times New Roman" w:hAnsi="Times New Roman" w:eastAsia="仿宋_GB2312"/>
          <w:color w:val="000000" w:themeColor="text1"/>
          <w:spacing w:val="-1"/>
          <w14:textFill>
            <w14:solidFill>
              <w14:schemeClr w14:val="tx1"/>
            </w14:solidFill>
          </w14:textFill>
        </w:rPr>
        <w:t>土保持措施设计，形成完整的水土流失防治措施体系。</w:t>
      </w:r>
    </w:p>
    <w:p w14:paraId="377ACC8F">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（4）植物措施布设与所在区域的景观协调、乔灌</w:t>
      </w:r>
      <w:r>
        <w:rPr>
          <w:rFonts w:ascii="Times New Roman" w:hAnsi="Times New Roman" w:eastAsia="仿宋_GB2312"/>
          <w:color w:val="000000" w:themeColor="text1"/>
          <w:spacing w:val="2"/>
          <w14:textFill>
            <w14:solidFill>
              <w14:schemeClr w14:val="tx1"/>
            </w14:solidFill>
          </w14:textFill>
        </w:rPr>
        <w:t>草</w:t>
      </w:r>
      <w:r>
        <w:rPr>
          <w:rFonts w:ascii="Times New Roman" w:hAnsi="Times New Roman" w:eastAsia="仿宋_GB2312"/>
          <w:color w:val="000000" w:themeColor="text1"/>
          <w:spacing w:val="12"/>
          <w:position w:val="-2"/>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理配置原则。植被选</w:t>
      </w:r>
      <w:r>
        <w:rPr>
          <w:rFonts w:ascii="Times New Roman" w:hAnsi="Times New Roman" w:eastAsia="仿宋_GB2312"/>
          <w:color w:val="000000" w:themeColor="text1"/>
          <w:spacing w:val="-4"/>
          <w14:textFill>
            <w14:solidFill>
              <w14:schemeClr w14:val="tx1"/>
            </w14:solidFill>
          </w14:textFill>
        </w:rPr>
        <w:t>择尽量选择不易招致鸟虫、抗逆性强的乡土树草种。绿地与开敞空间用地和陆地水域两侧以景观绿化为主；道路两侧行道树考虑选择乔木；公共管理与公共服务用地、商业服务业用地、工矿用地、公用设施用地以植乔灌草绿化为主</w:t>
      </w:r>
      <w:r>
        <w:rPr>
          <w:rFonts w:ascii="Times New Roman" w:hAnsi="Times New Roman" w:eastAsia="仿宋_GB2312"/>
          <w:color w:val="000000" w:themeColor="text1"/>
          <w14:textFill>
            <w14:solidFill>
              <w14:schemeClr w14:val="tx1"/>
            </w14:solidFill>
          </w14:textFill>
        </w:rPr>
        <w:t>。</w:t>
      </w:r>
    </w:p>
    <w:p w14:paraId="4C94810C">
      <w:pPr>
        <w:pStyle w:val="12"/>
        <w:ind w:firstLine="480"/>
        <w:rPr>
          <w:rFonts w:ascii="Times New Roman" w:hAnsi="Times New Roman" w:eastAsia="仿宋_GB2312"/>
          <w:color w:val="000000" w:themeColor="text1"/>
          <w:spacing w:val="-4"/>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（5）经济、有效、实用的原则。对于重点水土流失区的防护措施应进行多</w:t>
      </w:r>
      <w:r>
        <w:rPr>
          <w:rFonts w:ascii="Times New Roman" w:hAnsi="Times New Roman" w:eastAsia="仿宋_GB2312"/>
          <w:color w:val="000000" w:themeColor="text1"/>
          <w:spacing w:val="-4"/>
          <w14:textFill>
            <w14:solidFill>
              <w14:schemeClr w14:val="tx1"/>
            </w14:solidFill>
          </w14:textFill>
        </w:rPr>
        <w:t>方案比选，确定投入、效果比最佳方案，节省工程投资，保证效果，同时具有可操作性。</w:t>
      </w:r>
    </w:p>
    <w:p w14:paraId="0206D50F">
      <w:pPr>
        <w:spacing w:line="240" w:lineRule="auto"/>
        <w:ind w:firstLine="0" w:firstLineChars="0"/>
        <w:jc w:val="left"/>
        <w:rPr>
          <w:rFonts w:cs="Times New Roman"/>
          <w:color w:val="000000" w:themeColor="text1"/>
          <w:spacing w:val="-4"/>
          <w:szCs w:val="20"/>
          <w14:textFill>
            <w14:solidFill>
              <w14:schemeClr w14:val="tx1"/>
            </w14:solidFill>
          </w14:textFill>
        </w:rPr>
      </w:pPr>
      <w:r>
        <w:rPr>
          <w:color w:val="000000" w:themeColor="text1"/>
          <w:spacing w:val="-4"/>
          <w14:textFill>
            <w14:solidFill>
              <w14:schemeClr w14:val="tx1"/>
            </w14:solidFill>
          </w14:textFill>
        </w:rPr>
        <w:br w:type="page"/>
      </w:r>
    </w:p>
    <w:p w14:paraId="71E56123">
      <w:pPr>
        <w:pStyle w:val="4"/>
        <w:spacing w:before="120" w:after="120"/>
      </w:pPr>
      <w:r>
        <w:t>防治措施体系</w:t>
      </w:r>
    </w:p>
    <w:p w14:paraId="38D7255D">
      <w:pPr>
        <w:pStyle w:val="12"/>
        <w:spacing w:line="440" w:lineRule="exact"/>
        <w:ind w:firstLine="480"/>
        <w:rPr>
          <w:rFonts w:ascii="Times New Roman" w:hAnsi="Times New Roman" w:eastAsia="仿宋_GB2312"/>
          <w:color w:val="000000" w:themeColor="text1"/>
          <w14:textFill>
            <w14:solidFill>
              <w14:schemeClr w14:val="tx1"/>
            </w14:solidFill>
          </w14:textFill>
        </w:rPr>
      </w:pPr>
      <w:bookmarkStart w:id="440" w:name="_Hlk142484321"/>
      <w:r>
        <w:rPr>
          <w:rFonts w:ascii="Times New Roman" w:hAnsi="Times New Roman" w:eastAsia="仿宋_GB2312"/>
          <w:color w:val="000000" w:themeColor="text1"/>
          <w14:textFill>
            <w14:solidFill>
              <w14:schemeClr w14:val="tx1"/>
            </w14:solidFill>
          </w14:textFill>
        </w:rPr>
        <w:t>对包头金山经济开发区建设范围内已有的水土保持措施功能的分析评价的基础上，提出防治水土流失需要补充、完善和细化的防治措施和内容，形成综防治措施体系。防治措施注重</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14:textFill>
            <w14:solidFill>
              <w14:schemeClr w14:val="tx1"/>
            </w14:solidFill>
          </w14:textFill>
        </w:rPr>
        <w:t>分区的关联性、系统性和科学性，将水土保持工程措施、植物措施和临时措施有机结</w:t>
      </w:r>
      <w:r>
        <w:rPr>
          <w:rFonts w:ascii="Times New Roman" w:hAnsi="Times New Roman" w:eastAsia="仿宋_GB2312"/>
          <w:color w:val="000000" w:themeColor="text1"/>
          <w:spacing w:val="10"/>
          <w:position w:val="-2"/>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，有效控制防治责任范围内的水土流失</w:t>
      </w:r>
      <w:r>
        <w:rPr>
          <w:rFonts w:ascii="Times New Roman" w:hAnsi="Times New Roman" w:eastAsia="仿宋_GB2312"/>
          <w:color w:val="000000" w:themeColor="text1"/>
          <w:spacing w:val="-89"/>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使包头金山经济开发区周边生态环境得到明显改善</w:t>
      </w:r>
      <w:r>
        <w:rPr>
          <w:rFonts w:ascii="Times New Roman" w:hAnsi="Times New Roman" w:eastAsia="仿宋_GB2312"/>
          <w:color w:val="000000" w:themeColor="text1"/>
          <w:spacing w:val="-89"/>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包头金山经济开发区水土流失防治措施体系详见表5-4。</w:t>
      </w:r>
    </w:p>
    <w:p w14:paraId="18286CD3">
      <w:pPr>
        <w:pStyle w:val="44"/>
        <w:rPr>
          <w:color w:val="000000" w:themeColor="text1"/>
          <w:spacing w:val="-10"/>
          <w:lang w:eastAsia="zh-CN"/>
          <w14:textFill>
            <w14:solidFill>
              <w14:schemeClr w14:val="tx1"/>
            </w14:solidFill>
          </w14:textFill>
        </w:rPr>
      </w:pPr>
      <w:r>
        <w:rPr>
          <w:color w:val="000000" w:themeColor="text1"/>
          <w:lang w:eastAsia="zh-CN"/>
          <w14:textFill>
            <w14:solidFill>
              <w14:schemeClr w14:val="tx1"/>
            </w14:solidFill>
          </w14:textFill>
        </w:rPr>
        <w:t>表5-</w:t>
      </w:r>
      <w:r>
        <w:rPr>
          <w:color w:val="000000" w:themeColor="text1"/>
          <w:spacing w:val="-12"/>
          <w:lang w:eastAsia="zh-CN"/>
          <w14:textFill>
            <w14:solidFill>
              <w14:schemeClr w14:val="tx1"/>
            </w14:solidFill>
          </w14:textFill>
        </w:rPr>
        <w:t>4</w:t>
      </w:r>
      <w:r>
        <w:rPr>
          <w:color w:val="000000" w:themeColor="text1"/>
          <w:lang w:eastAsia="zh-CN"/>
          <w14:textFill>
            <w14:solidFill>
              <w14:schemeClr w14:val="tx1"/>
            </w14:solidFill>
          </w14:textFill>
        </w:rPr>
        <w:t xml:space="preserve">                             产业园水土流失防治措施体系</w:t>
      </w:r>
      <w:r>
        <w:rPr>
          <w:color w:val="000000" w:themeColor="text1"/>
          <w:spacing w:val="-10"/>
          <w:lang w:eastAsia="zh-CN"/>
          <w14:textFill>
            <w14:solidFill>
              <w14:schemeClr w14:val="tx1"/>
            </w14:solidFill>
          </w14:textFill>
        </w:rPr>
        <w:t>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1173"/>
        <w:gridCol w:w="708"/>
        <w:gridCol w:w="1134"/>
        <w:gridCol w:w="5096"/>
      </w:tblGrid>
      <w:tr w14:paraId="23A4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0" w:type="auto"/>
            <w:shd w:val="clear" w:color="auto" w:fill="auto"/>
            <w:vAlign w:val="center"/>
          </w:tcPr>
          <w:p w14:paraId="389C1A8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防治分区</w:t>
            </w:r>
          </w:p>
        </w:tc>
        <w:tc>
          <w:tcPr>
            <w:tcW w:w="1173" w:type="dxa"/>
            <w:shd w:val="clear" w:color="auto" w:fill="auto"/>
            <w:vAlign w:val="center"/>
          </w:tcPr>
          <w:p w14:paraId="5B3B105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708" w:type="dxa"/>
            <w:shd w:val="clear" w:color="auto" w:fill="auto"/>
            <w:vAlign w:val="center"/>
          </w:tcPr>
          <w:p w14:paraId="1FF0C41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措施类型</w:t>
            </w:r>
          </w:p>
        </w:tc>
        <w:tc>
          <w:tcPr>
            <w:tcW w:w="1134" w:type="dxa"/>
            <w:shd w:val="clear" w:color="auto" w:fill="auto"/>
            <w:vAlign w:val="center"/>
          </w:tcPr>
          <w:p w14:paraId="2B1F667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5096" w:type="dxa"/>
            <w:shd w:val="clear" w:color="auto" w:fill="auto"/>
            <w:vAlign w:val="center"/>
          </w:tcPr>
          <w:p w14:paraId="7E684FC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布设情况</w:t>
            </w:r>
          </w:p>
        </w:tc>
      </w:tr>
      <w:tr w14:paraId="0058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restart"/>
            <w:shd w:val="clear" w:color="auto" w:fill="auto"/>
            <w:vAlign w:val="center"/>
          </w:tcPr>
          <w:p w14:paraId="3FA7EDF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1173" w:type="dxa"/>
            <w:vMerge w:val="restart"/>
            <w:shd w:val="clear" w:color="auto" w:fill="auto"/>
            <w:noWrap/>
            <w:vAlign w:val="center"/>
          </w:tcPr>
          <w:p w14:paraId="401AC93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公共管理与公共服务用地</w:t>
            </w:r>
          </w:p>
        </w:tc>
        <w:tc>
          <w:tcPr>
            <w:tcW w:w="708" w:type="dxa"/>
            <w:vMerge w:val="restart"/>
            <w:shd w:val="clear" w:color="auto" w:fill="auto"/>
            <w:vAlign w:val="center"/>
          </w:tcPr>
          <w:p w14:paraId="135A4D2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工程措施</w:t>
            </w:r>
          </w:p>
        </w:tc>
        <w:tc>
          <w:tcPr>
            <w:tcW w:w="1134" w:type="dxa"/>
            <w:shd w:val="clear" w:color="auto" w:fill="auto"/>
            <w:vAlign w:val="center"/>
          </w:tcPr>
          <w:p w14:paraId="6109732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表土剥离</w:t>
            </w:r>
          </w:p>
        </w:tc>
        <w:tc>
          <w:tcPr>
            <w:tcW w:w="5096" w:type="dxa"/>
            <w:shd w:val="clear" w:color="auto" w:fill="auto"/>
            <w:vAlign w:val="center"/>
          </w:tcPr>
          <w:p w14:paraId="3DE60EF3">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对位于本评估报告规划的表土剥离区域，进行表土剥离，剥离厚度0.15-0.3m，临时堆放在项目内空地或者表土中转场。</w:t>
            </w:r>
          </w:p>
        </w:tc>
      </w:tr>
      <w:tr w14:paraId="077B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shd w:val="clear" w:color="auto" w:fill="auto"/>
            <w:vAlign w:val="center"/>
          </w:tcPr>
          <w:p w14:paraId="09C8551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shd w:val="clear" w:color="auto" w:fill="auto"/>
            <w:noWrap/>
            <w:vAlign w:val="center"/>
          </w:tcPr>
          <w:p w14:paraId="472F226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shd w:val="clear" w:color="auto" w:fill="auto"/>
          </w:tcPr>
          <w:p w14:paraId="78ED8B4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44743FF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土地整治</w:t>
            </w:r>
            <w:r>
              <w:rPr>
                <w:rFonts w:hint="eastAsia" w:cs="Times New Roman"/>
                <w:color w:val="000000" w:themeColor="text1"/>
                <w:sz w:val="21"/>
                <w:szCs w:val="21"/>
                <w14:textFill>
                  <w14:solidFill>
                    <w14:schemeClr w14:val="tx1"/>
                  </w14:solidFill>
                </w14:textFill>
              </w:rPr>
              <w:t>（含表土回覆）</w:t>
            </w:r>
          </w:p>
        </w:tc>
        <w:tc>
          <w:tcPr>
            <w:tcW w:w="5096" w:type="dxa"/>
            <w:shd w:val="clear" w:color="auto" w:fill="auto"/>
            <w:vAlign w:val="center"/>
          </w:tcPr>
          <w:p w14:paraId="5D9A1619">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施工结束后对项目所产生的扰动区进行土地整治，主要是剔除垃圾、大块石、整平，为植被恢复创造有利条件。施工结束后对项目内绿化区域覆表土，来源于自身剥离的表土或表土中转场地，覆土厚度不低于 15cm，需要达到所配置植物生长的必要厚度。</w:t>
            </w:r>
          </w:p>
        </w:tc>
      </w:tr>
      <w:tr w14:paraId="6DDFE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shd w:val="clear" w:color="auto" w:fill="auto"/>
            <w:vAlign w:val="center"/>
          </w:tcPr>
          <w:p w14:paraId="7477A6C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shd w:val="clear" w:color="auto" w:fill="auto"/>
            <w:noWrap/>
            <w:vAlign w:val="center"/>
          </w:tcPr>
          <w:p w14:paraId="40F6FB9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shd w:val="clear" w:color="auto" w:fill="auto"/>
          </w:tcPr>
          <w:p w14:paraId="0A61194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3649451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透水(植草)砖铺装</w:t>
            </w:r>
          </w:p>
        </w:tc>
        <w:tc>
          <w:tcPr>
            <w:tcW w:w="5096" w:type="dxa"/>
            <w:shd w:val="clear" w:color="auto" w:fill="auto"/>
            <w:vAlign w:val="center"/>
          </w:tcPr>
          <w:p w14:paraId="3BF0B13E">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项目区内硬化除路面外尽量采用透水(植草)砖硬化，增加降雨入渗。</w:t>
            </w:r>
          </w:p>
        </w:tc>
      </w:tr>
      <w:tr w14:paraId="1817A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shd w:val="clear" w:color="auto" w:fill="auto"/>
            <w:vAlign w:val="center"/>
          </w:tcPr>
          <w:p w14:paraId="49FDC21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shd w:val="clear" w:color="auto" w:fill="auto"/>
            <w:noWrap/>
            <w:vAlign w:val="center"/>
          </w:tcPr>
          <w:p w14:paraId="199C878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shd w:val="clear" w:color="auto" w:fill="auto"/>
          </w:tcPr>
          <w:p w14:paraId="32EEF76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7DDB539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雨水排水设施</w:t>
            </w:r>
          </w:p>
        </w:tc>
        <w:tc>
          <w:tcPr>
            <w:tcW w:w="5096" w:type="dxa"/>
            <w:shd w:val="clear" w:color="auto" w:fill="auto"/>
            <w:vAlign w:val="center"/>
          </w:tcPr>
          <w:p w14:paraId="4E317793">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尽量采用雨水排水暗管，无条件时采用排水明沟，末端设消力池或其他消能措施。</w:t>
            </w:r>
          </w:p>
        </w:tc>
      </w:tr>
      <w:tr w14:paraId="7DDC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shd w:val="clear" w:color="auto" w:fill="auto"/>
            <w:vAlign w:val="center"/>
          </w:tcPr>
          <w:p w14:paraId="408E092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shd w:val="clear" w:color="auto" w:fill="auto"/>
            <w:noWrap/>
            <w:vAlign w:val="center"/>
          </w:tcPr>
          <w:p w14:paraId="172B94D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shd w:val="clear" w:color="auto" w:fill="auto"/>
          </w:tcPr>
          <w:p w14:paraId="62FE924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2A04D91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节水灌溉</w:t>
            </w:r>
          </w:p>
        </w:tc>
        <w:tc>
          <w:tcPr>
            <w:tcW w:w="5096" w:type="dxa"/>
            <w:shd w:val="clear" w:color="auto" w:fill="auto"/>
            <w:vAlign w:val="center"/>
          </w:tcPr>
          <w:p w14:paraId="5484BF5A">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绿化区域需有灌溉措施，采用喷灌、滴管等节水灌溉措施</w:t>
            </w:r>
          </w:p>
        </w:tc>
      </w:tr>
      <w:tr w14:paraId="15BD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4CDDB55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33A1E25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shd w:val="clear" w:color="auto" w:fill="auto"/>
            <w:vAlign w:val="center"/>
          </w:tcPr>
          <w:p w14:paraId="3192D07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植物措施</w:t>
            </w:r>
          </w:p>
        </w:tc>
        <w:tc>
          <w:tcPr>
            <w:tcW w:w="1134" w:type="dxa"/>
            <w:shd w:val="clear" w:color="auto" w:fill="auto"/>
            <w:vAlign w:val="center"/>
          </w:tcPr>
          <w:p w14:paraId="5C5A4E7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造林种草</w:t>
            </w:r>
          </w:p>
        </w:tc>
        <w:tc>
          <w:tcPr>
            <w:tcW w:w="5096" w:type="dxa"/>
            <w:shd w:val="clear" w:color="auto" w:fill="auto"/>
            <w:vAlign w:val="center"/>
          </w:tcPr>
          <w:p w14:paraId="4FD88CD2">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项目内部除建筑物和硬化以外的扰动区全部进行绿化，有条件的采用乔灌草结合绿化，也可以采用单一的人工种草绿化。</w:t>
            </w:r>
          </w:p>
        </w:tc>
      </w:tr>
      <w:tr w14:paraId="3815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04AE67A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30A1C44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shd w:val="clear" w:color="auto" w:fill="auto"/>
            <w:vAlign w:val="center"/>
          </w:tcPr>
          <w:p w14:paraId="53923874">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临时措施</w:t>
            </w:r>
          </w:p>
        </w:tc>
        <w:tc>
          <w:tcPr>
            <w:tcW w:w="1134" w:type="dxa"/>
            <w:shd w:val="clear" w:color="auto" w:fill="auto"/>
            <w:vAlign w:val="center"/>
          </w:tcPr>
          <w:p w14:paraId="2B31434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临时苫盖</w:t>
            </w:r>
          </w:p>
        </w:tc>
        <w:tc>
          <w:tcPr>
            <w:tcW w:w="5096" w:type="dxa"/>
            <w:shd w:val="clear" w:color="auto" w:fill="auto"/>
            <w:vAlign w:val="center"/>
          </w:tcPr>
          <w:p w14:paraId="5D1C7679">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采用密目网对临时堆放的表土和回填土苫盖，防止起尘。</w:t>
            </w:r>
          </w:p>
        </w:tc>
      </w:tr>
      <w:tr w14:paraId="5E10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39C85E0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restart"/>
            <w:shd w:val="clear" w:color="auto" w:fill="auto"/>
            <w:vAlign w:val="center"/>
          </w:tcPr>
          <w:p w14:paraId="700917B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商业服务业用地</w:t>
            </w:r>
          </w:p>
        </w:tc>
        <w:tc>
          <w:tcPr>
            <w:tcW w:w="708" w:type="dxa"/>
            <w:vMerge w:val="restart"/>
            <w:shd w:val="clear" w:color="auto" w:fill="auto"/>
            <w:vAlign w:val="center"/>
          </w:tcPr>
          <w:p w14:paraId="52C914C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工程措施</w:t>
            </w:r>
          </w:p>
        </w:tc>
        <w:tc>
          <w:tcPr>
            <w:tcW w:w="1134" w:type="dxa"/>
            <w:shd w:val="clear" w:color="auto" w:fill="auto"/>
            <w:vAlign w:val="center"/>
          </w:tcPr>
          <w:p w14:paraId="119FCF3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表土剥离</w:t>
            </w:r>
          </w:p>
        </w:tc>
        <w:tc>
          <w:tcPr>
            <w:tcW w:w="5096" w:type="dxa"/>
            <w:shd w:val="clear" w:color="auto" w:fill="auto"/>
            <w:vAlign w:val="center"/>
          </w:tcPr>
          <w:p w14:paraId="143C3EF0">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对位于本评估报告规划的表土剥离区域，进行表土剥离，剥离厚度0.15-0.3m，临时堆放在项目内空地或者表土中转场。</w:t>
            </w:r>
          </w:p>
        </w:tc>
      </w:tr>
      <w:tr w14:paraId="65343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3697A17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17DB8B1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747884B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6F26970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土地整治（含表土回覆）</w:t>
            </w:r>
          </w:p>
        </w:tc>
        <w:tc>
          <w:tcPr>
            <w:tcW w:w="5096" w:type="dxa"/>
            <w:shd w:val="clear" w:color="auto" w:fill="auto"/>
            <w:vAlign w:val="center"/>
          </w:tcPr>
          <w:p w14:paraId="4A59F9E7">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施工结束后对项目所产生的扰动区进行土地整治，主要是剔除垃圾、大块石、整平，为植被恢复创造有利条件。施工结束后对项目内绿化区域覆表土，来源于自身剥离的表土或表土中转场地，覆土厚度不低于 15cm，需要达到所配置植物生长的必要厚度。</w:t>
            </w:r>
          </w:p>
        </w:tc>
      </w:tr>
      <w:tr w14:paraId="3E3A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3777D1B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1A5EB23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7DA6527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625DB2E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透水(植草)砖铺装</w:t>
            </w:r>
          </w:p>
        </w:tc>
        <w:tc>
          <w:tcPr>
            <w:tcW w:w="5096" w:type="dxa"/>
            <w:shd w:val="clear" w:color="auto" w:fill="auto"/>
            <w:vAlign w:val="center"/>
          </w:tcPr>
          <w:p w14:paraId="6B20356B">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项目区内硬化除路面外尽量采用透水(植草)砖硬化，增加降雨入渗。</w:t>
            </w:r>
          </w:p>
        </w:tc>
      </w:tr>
      <w:tr w14:paraId="1180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3D6203C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516C410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28F3DB2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531B537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雨水排水设施</w:t>
            </w:r>
          </w:p>
        </w:tc>
        <w:tc>
          <w:tcPr>
            <w:tcW w:w="5096" w:type="dxa"/>
            <w:shd w:val="clear" w:color="auto" w:fill="auto"/>
            <w:vAlign w:val="center"/>
          </w:tcPr>
          <w:p w14:paraId="27A16753">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尽量采用雨水排水暗管，无条件时采用排水明沟，末端设消力池或其他消能措施。</w:t>
            </w:r>
          </w:p>
        </w:tc>
      </w:tr>
      <w:tr w14:paraId="05D2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3179185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1DF353D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4D7D088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1EB39E6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节水灌溉</w:t>
            </w:r>
          </w:p>
        </w:tc>
        <w:tc>
          <w:tcPr>
            <w:tcW w:w="5096" w:type="dxa"/>
            <w:shd w:val="clear" w:color="auto" w:fill="auto"/>
            <w:vAlign w:val="center"/>
          </w:tcPr>
          <w:p w14:paraId="7566AA3D">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绿化区域需有灌溉措施，采用喷灌、滴管等节水灌溉措施</w:t>
            </w:r>
          </w:p>
        </w:tc>
      </w:tr>
      <w:tr w14:paraId="7515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06130E9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0CC75E6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shd w:val="clear" w:color="auto" w:fill="auto"/>
            <w:vAlign w:val="center"/>
          </w:tcPr>
          <w:p w14:paraId="2F425E1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植物措施</w:t>
            </w:r>
          </w:p>
        </w:tc>
        <w:tc>
          <w:tcPr>
            <w:tcW w:w="1134" w:type="dxa"/>
            <w:shd w:val="clear" w:color="auto" w:fill="auto"/>
            <w:vAlign w:val="center"/>
          </w:tcPr>
          <w:p w14:paraId="7F98E27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造林种草</w:t>
            </w:r>
          </w:p>
        </w:tc>
        <w:tc>
          <w:tcPr>
            <w:tcW w:w="5096" w:type="dxa"/>
            <w:shd w:val="clear" w:color="auto" w:fill="auto"/>
            <w:vAlign w:val="center"/>
          </w:tcPr>
          <w:p w14:paraId="17502523">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项目内部除建筑物和硬化以外的扰动区全部进行绿化，有条件的采用乔灌草结合绿化，也可以采用单一的人工种草绿化。</w:t>
            </w:r>
          </w:p>
        </w:tc>
      </w:tr>
      <w:tr w14:paraId="4EF9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2C5B8B0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69B908C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Align w:val="center"/>
          </w:tcPr>
          <w:p w14:paraId="2275CD2B">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临时措施</w:t>
            </w:r>
          </w:p>
        </w:tc>
        <w:tc>
          <w:tcPr>
            <w:tcW w:w="1134" w:type="dxa"/>
            <w:shd w:val="clear" w:color="auto" w:fill="auto"/>
            <w:vAlign w:val="center"/>
          </w:tcPr>
          <w:p w14:paraId="047ECA9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临时苫盖</w:t>
            </w:r>
          </w:p>
        </w:tc>
        <w:tc>
          <w:tcPr>
            <w:tcW w:w="5096" w:type="dxa"/>
            <w:shd w:val="clear" w:color="auto" w:fill="auto"/>
            <w:vAlign w:val="center"/>
          </w:tcPr>
          <w:p w14:paraId="567BE5A1">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采用密目网对临时堆放的表土和回填土苫盖，防止起尘。</w:t>
            </w:r>
          </w:p>
        </w:tc>
      </w:tr>
      <w:tr w14:paraId="4592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4001FC5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restart"/>
            <w:shd w:val="clear" w:color="auto" w:fill="auto"/>
            <w:vAlign w:val="center"/>
          </w:tcPr>
          <w:p w14:paraId="0175D71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708" w:type="dxa"/>
            <w:vMerge w:val="restart"/>
            <w:shd w:val="clear" w:color="auto" w:fill="auto"/>
            <w:vAlign w:val="center"/>
          </w:tcPr>
          <w:p w14:paraId="6BD35A3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工程措施</w:t>
            </w:r>
          </w:p>
        </w:tc>
        <w:tc>
          <w:tcPr>
            <w:tcW w:w="1134" w:type="dxa"/>
            <w:shd w:val="clear" w:color="auto" w:fill="auto"/>
            <w:vAlign w:val="center"/>
          </w:tcPr>
          <w:p w14:paraId="03E0C47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表土剥离</w:t>
            </w:r>
          </w:p>
        </w:tc>
        <w:tc>
          <w:tcPr>
            <w:tcW w:w="5096" w:type="dxa"/>
            <w:shd w:val="clear" w:color="auto" w:fill="auto"/>
            <w:vAlign w:val="center"/>
          </w:tcPr>
          <w:p w14:paraId="7F9E0D35">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对位于本评估报告规划的表土剥离区域，进行表土剥离，剥离厚度0.15-0.3m，临时堆放在项目内空地或者表土中转场。</w:t>
            </w:r>
          </w:p>
        </w:tc>
      </w:tr>
      <w:tr w14:paraId="2F9A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2773CB7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0C78531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70B9F74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51F8094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土地整治（含表土回覆）</w:t>
            </w:r>
          </w:p>
        </w:tc>
        <w:tc>
          <w:tcPr>
            <w:tcW w:w="5096" w:type="dxa"/>
            <w:shd w:val="clear" w:color="auto" w:fill="auto"/>
            <w:vAlign w:val="center"/>
          </w:tcPr>
          <w:p w14:paraId="617F26C6">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施工结束后对项目所产生的扰动区进行土地整治，主要是剔除垃圾、大块石、整平，为植被恢复创造有利条件。施工结束后对项目内绿化区域覆表土，来源于自身剥离的表土或表土中转场地，覆土厚度不低于 15cm，需要达到所配置植物生长的必要厚度。</w:t>
            </w:r>
          </w:p>
        </w:tc>
      </w:tr>
      <w:tr w14:paraId="748D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184AD91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5A25070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358A976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4710266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透水(植草)砖铺装</w:t>
            </w:r>
          </w:p>
        </w:tc>
        <w:tc>
          <w:tcPr>
            <w:tcW w:w="5096" w:type="dxa"/>
            <w:shd w:val="clear" w:color="auto" w:fill="auto"/>
            <w:vAlign w:val="center"/>
          </w:tcPr>
          <w:p w14:paraId="6EB8F063">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项目区内硬化除路面外尽量采用透水(植草)砖硬化，增加降雨入渗。</w:t>
            </w:r>
          </w:p>
        </w:tc>
      </w:tr>
      <w:tr w14:paraId="2ADD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0AF16AB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24515AB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6AC1354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6F8ABDF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雨水排水设施</w:t>
            </w:r>
          </w:p>
        </w:tc>
        <w:tc>
          <w:tcPr>
            <w:tcW w:w="5096" w:type="dxa"/>
            <w:shd w:val="clear" w:color="auto" w:fill="auto"/>
            <w:vAlign w:val="center"/>
          </w:tcPr>
          <w:p w14:paraId="44804E81">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尽量采用雨水排水暗管，无条件时采用排水明沟，末端设消力池或其他消能措施。</w:t>
            </w:r>
          </w:p>
        </w:tc>
      </w:tr>
      <w:tr w14:paraId="0AB6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415C5DD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32CF984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4064BC8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4DBD66C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蓄水池</w:t>
            </w:r>
          </w:p>
        </w:tc>
        <w:tc>
          <w:tcPr>
            <w:tcW w:w="5096" w:type="dxa"/>
            <w:shd w:val="clear" w:color="auto" w:fill="auto"/>
            <w:vAlign w:val="center"/>
          </w:tcPr>
          <w:p w14:paraId="18EAAD61">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收集积蓄雨水，可作为灌溉用水。</w:t>
            </w:r>
          </w:p>
        </w:tc>
      </w:tr>
      <w:tr w14:paraId="229B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49D15D0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18CA356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79E5028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5BD6E50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节水灌溉</w:t>
            </w:r>
          </w:p>
        </w:tc>
        <w:tc>
          <w:tcPr>
            <w:tcW w:w="5096" w:type="dxa"/>
            <w:shd w:val="clear" w:color="auto" w:fill="auto"/>
            <w:vAlign w:val="center"/>
          </w:tcPr>
          <w:p w14:paraId="11883CFC">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绿化区域需有灌溉措施，采用喷灌、滴管等节水灌溉措施</w:t>
            </w:r>
          </w:p>
        </w:tc>
      </w:tr>
      <w:tr w14:paraId="0D1B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4F485E6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3B7BD67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42F151F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0E619FC1">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碎石压盖</w:t>
            </w:r>
          </w:p>
        </w:tc>
        <w:tc>
          <w:tcPr>
            <w:tcW w:w="5096" w:type="dxa"/>
            <w:shd w:val="clear" w:color="auto" w:fill="auto"/>
            <w:vAlign w:val="center"/>
          </w:tcPr>
          <w:p w14:paraId="382F45A5">
            <w:pPr>
              <w:spacing w:line="240" w:lineRule="auto"/>
              <w:ind w:firstLine="0" w:firstLineChars="0"/>
              <w:jc w:val="left"/>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施工裸露场地宜布设碎石压盖措施，碎石压盖增加了地表径流下渗率，起到蓄水保土的作用。</w:t>
            </w:r>
          </w:p>
        </w:tc>
      </w:tr>
      <w:tr w14:paraId="4A34E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5108D6D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61289AB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7B4E84D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108325EF">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边坡防护</w:t>
            </w:r>
          </w:p>
        </w:tc>
        <w:tc>
          <w:tcPr>
            <w:tcW w:w="5096" w:type="dxa"/>
            <w:shd w:val="clear" w:color="auto" w:fill="auto"/>
            <w:vAlign w:val="center"/>
          </w:tcPr>
          <w:p w14:paraId="3C054D04">
            <w:pPr>
              <w:spacing w:line="240" w:lineRule="auto"/>
              <w:ind w:firstLine="0" w:firstLineChars="0"/>
              <w:jc w:val="left"/>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边坡分为工程护坡和植草护坡。</w:t>
            </w:r>
          </w:p>
        </w:tc>
      </w:tr>
      <w:tr w14:paraId="1B4B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73E4387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5DD289F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shd w:val="clear" w:color="auto" w:fill="auto"/>
            <w:vAlign w:val="center"/>
          </w:tcPr>
          <w:p w14:paraId="77FD32D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植物措施</w:t>
            </w:r>
          </w:p>
        </w:tc>
        <w:tc>
          <w:tcPr>
            <w:tcW w:w="1134" w:type="dxa"/>
            <w:shd w:val="clear" w:color="auto" w:fill="auto"/>
            <w:vAlign w:val="center"/>
          </w:tcPr>
          <w:p w14:paraId="11C1954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造林种草</w:t>
            </w:r>
          </w:p>
        </w:tc>
        <w:tc>
          <w:tcPr>
            <w:tcW w:w="5096" w:type="dxa"/>
            <w:shd w:val="clear" w:color="auto" w:fill="auto"/>
            <w:vAlign w:val="center"/>
          </w:tcPr>
          <w:p w14:paraId="3C40511A">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项目内部除建筑物和硬化以外的扰动区全部进行绿化，有条件的采用乔灌草结合绿化，也可以采用单一的人工种草绿化。</w:t>
            </w:r>
          </w:p>
        </w:tc>
      </w:tr>
      <w:tr w14:paraId="4509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4F1AD1F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446037D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restart"/>
            <w:shd w:val="clear" w:color="auto" w:fill="auto"/>
            <w:vAlign w:val="center"/>
          </w:tcPr>
          <w:p w14:paraId="571CCCA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临时措施</w:t>
            </w:r>
          </w:p>
        </w:tc>
        <w:tc>
          <w:tcPr>
            <w:tcW w:w="1134" w:type="dxa"/>
            <w:shd w:val="clear" w:color="auto" w:fill="auto"/>
            <w:vAlign w:val="center"/>
          </w:tcPr>
          <w:p w14:paraId="35CD86B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临时拦挡</w:t>
            </w:r>
          </w:p>
        </w:tc>
        <w:tc>
          <w:tcPr>
            <w:tcW w:w="5096" w:type="dxa"/>
            <w:shd w:val="clear" w:color="auto" w:fill="auto"/>
            <w:vAlign w:val="center"/>
          </w:tcPr>
          <w:p w14:paraId="78175D59">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项目区内临时堆放的表土和回填土进行临时拦挡，采用土袋挡墙或其他形式的挡墙。</w:t>
            </w:r>
          </w:p>
        </w:tc>
      </w:tr>
      <w:tr w14:paraId="4825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3079F89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15AFFBF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09C6981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3BBAB28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临时苫盖</w:t>
            </w:r>
          </w:p>
        </w:tc>
        <w:tc>
          <w:tcPr>
            <w:tcW w:w="5096" w:type="dxa"/>
            <w:shd w:val="clear" w:color="auto" w:fill="auto"/>
            <w:vAlign w:val="center"/>
          </w:tcPr>
          <w:p w14:paraId="62046DB4">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采用密目网对临时堆放的表土和回填土苫盖，防止起尘。</w:t>
            </w:r>
          </w:p>
        </w:tc>
      </w:tr>
      <w:tr w14:paraId="4831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5405254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6FE9617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6B9B0A7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064DD44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临时撒草</w:t>
            </w:r>
          </w:p>
        </w:tc>
        <w:tc>
          <w:tcPr>
            <w:tcW w:w="5096" w:type="dxa"/>
            <w:shd w:val="clear" w:color="auto" w:fill="auto"/>
            <w:vAlign w:val="center"/>
          </w:tcPr>
          <w:p w14:paraId="6AD86E55">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表土及回填土堆存时间超过 1 年，应该撒草防护。</w:t>
            </w:r>
          </w:p>
        </w:tc>
      </w:tr>
      <w:tr w14:paraId="70EB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7304ADE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12EA69D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0A8074D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33B59BF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临时排水</w:t>
            </w:r>
          </w:p>
        </w:tc>
        <w:tc>
          <w:tcPr>
            <w:tcW w:w="5096" w:type="dxa"/>
            <w:shd w:val="clear" w:color="auto" w:fill="auto"/>
            <w:vAlign w:val="center"/>
          </w:tcPr>
          <w:p w14:paraId="54BD0399">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表土及回填土经历雨季，周边应考虑临时排水及沉砂池。</w:t>
            </w:r>
          </w:p>
        </w:tc>
      </w:tr>
      <w:tr w14:paraId="147B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0436F80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restart"/>
            <w:shd w:val="clear" w:color="auto" w:fill="auto"/>
            <w:vAlign w:val="center"/>
          </w:tcPr>
          <w:p w14:paraId="4517420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708" w:type="dxa"/>
            <w:vMerge w:val="restart"/>
            <w:shd w:val="clear" w:color="auto" w:fill="auto"/>
            <w:vAlign w:val="center"/>
          </w:tcPr>
          <w:p w14:paraId="3CD8617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工程措施</w:t>
            </w:r>
          </w:p>
        </w:tc>
        <w:tc>
          <w:tcPr>
            <w:tcW w:w="1134" w:type="dxa"/>
            <w:shd w:val="clear" w:color="auto" w:fill="auto"/>
            <w:vAlign w:val="center"/>
          </w:tcPr>
          <w:p w14:paraId="44A5706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表土剥离</w:t>
            </w:r>
          </w:p>
        </w:tc>
        <w:tc>
          <w:tcPr>
            <w:tcW w:w="5096" w:type="dxa"/>
            <w:shd w:val="clear" w:color="auto" w:fill="auto"/>
            <w:vAlign w:val="center"/>
          </w:tcPr>
          <w:p w14:paraId="65F6D6D4">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对位于本评估报告规划的表土剥离区域，进行表土剥离，剥离厚度0.15-0.3m，临时堆放在项目内空地或者表土中转场。</w:t>
            </w:r>
          </w:p>
        </w:tc>
      </w:tr>
      <w:tr w14:paraId="0E79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5FAEB50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1E953A2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3AC9511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30FEACB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土地整治（含表土回覆）</w:t>
            </w:r>
          </w:p>
        </w:tc>
        <w:tc>
          <w:tcPr>
            <w:tcW w:w="5096" w:type="dxa"/>
            <w:shd w:val="clear" w:color="auto" w:fill="auto"/>
            <w:vAlign w:val="center"/>
          </w:tcPr>
          <w:p w14:paraId="4D0A964A">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施工结束后对项目所产生的扰动区进行土地整治，主要是剔除垃圾、大块石、整平，为植被恢复创造有利条件。施工结束后对项目内绿化区域覆表土，来源于自身剥离的表土或表土中转场地，覆土厚度不低于 15cm，需要达到所配置植物生长的必要厚度。</w:t>
            </w:r>
          </w:p>
        </w:tc>
      </w:tr>
      <w:tr w14:paraId="796C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3970102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61B1412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567FC51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3E5FE30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透水(植草)砖铺装</w:t>
            </w:r>
          </w:p>
        </w:tc>
        <w:tc>
          <w:tcPr>
            <w:tcW w:w="5096" w:type="dxa"/>
            <w:shd w:val="clear" w:color="auto" w:fill="auto"/>
            <w:vAlign w:val="center"/>
          </w:tcPr>
          <w:p w14:paraId="09810E8B">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项目区内硬化除路面外尽量采用透水(植草)砖硬化，增加降雨入渗。</w:t>
            </w:r>
          </w:p>
        </w:tc>
      </w:tr>
      <w:tr w14:paraId="7B21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6327E89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5480E4B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3B376F7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7C0FCD61">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碎石压盖</w:t>
            </w:r>
          </w:p>
        </w:tc>
        <w:tc>
          <w:tcPr>
            <w:tcW w:w="5096" w:type="dxa"/>
            <w:shd w:val="clear" w:color="auto" w:fill="auto"/>
            <w:vAlign w:val="center"/>
          </w:tcPr>
          <w:p w14:paraId="794AD729">
            <w:pPr>
              <w:spacing w:line="240" w:lineRule="auto"/>
              <w:ind w:firstLine="0" w:firstLineChars="0"/>
              <w:jc w:val="left"/>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施工裸露场地宜布设碎石压盖措施，碎石压盖增加了地表径流下渗率，起到蓄水保土的作用。</w:t>
            </w:r>
          </w:p>
        </w:tc>
      </w:tr>
      <w:tr w14:paraId="16E7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72AF02A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532A143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1E24DE7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0BAD1A7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雨水排水设施</w:t>
            </w:r>
          </w:p>
        </w:tc>
        <w:tc>
          <w:tcPr>
            <w:tcW w:w="5096" w:type="dxa"/>
            <w:shd w:val="clear" w:color="auto" w:fill="auto"/>
            <w:vAlign w:val="center"/>
          </w:tcPr>
          <w:p w14:paraId="365615A6">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尽量采用雨水排水暗管，无条件时采用排水明沟，末端设消力池或其他消能措施。</w:t>
            </w:r>
          </w:p>
        </w:tc>
      </w:tr>
      <w:tr w14:paraId="39E9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6CAC686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745523E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1CA9573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6AC0F1A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蓄水池</w:t>
            </w:r>
          </w:p>
        </w:tc>
        <w:tc>
          <w:tcPr>
            <w:tcW w:w="5096" w:type="dxa"/>
            <w:shd w:val="clear" w:color="auto" w:fill="auto"/>
            <w:vAlign w:val="center"/>
          </w:tcPr>
          <w:p w14:paraId="22DE1121">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收集积蓄雨水，可作为灌溉用水。</w:t>
            </w:r>
          </w:p>
        </w:tc>
      </w:tr>
      <w:tr w14:paraId="1F117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5DF275C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72C26E7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1CBCC38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324EE96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节水灌溉</w:t>
            </w:r>
          </w:p>
        </w:tc>
        <w:tc>
          <w:tcPr>
            <w:tcW w:w="5096" w:type="dxa"/>
            <w:shd w:val="clear" w:color="auto" w:fill="auto"/>
            <w:vAlign w:val="center"/>
          </w:tcPr>
          <w:p w14:paraId="14B3D2F1">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绿化区域需有灌溉措施，采用喷灌、滴管等节水灌溉措施</w:t>
            </w:r>
          </w:p>
        </w:tc>
      </w:tr>
      <w:tr w14:paraId="1D70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2EF69B8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005B535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shd w:val="clear" w:color="auto" w:fill="auto"/>
            <w:vAlign w:val="center"/>
          </w:tcPr>
          <w:p w14:paraId="595D5FA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植物措施</w:t>
            </w:r>
          </w:p>
        </w:tc>
        <w:tc>
          <w:tcPr>
            <w:tcW w:w="1134" w:type="dxa"/>
            <w:shd w:val="clear" w:color="auto" w:fill="auto"/>
            <w:vAlign w:val="center"/>
          </w:tcPr>
          <w:p w14:paraId="1933FCB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造林种草</w:t>
            </w:r>
          </w:p>
        </w:tc>
        <w:tc>
          <w:tcPr>
            <w:tcW w:w="5096" w:type="dxa"/>
            <w:shd w:val="clear" w:color="auto" w:fill="auto"/>
            <w:vAlign w:val="center"/>
          </w:tcPr>
          <w:p w14:paraId="50A79CC3">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项目道路两侧扰动区全部进行绿化，有条件的采用乔灌草结合绿化，也可以采用单一的人工种草绿化。</w:t>
            </w:r>
          </w:p>
        </w:tc>
      </w:tr>
      <w:tr w14:paraId="0275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395E2E5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2624240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restart"/>
            <w:shd w:val="clear" w:color="auto" w:fill="auto"/>
            <w:vAlign w:val="center"/>
          </w:tcPr>
          <w:p w14:paraId="0D50F58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临时措施</w:t>
            </w:r>
          </w:p>
        </w:tc>
        <w:tc>
          <w:tcPr>
            <w:tcW w:w="1134" w:type="dxa"/>
            <w:shd w:val="clear" w:color="auto" w:fill="auto"/>
            <w:vAlign w:val="center"/>
          </w:tcPr>
          <w:p w14:paraId="6FD2845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临时拦挡</w:t>
            </w:r>
          </w:p>
        </w:tc>
        <w:tc>
          <w:tcPr>
            <w:tcW w:w="5096" w:type="dxa"/>
            <w:shd w:val="clear" w:color="auto" w:fill="auto"/>
            <w:vAlign w:val="center"/>
          </w:tcPr>
          <w:p w14:paraId="481F3F69">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项目区内临时堆放的表土和回填土进行临时拦挡，采用土袋挡墙或其他形式的挡墙。</w:t>
            </w:r>
          </w:p>
        </w:tc>
      </w:tr>
      <w:tr w14:paraId="441D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7C4376E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6690CA9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764E6BE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681E763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临时苫盖</w:t>
            </w:r>
          </w:p>
        </w:tc>
        <w:tc>
          <w:tcPr>
            <w:tcW w:w="5096" w:type="dxa"/>
            <w:shd w:val="clear" w:color="auto" w:fill="auto"/>
            <w:vAlign w:val="center"/>
          </w:tcPr>
          <w:p w14:paraId="63E0C3EE">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采用密目网对临时堆放的表土和回填土苫盖，防止起尘。</w:t>
            </w:r>
          </w:p>
        </w:tc>
      </w:tr>
      <w:tr w14:paraId="0B74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4D4AAC0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275387A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502F66C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2C42000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临时撒草</w:t>
            </w:r>
          </w:p>
        </w:tc>
        <w:tc>
          <w:tcPr>
            <w:tcW w:w="5096" w:type="dxa"/>
            <w:shd w:val="clear" w:color="auto" w:fill="auto"/>
            <w:vAlign w:val="center"/>
          </w:tcPr>
          <w:p w14:paraId="2B57BF51">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表土及回填土堆存时间超过 1 年，应该撒草防护。</w:t>
            </w:r>
          </w:p>
        </w:tc>
      </w:tr>
      <w:tr w14:paraId="54DC8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641F559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65250A5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065DF51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616FBC7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临时排水</w:t>
            </w:r>
          </w:p>
        </w:tc>
        <w:tc>
          <w:tcPr>
            <w:tcW w:w="5096" w:type="dxa"/>
            <w:shd w:val="clear" w:color="auto" w:fill="auto"/>
            <w:vAlign w:val="center"/>
          </w:tcPr>
          <w:p w14:paraId="7DAC5E42">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表土及回填土经历雨季，周边应考虑临时排水及沉砂池。</w:t>
            </w:r>
          </w:p>
        </w:tc>
      </w:tr>
      <w:tr w14:paraId="6AB7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0A799B9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restart"/>
            <w:shd w:val="clear" w:color="auto" w:fill="auto"/>
            <w:vAlign w:val="center"/>
          </w:tcPr>
          <w:p w14:paraId="4D5BFF9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公用设施用地</w:t>
            </w:r>
          </w:p>
        </w:tc>
        <w:tc>
          <w:tcPr>
            <w:tcW w:w="708" w:type="dxa"/>
            <w:vMerge w:val="restart"/>
            <w:shd w:val="clear" w:color="auto" w:fill="auto"/>
            <w:vAlign w:val="center"/>
          </w:tcPr>
          <w:p w14:paraId="2ADDB60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工程措施</w:t>
            </w:r>
          </w:p>
        </w:tc>
        <w:tc>
          <w:tcPr>
            <w:tcW w:w="1134" w:type="dxa"/>
            <w:shd w:val="clear" w:color="auto" w:fill="auto"/>
            <w:vAlign w:val="center"/>
          </w:tcPr>
          <w:p w14:paraId="64F0FC4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表土剥离</w:t>
            </w:r>
          </w:p>
        </w:tc>
        <w:tc>
          <w:tcPr>
            <w:tcW w:w="5096" w:type="dxa"/>
            <w:shd w:val="clear" w:color="auto" w:fill="auto"/>
            <w:vAlign w:val="center"/>
          </w:tcPr>
          <w:p w14:paraId="00B7E4E0">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对位于本评估报告规划的表土剥离区域，进行表土剥离，剥离厚度0.15-0.3m，临时堆放在项目内空地或者表土中转场。</w:t>
            </w:r>
          </w:p>
        </w:tc>
      </w:tr>
      <w:tr w14:paraId="4705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59C532E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0540A6E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6E3A76D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44CCB84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土地整治（含表土回覆）</w:t>
            </w:r>
          </w:p>
        </w:tc>
        <w:tc>
          <w:tcPr>
            <w:tcW w:w="5096" w:type="dxa"/>
            <w:shd w:val="clear" w:color="auto" w:fill="auto"/>
            <w:vAlign w:val="center"/>
          </w:tcPr>
          <w:p w14:paraId="7FFE7F4A">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施工结束后对项目所产生的扰动区进行土地整治，主要是剔除垃圾、大块石、整平，为植被恢复创造有利条件。施工结束后对项目内绿化区域覆表土，来源于自身剥离的表土或表土中转场地，覆土厚度不低于 15cm，需要达到所配置植物生长的必要厚度。</w:t>
            </w:r>
          </w:p>
        </w:tc>
      </w:tr>
      <w:tr w14:paraId="4B69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28A266C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65F75CE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58064AB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330A8B6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雨水排水设施</w:t>
            </w:r>
          </w:p>
        </w:tc>
        <w:tc>
          <w:tcPr>
            <w:tcW w:w="5096" w:type="dxa"/>
            <w:shd w:val="clear" w:color="auto" w:fill="auto"/>
            <w:vAlign w:val="center"/>
          </w:tcPr>
          <w:p w14:paraId="29BEBE43">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尽量采用雨水排水暗管，无条件时采用排水明沟，末端设消力池或其他消能措施。</w:t>
            </w:r>
          </w:p>
        </w:tc>
      </w:tr>
      <w:tr w14:paraId="696C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4E60DD5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5CA45F7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2E7126D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45E8E56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节水灌溉</w:t>
            </w:r>
          </w:p>
        </w:tc>
        <w:tc>
          <w:tcPr>
            <w:tcW w:w="5096" w:type="dxa"/>
            <w:shd w:val="clear" w:color="auto" w:fill="auto"/>
            <w:vAlign w:val="center"/>
          </w:tcPr>
          <w:p w14:paraId="03789229">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绿化区域需有灌溉措施，采用喷灌、滴管等节水灌溉措施</w:t>
            </w:r>
          </w:p>
        </w:tc>
      </w:tr>
      <w:tr w14:paraId="6A4C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3897FAB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7CD7F90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shd w:val="clear" w:color="auto" w:fill="auto"/>
            <w:vAlign w:val="center"/>
          </w:tcPr>
          <w:p w14:paraId="7D500A7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植物措施</w:t>
            </w:r>
          </w:p>
        </w:tc>
        <w:tc>
          <w:tcPr>
            <w:tcW w:w="1134" w:type="dxa"/>
            <w:shd w:val="clear" w:color="auto" w:fill="auto"/>
            <w:vAlign w:val="center"/>
          </w:tcPr>
          <w:p w14:paraId="244B54B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造林种草</w:t>
            </w:r>
          </w:p>
        </w:tc>
        <w:tc>
          <w:tcPr>
            <w:tcW w:w="5096" w:type="dxa"/>
            <w:shd w:val="clear" w:color="auto" w:fill="auto"/>
            <w:vAlign w:val="center"/>
          </w:tcPr>
          <w:p w14:paraId="0DAEFFE8">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项目内部除建筑物和硬化以外的扰动区全部进行绿化，有条件的采用乔灌草结合绿化，也可以采用单一的人工种草绿化。</w:t>
            </w:r>
          </w:p>
        </w:tc>
      </w:tr>
      <w:tr w14:paraId="18072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4F266EC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5D4566E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Align w:val="center"/>
          </w:tcPr>
          <w:p w14:paraId="2787389A">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临时措施</w:t>
            </w:r>
          </w:p>
        </w:tc>
        <w:tc>
          <w:tcPr>
            <w:tcW w:w="1134" w:type="dxa"/>
            <w:shd w:val="clear" w:color="auto" w:fill="auto"/>
            <w:vAlign w:val="center"/>
          </w:tcPr>
          <w:p w14:paraId="1271AE1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临时苫盖</w:t>
            </w:r>
          </w:p>
        </w:tc>
        <w:tc>
          <w:tcPr>
            <w:tcW w:w="5096" w:type="dxa"/>
            <w:shd w:val="clear" w:color="auto" w:fill="auto"/>
            <w:vAlign w:val="center"/>
          </w:tcPr>
          <w:p w14:paraId="798FFBF2">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采用密目网对临时堆放的表土和回填土苫盖，防止起尘。</w:t>
            </w:r>
          </w:p>
        </w:tc>
      </w:tr>
      <w:tr w14:paraId="6E02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01ABF19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restart"/>
            <w:shd w:val="clear" w:color="auto" w:fill="auto"/>
            <w:noWrap/>
            <w:vAlign w:val="center"/>
          </w:tcPr>
          <w:p w14:paraId="5D1ECCF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708" w:type="dxa"/>
            <w:shd w:val="clear" w:color="auto" w:fill="auto"/>
            <w:vAlign w:val="center"/>
          </w:tcPr>
          <w:p w14:paraId="5BA055F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工程措施</w:t>
            </w:r>
          </w:p>
        </w:tc>
        <w:tc>
          <w:tcPr>
            <w:tcW w:w="1134" w:type="dxa"/>
            <w:shd w:val="clear" w:color="auto" w:fill="auto"/>
            <w:vAlign w:val="center"/>
          </w:tcPr>
          <w:p w14:paraId="6CE1214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节水灌溉</w:t>
            </w:r>
          </w:p>
        </w:tc>
        <w:tc>
          <w:tcPr>
            <w:tcW w:w="5096" w:type="dxa"/>
            <w:shd w:val="clear" w:color="auto" w:fill="auto"/>
            <w:vAlign w:val="center"/>
          </w:tcPr>
          <w:p w14:paraId="5E222A00">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绿化区域需有灌溉措施，采用喷灌、滴管等节水灌溉措施</w:t>
            </w:r>
          </w:p>
        </w:tc>
      </w:tr>
      <w:tr w14:paraId="48C90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6A2193D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42A59CD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shd w:val="clear" w:color="auto" w:fill="auto"/>
            <w:vAlign w:val="center"/>
          </w:tcPr>
          <w:p w14:paraId="6ABE283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植物措施</w:t>
            </w:r>
          </w:p>
        </w:tc>
        <w:tc>
          <w:tcPr>
            <w:tcW w:w="1134" w:type="dxa"/>
            <w:shd w:val="clear" w:color="auto" w:fill="auto"/>
            <w:vAlign w:val="center"/>
          </w:tcPr>
          <w:p w14:paraId="7515FE1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造林种草</w:t>
            </w:r>
          </w:p>
        </w:tc>
        <w:tc>
          <w:tcPr>
            <w:tcW w:w="5096" w:type="dxa"/>
            <w:shd w:val="clear" w:color="auto" w:fill="auto"/>
            <w:vAlign w:val="center"/>
          </w:tcPr>
          <w:p w14:paraId="71F1A80E">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项目内部除建筑物和硬化以外的扰动区全部进行绿化，有条件的采用乔灌草结合绿化，也可以采用单一的人工种草绿化。</w:t>
            </w:r>
          </w:p>
        </w:tc>
      </w:tr>
      <w:tr w14:paraId="52C9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restart"/>
            <w:shd w:val="clear" w:color="auto" w:fill="auto"/>
            <w:vAlign w:val="center"/>
          </w:tcPr>
          <w:p w14:paraId="2DE4D03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1173" w:type="dxa"/>
            <w:vMerge w:val="restart"/>
            <w:shd w:val="clear" w:color="auto" w:fill="auto"/>
            <w:vAlign w:val="center"/>
          </w:tcPr>
          <w:p w14:paraId="2D411B8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708" w:type="dxa"/>
            <w:vMerge w:val="restart"/>
            <w:shd w:val="clear" w:color="auto" w:fill="auto"/>
            <w:vAlign w:val="center"/>
          </w:tcPr>
          <w:p w14:paraId="778F197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工程措施</w:t>
            </w:r>
          </w:p>
        </w:tc>
        <w:tc>
          <w:tcPr>
            <w:tcW w:w="1134" w:type="dxa"/>
            <w:shd w:val="clear" w:color="auto" w:fill="auto"/>
            <w:vAlign w:val="center"/>
          </w:tcPr>
          <w:p w14:paraId="3D4E2C4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表土剥离</w:t>
            </w:r>
          </w:p>
        </w:tc>
        <w:tc>
          <w:tcPr>
            <w:tcW w:w="5096" w:type="dxa"/>
            <w:shd w:val="clear" w:color="auto" w:fill="auto"/>
            <w:vAlign w:val="center"/>
          </w:tcPr>
          <w:p w14:paraId="03F49EDE">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对位于本评估报告规划的表土剥离区域，进行表土剥离，剥离厚度0.15-0.3m，临时堆放在项目内空地或者表土中转场。</w:t>
            </w:r>
          </w:p>
        </w:tc>
      </w:tr>
      <w:tr w14:paraId="71AE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473ED01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4D278ED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6976721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63592A2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土地整治（含表土回覆）</w:t>
            </w:r>
          </w:p>
        </w:tc>
        <w:tc>
          <w:tcPr>
            <w:tcW w:w="5096" w:type="dxa"/>
            <w:shd w:val="clear" w:color="auto" w:fill="auto"/>
            <w:vAlign w:val="center"/>
          </w:tcPr>
          <w:p w14:paraId="33AC9961">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施工结束后对项目所产生的扰动区进行土地整治，主要是剔除垃圾、大块石、整平，为植被恢复创造有利条件。施工结束后对项目内绿化区域覆表土，来源于自身剥离的表土或表土中转场地，覆土厚度不低于 15cm，需要达到所配置植物生长的必要厚度。</w:t>
            </w:r>
          </w:p>
        </w:tc>
      </w:tr>
      <w:tr w14:paraId="6980F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7B98C0A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09070BC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229B144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023CA11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透水(植草)砖铺装</w:t>
            </w:r>
          </w:p>
        </w:tc>
        <w:tc>
          <w:tcPr>
            <w:tcW w:w="5096" w:type="dxa"/>
            <w:shd w:val="clear" w:color="auto" w:fill="auto"/>
            <w:vAlign w:val="center"/>
          </w:tcPr>
          <w:p w14:paraId="3FCAD947">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项目区内硬化除路面外尽量采用透水(植草)砖硬化，增加降雨入渗。</w:t>
            </w:r>
          </w:p>
        </w:tc>
      </w:tr>
      <w:tr w14:paraId="4608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14E3071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6DAE45A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468E806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6C92C32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雨水排水设施</w:t>
            </w:r>
          </w:p>
        </w:tc>
        <w:tc>
          <w:tcPr>
            <w:tcW w:w="5096" w:type="dxa"/>
            <w:shd w:val="clear" w:color="auto" w:fill="auto"/>
            <w:vAlign w:val="center"/>
          </w:tcPr>
          <w:p w14:paraId="4D040BFD">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尽量采用雨水排水暗管，无条件时采用排水明沟，末端设消力池或其他消能措施。</w:t>
            </w:r>
          </w:p>
        </w:tc>
      </w:tr>
      <w:tr w14:paraId="06BE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0AB0BF9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00120D2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654B422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602F09F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蓄水池</w:t>
            </w:r>
          </w:p>
        </w:tc>
        <w:tc>
          <w:tcPr>
            <w:tcW w:w="5096" w:type="dxa"/>
            <w:shd w:val="clear" w:color="auto" w:fill="auto"/>
            <w:vAlign w:val="center"/>
          </w:tcPr>
          <w:p w14:paraId="1193442C">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收集积蓄雨水，可作为灌溉用水。</w:t>
            </w:r>
          </w:p>
        </w:tc>
      </w:tr>
      <w:tr w14:paraId="66DE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1FD9D8A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07D94DF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6EC1949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193C491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节水灌溉</w:t>
            </w:r>
          </w:p>
        </w:tc>
        <w:tc>
          <w:tcPr>
            <w:tcW w:w="5096" w:type="dxa"/>
            <w:shd w:val="clear" w:color="auto" w:fill="auto"/>
            <w:vAlign w:val="center"/>
          </w:tcPr>
          <w:p w14:paraId="627386B1">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绿化区域需有灌溉措施，采用喷灌、滴管等节水灌溉措施</w:t>
            </w:r>
          </w:p>
        </w:tc>
      </w:tr>
      <w:tr w14:paraId="2362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28FA6C0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0B2045C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shd w:val="clear" w:color="auto" w:fill="auto"/>
            <w:vAlign w:val="center"/>
          </w:tcPr>
          <w:p w14:paraId="0A9EBA4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植物措施</w:t>
            </w:r>
          </w:p>
        </w:tc>
        <w:tc>
          <w:tcPr>
            <w:tcW w:w="1134" w:type="dxa"/>
            <w:shd w:val="clear" w:color="auto" w:fill="auto"/>
            <w:vAlign w:val="center"/>
          </w:tcPr>
          <w:p w14:paraId="7F03E05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造林种草</w:t>
            </w:r>
          </w:p>
        </w:tc>
        <w:tc>
          <w:tcPr>
            <w:tcW w:w="5096" w:type="dxa"/>
            <w:shd w:val="clear" w:color="auto" w:fill="auto"/>
            <w:vAlign w:val="center"/>
          </w:tcPr>
          <w:p w14:paraId="77FC594B">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项目内部除建筑物和硬化以外的扰动区全部进行绿化，有条件的采用乔灌草结合绿化，也可以采用单一的人工种草绿化。</w:t>
            </w:r>
          </w:p>
        </w:tc>
      </w:tr>
      <w:tr w14:paraId="028AA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4CF269E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436504C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restart"/>
            <w:shd w:val="clear" w:color="auto" w:fill="auto"/>
            <w:vAlign w:val="center"/>
          </w:tcPr>
          <w:p w14:paraId="54A64BF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临时措施</w:t>
            </w:r>
          </w:p>
        </w:tc>
        <w:tc>
          <w:tcPr>
            <w:tcW w:w="1134" w:type="dxa"/>
            <w:shd w:val="clear" w:color="auto" w:fill="auto"/>
            <w:vAlign w:val="center"/>
          </w:tcPr>
          <w:p w14:paraId="78F24E7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临时拦挡</w:t>
            </w:r>
          </w:p>
        </w:tc>
        <w:tc>
          <w:tcPr>
            <w:tcW w:w="5096" w:type="dxa"/>
            <w:shd w:val="clear" w:color="auto" w:fill="auto"/>
            <w:vAlign w:val="center"/>
          </w:tcPr>
          <w:p w14:paraId="287E212C">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项目区内临时堆放的表土和回填土进行临时拦挡，采用土袋挡墙或其他形式的挡墙。</w:t>
            </w:r>
          </w:p>
        </w:tc>
      </w:tr>
      <w:tr w14:paraId="381D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5093D79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189D6E9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40AC3C5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555F8B6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临时苫盖</w:t>
            </w:r>
          </w:p>
        </w:tc>
        <w:tc>
          <w:tcPr>
            <w:tcW w:w="5096" w:type="dxa"/>
            <w:shd w:val="clear" w:color="auto" w:fill="auto"/>
            <w:vAlign w:val="center"/>
          </w:tcPr>
          <w:p w14:paraId="381914A4">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采用密目网对临时堆放的表土和回填土苫盖，防止起尘。</w:t>
            </w:r>
          </w:p>
        </w:tc>
      </w:tr>
      <w:tr w14:paraId="033C1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743EC9C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1AAE1FE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024E0DC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75ECC54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临时撒草</w:t>
            </w:r>
          </w:p>
        </w:tc>
        <w:tc>
          <w:tcPr>
            <w:tcW w:w="5096" w:type="dxa"/>
            <w:shd w:val="clear" w:color="auto" w:fill="auto"/>
            <w:vAlign w:val="center"/>
          </w:tcPr>
          <w:p w14:paraId="5B7B05A7">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表土及回填土堆存时间超过 1 年，应该撒草防护。</w:t>
            </w:r>
          </w:p>
        </w:tc>
      </w:tr>
      <w:tr w14:paraId="20CE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52DA943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2DF0CBF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7BD085C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694B966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临时排水</w:t>
            </w:r>
          </w:p>
        </w:tc>
        <w:tc>
          <w:tcPr>
            <w:tcW w:w="5096" w:type="dxa"/>
            <w:shd w:val="clear" w:color="auto" w:fill="auto"/>
            <w:vAlign w:val="center"/>
          </w:tcPr>
          <w:p w14:paraId="049BF3FB">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表土及回填土经历雨季，周边应考虑临时排水及沉砂池。</w:t>
            </w:r>
          </w:p>
        </w:tc>
      </w:tr>
      <w:tr w14:paraId="12EF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56585C5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restart"/>
            <w:shd w:val="clear" w:color="auto" w:fill="auto"/>
            <w:vAlign w:val="center"/>
          </w:tcPr>
          <w:p w14:paraId="3CE2BC5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708" w:type="dxa"/>
            <w:vMerge w:val="restart"/>
            <w:shd w:val="clear" w:color="auto" w:fill="auto"/>
            <w:vAlign w:val="center"/>
          </w:tcPr>
          <w:p w14:paraId="6435C74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工程措施</w:t>
            </w:r>
          </w:p>
        </w:tc>
        <w:tc>
          <w:tcPr>
            <w:tcW w:w="1134" w:type="dxa"/>
            <w:shd w:val="clear" w:color="auto" w:fill="auto"/>
            <w:vAlign w:val="center"/>
          </w:tcPr>
          <w:p w14:paraId="6327B85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表土剥离</w:t>
            </w:r>
          </w:p>
        </w:tc>
        <w:tc>
          <w:tcPr>
            <w:tcW w:w="5096" w:type="dxa"/>
            <w:shd w:val="clear" w:color="auto" w:fill="auto"/>
            <w:vAlign w:val="center"/>
          </w:tcPr>
          <w:p w14:paraId="5F46A112">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对位于本评估报告规划的表土剥离区域，进行表土剥离，剥离厚度0.15-0.3m，临时堆放在项目内空地或者表土中转场。</w:t>
            </w:r>
          </w:p>
        </w:tc>
      </w:tr>
      <w:tr w14:paraId="13DF4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1205126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7A78283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0FD9596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6F0F6EA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土地整治（含表土回覆）</w:t>
            </w:r>
          </w:p>
        </w:tc>
        <w:tc>
          <w:tcPr>
            <w:tcW w:w="5096" w:type="dxa"/>
            <w:shd w:val="clear" w:color="auto" w:fill="auto"/>
            <w:vAlign w:val="center"/>
          </w:tcPr>
          <w:p w14:paraId="69EF0ABD">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施工结束后对项目所产生的扰动区进行土地整治，主要是剔除垃圾、大块石、整平，为植被恢复创造有利条件。施工结束后对项目内绿化区域覆表土，来源于自身剥离的表土或表土中转场地，覆土厚度不低于 15cm，需要达到所配置植物生长的必要厚度。</w:t>
            </w:r>
          </w:p>
        </w:tc>
      </w:tr>
      <w:tr w14:paraId="45D3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16DC6E3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70C0C3B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60DE7A2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0D2C88E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透水(植草)砖铺装</w:t>
            </w:r>
          </w:p>
        </w:tc>
        <w:tc>
          <w:tcPr>
            <w:tcW w:w="5096" w:type="dxa"/>
            <w:shd w:val="clear" w:color="auto" w:fill="auto"/>
            <w:vAlign w:val="center"/>
          </w:tcPr>
          <w:p w14:paraId="0DE8499C">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项目区内硬化除路面外尽量采用透水(植草)砖硬化，增加降雨入渗。</w:t>
            </w:r>
          </w:p>
        </w:tc>
      </w:tr>
      <w:tr w14:paraId="5373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6D93233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02BDA66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7010B9E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404E2D1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雨水排水设施</w:t>
            </w:r>
          </w:p>
        </w:tc>
        <w:tc>
          <w:tcPr>
            <w:tcW w:w="5096" w:type="dxa"/>
            <w:shd w:val="clear" w:color="auto" w:fill="auto"/>
            <w:vAlign w:val="center"/>
          </w:tcPr>
          <w:p w14:paraId="526FCE9A">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尽量采用雨水排水暗管，无条件时采用排水明沟，末端设消力池或其他消能措施。</w:t>
            </w:r>
          </w:p>
        </w:tc>
      </w:tr>
      <w:tr w14:paraId="45D98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7047870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3350C32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0F55ED1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0890687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蓄水池</w:t>
            </w:r>
          </w:p>
        </w:tc>
        <w:tc>
          <w:tcPr>
            <w:tcW w:w="5096" w:type="dxa"/>
            <w:shd w:val="clear" w:color="auto" w:fill="auto"/>
            <w:vAlign w:val="center"/>
          </w:tcPr>
          <w:p w14:paraId="7004827F">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收集积蓄雨水，可作为灌溉用水。</w:t>
            </w:r>
          </w:p>
        </w:tc>
      </w:tr>
      <w:tr w14:paraId="101A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003E818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2E3EB6C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Merge w:val="continue"/>
            <w:vAlign w:val="center"/>
          </w:tcPr>
          <w:p w14:paraId="702EDDA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shd w:val="clear" w:color="auto" w:fill="auto"/>
            <w:vAlign w:val="center"/>
          </w:tcPr>
          <w:p w14:paraId="7FB43EF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节水灌溉</w:t>
            </w:r>
          </w:p>
        </w:tc>
        <w:tc>
          <w:tcPr>
            <w:tcW w:w="5096" w:type="dxa"/>
            <w:shd w:val="clear" w:color="auto" w:fill="auto"/>
            <w:vAlign w:val="center"/>
          </w:tcPr>
          <w:p w14:paraId="5835B2C9">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绿化区域需有灌溉措施，采用喷灌、滴管等节水灌溉措施</w:t>
            </w:r>
          </w:p>
        </w:tc>
      </w:tr>
      <w:tr w14:paraId="1A90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1419A3D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6E881A3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shd w:val="clear" w:color="auto" w:fill="auto"/>
            <w:vAlign w:val="center"/>
          </w:tcPr>
          <w:p w14:paraId="7DE424D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植物措施</w:t>
            </w:r>
          </w:p>
        </w:tc>
        <w:tc>
          <w:tcPr>
            <w:tcW w:w="1134" w:type="dxa"/>
            <w:shd w:val="clear" w:color="auto" w:fill="auto"/>
            <w:vAlign w:val="center"/>
          </w:tcPr>
          <w:p w14:paraId="6C163A0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造林种草</w:t>
            </w:r>
          </w:p>
        </w:tc>
        <w:tc>
          <w:tcPr>
            <w:tcW w:w="5096" w:type="dxa"/>
            <w:shd w:val="clear" w:color="auto" w:fill="auto"/>
            <w:vAlign w:val="center"/>
          </w:tcPr>
          <w:p w14:paraId="3B8A0DFC">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项目道路两侧扰动区全部进行绿化，有条件的采用乔灌草结合绿化，也可以采用单一的人工种草绿化。</w:t>
            </w:r>
          </w:p>
        </w:tc>
      </w:tr>
      <w:tr w14:paraId="613A4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7CDFF04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1C2FDC5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vAlign w:val="center"/>
          </w:tcPr>
          <w:p w14:paraId="239A719C">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临时措施</w:t>
            </w:r>
          </w:p>
        </w:tc>
        <w:tc>
          <w:tcPr>
            <w:tcW w:w="1134" w:type="dxa"/>
            <w:shd w:val="clear" w:color="auto" w:fill="auto"/>
            <w:vAlign w:val="center"/>
          </w:tcPr>
          <w:p w14:paraId="3055A83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临时苫盖</w:t>
            </w:r>
          </w:p>
        </w:tc>
        <w:tc>
          <w:tcPr>
            <w:tcW w:w="5096" w:type="dxa"/>
            <w:shd w:val="clear" w:color="auto" w:fill="auto"/>
            <w:vAlign w:val="center"/>
          </w:tcPr>
          <w:p w14:paraId="2910163E">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采用密目网对临时堆放的表土和回填土苫盖，防止起尘。</w:t>
            </w:r>
          </w:p>
        </w:tc>
      </w:tr>
      <w:tr w14:paraId="536A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641BAAD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restart"/>
            <w:shd w:val="clear" w:color="auto" w:fill="auto"/>
            <w:vAlign w:val="center"/>
          </w:tcPr>
          <w:p w14:paraId="72C363C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708" w:type="dxa"/>
            <w:shd w:val="clear" w:color="auto" w:fill="auto"/>
            <w:vAlign w:val="center"/>
          </w:tcPr>
          <w:p w14:paraId="5571975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工程措施</w:t>
            </w:r>
          </w:p>
        </w:tc>
        <w:tc>
          <w:tcPr>
            <w:tcW w:w="1134" w:type="dxa"/>
            <w:shd w:val="clear" w:color="auto" w:fill="auto"/>
            <w:vAlign w:val="center"/>
          </w:tcPr>
          <w:p w14:paraId="30FF0AD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节水灌溉</w:t>
            </w:r>
          </w:p>
        </w:tc>
        <w:tc>
          <w:tcPr>
            <w:tcW w:w="5096" w:type="dxa"/>
            <w:shd w:val="clear" w:color="auto" w:fill="auto"/>
            <w:vAlign w:val="center"/>
          </w:tcPr>
          <w:p w14:paraId="030093DE">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绿化区域需有灌溉措施，采用喷灌、滴管等节水灌溉措施</w:t>
            </w:r>
          </w:p>
        </w:tc>
      </w:tr>
      <w:tr w14:paraId="6B1C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vMerge w:val="continue"/>
            <w:vAlign w:val="center"/>
          </w:tcPr>
          <w:p w14:paraId="7CB0834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73" w:type="dxa"/>
            <w:vMerge w:val="continue"/>
            <w:vAlign w:val="center"/>
          </w:tcPr>
          <w:p w14:paraId="1A2F934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8" w:type="dxa"/>
            <w:shd w:val="clear" w:color="auto" w:fill="auto"/>
            <w:vAlign w:val="center"/>
          </w:tcPr>
          <w:p w14:paraId="113435D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植物措施</w:t>
            </w:r>
          </w:p>
        </w:tc>
        <w:tc>
          <w:tcPr>
            <w:tcW w:w="1134" w:type="dxa"/>
            <w:shd w:val="clear" w:color="auto" w:fill="auto"/>
            <w:vAlign w:val="center"/>
          </w:tcPr>
          <w:p w14:paraId="34ACE1A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造林种草</w:t>
            </w:r>
          </w:p>
        </w:tc>
        <w:tc>
          <w:tcPr>
            <w:tcW w:w="5096" w:type="dxa"/>
            <w:shd w:val="clear" w:color="auto" w:fill="auto"/>
            <w:vAlign w:val="center"/>
          </w:tcPr>
          <w:p w14:paraId="7A70D71A">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项目内部除建筑物和硬化以外的扰动区全部进行绿化，有条件的采用乔灌草结合绿化，也可以采用单一的人工种草绿化。</w:t>
            </w:r>
          </w:p>
        </w:tc>
      </w:tr>
    </w:tbl>
    <w:p w14:paraId="2F79AF95">
      <w:pPr>
        <w:pStyle w:val="12"/>
        <w:ind w:firstLine="480"/>
        <w:rPr>
          <w:rFonts w:ascii="Times New Roman" w:hAnsi="Times New Roman" w:eastAsia="仿宋_GB2312"/>
          <w:color w:val="000000" w:themeColor="text1"/>
          <w14:textFill>
            <w14:solidFill>
              <w14:schemeClr w14:val="tx1"/>
            </w14:solidFill>
          </w14:textFill>
        </w:rPr>
      </w:pPr>
    </w:p>
    <w:bookmarkEnd w:id="440"/>
    <w:p w14:paraId="0CE90DE8">
      <w:pPr>
        <w:pStyle w:val="3"/>
        <w:spacing w:before="120" w:after="120"/>
      </w:pPr>
      <w:bookmarkStart w:id="441" w:name="_Toc88833989"/>
      <w:bookmarkStart w:id="442" w:name="_Toc152535485"/>
      <w:bookmarkStart w:id="443" w:name="_Toc88821228"/>
      <w:bookmarkStart w:id="444" w:name="_Toc85444611"/>
      <w:bookmarkStart w:id="445" w:name="_Toc85444736"/>
      <w:bookmarkStart w:id="446" w:name="_Toc85444460"/>
      <w:bookmarkStart w:id="447" w:name="_Toc167461583"/>
      <w:bookmarkStart w:id="448" w:name="_Toc55920620"/>
      <w:bookmarkStart w:id="449" w:name="_Toc161758024"/>
      <w:bookmarkStart w:id="450" w:name="_Toc5480399"/>
      <w:r>
        <w:t>水土保持措施布设</w:t>
      </w:r>
      <w:bookmarkEnd w:id="441"/>
      <w:bookmarkEnd w:id="442"/>
      <w:bookmarkEnd w:id="443"/>
      <w:bookmarkEnd w:id="444"/>
      <w:bookmarkEnd w:id="445"/>
      <w:bookmarkEnd w:id="446"/>
    </w:p>
    <w:p w14:paraId="4E8DFC51">
      <w:pPr>
        <w:pStyle w:val="4"/>
        <w:spacing w:before="120" w:after="120"/>
      </w:pPr>
      <w:r>
        <w:t>水土保持工程级别及设计标准</w:t>
      </w:r>
    </w:p>
    <w:p w14:paraId="32834697">
      <w:pPr>
        <w:pStyle w:val="12"/>
        <w:ind w:firstLine="480"/>
        <w:rPr>
          <w:rFonts w:ascii="Times New Roman" w:hAnsi="Times New Roman" w:eastAsia="仿宋_GB2312"/>
          <w:color w:val="000000" w:themeColor="text1"/>
          <w14:textFill>
            <w14:solidFill>
              <w14:schemeClr w14:val="tx1"/>
            </w14:solidFill>
          </w14:textFill>
        </w:rPr>
      </w:pPr>
      <w:bookmarkStart w:id="451" w:name="_Toc85444613"/>
      <w:r>
        <w:rPr>
          <w:rFonts w:ascii="Times New Roman" w:hAnsi="Times New Roman" w:eastAsia="仿宋_GB2312"/>
          <w:color w:val="000000" w:themeColor="text1"/>
          <w14:textFill>
            <w14:solidFill>
              <w14:schemeClr w14:val="tx1"/>
            </w14:solidFill>
          </w14:textFill>
        </w:rPr>
        <w:t>（1）</w:t>
      </w:r>
      <w:r>
        <w:rPr>
          <w:rFonts w:ascii="Times New Roman" w:hAnsi="Times New Roman" w:eastAsia="仿宋_GB2312"/>
          <w:color w:val="000000" w:themeColor="text1"/>
          <w:spacing w:val="-1"/>
          <w14:textFill>
            <w14:solidFill>
              <w14:schemeClr w14:val="tx1"/>
            </w14:solidFill>
          </w14:textFill>
        </w:rPr>
        <w:t>工程、植物措施设计标准</w:t>
      </w:r>
    </w:p>
    <w:p w14:paraId="6812DC16">
      <w:pPr>
        <w:pStyle w:val="12"/>
        <w:ind w:firstLine="48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根据《水土保持工程设计规范》（</w:t>
      </w:r>
      <w:r>
        <w:rPr>
          <w:rFonts w:ascii="Times New Roman" w:hAnsi="Times New Roman" w:eastAsia="仿宋_GB2312"/>
          <w:color w:val="000000" w:themeColor="text1"/>
          <w:spacing w:val="-1"/>
          <w14:textFill>
            <w14:solidFill>
              <w14:schemeClr w14:val="tx1"/>
            </w14:solidFill>
          </w14:textFill>
        </w:rPr>
        <w:t>G</w:t>
      </w:r>
      <w:r>
        <w:rPr>
          <w:rFonts w:ascii="Times New Roman" w:hAnsi="Times New Roman" w:eastAsia="仿宋_GB2312"/>
          <w:color w:val="000000" w:themeColor="text1"/>
          <w14:textFill>
            <w14:solidFill>
              <w14:schemeClr w14:val="tx1"/>
            </w14:solidFill>
          </w14:textFill>
        </w:rPr>
        <w:t>B51018</w:t>
      </w:r>
      <w:r>
        <w:rPr>
          <w:rFonts w:ascii="Times New Roman" w:hAnsi="Times New Roman" w:eastAsia="仿宋_GB2312"/>
          <w:color w:val="000000" w:themeColor="text1"/>
          <w:spacing w:val="1"/>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201</w:t>
      </w:r>
      <w:r>
        <w:rPr>
          <w:rFonts w:ascii="Times New Roman" w:hAnsi="Times New Roman" w:eastAsia="仿宋_GB2312"/>
          <w:color w:val="000000" w:themeColor="text1"/>
          <w:spacing w:val="4"/>
          <w14:textFill>
            <w14:solidFill>
              <w14:schemeClr w14:val="tx1"/>
            </w14:solidFill>
          </w14:textFill>
        </w:rPr>
        <w:t>4）</w:t>
      </w:r>
      <w:r>
        <w:rPr>
          <w:rFonts w:ascii="Times New Roman" w:hAnsi="Times New Roman" w:eastAsia="仿宋_GB2312"/>
          <w:color w:val="000000" w:themeColor="text1"/>
          <w:spacing w:val="1"/>
          <w14:textFill>
            <w14:solidFill>
              <w14:schemeClr w14:val="tx1"/>
            </w14:solidFill>
          </w14:textFill>
        </w:rPr>
        <w:t>、《透水砖路面技术规</w:t>
      </w:r>
      <w:r>
        <w:rPr>
          <w:rFonts w:ascii="Times New Roman" w:hAnsi="Times New Roman" w:eastAsia="仿宋_GB2312"/>
          <w:color w:val="000000" w:themeColor="text1"/>
          <w:spacing w:val="-8"/>
          <w14:textFill>
            <w14:solidFill>
              <w14:schemeClr w14:val="tx1"/>
            </w14:solidFill>
          </w14:textFill>
        </w:rPr>
        <w:t>程》</w:t>
      </w:r>
      <w:r>
        <w:rPr>
          <w:rFonts w:ascii="Times New Roman" w:hAnsi="Times New Roman" w:eastAsia="仿宋_GB2312"/>
          <w:color w:val="000000" w:themeColor="text1"/>
          <w14:textFill>
            <w14:solidFill>
              <w14:schemeClr w14:val="tx1"/>
            </w14:solidFill>
          </w14:textFill>
        </w:rPr>
        <w:t>（CJJ/</w:t>
      </w:r>
      <w:r>
        <w:rPr>
          <w:rFonts w:ascii="Times New Roman" w:hAnsi="Times New Roman" w:eastAsia="仿宋_GB2312"/>
          <w:color w:val="000000" w:themeColor="text1"/>
          <w:spacing w:val="-1"/>
          <w14:textFill>
            <w14:solidFill>
              <w14:schemeClr w14:val="tx1"/>
            </w14:solidFill>
          </w14:textFill>
        </w:rPr>
        <w:t>T</w:t>
      </w:r>
      <w:r>
        <w:rPr>
          <w:rFonts w:ascii="Times New Roman" w:hAnsi="Times New Roman" w:eastAsia="仿宋_GB2312"/>
          <w:color w:val="000000" w:themeColor="text1"/>
          <w14:textFill>
            <w14:solidFill>
              <w14:schemeClr w14:val="tx1"/>
            </w14:solidFill>
          </w14:textFill>
        </w:rPr>
        <w:t>188</w:t>
      </w:r>
      <w:r>
        <w:rPr>
          <w:rFonts w:ascii="Times New Roman" w:hAnsi="Times New Roman" w:eastAsia="仿宋_GB2312"/>
          <w:color w:val="000000" w:themeColor="text1"/>
          <w:spacing w:val="-1"/>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2012</w:t>
      </w:r>
      <w:r>
        <w:rPr>
          <w:rFonts w:ascii="Times New Roman" w:hAnsi="Times New Roman" w:eastAsia="仿宋_GB2312"/>
          <w:color w:val="000000" w:themeColor="text1"/>
          <w:spacing w:val="-8"/>
          <w14:textFill>
            <w14:solidFill>
              <w14:schemeClr w14:val="tx1"/>
            </w14:solidFill>
          </w14:textFill>
        </w:rPr>
        <w:t>）</w:t>
      </w:r>
      <w:r>
        <w:rPr>
          <w:rFonts w:ascii="Times New Roman" w:hAnsi="Times New Roman" w:eastAsia="仿宋_GB2312"/>
          <w:color w:val="000000" w:themeColor="text1"/>
          <w:spacing w:val="-5"/>
          <w14:textFill>
            <w14:solidFill>
              <w14:schemeClr w14:val="tx1"/>
            </w14:solidFill>
          </w14:textFill>
        </w:rPr>
        <w:t>、《建筑给水排水设计规范》</w:t>
      </w:r>
      <w:r>
        <w:rPr>
          <w:rFonts w:ascii="Times New Roman" w:hAnsi="Times New Roman" w:eastAsia="仿宋_GB2312"/>
          <w:color w:val="000000" w:themeColor="text1"/>
          <w14:textFill>
            <w14:solidFill>
              <w14:schemeClr w14:val="tx1"/>
            </w14:solidFill>
          </w14:textFill>
        </w:rPr>
        <w:t>（</w:t>
      </w:r>
      <w:r>
        <w:rPr>
          <w:rFonts w:ascii="Times New Roman" w:hAnsi="Times New Roman" w:eastAsia="仿宋_GB2312"/>
          <w:color w:val="000000" w:themeColor="text1"/>
          <w:spacing w:val="-1"/>
          <w14:textFill>
            <w14:solidFill>
              <w14:schemeClr w14:val="tx1"/>
            </w14:solidFill>
          </w14:textFill>
        </w:rPr>
        <w:t>G</w:t>
      </w:r>
      <w:r>
        <w:rPr>
          <w:rFonts w:ascii="Times New Roman" w:hAnsi="Times New Roman" w:eastAsia="仿宋_GB2312"/>
          <w:color w:val="000000" w:themeColor="text1"/>
          <w14:textFill>
            <w14:solidFill>
              <w14:schemeClr w14:val="tx1"/>
            </w14:solidFill>
          </w14:textFill>
        </w:rPr>
        <w:t>B50015</w:t>
      </w:r>
      <w:r>
        <w:rPr>
          <w:rFonts w:ascii="Times New Roman" w:hAnsi="Times New Roman" w:eastAsia="仿宋_GB2312"/>
          <w:color w:val="000000" w:themeColor="text1"/>
          <w:spacing w:val="1"/>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2019</w:t>
      </w:r>
      <w:r>
        <w:rPr>
          <w:rFonts w:ascii="Times New Roman" w:hAnsi="Times New Roman" w:eastAsia="仿宋_GB2312"/>
          <w:color w:val="000000" w:themeColor="text1"/>
          <w:spacing w:val="-8"/>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等规范、规程，确定园区水土保持工程级别和执行标准。</w:t>
      </w:r>
    </w:p>
    <w:p w14:paraId="698C4061">
      <w:pPr>
        <w:pStyle w:val="44"/>
        <w:rPr>
          <w:color w:val="000000" w:themeColor="text1"/>
          <w:spacing w:val="-10"/>
          <w:lang w:eastAsia="zh-CN"/>
          <w14:textFill>
            <w14:solidFill>
              <w14:schemeClr w14:val="tx1"/>
            </w14:solidFill>
          </w14:textFill>
        </w:rPr>
      </w:pPr>
      <w:r>
        <w:rPr>
          <w:color w:val="000000" w:themeColor="text1"/>
          <w:lang w:eastAsia="zh-CN"/>
          <w14:textFill>
            <w14:solidFill>
              <w14:schemeClr w14:val="tx1"/>
            </w14:solidFill>
          </w14:textFill>
        </w:rPr>
        <w:t>表5-</w:t>
      </w:r>
      <w:r>
        <w:rPr>
          <w:color w:val="000000" w:themeColor="text1"/>
          <w:spacing w:val="-12"/>
          <w:lang w:eastAsia="zh-CN"/>
          <w14:textFill>
            <w14:solidFill>
              <w14:schemeClr w14:val="tx1"/>
            </w14:solidFill>
          </w14:textFill>
        </w:rPr>
        <w:t>5</w:t>
      </w:r>
      <w:r>
        <w:rPr>
          <w:color w:val="000000" w:themeColor="text1"/>
          <w:lang w:eastAsia="zh-CN"/>
          <w14:textFill>
            <w14:solidFill>
              <w14:schemeClr w14:val="tx1"/>
            </w14:solidFill>
          </w14:textFill>
        </w:rPr>
        <w:tab/>
      </w:r>
      <w:r>
        <w:rPr>
          <w:color w:val="000000" w:themeColor="text1"/>
          <w:lang w:eastAsia="zh-CN"/>
          <w14:textFill>
            <w14:solidFill>
              <w14:schemeClr w14:val="tx1"/>
            </w14:solidFill>
          </w14:textFill>
        </w:rPr>
        <w:t xml:space="preserve">                          水土保持工程级别和执行标</w:t>
      </w:r>
      <w:r>
        <w:rPr>
          <w:color w:val="000000" w:themeColor="text1"/>
          <w:spacing w:val="-10"/>
          <w:lang w:eastAsia="zh-CN"/>
          <w14:textFill>
            <w14:solidFill>
              <w14:schemeClr w14:val="tx1"/>
            </w14:solidFill>
          </w14:textFill>
        </w:rPr>
        <w:t>准</w:t>
      </w:r>
    </w:p>
    <w:tbl>
      <w:tblPr>
        <w:tblStyle w:val="27"/>
        <w:tblW w:w="0" w:type="auto"/>
        <w:jc w:val="center"/>
        <w:tblLayout w:type="fixed"/>
        <w:tblCellMar>
          <w:top w:w="0" w:type="dxa"/>
          <w:left w:w="108" w:type="dxa"/>
          <w:bottom w:w="0" w:type="dxa"/>
          <w:right w:w="108" w:type="dxa"/>
        </w:tblCellMar>
      </w:tblPr>
      <w:tblGrid>
        <w:gridCol w:w="755"/>
        <w:gridCol w:w="1792"/>
        <w:gridCol w:w="980"/>
        <w:gridCol w:w="805"/>
        <w:gridCol w:w="3662"/>
        <w:gridCol w:w="1066"/>
      </w:tblGrid>
      <w:tr w14:paraId="73597FEF">
        <w:tblPrEx>
          <w:tblCellMar>
            <w:top w:w="0" w:type="dxa"/>
            <w:left w:w="108" w:type="dxa"/>
            <w:bottom w:w="0" w:type="dxa"/>
            <w:right w:w="108" w:type="dxa"/>
          </w:tblCellMar>
        </w:tblPrEx>
        <w:trPr>
          <w:trHeight w:val="397" w:hRule="atLeast"/>
          <w:jc w:val="center"/>
        </w:trPr>
        <w:tc>
          <w:tcPr>
            <w:tcW w:w="755" w:type="dxa"/>
            <w:tcBorders>
              <w:top w:val="single" w:color="auto" w:sz="4" w:space="0"/>
              <w:left w:val="single" w:color="auto" w:sz="4" w:space="0"/>
              <w:bottom w:val="double" w:color="auto" w:sz="4" w:space="0"/>
              <w:right w:val="single" w:color="auto" w:sz="4" w:space="0"/>
            </w:tcBorders>
            <w:shd w:val="clear" w:color="auto" w:fill="auto"/>
            <w:vAlign w:val="center"/>
          </w:tcPr>
          <w:p w14:paraId="3E3FDF1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措施类型</w:t>
            </w:r>
          </w:p>
        </w:tc>
        <w:tc>
          <w:tcPr>
            <w:tcW w:w="1792" w:type="dxa"/>
            <w:tcBorders>
              <w:top w:val="single" w:color="auto" w:sz="4" w:space="0"/>
              <w:left w:val="nil"/>
              <w:bottom w:val="double" w:color="auto" w:sz="4" w:space="0"/>
              <w:right w:val="single" w:color="auto" w:sz="4" w:space="0"/>
            </w:tcBorders>
            <w:shd w:val="clear" w:color="auto" w:fill="auto"/>
            <w:vAlign w:val="center"/>
          </w:tcPr>
          <w:p w14:paraId="3A76289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区域</w:t>
            </w:r>
          </w:p>
        </w:tc>
        <w:tc>
          <w:tcPr>
            <w:tcW w:w="980" w:type="dxa"/>
            <w:tcBorders>
              <w:top w:val="single" w:color="auto" w:sz="4" w:space="0"/>
              <w:left w:val="nil"/>
              <w:bottom w:val="double" w:color="auto" w:sz="4" w:space="0"/>
              <w:right w:val="single" w:color="auto" w:sz="4" w:space="0"/>
            </w:tcBorders>
            <w:shd w:val="clear" w:color="auto" w:fill="auto"/>
            <w:vAlign w:val="center"/>
          </w:tcPr>
          <w:p w14:paraId="5BE5906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具体措施</w:t>
            </w:r>
          </w:p>
        </w:tc>
        <w:tc>
          <w:tcPr>
            <w:tcW w:w="805" w:type="dxa"/>
            <w:tcBorders>
              <w:top w:val="single" w:color="auto" w:sz="4" w:space="0"/>
              <w:left w:val="nil"/>
              <w:bottom w:val="double" w:color="auto" w:sz="4" w:space="0"/>
              <w:right w:val="single" w:color="auto" w:sz="4" w:space="0"/>
            </w:tcBorders>
            <w:shd w:val="clear" w:color="auto" w:fill="auto"/>
            <w:vAlign w:val="center"/>
          </w:tcPr>
          <w:p w14:paraId="353E431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工程级别</w:t>
            </w:r>
          </w:p>
        </w:tc>
        <w:tc>
          <w:tcPr>
            <w:tcW w:w="3662" w:type="dxa"/>
            <w:tcBorders>
              <w:top w:val="single" w:color="auto" w:sz="4" w:space="0"/>
              <w:left w:val="nil"/>
              <w:bottom w:val="double" w:color="auto" w:sz="4" w:space="0"/>
              <w:right w:val="single" w:color="auto" w:sz="4" w:space="0"/>
            </w:tcBorders>
            <w:shd w:val="clear" w:color="auto" w:fill="auto"/>
            <w:vAlign w:val="center"/>
          </w:tcPr>
          <w:p w14:paraId="152302B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执行标准</w:t>
            </w:r>
          </w:p>
        </w:tc>
        <w:tc>
          <w:tcPr>
            <w:tcW w:w="1066" w:type="dxa"/>
            <w:tcBorders>
              <w:top w:val="single" w:color="auto" w:sz="4" w:space="0"/>
              <w:left w:val="nil"/>
              <w:bottom w:val="double" w:color="auto" w:sz="4" w:space="0"/>
              <w:right w:val="single" w:color="auto" w:sz="4" w:space="0"/>
            </w:tcBorders>
            <w:shd w:val="clear" w:color="auto" w:fill="auto"/>
            <w:vAlign w:val="center"/>
          </w:tcPr>
          <w:p w14:paraId="7FBF74A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依据</w:t>
            </w:r>
          </w:p>
        </w:tc>
      </w:tr>
      <w:tr w14:paraId="4AFA20F3">
        <w:tblPrEx>
          <w:tblCellMar>
            <w:top w:w="0" w:type="dxa"/>
            <w:left w:w="108" w:type="dxa"/>
            <w:bottom w:w="0" w:type="dxa"/>
            <w:right w:w="108" w:type="dxa"/>
          </w:tblCellMar>
        </w:tblPrEx>
        <w:trPr>
          <w:trHeight w:val="397" w:hRule="atLeast"/>
          <w:jc w:val="center"/>
        </w:trPr>
        <w:tc>
          <w:tcPr>
            <w:tcW w:w="755"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0A97137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排水工程</w:t>
            </w:r>
          </w:p>
        </w:tc>
        <w:tc>
          <w:tcPr>
            <w:tcW w:w="1792" w:type="dxa"/>
            <w:tcBorders>
              <w:top w:val="double" w:color="auto" w:sz="4" w:space="0"/>
              <w:left w:val="nil"/>
              <w:bottom w:val="single" w:color="auto" w:sz="4" w:space="0"/>
              <w:right w:val="single" w:color="auto" w:sz="4" w:space="0"/>
            </w:tcBorders>
            <w:shd w:val="clear" w:color="auto" w:fill="auto"/>
            <w:vAlign w:val="center"/>
          </w:tcPr>
          <w:p w14:paraId="2CD6AB6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各功能区</w:t>
            </w:r>
          </w:p>
        </w:tc>
        <w:tc>
          <w:tcPr>
            <w:tcW w:w="980" w:type="dxa"/>
            <w:tcBorders>
              <w:top w:val="double" w:color="auto" w:sz="4" w:space="0"/>
              <w:left w:val="nil"/>
              <w:bottom w:val="single" w:color="auto" w:sz="4" w:space="0"/>
              <w:right w:val="single" w:color="auto" w:sz="4" w:space="0"/>
            </w:tcBorders>
            <w:shd w:val="clear" w:color="auto" w:fill="auto"/>
            <w:vAlign w:val="center"/>
          </w:tcPr>
          <w:p w14:paraId="1687C2F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雨水排放</w:t>
            </w:r>
          </w:p>
        </w:tc>
        <w:tc>
          <w:tcPr>
            <w:tcW w:w="805" w:type="dxa"/>
            <w:tcBorders>
              <w:top w:val="double" w:color="auto" w:sz="4" w:space="0"/>
              <w:left w:val="nil"/>
              <w:bottom w:val="single" w:color="auto" w:sz="4" w:space="0"/>
              <w:right w:val="single" w:color="auto" w:sz="4" w:space="0"/>
            </w:tcBorders>
            <w:shd w:val="clear" w:color="auto" w:fill="auto"/>
            <w:vAlign w:val="center"/>
          </w:tcPr>
          <w:p w14:paraId="064EC6F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662" w:type="dxa"/>
            <w:tcBorders>
              <w:top w:val="double" w:color="auto" w:sz="4" w:space="0"/>
              <w:left w:val="nil"/>
              <w:bottom w:val="single" w:color="auto" w:sz="4" w:space="0"/>
              <w:right w:val="single" w:color="auto" w:sz="4" w:space="0"/>
            </w:tcBorders>
            <w:shd w:val="clear" w:color="auto" w:fill="auto"/>
            <w:vAlign w:val="center"/>
          </w:tcPr>
          <w:p w14:paraId="3DBA816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3-5年一遇15min最大暴雨</w:t>
            </w:r>
          </w:p>
        </w:tc>
        <w:tc>
          <w:tcPr>
            <w:tcW w:w="1066" w:type="dxa"/>
            <w:tcBorders>
              <w:top w:val="double" w:color="auto" w:sz="4" w:space="0"/>
              <w:left w:val="nil"/>
              <w:bottom w:val="single" w:color="auto" w:sz="4" w:space="0"/>
              <w:right w:val="single" w:color="auto" w:sz="4" w:space="0"/>
            </w:tcBorders>
            <w:shd w:val="clear" w:color="auto" w:fill="auto"/>
            <w:vAlign w:val="center"/>
          </w:tcPr>
          <w:p w14:paraId="4072711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GB50015-2019</w:t>
            </w:r>
          </w:p>
        </w:tc>
      </w:tr>
      <w:tr w14:paraId="2D84C1A1">
        <w:tblPrEx>
          <w:tblCellMar>
            <w:top w:w="0" w:type="dxa"/>
            <w:left w:w="108" w:type="dxa"/>
            <w:bottom w:w="0" w:type="dxa"/>
            <w:right w:w="108" w:type="dxa"/>
          </w:tblCellMar>
        </w:tblPrEx>
        <w:trPr>
          <w:trHeight w:val="397" w:hRule="atLeast"/>
          <w:jc w:val="center"/>
        </w:trPr>
        <w:tc>
          <w:tcPr>
            <w:tcW w:w="755" w:type="dxa"/>
            <w:vMerge w:val="continue"/>
            <w:tcBorders>
              <w:top w:val="nil"/>
              <w:left w:val="single" w:color="auto" w:sz="4" w:space="0"/>
              <w:bottom w:val="single" w:color="auto" w:sz="4" w:space="0"/>
              <w:right w:val="single" w:color="auto" w:sz="4" w:space="0"/>
            </w:tcBorders>
            <w:vAlign w:val="center"/>
          </w:tcPr>
          <w:p w14:paraId="1C31352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92" w:type="dxa"/>
            <w:tcBorders>
              <w:top w:val="nil"/>
              <w:left w:val="nil"/>
              <w:bottom w:val="single" w:color="auto" w:sz="4" w:space="0"/>
              <w:right w:val="single" w:color="auto" w:sz="4" w:space="0"/>
            </w:tcBorders>
            <w:shd w:val="clear" w:color="auto" w:fill="auto"/>
            <w:vAlign w:val="center"/>
          </w:tcPr>
          <w:p w14:paraId="1BFD171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各功能区</w:t>
            </w:r>
          </w:p>
        </w:tc>
        <w:tc>
          <w:tcPr>
            <w:tcW w:w="980" w:type="dxa"/>
            <w:tcBorders>
              <w:top w:val="nil"/>
              <w:left w:val="nil"/>
              <w:bottom w:val="single" w:color="auto" w:sz="4" w:space="0"/>
              <w:right w:val="single" w:color="auto" w:sz="4" w:space="0"/>
            </w:tcBorders>
            <w:shd w:val="clear" w:color="auto" w:fill="auto"/>
            <w:vAlign w:val="center"/>
          </w:tcPr>
          <w:p w14:paraId="301CA5D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临时排水沟</w:t>
            </w:r>
          </w:p>
        </w:tc>
        <w:tc>
          <w:tcPr>
            <w:tcW w:w="805" w:type="dxa"/>
            <w:tcBorders>
              <w:top w:val="nil"/>
              <w:left w:val="nil"/>
              <w:bottom w:val="single" w:color="auto" w:sz="4" w:space="0"/>
              <w:right w:val="single" w:color="auto" w:sz="4" w:space="0"/>
            </w:tcBorders>
            <w:shd w:val="clear" w:color="auto" w:fill="auto"/>
            <w:vAlign w:val="center"/>
          </w:tcPr>
          <w:p w14:paraId="1D84C6B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3级</w:t>
            </w:r>
          </w:p>
        </w:tc>
        <w:tc>
          <w:tcPr>
            <w:tcW w:w="3662" w:type="dxa"/>
            <w:tcBorders>
              <w:top w:val="nil"/>
              <w:left w:val="nil"/>
              <w:bottom w:val="single" w:color="auto" w:sz="4" w:space="0"/>
              <w:right w:val="single" w:color="auto" w:sz="4" w:space="0"/>
            </w:tcBorders>
            <w:shd w:val="clear" w:color="auto" w:fill="auto"/>
            <w:vAlign w:val="center"/>
          </w:tcPr>
          <w:p w14:paraId="2A3A68F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1-3年一遇短历时暴雨</w:t>
            </w:r>
          </w:p>
        </w:tc>
        <w:tc>
          <w:tcPr>
            <w:tcW w:w="1066" w:type="dxa"/>
            <w:tcBorders>
              <w:top w:val="nil"/>
              <w:left w:val="nil"/>
              <w:bottom w:val="single" w:color="auto" w:sz="4" w:space="0"/>
              <w:right w:val="single" w:color="auto" w:sz="4" w:space="0"/>
            </w:tcBorders>
            <w:shd w:val="clear" w:color="auto" w:fill="auto"/>
            <w:vAlign w:val="center"/>
          </w:tcPr>
          <w:p w14:paraId="0F193A5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GB51018-2014</w:t>
            </w:r>
          </w:p>
        </w:tc>
      </w:tr>
      <w:tr w14:paraId="5684C552">
        <w:tblPrEx>
          <w:tblCellMar>
            <w:top w:w="0" w:type="dxa"/>
            <w:left w:w="108" w:type="dxa"/>
            <w:bottom w:w="0" w:type="dxa"/>
            <w:right w:w="108" w:type="dxa"/>
          </w:tblCellMar>
        </w:tblPrEx>
        <w:trPr>
          <w:trHeight w:val="397" w:hRule="atLeast"/>
          <w:jc w:val="center"/>
        </w:trPr>
        <w:tc>
          <w:tcPr>
            <w:tcW w:w="755" w:type="dxa"/>
            <w:tcBorders>
              <w:top w:val="nil"/>
              <w:left w:val="single" w:color="auto" w:sz="4" w:space="0"/>
              <w:bottom w:val="single" w:color="auto" w:sz="4" w:space="0"/>
              <w:right w:val="single" w:color="auto" w:sz="4" w:space="0"/>
            </w:tcBorders>
            <w:shd w:val="clear" w:color="auto" w:fill="auto"/>
            <w:vAlign w:val="center"/>
          </w:tcPr>
          <w:p w14:paraId="4F6066E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蓄渗工程</w:t>
            </w:r>
          </w:p>
        </w:tc>
        <w:tc>
          <w:tcPr>
            <w:tcW w:w="1792" w:type="dxa"/>
            <w:tcBorders>
              <w:top w:val="nil"/>
              <w:left w:val="nil"/>
              <w:bottom w:val="single" w:color="auto" w:sz="4" w:space="0"/>
              <w:right w:val="single" w:color="auto" w:sz="4" w:space="0"/>
            </w:tcBorders>
            <w:shd w:val="clear" w:color="auto" w:fill="auto"/>
            <w:vAlign w:val="center"/>
          </w:tcPr>
          <w:p w14:paraId="7C920EE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各功能区</w:t>
            </w:r>
          </w:p>
        </w:tc>
        <w:tc>
          <w:tcPr>
            <w:tcW w:w="980" w:type="dxa"/>
            <w:tcBorders>
              <w:top w:val="nil"/>
              <w:left w:val="nil"/>
              <w:bottom w:val="single" w:color="auto" w:sz="4" w:space="0"/>
              <w:right w:val="single" w:color="auto" w:sz="4" w:space="0"/>
            </w:tcBorders>
            <w:shd w:val="clear" w:color="auto" w:fill="auto"/>
            <w:vAlign w:val="center"/>
          </w:tcPr>
          <w:p w14:paraId="24B6202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透水砖</w:t>
            </w:r>
          </w:p>
        </w:tc>
        <w:tc>
          <w:tcPr>
            <w:tcW w:w="805" w:type="dxa"/>
            <w:tcBorders>
              <w:top w:val="nil"/>
              <w:left w:val="nil"/>
              <w:bottom w:val="single" w:color="auto" w:sz="4" w:space="0"/>
              <w:right w:val="single" w:color="auto" w:sz="4" w:space="0"/>
            </w:tcBorders>
            <w:shd w:val="clear" w:color="auto" w:fill="auto"/>
            <w:vAlign w:val="center"/>
          </w:tcPr>
          <w:p w14:paraId="173062F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3662" w:type="dxa"/>
            <w:tcBorders>
              <w:top w:val="nil"/>
              <w:left w:val="nil"/>
              <w:bottom w:val="single" w:color="auto" w:sz="4" w:space="0"/>
              <w:right w:val="single" w:color="auto" w:sz="4" w:space="0"/>
            </w:tcBorders>
            <w:shd w:val="clear" w:color="auto" w:fill="auto"/>
            <w:vAlign w:val="center"/>
          </w:tcPr>
          <w:p w14:paraId="02E2C80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2年一遇暴雨60min地面不产生径流</w:t>
            </w:r>
          </w:p>
        </w:tc>
        <w:tc>
          <w:tcPr>
            <w:tcW w:w="1066" w:type="dxa"/>
            <w:tcBorders>
              <w:top w:val="nil"/>
              <w:left w:val="nil"/>
              <w:bottom w:val="single" w:color="auto" w:sz="4" w:space="0"/>
              <w:right w:val="single" w:color="auto" w:sz="4" w:space="0"/>
            </w:tcBorders>
            <w:shd w:val="clear" w:color="auto" w:fill="auto"/>
            <w:vAlign w:val="center"/>
          </w:tcPr>
          <w:p w14:paraId="5B63ECC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CJJ/T188-2012</w:t>
            </w:r>
          </w:p>
        </w:tc>
      </w:tr>
      <w:tr w14:paraId="05023796">
        <w:tblPrEx>
          <w:tblCellMar>
            <w:top w:w="0" w:type="dxa"/>
            <w:left w:w="108" w:type="dxa"/>
            <w:bottom w:w="0" w:type="dxa"/>
            <w:right w:w="108" w:type="dxa"/>
          </w:tblCellMar>
        </w:tblPrEx>
        <w:trPr>
          <w:trHeight w:val="397" w:hRule="atLeast"/>
          <w:jc w:val="center"/>
        </w:trPr>
        <w:tc>
          <w:tcPr>
            <w:tcW w:w="755" w:type="dxa"/>
            <w:vMerge w:val="restart"/>
            <w:tcBorders>
              <w:top w:val="nil"/>
              <w:left w:val="single" w:color="auto" w:sz="4" w:space="0"/>
              <w:bottom w:val="single" w:color="auto" w:sz="4" w:space="0"/>
              <w:right w:val="single" w:color="auto" w:sz="4" w:space="0"/>
            </w:tcBorders>
            <w:shd w:val="clear" w:color="auto" w:fill="auto"/>
            <w:vAlign w:val="center"/>
          </w:tcPr>
          <w:p w14:paraId="1C4DE6D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植被恢复与建设工程</w:t>
            </w:r>
          </w:p>
        </w:tc>
        <w:tc>
          <w:tcPr>
            <w:tcW w:w="1792" w:type="dxa"/>
            <w:tcBorders>
              <w:top w:val="nil"/>
              <w:left w:val="nil"/>
              <w:bottom w:val="single" w:color="auto" w:sz="4" w:space="0"/>
              <w:right w:val="single" w:color="auto" w:sz="4" w:space="0"/>
            </w:tcBorders>
            <w:shd w:val="clear" w:color="auto" w:fill="auto"/>
            <w:noWrap/>
            <w:vAlign w:val="center"/>
          </w:tcPr>
          <w:p w14:paraId="4DE5353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公共管理与公共服务用地</w:t>
            </w:r>
          </w:p>
        </w:tc>
        <w:tc>
          <w:tcPr>
            <w:tcW w:w="980" w:type="dxa"/>
            <w:tcBorders>
              <w:top w:val="nil"/>
              <w:left w:val="nil"/>
              <w:bottom w:val="single" w:color="auto" w:sz="4" w:space="0"/>
              <w:right w:val="single" w:color="auto" w:sz="4" w:space="0"/>
            </w:tcBorders>
            <w:shd w:val="clear" w:color="auto" w:fill="auto"/>
            <w:vAlign w:val="center"/>
          </w:tcPr>
          <w:p w14:paraId="452DDCD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绿化美化</w:t>
            </w:r>
          </w:p>
        </w:tc>
        <w:tc>
          <w:tcPr>
            <w:tcW w:w="805" w:type="dxa"/>
            <w:tcBorders>
              <w:top w:val="nil"/>
              <w:left w:val="nil"/>
              <w:bottom w:val="single" w:color="auto" w:sz="4" w:space="0"/>
              <w:right w:val="single" w:color="auto" w:sz="4" w:space="0"/>
            </w:tcBorders>
            <w:shd w:val="clear" w:color="auto" w:fill="auto"/>
            <w:vAlign w:val="center"/>
          </w:tcPr>
          <w:p w14:paraId="643F80A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1级</w:t>
            </w:r>
          </w:p>
        </w:tc>
        <w:tc>
          <w:tcPr>
            <w:tcW w:w="3662" w:type="dxa"/>
            <w:vMerge w:val="restart"/>
            <w:tcBorders>
              <w:top w:val="nil"/>
              <w:left w:val="single" w:color="auto" w:sz="4" w:space="0"/>
              <w:bottom w:val="single" w:color="auto" w:sz="4" w:space="0"/>
              <w:right w:val="single" w:color="auto" w:sz="4" w:space="0"/>
            </w:tcBorders>
            <w:shd w:val="clear" w:color="auto" w:fill="auto"/>
            <w:vAlign w:val="center"/>
          </w:tcPr>
          <w:p w14:paraId="202F310D">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根据景观、游憩、环境保护和生态防护等多功能的要求，执行工程所在地区园林绿化工程标准。</w:t>
            </w:r>
          </w:p>
        </w:tc>
        <w:tc>
          <w:tcPr>
            <w:tcW w:w="1066" w:type="dxa"/>
            <w:vMerge w:val="restart"/>
            <w:tcBorders>
              <w:top w:val="nil"/>
              <w:left w:val="single" w:color="auto" w:sz="4" w:space="0"/>
              <w:bottom w:val="single" w:color="auto" w:sz="4" w:space="0"/>
              <w:right w:val="single" w:color="auto" w:sz="4" w:space="0"/>
            </w:tcBorders>
            <w:shd w:val="clear" w:color="auto" w:fill="auto"/>
            <w:vAlign w:val="center"/>
          </w:tcPr>
          <w:p w14:paraId="7ADCA49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GB51018-2014</w:t>
            </w:r>
          </w:p>
        </w:tc>
      </w:tr>
      <w:tr w14:paraId="5B33A6FD">
        <w:tblPrEx>
          <w:tblCellMar>
            <w:top w:w="0" w:type="dxa"/>
            <w:left w:w="108" w:type="dxa"/>
            <w:bottom w:w="0" w:type="dxa"/>
            <w:right w:w="108" w:type="dxa"/>
          </w:tblCellMar>
        </w:tblPrEx>
        <w:trPr>
          <w:trHeight w:val="397" w:hRule="atLeast"/>
          <w:jc w:val="center"/>
        </w:trPr>
        <w:tc>
          <w:tcPr>
            <w:tcW w:w="755" w:type="dxa"/>
            <w:vMerge w:val="continue"/>
            <w:tcBorders>
              <w:top w:val="nil"/>
              <w:left w:val="single" w:color="auto" w:sz="4" w:space="0"/>
              <w:bottom w:val="single" w:color="auto" w:sz="4" w:space="0"/>
              <w:right w:val="single" w:color="auto" w:sz="4" w:space="0"/>
            </w:tcBorders>
            <w:vAlign w:val="center"/>
          </w:tcPr>
          <w:p w14:paraId="19C6E20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92" w:type="dxa"/>
            <w:tcBorders>
              <w:top w:val="nil"/>
              <w:left w:val="nil"/>
              <w:bottom w:val="single" w:color="auto" w:sz="4" w:space="0"/>
              <w:right w:val="single" w:color="auto" w:sz="4" w:space="0"/>
            </w:tcBorders>
            <w:shd w:val="clear" w:color="auto" w:fill="auto"/>
            <w:vAlign w:val="center"/>
          </w:tcPr>
          <w:p w14:paraId="7D5140B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商业服务业用地</w:t>
            </w:r>
          </w:p>
        </w:tc>
        <w:tc>
          <w:tcPr>
            <w:tcW w:w="980" w:type="dxa"/>
            <w:tcBorders>
              <w:top w:val="nil"/>
              <w:left w:val="nil"/>
              <w:bottom w:val="single" w:color="auto" w:sz="4" w:space="0"/>
              <w:right w:val="single" w:color="auto" w:sz="4" w:space="0"/>
            </w:tcBorders>
            <w:shd w:val="clear" w:color="auto" w:fill="auto"/>
            <w:vAlign w:val="center"/>
          </w:tcPr>
          <w:p w14:paraId="7200AA9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绿化美化</w:t>
            </w:r>
          </w:p>
        </w:tc>
        <w:tc>
          <w:tcPr>
            <w:tcW w:w="805" w:type="dxa"/>
            <w:tcBorders>
              <w:top w:val="nil"/>
              <w:left w:val="nil"/>
              <w:bottom w:val="single" w:color="auto" w:sz="4" w:space="0"/>
              <w:right w:val="single" w:color="auto" w:sz="4" w:space="0"/>
            </w:tcBorders>
            <w:shd w:val="clear" w:color="auto" w:fill="auto"/>
            <w:vAlign w:val="center"/>
          </w:tcPr>
          <w:p w14:paraId="3498A1A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1级</w:t>
            </w:r>
          </w:p>
        </w:tc>
        <w:tc>
          <w:tcPr>
            <w:tcW w:w="3662" w:type="dxa"/>
            <w:vMerge w:val="continue"/>
            <w:tcBorders>
              <w:top w:val="nil"/>
              <w:left w:val="single" w:color="auto" w:sz="4" w:space="0"/>
              <w:bottom w:val="single" w:color="auto" w:sz="4" w:space="0"/>
              <w:right w:val="single" w:color="auto" w:sz="4" w:space="0"/>
            </w:tcBorders>
            <w:vAlign w:val="center"/>
          </w:tcPr>
          <w:p w14:paraId="2BFF605B">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1066" w:type="dxa"/>
            <w:vMerge w:val="continue"/>
            <w:tcBorders>
              <w:top w:val="nil"/>
              <w:left w:val="single" w:color="auto" w:sz="4" w:space="0"/>
              <w:bottom w:val="single" w:color="auto" w:sz="4" w:space="0"/>
              <w:right w:val="single" w:color="auto" w:sz="4" w:space="0"/>
            </w:tcBorders>
            <w:vAlign w:val="center"/>
          </w:tcPr>
          <w:p w14:paraId="3CDC9269">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434E506E">
        <w:tblPrEx>
          <w:tblCellMar>
            <w:top w:w="0" w:type="dxa"/>
            <w:left w:w="108" w:type="dxa"/>
            <w:bottom w:w="0" w:type="dxa"/>
            <w:right w:w="108" w:type="dxa"/>
          </w:tblCellMar>
        </w:tblPrEx>
        <w:trPr>
          <w:trHeight w:val="397" w:hRule="atLeast"/>
          <w:jc w:val="center"/>
        </w:trPr>
        <w:tc>
          <w:tcPr>
            <w:tcW w:w="755" w:type="dxa"/>
            <w:vMerge w:val="continue"/>
            <w:tcBorders>
              <w:top w:val="nil"/>
              <w:left w:val="single" w:color="auto" w:sz="4" w:space="0"/>
              <w:bottom w:val="single" w:color="auto" w:sz="4" w:space="0"/>
              <w:right w:val="single" w:color="auto" w:sz="4" w:space="0"/>
            </w:tcBorders>
            <w:vAlign w:val="center"/>
          </w:tcPr>
          <w:p w14:paraId="50EFC4E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92" w:type="dxa"/>
            <w:tcBorders>
              <w:top w:val="nil"/>
              <w:left w:val="nil"/>
              <w:bottom w:val="single" w:color="auto" w:sz="4" w:space="0"/>
              <w:right w:val="single" w:color="auto" w:sz="4" w:space="0"/>
            </w:tcBorders>
            <w:shd w:val="clear" w:color="auto" w:fill="auto"/>
            <w:vAlign w:val="center"/>
          </w:tcPr>
          <w:p w14:paraId="59437CF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工矿用地</w:t>
            </w:r>
          </w:p>
        </w:tc>
        <w:tc>
          <w:tcPr>
            <w:tcW w:w="980" w:type="dxa"/>
            <w:tcBorders>
              <w:top w:val="nil"/>
              <w:left w:val="nil"/>
              <w:bottom w:val="single" w:color="auto" w:sz="4" w:space="0"/>
              <w:right w:val="single" w:color="auto" w:sz="4" w:space="0"/>
            </w:tcBorders>
            <w:shd w:val="clear" w:color="auto" w:fill="auto"/>
            <w:vAlign w:val="center"/>
          </w:tcPr>
          <w:p w14:paraId="4D83B36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造林种草</w:t>
            </w:r>
          </w:p>
        </w:tc>
        <w:tc>
          <w:tcPr>
            <w:tcW w:w="805" w:type="dxa"/>
            <w:tcBorders>
              <w:top w:val="nil"/>
              <w:left w:val="nil"/>
              <w:bottom w:val="single" w:color="auto" w:sz="4" w:space="0"/>
              <w:right w:val="single" w:color="auto" w:sz="4" w:space="0"/>
            </w:tcBorders>
            <w:shd w:val="clear" w:color="auto" w:fill="auto"/>
            <w:vAlign w:val="center"/>
          </w:tcPr>
          <w:p w14:paraId="5CFC074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1级、2级、3级</w:t>
            </w:r>
          </w:p>
        </w:tc>
        <w:tc>
          <w:tcPr>
            <w:tcW w:w="3662" w:type="dxa"/>
            <w:tcBorders>
              <w:top w:val="nil"/>
              <w:left w:val="nil"/>
              <w:bottom w:val="single" w:color="auto" w:sz="4" w:space="0"/>
              <w:right w:val="single" w:color="auto" w:sz="4" w:space="0"/>
            </w:tcBorders>
            <w:shd w:val="clear" w:color="auto" w:fill="auto"/>
            <w:noWrap/>
            <w:vAlign w:val="center"/>
          </w:tcPr>
          <w:p w14:paraId="02059174">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1066" w:type="dxa"/>
            <w:vMerge w:val="continue"/>
            <w:tcBorders>
              <w:top w:val="nil"/>
              <w:left w:val="single" w:color="auto" w:sz="4" w:space="0"/>
              <w:bottom w:val="single" w:color="auto" w:sz="4" w:space="0"/>
              <w:right w:val="single" w:color="auto" w:sz="4" w:space="0"/>
            </w:tcBorders>
            <w:vAlign w:val="center"/>
          </w:tcPr>
          <w:p w14:paraId="580B31DE">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59EE8325">
        <w:tblPrEx>
          <w:tblCellMar>
            <w:top w:w="0" w:type="dxa"/>
            <w:left w:w="108" w:type="dxa"/>
            <w:bottom w:w="0" w:type="dxa"/>
            <w:right w:w="108" w:type="dxa"/>
          </w:tblCellMar>
        </w:tblPrEx>
        <w:trPr>
          <w:trHeight w:val="397" w:hRule="atLeast"/>
          <w:jc w:val="center"/>
        </w:trPr>
        <w:tc>
          <w:tcPr>
            <w:tcW w:w="755" w:type="dxa"/>
            <w:vMerge w:val="continue"/>
            <w:tcBorders>
              <w:top w:val="nil"/>
              <w:left w:val="single" w:color="auto" w:sz="4" w:space="0"/>
              <w:bottom w:val="single" w:color="auto" w:sz="4" w:space="0"/>
              <w:right w:val="single" w:color="auto" w:sz="4" w:space="0"/>
            </w:tcBorders>
            <w:vAlign w:val="center"/>
          </w:tcPr>
          <w:p w14:paraId="72168B5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92" w:type="dxa"/>
            <w:tcBorders>
              <w:top w:val="nil"/>
              <w:left w:val="nil"/>
              <w:bottom w:val="single" w:color="auto" w:sz="4" w:space="0"/>
              <w:right w:val="single" w:color="auto" w:sz="4" w:space="0"/>
            </w:tcBorders>
            <w:shd w:val="clear" w:color="auto" w:fill="auto"/>
            <w:vAlign w:val="center"/>
          </w:tcPr>
          <w:p w14:paraId="567B30F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交通运输用地</w:t>
            </w:r>
          </w:p>
        </w:tc>
        <w:tc>
          <w:tcPr>
            <w:tcW w:w="980" w:type="dxa"/>
            <w:tcBorders>
              <w:top w:val="nil"/>
              <w:left w:val="nil"/>
              <w:bottom w:val="single" w:color="auto" w:sz="4" w:space="0"/>
              <w:right w:val="single" w:color="auto" w:sz="4" w:space="0"/>
            </w:tcBorders>
            <w:shd w:val="clear" w:color="auto" w:fill="auto"/>
            <w:vAlign w:val="center"/>
          </w:tcPr>
          <w:p w14:paraId="6590745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造林种草</w:t>
            </w:r>
          </w:p>
        </w:tc>
        <w:tc>
          <w:tcPr>
            <w:tcW w:w="805" w:type="dxa"/>
            <w:tcBorders>
              <w:top w:val="nil"/>
              <w:left w:val="nil"/>
              <w:bottom w:val="single" w:color="auto" w:sz="4" w:space="0"/>
              <w:right w:val="single" w:color="auto" w:sz="4" w:space="0"/>
            </w:tcBorders>
            <w:shd w:val="clear" w:color="auto" w:fill="auto"/>
            <w:vAlign w:val="center"/>
          </w:tcPr>
          <w:p w14:paraId="2E35332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2级</w:t>
            </w:r>
          </w:p>
        </w:tc>
        <w:tc>
          <w:tcPr>
            <w:tcW w:w="3662" w:type="dxa"/>
            <w:tcBorders>
              <w:top w:val="nil"/>
              <w:left w:val="nil"/>
              <w:bottom w:val="single" w:color="auto" w:sz="4" w:space="0"/>
              <w:right w:val="single" w:color="auto" w:sz="4" w:space="0"/>
            </w:tcBorders>
            <w:shd w:val="clear" w:color="auto" w:fill="auto"/>
            <w:vAlign w:val="center"/>
          </w:tcPr>
          <w:p w14:paraId="223C4DC1">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根据环境保护和生态防护要求，按生态公益林标准执行；有景观、游憩等功能要求的，结工程所在地区的园林绿化标准，在生态公益林标准基础上适度提高。</w:t>
            </w:r>
          </w:p>
        </w:tc>
        <w:tc>
          <w:tcPr>
            <w:tcW w:w="1066" w:type="dxa"/>
            <w:vMerge w:val="continue"/>
            <w:tcBorders>
              <w:top w:val="nil"/>
              <w:left w:val="single" w:color="auto" w:sz="4" w:space="0"/>
              <w:bottom w:val="single" w:color="auto" w:sz="4" w:space="0"/>
              <w:right w:val="single" w:color="auto" w:sz="4" w:space="0"/>
            </w:tcBorders>
            <w:vAlign w:val="center"/>
          </w:tcPr>
          <w:p w14:paraId="0F8C5285">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510D97C1">
        <w:tblPrEx>
          <w:tblCellMar>
            <w:top w:w="0" w:type="dxa"/>
            <w:left w:w="108" w:type="dxa"/>
            <w:bottom w:w="0" w:type="dxa"/>
            <w:right w:w="108" w:type="dxa"/>
          </w:tblCellMar>
        </w:tblPrEx>
        <w:trPr>
          <w:trHeight w:val="397" w:hRule="atLeast"/>
          <w:jc w:val="center"/>
        </w:trPr>
        <w:tc>
          <w:tcPr>
            <w:tcW w:w="755" w:type="dxa"/>
            <w:vMerge w:val="continue"/>
            <w:tcBorders>
              <w:top w:val="nil"/>
              <w:left w:val="single" w:color="auto" w:sz="4" w:space="0"/>
              <w:bottom w:val="single" w:color="auto" w:sz="4" w:space="0"/>
              <w:right w:val="single" w:color="auto" w:sz="4" w:space="0"/>
            </w:tcBorders>
            <w:vAlign w:val="center"/>
          </w:tcPr>
          <w:p w14:paraId="16B3B70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92" w:type="dxa"/>
            <w:tcBorders>
              <w:top w:val="nil"/>
              <w:left w:val="nil"/>
              <w:bottom w:val="single" w:color="auto" w:sz="4" w:space="0"/>
              <w:right w:val="single" w:color="auto" w:sz="4" w:space="0"/>
            </w:tcBorders>
            <w:shd w:val="clear" w:color="auto" w:fill="auto"/>
            <w:vAlign w:val="center"/>
          </w:tcPr>
          <w:p w14:paraId="501BBF3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公用设施用地</w:t>
            </w:r>
          </w:p>
        </w:tc>
        <w:tc>
          <w:tcPr>
            <w:tcW w:w="980" w:type="dxa"/>
            <w:tcBorders>
              <w:top w:val="nil"/>
              <w:left w:val="nil"/>
              <w:bottom w:val="single" w:color="auto" w:sz="4" w:space="0"/>
              <w:right w:val="single" w:color="auto" w:sz="4" w:space="0"/>
            </w:tcBorders>
            <w:shd w:val="clear" w:color="auto" w:fill="auto"/>
            <w:vAlign w:val="center"/>
          </w:tcPr>
          <w:p w14:paraId="570B43A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绿化美化</w:t>
            </w:r>
          </w:p>
        </w:tc>
        <w:tc>
          <w:tcPr>
            <w:tcW w:w="805" w:type="dxa"/>
            <w:tcBorders>
              <w:top w:val="nil"/>
              <w:left w:val="nil"/>
              <w:bottom w:val="single" w:color="auto" w:sz="4" w:space="0"/>
              <w:right w:val="single" w:color="auto" w:sz="4" w:space="0"/>
            </w:tcBorders>
            <w:shd w:val="clear" w:color="auto" w:fill="auto"/>
            <w:vAlign w:val="center"/>
          </w:tcPr>
          <w:p w14:paraId="543B2E8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1级</w:t>
            </w:r>
          </w:p>
        </w:tc>
        <w:tc>
          <w:tcPr>
            <w:tcW w:w="3662" w:type="dxa"/>
            <w:vMerge w:val="restart"/>
            <w:tcBorders>
              <w:top w:val="nil"/>
              <w:left w:val="single" w:color="auto" w:sz="4" w:space="0"/>
              <w:bottom w:val="single" w:color="auto" w:sz="4" w:space="0"/>
              <w:right w:val="single" w:color="auto" w:sz="4" w:space="0"/>
            </w:tcBorders>
            <w:shd w:val="clear" w:color="auto" w:fill="auto"/>
            <w:vAlign w:val="center"/>
          </w:tcPr>
          <w:p w14:paraId="1C4A0EB5">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根据景观、游憩、环境保护和生态防护等多功能的要求，执行工程所在地区园林绿化工程标准。</w:t>
            </w:r>
          </w:p>
        </w:tc>
        <w:tc>
          <w:tcPr>
            <w:tcW w:w="1066" w:type="dxa"/>
            <w:vMerge w:val="continue"/>
            <w:tcBorders>
              <w:top w:val="nil"/>
              <w:left w:val="single" w:color="auto" w:sz="4" w:space="0"/>
              <w:bottom w:val="single" w:color="auto" w:sz="4" w:space="0"/>
              <w:right w:val="single" w:color="auto" w:sz="4" w:space="0"/>
            </w:tcBorders>
            <w:vAlign w:val="center"/>
          </w:tcPr>
          <w:p w14:paraId="7721A54D">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16ADAFFC">
        <w:tblPrEx>
          <w:tblCellMar>
            <w:top w:w="0" w:type="dxa"/>
            <w:left w:w="108" w:type="dxa"/>
            <w:bottom w:w="0" w:type="dxa"/>
            <w:right w:w="108" w:type="dxa"/>
          </w:tblCellMar>
        </w:tblPrEx>
        <w:trPr>
          <w:trHeight w:val="397" w:hRule="atLeast"/>
          <w:jc w:val="center"/>
        </w:trPr>
        <w:tc>
          <w:tcPr>
            <w:tcW w:w="755" w:type="dxa"/>
            <w:vMerge w:val="continue"/>
            <w:tcBorders>
              <w:top w:val="nil"/>
              <w:left w:val="single" w:color="auto" w:sz="4" w:space="0"/>
              <w:bottom w:val="single" w:color="auto" w:sz="4" w:space="0"/>
              <w:right w:val="single" w:color="auto" w:sz="4" w:space="0"/>
            </w:tcBorders>
            <w:vAlign w:val="center"/>
          </w:tcPr>
          <w:p w14:paraId="6DBF9AF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792" w:type="dxa"/>
            <w:tcBorders>
              <w:top w:val="nil"/>
              <w:left w:val="nil"/>
              <w:bottom w:val="single" w:color="auto" w:sz="4" w:space="0"/>
              <w:right w:val="single" w:color="auto" w:sz="4" w:space="0"/>
            </w:tcBorders>
            <w:shd w:val="clear" w:color="auto" w:fill="auto"/>
            <w:vAlign w:val="center"/>
          </w:tcPr>
          <w:p w14:paraId="2862245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w:t>
            </w:r>
          </w:p>
        </w:tc>
        <w:tc>
          <w:tcPr>
            <w:tcW w:w="980" w:type="dxa"/>
            <w:tcBorders>
              <w:top w:val="nil"/>
              <w:left w:val="nil"/>
              <w:bottom w:val="single" w:color="auto" w:sz="4" w:space="0"/>
              <w:right w:val="single" w:color="auto" w:sz="4" w:space="0"/>
            </w:tcBorders>
            <w:shd w:val="clear" w:color="auto" w:fill="auto"/>
            <w:vAlign w:val="center"/>
          </w:tcPr>
          <w:p w14:paraId="48ADD49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绿化美化</w:t>
            </w:r>
          </w:p>
        </w:tc>
        <w:tc>
          <w:tcPr>
            <w:tcW w:w="805" w:type="dxa"/>
            <w:tcBorders>
              <w:top w:val="nil"/>
              <w:left w:val="nil"/>
              <w:bottom w:val="single" w:color="auto" w:sz="4" w:space="0"/>
              <w:right w:val="single" w:color="auto" w:sz="4" w:space="0"/>
            </w:tcBorders>
            <w:shd w:val="clear" w:color="auto" w:fill="auto"/>
            <w:vAlign w:val="center"/>
          </w:tcPr>
          <w:p w14:paraId="6D73CC3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1级</w:t>
            </w:r>
          </w:p>
        </w:tc>
        <w:tc>
          <w:tcPr>
            <w:tcW w:w="3662" w:type="dxa"/>
            <w:vMerge w:val="continue"/>
            <w:tcBorders>
              <w:top w:val="nil"/>
              <w:left w:val="single" w:color="auto" w:sz="4" w:space="0"/>
              <w:bottom w:val="single" w:color="auto" w:sz="4" w:space="0"/>
              <w:right w:val="single" w:color="auto" w:sz="4" w:space="0"/>
            </w:tcBorders>
            <w:vAlign w:val="center"/>
          </w:tcPr>
          <w:p w14:paraId="1E3F565C">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066" w:type="dxa"/>
            <w:vMerge w:val="continue"/>
            <w:tcBorders>
              <w:top w:val="nil"/>
              <w:left w:val="single" w:color="auto" w:sz="4" w:space="0"/>
              <w:bottom w:val="single" w:color="auto" w:sz="4" w:space="0"/>
              <w:right w:val="single" w:color="auto" w:sz="4" w:space="0"/>
            </w:tcBorders>
            <w:vAlign w:val="center"/>
          </w:tcPr>
          <w:p w14:paraId="60226FB0">
            <w:pPr>
              <w:spacing w:line="240" w:lineRule="auto"/>
              <w:ind w:firstLine="0" w:firstLineChars="0"/>
              <w:jc w:val="center"/>
              <w:rPr>
                <w:rFonts w:cs="Times New Roman"/>
                <w:color w:val="000000" w:themeColor="text1"/>
                <w:sz w:val="21"/>
                <w:szCs w:val="21"/>
                <w14:textFill>
                  <w14:solidFill>
                    <w14:schemeClr w14:val="tx1"/>
                  </w14:solidFill>
                </w14:textFill>
              </w:rPr>
            </w:pPr>
          </w:p>
        </w:tc>
      </w:tr>
    </w:tbl>
    <w:p w14:paraId="38A95526">
      <w:pPr>
        <w:pStyle w:val="44"/>
        <w:rPr>
          <w:color w:val="000000" w:themeColor="text1"/>
          <w14:textFill>
            <w14:solidFill>
              <w14:schemeClr w14:val="tx1"/>
            </w14:solidFill>
          </w14:textFill>
        </w:rPr>
      </w:pPr>
    </w:p>
    <w:p w14:paraId="41E4B7CC">
      <w:pPr>
        <w:pStyle w:val="12"/>
        <w:ind w:firstLine="480"/>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w:t>
      </w:r>
      <w:r>
        <w:rPr>
          <w:rFonts w:ascii="Times New Roman" w:hAnsi="Times New Roman" w:eastAsia="仿宋_GB2312"/>
          <w:color w:val="000000" w:themeColor="text1"/>
          <w14:textFill>
            <w14:solidFill>
              <w14:schemeClr w14:val="tx1"/>
            </w14:solidFill>
          </w14:textFill>
        </w:rPr>
        <w:t>立地条件</w:t>
      </w:r>
    </w:p>
    <w:p w14:paraId="1E0578B0">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根据包头金山经济开发区自然和气象水文条件，选择耐干旱、耐寒冷、抗风沙、适应性强、易于管理的树、草种，以保证成活并良好生长。土壤类型主要以栗钙土为主。园区可根据各区域功能不同选择不同乔、灌木及花草品种。园区应选择具有绿化、美化、净化作用的树、草种植，区内交通道路两旁可选择高大乔木。</w:t>
      </w:r>
    </w:p>
    <w:p w14:paraId="49C0E4AD">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根据本园区所在区域的自然环境，结合园区的实际情况，本着“因地制宜、适地适树、适地适草”，建设水土保持植被和环境美化植被。</w:t>
      </w:r>
    </w:p>
    <w:p w14:paraId="306B0380">
      <w:pPr>
        <w:pStyle w:val="12"/>
        <w:ind w:left="482" w:firstLine="0" w:firstLineChars="0"/>
        <w:rPr>
          <w:rFonts w:ascii="Times New Roman" w:hAnsi="Times New Roman" w:eastAsia="仿宋_GB2312"/>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②</w:t>
      </w:r>
      <w:r>
        <w:rPr>
          <w:rFonts w:ascii="Times New Roman" w:hAnsi="Times New Roman" w:eastAsia="仿宋_GB2312"/>
          <w:color w:val="000000" w:themeColor="text1"/>
          <w14:textFill>
            <w14:solidFill>
              <w14:schemeClr w14:val="tx1"/>
            </w14:solidFill>
          </w14:textFill>
        </w:rPr>
        <w:t>适宜植物选择</w:t>
      </w:r>
    </w:p>
    <w:p w14:paraId="1B87BE32">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规划将这些景观特征与园区四至范围整体空间景观统一考虑，通过点、线、面的环境绿化，即沿渠绿化、沿道路绿化、沿水体人工“绿带”等与园区四至范围各组团相接，使整个绿地景观系统成为一个整体。树种是在广泛调查当地乡土树种的基础上，针对当地自然条件，结合各种占地类型项目的防尘需求并参考现有树草种，根据树种的特性选择用于绿化的树种。</w:t>
      </w:r>
    </w:p>
    <w:p w14:paraId="0F099556">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根据园区自身特点和所在地区气候特点，选择既能保持水土又能对污染物有吸抗功能的植物种作为园区绿化的骨干植物种；以乡土植物为主，适当引进适宜本地区生长的优良植物；在发挥林草防护和观赏等综合功能的前提下，尽可能结合生产，做到既防污、防噪，又美观好看，并能取得一定的经济效益。</w:t>
      </w:r>
    </w:p>
    <w:p w14:paraId="1B509743">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总体规划中没有提及绿化的品种及规模，本着“适地适树、适地适草、因害设防”的原则对绿化提出原则性的建议。</w:t>
      </w:r>
    </w:p>
    <w:p w14:paraId="6689DC4D">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根据上述原则，通过分析园区立地条件，根据树草种生态学特性、适宜性及造林、种草的技术规范，选择树草种为新疆杨、金叶榆、桑树、榆叶梅、垂柳、樟子松、玫瑰、丁香、油松、山杏、紫惠槐、云杉、早熟禾、羊草、披碱草等，以充分发挥生态潜力，达到改善生态环境的要求。</w:t>
      </w:r>
    </w:p>
    <w:p w14:paraId="1BB86251">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园区内各工程建设区栽植乔、灌木时，应注意树木与建筑物和地下设施之间的距离，防止对建筑物及地下设施带来不利影响。树木与建筑物和地下管线间距，见表5-6。</w:t>
      </w:r>
    </w:p>
    <w:p w14:paraId="6E0D9E9D">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表5-6                         树木与建筑物和地下管线间距表</w:t>
      </w:r>
    </w:p>
    <w:tbl>
      <w:tblPr>
        <w:tblStyle w:val="141"/>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044"/>
        <w:gridCol w:w="4000"/>
        <w:gridCol w:w="2023"/>
        <w:gridCol w:w="2023"/>
      </w:tblGrid>
      <w:tr w14:paraId="470896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574" w:type="pct"/>
            <w:vMerge w:val="restart"/>
            <w:vAlign w:val="center"/>
          </w:tcPr>
          <w:p w14:paraId="65DBE5D7">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pacing w:val="-5"/>
                <w:sz w:val="21"/>
                <w:szCs w:val="21"/>
                <w:lang w:eastAsia="en-US"/>
                <w14:textFill>
                  <w14:solidFill>
                    <w14:schemeClr w14:val="tx1"/>
                  </w14:solidFill>
                </w14:textFill>
              </w:rPr>
              <w:t>序号</w:t>
            </w:r>
          </w:p>
        </w:tc>
        <w:tc>
          <w:tcPr>
            <w:tcW w:w="2200" w:type="pct"/>
            <w:vMerge w:val="restart"/>
            <w:vAlign w:val="center"/>
          </w:tcPr>
          <w:p w14:paraId="79BE025D">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pacing w:val="-4"/>
                <w:sz w:val="21"/>
                <w:szCs w:val="21"/>
                <w:lang w:eastAsia="en-US"/>
                <w14:textFill>
                  <w14:solidFill>
                    <w14:schemeClr w14:val="tx1"/>
                  </w14:solidFill>
                </w14:textFill>
              </w:rPr>
              <w:t>建筑物</w:t>
            </w:r>
          </w:p>
        </w:tc>
        <w:tc>
          <w:tcPr>
            <w:tcW w:w="2226" w:type="pct"/>
            <w:gridSpan w:val="2"/>
            <w:vAlign w:val="center"/>
          </w:tcPr>
          <w:p w14:paraId="069FDF45">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z w:val="21"/>
                <w:szCs w:val="21"/>
                <w:lang w:eastAsia="en-US"/>
                <w14:textFill>
                  <w14:solidFill>
                    <w14:schemeClr w14:val="tx1"/>
                  </w14:solidFill>
                </w14:textFill>
              </w:rPr>
              <w:t>最小间距</w:t>
            </w:r>
            <w:r>
              <w:rPr>
                <w:rFonts w:ascii="Times New Roman" w:hAnsi="Times New Roman" w:eastAsia="仿宋_GB2312"/>
                <w:color w:val="000000" w:themeColor="text1"/>
                <w:spacing w:val="-5"/>
                <w:sz w:val="21"/>
                <w:szCs w:val="21"/>
                <w:lang w:eastAsia="en-US"/>
                <w14:textFill>
                  <w14:solidFill>
                    <w14:schemeClr w14:val="tx1"/>
                  </w14:solidFill>
                </w14:textFill>
              </w:rPr>
              <w:t>（m）</w:t>
            </w:r>
          </w:p>
        </w:tc>
      </w:tr>
      <w:tr w14:paraId="044562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574" w:type="pct"/>
            <w:vMerge w:val="continue"/>
            <w:tcBorders>
              <w:top w:val="nil"/>
              <w:bottom w:val="double" w:color="auto" w:sz="4" w:space="0"/>
            </w:tcBorders>
            <w:vAlign w:val="center"/>
          </w:tcPr>
          <w:p w14:paraId="3D1AD1A8">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p>
        </w:tc>
        <w:tc>
          <w:tcPr>
            <w:tcW w:w="2200" w:type="pct"/>
            <w:vMerge w:val="continue"/>
            <w:tcBorders>
              <w:top w:val="nil"/>
              <w:bottom w:val="double" w:color="auto" w:sz="4" w:space="0"/>
            </w:tcBorders>
            <w:vAlign w:val="center"/>
          </w:tcPr>
          <w:p w14:paraId="3CD81299">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p>
        </w:tc>
        <w:tc>
          <w:tcPr>
            <w:tcW w:w="1113" w:type="pct"/>
            <w:tcBorders>
              <w:bottom w:val="double" w:color="auto" w:sz="4" w:space="0"/>
            </w:tcBorders>
            <w:vAlign w:val="center"/>
          </w:tcPr>
          <w:p w14:paraId="6B41C1EE">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z w:val="21"/>
                <w:szCs w:val="21"/>
                <w:lang w:eastAsia="en-US"/>
                <w14:textFill>
                  <w14:solidFill>
                    <w14:schemeClr w14:val="tx1"/>
                  </w14:solidFill>
                </w14:textFill>
              </w:rPr>
              <w:t>至乔木中心</w:t>
            </w:r>
          </w:p>
        </w:tc>
        <w:tc>
          <w:tcPr>
            <w:tcW w:w="1113" w:type="pct"/>
            <w:tcBorders>
              <w:bottom w:val="double" w:color="auto" w:sz="4" w:space="0"/>
            </w:tcBorders>
            <w:vAlign w:val="center"/>
          </w:tcPr>
          <w:p w14:paraId="7BD8740A">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z w:val="21"/>
                <w:szCs w:val="21"/>
                <w:lang w:eastAsia="en-US"/>
                <w14:textFill>
                  <w14:solidFill>
                    <w14:schemeClr w14:val="tx1"/>
                  </w14:solidFill>
                </w14:textFill>
              </w:rPr>
              <w:t>至灌木中心</w:t>
            </w:r>
          </w:p>
        </w:tc>
      </w:tr>
      <w:tr w14:paraId="3EA182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574" w:type="pct"/>
            <w:tcBorders>
              <w:top w:val="double" w:color="auto" w:sz="4" w:space="0"/>
            </w:tcBorders>
            <w:vAlign w:val="center"/>
          </w:tcPr>
          <w:p w14:paraId="3A10FD69">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z w:val="21"/>
                <w:szCs w:val="21"/>
                <w:lang w:eastAsia="en-US"/>
                <w14:textFill>
                  <w14:solidFill>
                    <w14:schemeClr w14:val="tx1"/>
                  </w14:solidFill>
                </w14:textFill>
              </w:rPr>
              <w:t>1</w:t>
            </w:r>
          </w:p>
        </w:tc>
        <w:tc>
          <w:tcPr>
            <w:tcW w:w="2200" w:type="pct"/>
            <w:tcBorders>
              <w:top w:val="double" w:color="auto" w:sz="4" w:space="0"/>
            </w:tcBorders>
            <w:vAlign w:val="center"/>
          </w:tcPr>
          <w:p w14:paraId="4A2A7F31">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z w:val="21"/>
                <w:szCs w:val="21"/>
                <w:lang w:eastAsia="en-US"/>
                <w14:textFill>
                  <w14:solidFill>
                    <w14:schemeClr w14:val="tx1"/>
                  </w14:solidFill>
                </w14:textFill>
              </w:rPr>
              <w:t>建筑物外墙，有窗</w:t>
            </w:r>
          </w:p>
        </w:tc>
        <w:tc>
          <w:tcPr>
            <w:tcW w:w="1113" w:type="pct"/>
            <w:tcBorders>
              <w:top w:val="double" w:color="auto" w:sz="4" w:space="0"/>
            </w:tcBorders>
            <w:vAlign w:val="center"/>
          </w:tcPr>
          <w:p w14:paraId="35F03E52">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z w:val="21"/>
                <w:szCs w:val="21"/>
                <w:lang w:eastAsia="en-US"/>
                <w14:textFill>
                  <w14:solidFill>
                    <w14:schemeClr w14:val="tx1"/>
                  </w14:solidFill>
                </w14:textFill>
              </w:rPr>
              <w:t>3.0～5.0</w:t>
            </w:r>
          </w:p>
        </w:tc>
        <w:tc>
          <w:tcPr>
            <w:tcW w:w="1113" w:type="pct"/>
            <w:tcBorders>
              <w:top w:val="double" w:color="auto" w:sz="4" w:space="0"/>
            </w:tcBorders>
            <w:vAlign w:val="center"/>
          </w:tcPr>
          <w:p w14:paraId="0306354E">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pacing w:val="-5"/>
                <w:sz w:val="21"/>
                <w:szCs w:val="21"/>
                <w:lang w:eastAsia="en-US"/>
                <w14:textFill>
                  <w14:solidFill>
                    <w14:schemeClr w14:val="tx1"/>
                  </w14:solidFill>
                </w14:textFill>
              </w:rPr>
              <w:t>1.5</w:t>
            </w:r>
          </w:p>
        </w:tc>
      </w:tr>
      <w:tr w14:paraId="20AB88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574" w:type="pct"/>
            <w:vAlign w:val="center"/>
          </w:tcPr>
          <w:p w14:paraId="35EDD729">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z w:val="21"/>
                <w:szCs w:val="21"/>
                <w:lang w:eastAsia="en-US"/>
                <w14:textFill>
                  <w14:solidFill>
                    <w14:schemeClr w14:val="tx1"/>
                  </w14:solidFill>
                </w14:textFill>
              </w:rPr>
              <w:t>2</w:t>
            </w:r>
          </w:p>
        </w:tc>
        <w:tc>
          <w:tcPr>
            <w:tcW w:w="2200" w:type="pct"/>
            <w:vAlign w:val="center"/>
          </w:tcPr>
          <w:p w14:paraId="7FC8E34E">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z w:val="21"/>
                <w:szCs w:val="21"/>
                <w:lang w:eastAsia="en-US"/>
                <w14:textFill>
                  <w14:solidFill>
                    <w14:schemeClr w14:val="tx1"/>
                  </w14:solidFill>
                </w14:textFill>
              </w:rPr>
              <w:t>建筑物外墙，无窗</w:t>
            </w:r>
          </w:p>
        </w:tc>
        <w:tc>
          <w:tcPr>
            <w:tcW w:w="1113" w:type="pct"/>
            <w:vAlign w:val="center"/>
          </w:tcPr>
          <w:p w14:paraId="74D53050">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z w:val="21"/>
                <w:szCs w:val="21"/>
                <w:lang w:eastAsia="en-US"/>
                <w14:textFill>
                  <w14:solidFill>
                    <w14:schemeClr w14:val="tx1"/>
                  </w14:solidFill>
                </w14:textFill>
              </w:rPr>
              <w:t>1</w:t>
            </w:r>
          </w:p>
        </w:tc>
        <w:tc>
          <w:tcPr>
            <w:tcW w:w="1113" w:type="pct"/>
            <w:vAlign w:val="center"/>
          </w:tcPr>
          <w:p w14:paraId="78CDFEF0">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pacing w:val="-5"/>
                <w:sz w:val="21"/>
                <w:szCs w:val="21"/>
                <w:lang w:eastAsia="en-US"/>
                <w14:textFill>
                  <w14:solidFill>
                    <w14:schemeClr w14:val="tx1"/>
                  </w14:solidFill>
                </w14:textFill>
              </w:rPr>
              <w:t>1.5</w:t>
            </w:r>
          </w:p>
        </w:tc>
      </w:tr>
      <w:tr w14:paraId="1C2171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574" w:type="pct"/>
            <w:vAlign w:val="center"/>
          </w:tcPr>
          <w:p w14:paraId="2721963D">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z w:val="21"/>
                <w:szCs w:val="21"/>
                <w:lang w:eastAsia="en-US"/>
                <w14:textFill>
                  <w14:solidFill>
                    <w14:schemeClr w14:val="tx1"/>
                  </w14:solidFill>
                </w14:textFill>
              </w:rPr>
              <w:t>3</w:t>
            </w:r>
          </w:p>
        </w:tc>
        <w:tc>
          <w:tcPr>
            <w:tcW w:w="2200" w:type="pct"/>
            <w:vAlign w:val="center"/>
          </w:tcPr>
          <w:p w14:paraId="1632C32F">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pacing w:val="-25"/>
                <w:sz w:val="21"/>
                <w:szCs w:val="21"/>
                <w:lang w:eastAsia="en-US"/>
                <w14:textFill>
                  <w14:solidFill>
                    <w14:schemeClr w14:val="tx1"/>
                  </w14:solidFill>
                </w14:textFill>
              </w:rPr>
              <w:t>高</w:t>
            </w:r>
            <w:r>
              <w:rPr>
                <w:rFonts w:ascii="Times New Roman" w:hAnsi="Times New Roman" w:eastAsia="仿宋_GB2312"/>
                <w:color w:val="000000" w:themeColor="text1"/>
                <w:sz w:val="21"/>
                <w:szCs w:val="21"/>
                <w:lang w:eastAsia="en-US"/>
                <w14:textFill>
                  <w14:solidFill>
                    <w14:schemeClr w14:val="tx1"/>
                  </w14:solidFill>
                </w14:textFill>
              </w:rPr>
              <w:t>2.0m</w:t>
            </w:r>
            <w:r>
              <w:rPr>
                <w:rFonts w:ascii="Times New Roman" w:hAnsi="Times New Roman" w:eastAsia="仿宋_GB2312"/>
                <w:color w:val="000000" w:themeColor="text1"/>
                <w:spacing w:val="-23"/>
                <w:sz w:val="21"/>
                <w:szCs w:val="21"/>
                <w:lang w:eastAsia="en-US"/>
                <w14:textFill>
                  <w14:solidFill>
                    <w14:schemeClr w14:val="tx1"/>
                  </w14:solidFill>
                </w14:textFill>
              </w:rPr>
              <w:t>及</w:t>
            </w:r>
            <w:r>
              <w:rPr>
                <w:rFonts w:ascii="Times New Roman" w:hAnsi="Times New Roman" w:eastAsia="仿宋_GB2312"/>
                <w:color w:val="000000" w:themeColor="text1"/>
                <w:sz w:val="21"/>
                <w:szCs w:val="21"/>
                <w:lang w:eastAsia="en-US"/>
                <w14:textFill>
                  <w14:solidFill>
                    <w14:schemeClr w14:val="tx1"/>
                  </w14:solidFill>
                </w14:textFill>
              </w:rPr>
              <w:t>2.0m</w:t>
            </w:r>
            <w:r>
              <w:rPr>
                <w:rFonts w:ascii="Times New Roman" w:hAnsi="Times New Roman" w:eastAsia="仿宋_GB2312"/>
                <w:color w:val="000000" w:themeColor="text1"/>
                <w:spacing w:val="-3"/>
                <w:sz w:val="21"/>
                <w:szCs w:val="21"/>
                <w:lang w:eastAsia="en-US"/>
                <w14:textFill>
                  <w14:solidFill>
                    <w14:schemeClr w14:val="tx1"/>
                  </w14:solidFill>
                </w14:textFill>
              </w:rPr>
              <w:t>以上围墙</w:t>
            </w:r>
          </w:p>
        </w:tc>
        <w:tc>
          <w:tcPr>
            <w:tcW w:w="1113" w:type="pct"/>
            <w:vAlign w:val="center"/>
          </w:tcPr>
          <w:p w14:paraId="4EDD4D52">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z w:val="21"/>
                <w:szCs w:val="21"/>
                <w:lang w:eastAsia="en-US"/>
                <w14:textFill>
                  <w14:solidFill>
                    <w14:schemeClr w14:val="tx1"/>
                  </w14:solidFill>
                </w14:textFill>
              </w:rPr>
              <w:t>2</w:t>
            </w:r>
          </w:p>
        </w:tc>
        <w:tc>
          <w:tcPr>
            <w:tcW w:w="1113" w:type="pct"/>
            <w:vAlign w:val="center"/>
          </w:tcPr>
          <w:p w14:paraId="59B8A56D">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z w:val="21"/>
                <w:szCs w:val="21"/>
                <w:lang w:eastAsia="en-US"/>
                <w14:textFill>
                  <w14:solidFill>
                    <w14:schemeClr w14:val="tx1"/>
                  </w14:solidFill>
                </w14:textFill>
              </w:rPr>
              <w:t>1</w:t>
            </w:r>
          </w:p>
        </w:tc>
      </w:tr>
      <w:tr w14:paraId="5426CC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574" w:type="pct"/>
            <w:vAlign w:val="center"/>
          </w:tcPr>
          <w:p w14:paraId="7474448A">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z w:val="21"/>
                <w:szCs w:val="21"/>
                <w:lang w:eastAsia="en-US"/>
                <w14:textFill>
                  <w14:solidFill>
                    <w14:schemeClr w14:val="tx1"/>
                  </w14:solidFill>
                </w14:textFill>
              </w:rPr>
              <w:t>4</w:t>
            </w:r>
          </w:p>
        </w:tc>
        <w:tc>
          <w:tcPr>
            <w:tcW w:w="2200" w:type="pct"/>
            <w:vAlign w:val="center"/>
          </w:tcPr>
          <w:p w14:paraId="5A79ECE4">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z w:val="21"/>
                <w:szCs w:val="21"/>
                <w:lang w:eastAsia="en-US"/>
                <w14:textFill>
                  <w14:solidFill>
                    <w14:schemeClr w14:val="tx1"/>
                  </w14:solidFill>
                </w14:textFill>
              </w:rPr>
              <w:t>道路路面边缘</w:t>
            </w:r>
          </w:p>
        </w:tc>
        <w:tc>
          <w:tcPr>
            <w:tcW w:w="1113" w:type="pct"/>
            <w:vAlign w:val="center"/>
          </w:tcPr>
          <w:p w14:paraId="0EB51E40">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z w:val="21"/>
                <w:szCs w:val="21"/>
                <w:lang w:eastAsia="en-US"/>
                <w14:textFill>
                  <w14:solidFill>
                    <w14:schemeClr w14:val="tx1"/>
                  </w14:solidFill>
                </w14:textFill>
              </w:rPr>
              <w:t>1</w:t>
            </w:r>
          </w:p>
        </w:tc>
        <w:tc>
          <w:tcPr>
            <w:tcW w:w="1113" w:type="pct"/>
            <w:vAlign w:val="center"/>
          </w:tcPr>
          <w:p w14:paraId="6D5C0421">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pacing w:val="-5"/>
                <w:sz w:val="21"/>
                <w:szCs w:val="21"/>
                <w:lang w:eastAsia="en-US"/>
                <w14:textFill>
                  <w14:solidFill>
                    <w14:schemeClr w14:val="tx1"/>
                  </w14:solidFill>
                </w14:textFill>
              </w:rPr>
              <w:t>0.5</w:t>
            </w:r>
          </w:p>
        </w:tc>
      </w:tr>
      <w:tr w14:paraId="4F60C6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574" w:type="pct"/>
            <w:vAlign w:val="center"/>
          </w:tcPr>
          <w:p w14:paraId="58E61117">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z w:val="21"/>
                <w:szCs w:val="21"/>
                <w:lang w:eastAsia="en-US"/>
                <w14:textFill>
                  <w14:solidFill>
                    <w14:schemeClr w14:val="tx1"/>
                  </w14:solidFill>
                </w14:textFill>
              </w:rPr>
              <w:t>5</w:t>
            </w:r>
          </w:p>
        </w:tc>
        <w:tc>
          <w:tcPr>
            <w:tcW w:w="2200" w:type="pct"/>
            <w:vAlign w:val="center"/>
          </w:tcPr>
          <w:p w14:paraId="2E4F3104">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z w:val="21"/>
                <w:szCs w:val="21"/>
                <w:lang w:eastAsia="en-US"/>
                <w14:textFill>
                  <w14:solidFill>
                    <w14:schemeClr w14:val="tx1"/>
                  </w14:solidFill>
                </w14:textFill>
              </w:rPr>
              <w:t>排水暗沟边缘</w:t>
            </w:r>
          </w:p>
        </w:tc>
        <w:tc>
          <w:tcPr>
            <w:tcW w:w="1113" w:type="pct"/>
            <w:vAlign w:val="center"/>
          </w:tcPr>
          <w:p w14:paraId="7CF76BE4">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z w:val="21"/>
                <w:szCs w:val="21"/>
                <w:lang w:eastAsia="en-US"/>
                <w14:textFill>
                  <w14:solidFill>
                    <w14:schemeClr w14:val="tx1"/>
                  </w14:solidFill>
                </w14:textFill>
              </w:rPr>
              <w:t>1</w:t>
            </w:r>
          </w:p>
        </w:tc>
        <w:tc>
          <w:tcPr>
            <w:tcW w:w="1113" w:type="pct"/>
            <w:vAlign w:val="center"/>
          </w:tcPr>
          <w:p w14:paraId="26203464">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pacing w:val="-5"/>
                <w:sz w:val="21"/>
                <w:szCs w:val="21"/>
                <w:lang w:eastAsia="en-US"/>
                <w14:textFill>
                  <w14:solidFill>
                    <w14:schemeClr w14:val="tx1"/>
                  </w14:solidFill>
                </w14:textFill>
              </w:rPr>
              <w:t>0.5</w:t>
            </w:r>
          </w:p>
        </w:tc>
      </w:tr>
      <w:tr w14:paraId="3AC338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574" w:type="pct"/>
            <w:vAlign w:val="center"/>
          </w:tcPr>
          <w:p w14:paraId="5E370EF8">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z w:val="21"/>
                <w:szCs w:val="21"/>
                <w:lang w:eastAsia="en-US"/>
                <w14:textFill>
                  <w14:solidFill>
                    <w14:schemeClr w14:val="tx1"/>
                  </w14:solidFill>
                </w14:textFill>
              </w:rPr>
              <w:t>6</w:t>
            </w:r>
          </w:p>
        </w:tc>
        <w:tc>
          <w:tcPr>
            <w:tcW w:w="2200" w:type="pct"/>
            <w:vAlign w:val="center"/>
          </w:tcPr>
          <w:p w14:paraId="3695FF06">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z w:val="21"/>
                <w:szCs w:val="21"/>
                <w:lang w:eastAsia="en-US"/>
                <w14:textFill>
                  <w14:solidFill>
                    <w14:schemeClr w14:val="tx1"/>
                  </w14:solidFill>
                </w14:textFill>
              </w:rPr>
              <w:t>人行道边缘</w:t>
            </w:r>
          </w:p>
        </w:tc>
        <w:tc>
          <w:tcPr>
            <w:tcW w:w="1113" w:type="pct"/>
            <w:vAlign w:val="center"/>
          </w:tcPr>
          <w:p w14:paraId="3C6D97C0">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pacing w:val="-5"/>
                <w:sz w:val="21"/>
                <w:szCs w:val="21"/>
                <w:lang w:eastAsia="en-US"/>
                <w14:textFill>
                  <w14:solidFill>
                    <w14:schemeClr w14:val="tx1"/>
                  </w14:solidFill>
                </w14:textFill>
              </w:rPr>
              <w:t>0.5</w:t>
            </w:r>
          </w:p>
        </w:tc>
        <w:tc>
          <w:tcPr>
            <w:tcW w:w="1113" w:type="pct"/>
            <w:vAlign w:val="center"/>
          </w:tcPr>
          <w:p w14:paraId="0419EBAD">
            <w:pPr>
              <w:pStyle w:val="12"/>
              <w:widowControl w:val="0"/>
              <w:autoSpaceDE w:val="0"/>
              <w:autoSpaceDN w:val="0"/>
              <w:spacing w:line="240" w:lineRule="auto"/>
              <w:ind w:firstLine="0" w:firstLineChars="0"/>
              <w:jc w:val="center"/>
              <w:rPr>
                <w:rFonts w:ascii="Times New Roman" w:hAnsi="Times New Roman" w:eastAsia="仿宋_GB2312"/>
                <w:color w:val="000000" w:themeColor="text1"/>
                <w:sz w:val="21"/>
                <w:szCs w:val="21"/>
                <w:lang w:eastAsia="en-US"/>
                <w14:textFill>
                  <w14:solidFill>
                    <w14:schemeClr w14:val="tx1"/>
                  </w14:solidFill>
                </w14:textFill>
              </w:rPr>
            </w:pPr>
            <w:r>
              <w:rPr>
                <w:rFonts w:ascii="Times New Roman" w:hAnsi="Times New Roman" w:eastAsia="仿宋_GB2312"/>
                <w:color w:val="000000" w:themeColor="text1"/>
                <w:spacing w:val="-5"/>
                <w:sz w:val="21"/>
                <w:szCs w:val="21"/>
                <w:lang w:eastAsia="en-US"/>
                <w14:textFill>
                  <w14:solidFill>
                    <w14:schemeClr w14:val="tx1"/>
                  </w14:solidFill>
                </w14:textFill>
              </w:rPr>
              <w:t>0.5</w:t>
            </w:r>
          </w:p>
        </w:tc>
      </w:tr>
    </w:tbl>
    <w:p w14:paraId="5B1409CC">
      <w:pPr>
        <w:pStyle w:val="12"/>
        <w:ind w:firstLine="482"/>
        <w:rPr>
          <w:rFonts w:ascii="Times New Roman" w:hAnsi="Times New Roman" w:eastAsia="仿宋_GB2312"/>
          <w:b/>
          <w:color w:val="000000" w:themeColor="text1"/>
          <w14:textFill>
            <w14:solidFill>
              <w14:schemeClr w14:val="tx1"/>
            </w14:solidFill>
          </w14:textFill>
        </w:rPr>
      </w:pPr>
    </w:p>
    <w:p w14:paraId="5C07B9FA">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（2）临时措施设计标准</w:t>
      </w:r>
    </w:p>
    <w:p w14:paraId="1646E40B">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临时措施主要包括临时拦挡、苫盖、绿化防护等措施。临时措施的设计标准</w:t>
      </w:r>
      <w:r>
        <w:rPr>
          <w:rFonts w:ascii="Times New Roman" w:hAnsi="Times New Roman" w:eastAsia="仿宋_GB2312"/>
          <w:color w:val="000000" w:themeColor="text1"/>
          <w14:textFill>
            <w14:solidFill>
              <w14:schemeClr w14:val="tx1"/>
            </w14:solidFill>
          </w14:textFill>
        </w:rPr>
        <w:t>参照当地经验。</w:t>
      </w:r>
      <w:r>
        <w:rPr>
          <w:rFonts w:hint="eastAsia" w:ascii="Times New Roman" w:hAnsi="Times New Roman" w:eastAsia="仿宋_GB2312"/>
          <w:color w:val="000000" w:themeColor="text1"/>
          <w14:textFill>
            <w14:solidFill>
              <w14:schemeClr w14:val="tx1"/>
            </w14:solidFill>
          </w14:textFill>
        </w:rPr>
        <w:t>需要注意以下几点：</w:t>
      </w:r>
    </w:p>
    <w:p w14:paraId="309C7F10">
      <w:pPr>
        <w:pStyle w:val="12"/>
        <w:ind w:firstLine="480"/>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w:t>1）施工建设中，临时堆土和表土必须分别设置专门堆放地，集中堆放，并应采取苫盖、撒播草籽等措施，必要时周边采取临时拦挡措施。</w:t>
      </w:r>
    </w:p>
    <w:p w14:paraId="39DC1C8A">
      <w:pPr>
        <w:pStyle w:val="12"/>
        <w:ind w:firstLine="480"/>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w:t>2）施工场地应统一规划，均布置在各个功能用地区的空地区域，并采取临时性的防护措施，如临时苫盖、洒水抑尘、彩条布铺垫、场地临时排水沟与沉砂池等措施，防治施工期间的水土流失，对于工期较长项目的临时堆土，结合撒播草籽等植物防护措施。</w:t>
      </w:r>
    </w:p>
    <w:p w14:paraId="77667273">
      <w:pPr>
        <w:pStyle w:val="12"/>
        <w:ind w:firstLine="480"/>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w:t>3）临时措施设计等级：包括临时排水沟、临时沉砂池，临时排水沟宜采用梯形或矩形断面，深度不宜小于0.2m，梯形排水沟底宽不宜小于0.2m，矩形排水沟底宽度不宜小于0.3m。设计的沉砂池为砖砌沉砂池，临时沉砂池与临时排水沟配套使用。</w:t>
      </w:r>
    </w:p>
    <w:p w14:paraId="3DD02146">
      <w:pPr>
        <w:pStyle w:val="4"/>
        <w:spacing w:before="120" w:after="120"/>
      </w:pPr>
      <w:r>
        <w:rPr>
          <w:rFonts w:hint="eastAsia"/>
        </w:rPr>
        <w:t>分区措施布局</w:t>
      </w:r>
    </w:p>
    <w:bookmarkEnd w:id="451"/>
    <w:p w14:paraId="011B63ED">
      <w:pPr>
        <w:pStyle w:val="5"/>
      </w:pPr>
      <w:r>
        <w:t>工程措施布设</w:t>
      </w:r>
    </w:p>
    <w:p w14:paraId="028E0619">
      <w:pPr>
        <w:ind w:firstLine="482"/>
        <w:rPr>
          <w:b/>
          <w:bCs/>
        </w:rPr>
      </w:pPr>
      <w:r>
        <w:rPr>
          <w:rFonts w:hint="eastAsia"/>
          <w:b/>
          <w:bCs/>
        </w:rPr>
        <w:t>1.</w:t>
      </w:r>
      <w:r>
        <w:rPr>
          <w:b/>
          <w:bCs/>
        </w:rPr>
        <w:t>表土保护措施</w:t>
      </w:r>
    </w:p>
    <w:p w14:paraId="647D5D79">
      <w:pPr>
        <w:pStyle w:val="12"/>
        <w:ind w:firstLine="474"/>
        <w:rPr>
          <w:rFonts w:ascii="Times New Roman" w:hAnsi="Times New Roman" w:eastAsia="仿宋_GB2312"/>
          <w:b/>
          <w:color w:val="000000" w:themeColor="text1"/>
          <w14:textFill>
            <w14:solidFill>
              <w14:schemeClr w14:val="tx1"/>
            </w14:solidFill>
          </w14:textFill>
        </w:rPr>
      </w:pPr>
      <w:r>
        <w:rPr>
          <w:rFonts w:ascii="Times New Roman" w:hAnsi="Times New Roman" w:eastAsia="仿宋_GB2312"/>
          <w:b/>
          <w:color w:val="000000" w:themeColor="text1"/>
          <w:spacing w:val="-4"/>
          <w14:textFill>
            <w14:solidFill>
              <w14:schemeClr w14:val="tx1"/>
            </w14:solidFill>
          </w14:textFill>
        </w:rPr>
        <w:t>（一）</w:t>
      </w:r>
      <w:r>
        <w:rPr>
          <w:rFonts w:ascii="Times New Roman" w:hAnsi="Times New Roman" w:eastAsia="仿宋_GB2312"/>
          <w:b/>
          <w:color w:val="000000" w:themeColor="text1"/>
          <w:spacing w:val="-6"/>
          <w14:textFill>
            <w14:solidFill>
              <w14:schemeClr w14:val="tx1"/>
            </w14:solidFill>
          </w14:textFill>
        </w:rPr>
        <w:t>表土剥离</w:t>
      </w:r>
    </w:p>
    <w:p w14:paraId="30213DFD">
      <w:pPr>
        <w:pStyle w:val="12"/>
        <w:ind w:firstLine="47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3"/>
          <w14:textFill>
            <w14:solidFill>
              <w14:schemeClr w14:val="tx1"/>
            </w14:solidFill>
          </w14:textFill>
        </w:rPr>
        <w:t>1）措施位置</w:t>
      </w:r>
    </w:p>
    <w:p w14:paraId="4B0EC1C9">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表土剥离是指将产业园建设扰动土地的表层熟化土剥离搬运到固定场地存</w:t>
      </w:r>
      <w:r>
        <w:rPr>
          <w:rFonts w:ascii="Times New Roman" w:hAnsi="Times New Roman" w:eastAsia="仿宋_GB2312"/>
          <w:color w:val="000000" w:themeColor="text1"/>
          <w:spacing w:val="-4"/>
          <w14:textFill>
            <w14:solidFill>
              <w14:schemeClr w14:val="tx1"/>
            </w14:solidFill>
          </w14:textFill>
        </w:rPr>
        <w:t>储，并采取水土流失防治措施，土地完成使用后再将其回覆到需恢复为草地或林地区域。</w:t>
      </w:r>
    </w:p>
    <w:p w14:paraId="7BF4FEB0">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通过现场勘查及查阅资料，</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14:textFill>
            <w14:solidFill>
              <w14:schemeClr w14:val="tx1"/>
            </w14:solidFill>
          </w14:textFill>
        </w:rPr>
        <w:t>地块中已建设区域在建设时进行表土剥离，本措施主要实</w:t>
      </w:r>
      <w:r>
        <w:rPr>
          <w:rFonts w:ascii="Times New Roman" w:hAnsi="Times New Roman" w:eastAsia="仿宋_GB2312"/>
          <w:color w:val="000000" w:themeColor="text1"/>
          <w:spacing w:val="-4"/>
          <w14:textFill>
            <w14:solidFill>
              <w14:schemeClr w14:val="tx1"/>
            </w14:solidFill>
          </w14:textFill>
        </w:rPr>
        <w:t>施的位置是产业园内未建成的功能区，</w:t>
      </w:r>
      <w:r>
        <w:rPr>
          <w:rFonts w:hint="eastAsia" w:ascii="Times New Roman" w:hAnsi="Times New Roman" w:eastAsia="仿宋_GB2312"/>
          <w:color w:val="000000" w:themeColor="text1"/>
          <w:spacing w:val="-4"/>
          <w14:textFill>
            <w14:solidFill>
              <w14:schemeClr w14:val="tx1"/>
            </w14:solidFill>
          </w14:textFill>
        </w:rPr>
        <w:t>主要为</w:t>
      </w:r>
      <w:r>
        <w:rPr>
          <w:rFonts w:ascii="Times New Roman" w:hAnsi="Times New Roman" w:eastAsia="仿宋_GB2312"/>
          <w:color w:val="000000" w:themeColor="text1"/>
          <w:spacing w:val="-18"/>
          <w14:textFill>
            <w14:solidFill>
              <w14:schemeClr w14:val="tx1"/>
            </w14:solidFill>
          </w14:textFill>
        </w:rPr>
        <w:t>地块</w:t>
      </w:r>
      <w:r>
        <w:rPr>
          <w:rFonts w:ascii="Times New Roman" w:hAnsi="Times New Roman" w:eastAsia="仿宋_GB2312"/>
          <w:color w:val="000000" w:themeColor="text1"/>
          <w:spacing w:val="-4"/>
          <w14:textFill>
            <w14:solidFill>
              <w14:schemeClr w14:val="tx1"/>
            </w14:solidFill>
          </w14:textFill>
        </w:rPr>
        <w:t>1（金山产业园北区）。根据</w:t>
      </w:r>
      <w:r>
        <w:rPr>
          <w:rFonts w:ascii="Times New Roman" w:hAnsi="Times New Roman" w:eastAsia="仿宋_GB2312"/>
          <w:color w:val="000000" w:themeColor="text1"/>
          <w14:textFill>
            <w14:solidFill>
              <w14:schemeClr w14:val="tx1"/>
            </w14:solidFill>
          </w14:textFill>
        </w:rPr>
        <w:t>GB50433-2018中的要</w:t>
      </w:r>
      <w:r>
        <w:rPr>
          <w:rFonts w:ascii="Times New Roman" w:hAnsi="Times New Roman" w:eastAsia="仿宋_GB2312"/>
          <w:color w:val="000000" w:themeColor="text1"/>
          <w:spacing w:val="-6"/>
          <w14:textFill>
            <w14:solidFill>
              <w14:schemeClr w14:val="tx1"/>
            </w14:solidFill>
          </w14:textFill>
        </w:rPr>
        <w:t>求，表</w:t>
      </w:r>
      <w:r>
        <w:rPr>
          <w:rFonts w:ascii="Times New Roman" w:hAnsi="Times New Roman" w:eastAsia="仿宋_GB2312"/>
          <w:color w:val="000000" w:themeColor="text1"/>
          <w14:textFill>
            <w14:solidFill>
              <w14:schemeClr w14:val="tx1"/>
            </w14:solidFill>
          </w14:textFill>
        </w:rPr>
        <w:t>土临时堆存于表土堆放场，并实施防护措施</w:t>
      </w:r>
      <w:r>
        <w:rPr>
          <w:rFonts w:ascii="Times New Roman" w:hAnsi="Times New Roman" w:eastAsia="仿宋_GB2312"/>
          <w:color w:val="000000" w:themeColor="text1"/>
          <w:spacing w:val="-10"/>
          <w14:textFill>
            <w14:solidFill>
              <w14:schemeClr w14:val="tx1"/>
            </w14:solidFill>
          </w14:textFill>
        </w:rPr>
        <w:t>。</w:t>
      </w:r>
    </w:p>
    <w:p w14:paraId="64C37271">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2）措施布设技术要求</w:t>
      </w:r>
    </w:p>
    <w:p w14:paraId="7C5017CA">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施工准备期场地平整前，对建设区内扰动部位进行表土剥离，根据用地类型</w:t>
      </w:r>
      <w:r>
        <w:rPr>
          <w:rFonts w:ascii="Times New Roman" w:hAnsi="Times New Roman" w:eastAsia="仿宋_GB2312"/>
          <w:color w:val="000000" w:themeColor="text1"/>
          <w:spacing w:val="-6"/>
          <w14:textFill>
            <w14:solidFill>
              <w14:schemeClr w14:val="tx1"/>
            </w14:solidFill>
          </w14:textFill>
        </w:rPr>
        <w:t>实施表土剥离，本产业园内可剥离表土厚度为</w:t>
      </w:r>
      <w:r>
        <w:rPr>
          <w:rFonts w:ascii="Times New Roman" w:hAnsi="Times New Roman" w:eastAsia="仿宋_GB2312"/>
          <w:color w:val="000000" w:themeColor="text1"/>
          <w:spacing w:val="-4"/>
          <w14:textFill>
            <w14:solidFill>
              <w14:schemeClr w14:val="tx1"/>
            </w14:solidFill>
          </w14:textFill>
        </w:rPr>
        <w:t>15~30cm。表土临时堆存一般采用</w:t>
      </w:r>
      <w:r>
        <w:rPr>
          <w:rFonts w:ascii="Times New Roman" w:hAnsi="Times New Roman" w:eastAsia="仿宋_GB2312"/>
          <w:color w:val="000000" w:themeColor="text1"/>
          <w:spacing w:val="-3"/>
          <w14:textFill>
            <w14:solidFill>
              <w14:schemeClr w14:val="tx1"/>
            </w14:solidFill>
          </w14:textFill>
        </w:rPr>
        <w:t>推土机推叠，在自然稳定的前提下堆高</w:t>
      </w:r>
      <w:r>
        <w:rPr>
          <w:rFonts w:ascii="Times New Roman" w:hAnsi="Times New Roman" w:eastAsia="仿宋_GB2312"/>
          <w:color w:val="000000" w:themeColor="text1"/>
          <w14:textFill>
            <w14:solidFill>
              <w14:schemeClr w14:val="tx1"/>
            </w14:solidFill>
          </w14:textFill>
        </w:rPr>
        <w:t>2.0～4.0m。</w:t>
      </w:r>
    </w:p>
    <w:p w14:paraId="775B57F5">
      <w:pPr>
        <w:pStyle w:val="12"/>
        <w:ind w:firstLine="46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7"/>
          <w14:textFill>
            <w14:solidFill>
              <w14:schemeClr w14:val="tx1"/>
            </w14:solidFill>
          </w14:textFill>
        </w:rPr>
        <w:t>产业园范围内共设置</w:t>
      </w:r>
      <w:r>
        <w:rPr>
          <w:rFonts w:ascii="Times New Roman" w:hAnsi="Times New Roman" w:eastAsia="仿宋_GB2312"/>
          <w:color w:val="000000" w:themeColor="text1"/>
          <w:spacing w:val="-4"/>
          <w14:textFill>
            <w14:solidFill>
              <w14:schemeClr w14:val="tx1"/>
            </w14:solidFill>
          </w14:textFill>
        </w:rPr>
        <w:t>7</w:t>
      </w:r>
      <w:r>
        <w:rPr>
          <w:rFonts w:ascii="Times New Roman" w:hAnsi="Times New Roman" w:eastAsia="仿宋_GB2312"/>
          <w:color w:val="000000" w:themeColor="text1"/>
          <w:spacing w:val="-12"/>
          <w14:textFill>
            <w14:solidFill>
              <w14:schemeClr w14:val="tx1"/>
            </w14:solidFill>
          </w14:textFill>
        </w:rPr>
        <w:t>处表土堆放场，</w:t>
      </w:r>
      <w:r>
        <w:rPr>
          <w:rFonts w:hint="eastAsia" w:ascii="Times New Roman" w:hAnsi="Times New Roman" w:eastAsia="仿宋_GB2312"/>
          <w:color w:val="000000" w:themeColor="text1"/>
          <w:spacing w:val="-12"/>
          <w14:textFill>
            <w14:solidFill>
              <w14:schemeClr w14:val="tx1"/>
            </w14:solidFill>
          </w14:textFill>
        </w:rPr>
        <w:t>均布置在</w:t>
      </w:r>
      <w:r>
        <w:rPr>
          <w:rFonts w:ascii="Times New Roman" w:hAnsi="Times New Roman" w:eastAsia="仿宋_GB2312"/>
          <w:color w:val="000000" w:themeColor="text1"/>
          <w:spacing w:val="-10"/>
          <w14:textFill>
            <w14:solidFill>
              <w14:schemeClr w14:val="tx1"/>
            </w14:solidFill>
          </w14:textFill>
        </w:rPr>
        <w:t>地块</w:t>
      </w:r>
      <w:r>
        <w:rPr>
          <w:rFonts w:ascii="Times New Roman" w:hAnsi="Times New Roman" w:eastAsia="仿宋_GB2312"/>
          <w:color w:val="000000" w:themeColor="text1"/>
          <w14:textFill>
            <w14:solidFill>
              <w14:schemeClr w14:val="tx1"/>
            </w14:solidFill>
          </w14:textFill>
        </w:rPr>
        <w:t>1（金山产业园北区）</w:t>
      </w:r>
      <w:r>
        <w:rPr>
          <w:rFonts w:hint="eastAsia" w:ascii="Times New Roman" w:hAnsi="Times New Roman" w:eastAsia="仿宋_GB2312"/>
          <w:color w:val="000000" w:themeColor="text1"/>
          <w14:textFill>
            <w14:solidFill>
              <w14:schemeClr w14:val="tx1"/>
            </w14:solidFill>
          </w14:textFill>
        </w:rPr>
        <w:t>，未建区</w:t>
      </w:r>
      <w:r>
        <w:rPr>
          <w:rFonts w:ascii="Times New Roman" w:hAnsi="Times New Roman" w:eastAsia="仿宋_GB2312"/>
          <w:color w:val="000000" w:themeColor="text1"/>
          <w:spacing w:val="-3"/>
          <w14:textFill>
            <w14:solidFill>
              <w14:schemeClr w14:val="tx1"/>
            </w14:solidFill>
          </w14:textFill>
        </w:rPr>
        <w:t>可剥离表土区域面积为</w:t>
      </w:r>
      <w:r>
        <w:rPr>
          <w:rFonts w:ascii="Times New Roman" w:hAnsi="Times New Roman" w:eastAsia="仿宋_GB2312"/>
          <w:color w:val="000000" w:themeColor="text1"/>
          <w14:textFill>
            <w14:solidFill>
              <w14:schemeClr w14:val="tx1"/>
            </w14:solidFill>
          </w14:textFill>
        </w:rPr>
        <w:t>47.85hm²</w:t>
      </w:r>
      <w:r>
        <w:rPr>
          <w:rFonts w:ascii="Times New Roman" w:hAnsi="Times New Roman" w:eastAsia="仿宋_GB2312"/>
          <w:color w:val="000000" w:themeColor="text1"/>
          <w:spacing w:val="-5"/>
          <w14:textFill>
            <w14:solidFill>
              <w14:schemeClr w14:val="tx1"/>
            </w14:solidFill>
          </w14:textFill>
        </w:rPr>
        <w:t>，</w:t>
      </w:r>
      <w:r>
        <w:rPr>
          <w:rFonts w:ascii="Times New Roman" w:hAnsi="Times New Roman" w:eastAsia="仿宋_GB2312"/>
          <w:color w:val="000000" w:themeColor="text1"/>
          <w:spacing w:val="-12"/>
          <w14:textFill>
            <w14:solidFill>
              <w14:schemeClr w14:val="tx1"/>
            </w14:solidFill>
          </w14:textFill>
        </w:rPr>
        <w:t>共计剥离表土总量</w:t>
      </w:r>
      <w:r>
        <w:rPr>
          <w:rFonts w:ascii="Times New Roman" w:hAnsi="Times New Roman" w:eastAsia="仿宋_GB2312"/>
          <w:color w:val="000000" w:themeColor="text1"/>
          <w:spacing w:val="-4"/>
          <w14:textFill>
            <w14:solidFill>
              <w14:schemeClr w14:val="tx1"/>
            </w14:solidFill>
          </w14:textFill>
        </w:rPr>
        <w:t>9.57</w:t>
      </w:r>
      <w:r>
        <w:rPr>
          <w:rFonts w:ascii="Times New Roman" w:hAnsi="Times New Roman" w:eastAsia="仿宋_GB2312"/>
          <w:color w:val="000000" w:themeColor="text1"/>
          <w:spacing w:val="-15"/>
          <w14:textFill>
            <w14:solidFill>
              <w14:schemeClr w14:val="tx1"/>
            </w14:solidFill>
          </w14:textFill>
        </w:rPr>
        <w:t>万</w:t>
      </w:r>
      <w:r>
        <w:rPr>
          <w:rFonts w:ascii="Times New Roman" w:hAnsi="Times New Roman" w:eastAsia="仿宋_GB2312"/>
          <w:color w:val="000000" w:themeColor="text1"/>
          <w:spacing w:val="-4"/>
          <w14:textFill>
            <w14:solidFill>
              <w14:schemeClr w14:val="tx1"/>
            </w14:solidFill>
          </w14:textFill>
        </w:rPr>
        <w:t>m³</w:t>
      </w:r>
      <w:r>
        <w:rPr>
          <w:rFonts w:ascii="Times New Roman" w:hAnsi="Times New Roman" w:eastAsia="仿宋_GB2312"/>
          <w:color w:val="000000" w:themeColor="text1"/>
          <w:spacing w:val="-22"/>
          <w14:textFill>
            <w14:solidFill>
              <w14:schemeClr w14:val="tx1"/>
            </w14:solidFill>
          </w14:textFill>
        </w:rPr>
        <w:t>。</w:t>
      </w:r>
      <w:r>
        <w:rPr>
          <w:rFonts w:ascii="Times New Roman" w:hAnsi="Times New Roman" w:eastAsia="仿宋_GB2312"/>
          <w:color w:val="000000" w:themeColor="text1"/>
          <w:spacing w:val="9"/>
          <w14:textFill>
            <w14:solidFill>
              <w14:schemeClr w14:val="tx1"/>
            </w14:solidFill>
          </w14:textFill>
        </w:rPr>
        <w:t>地块</w:t>
      </w:r>
      <w:r>
        <w:rPr>
          <w:rFonts w:ascii="Times New Roman" w:hAnsi="Times New Roman" w:eastAsia="仿宋_GB2312"/>
          <w:color w:val="000000" w:themeColor="text1"/>
          <w:spacing w:val="12"/>
          <w14:textFill>
            <w14:solidFill>
              <w14:schemeClr w14:val="tx1"/>
            </w14:solidFill>
          </w14:textFill>
        </w:rPr>
        <w:t>2（下湿壕片区）</w:t>
      </w:r>
      <w:r>
        <w:rPr>
          <w:rFonts w:ascii="Times New Roman" w:hAnsi="Times New Roman" w:eastAsia="仿宋_GB2312"/>
          <w:color w:val="000000" w:themeColor="text1"/>
          <w:spacing w:val="10"/>
          <w14:textFill>
            <w14:solidFill>
              <w14:schemeClr w14:val="tx1"/>
            </w14:solidFill>
          </w14:textFill>
        </w:rPr>
        <w:t>目前已施工完成，无可剥离区域</w:t>
      </w:r>
      <w:r>
        <w:rPr>
          <w:rFonts w:ascii="Times New Roman" w:hAnsi="Times New Roman" w:eastAsia="仿宋_GB2312"/>
          <w:color w:val="000000" w:themeColor="text1"/>
          <w14:textFill>
            <w14:solidFill>
              <w14:schemeClr w14:val="tx1"/>
            </w14:solidFill>
          </w14:textFill>
        </w:rPr>
        <w:t>。</w:t>
      </w:r>
    </w:p>
    <w:p w14:paraId="3DF8230B">
      <w:pPr>
        <w:pStyle w:val="44"/>
        <w:rPr>
          <w:color w:val="000000" w:themeColor="text1"/>
          <w:spacing w:val="-10"/>
          <w:lang w:eastAsia="zh-CN"/>
          <w14:textFill>
            <w14:solidFill>
              <w14:schemeClr w14:val="tx1"/>
            </w14:solidFill>
          </w14:textFill>
        </w:rPr>
      </w:pPr>
      <w:r>
        <w:rPr>
          <w:color w:val="000000" w:themeColor="text1"/>
          <w:lang w:eastAsia="zh-CN"/>
          <w14:textFill>
            <w14:solidFill>
              <w14:schemeClr w14:val="tx1"/>
            </w14:solidFill>
          </w14:textFill>
        </w:rPr>
        <w:t>表5-</w:t>
      </w:r>
      <w:r>
        <w:rPr>
          <w:color w:val="000000" w:themeColor="text1"/>
          <w:spacing w:val="-10"/>
          <w:lang w:eastAsia="zh-CN"/>
          <w14:textFill>
            <w14:solidFill>
              <w14:schemeClr w14:val="tx1"/>
            </w14:solidFill>
          </w14:textFill>
        </w:rPr>
        <w:t>7</w:t>
      </w:r>
      <w:r>
        <w:rPr>
          <w:color w:val="000000" w:themeColor="text1"/>
          <w:lang w:eastAsia="zh-CN"/>
          <w14:textFill>
            <w14:solidFill>
              <w14:schemeClr w14:val="tx1"/>
            </w14:solidFill>
          </w14:textFill>
        </w:rPr>
        <w:t xml:space="preserve">                     表土保护措施布设位置、标准及等级汇总</w:t>
      </w:r>
      <w:r>
        <w:rPr>
          <w:color w:val="000000" w:themeColor="text1"/>
          <w:spacing w:val="-10"/>
          <w:lang w:eastAsia="zh-CN"/>
          <w14:textFill>
            <w14:solidFill>
              <w14:schemeClr w14:val="tx1"/>
            </w14:solidFill>
          </w14:textFill>
        </w:rPr>
        <w:t>表</w:t>
      </w:r>
    </w:p>
    <w:tbl>
      <w:tblPr>
        <w:tblStyle w:val="27"/>
        <w:tblW w:w="0" w:type="auto"/>
        <w:tblInd w:w="0" w:type="dxa"/>
        <w:tblLayout w:type="autofit"/>
        <w:tblCellMar>
          <w:top w:w="0" w:type="dxa"/>
          <w:left w:w="108" w:type="dxa"/>
          <w:bottom w:w="0" w:type="dxa"/>
          <w:right w:w="108" w:type="dxa"/>
        </w:tblCellMar>
      </w:tblPr>
      <w:tblGrid>
        <w:gridCol w:w="901"/>
        <w:gridCol w:w="968"/>
        <w:gridCol w:w="1152"/>
        <w:gridCol w:w="851"/>
        <w:gridCol w:w="2555"/>
        <w:gridCol w:w="2275"/>
        <w:gridCol w:w="584"/>
      </w:tblGrid>
      <w:tr w14:paraId="14BB8968">
        <w:tblPrEx>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double" w:color="auto" w:sz="4" w:space="0"/>
              <w:right w:val="single" w:color="auto" w:sz="4" w:space="0"/>
            </w:tcBorders>
            <w:shd w:val="clear" w:color="auto" w:fill="auto"/>
            <w:vAlign w:val="center"/>
          </w:tcPr>
          <w:p w14:paraId="1D6F48D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措施类型</w:t>
            </w:r>
          </w:p>
        </w:tc>
        <w:tc>
          <w:tcPr>
            <w:tcW w:w="0" w:type="auto"/>
            <w:tcBorders>
              <w:top w:val="single" w:color="auto" w:sz="4" w:space="0"/>
              <w:left w:val="nil"/>
              <w:bottom w:val="double" w:color="auto" w:sz="4" w:space="0"/>
              <w:right w:val="single" w:color="auto" w:sz="4" w:space="0"/>
            </w:tcBorders>
            <w:shd w:val="clear" w:color="auto" w:fill="auto"/>
            <w:vAlign w:val="center"/>
          </w:tcPr>
          <w:p w14:paraId="4E593D9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措施名称</w:t>
            </w:r>
          </w:p>
        </w:tc>
        <w:tc>
          <w:tcPr>
            <w:tcW w:w="2003" w:type="dxa"/>
            <w:gridSpan w:val="2"/>
            <w:tcBorders>
              <w:top w:val="single" w:color="auto" w:sz="4" w:space="0"/>
              <w:left w:val="nil"/>
              <w:bottom w:val="double" w:color="auto" w:sz="4" w:space="0"/>
              <w:right w:val="single" w:color="auto" w:sz="4" w:space="0"/>
            </w:tcBorders>
            <w:shd w:val="clear" w:color="auto" w:fill="auto"/>
            <w:vAlign w:val="center"/>
          </w:tcPr>
          <w:p w14:paraId="7E76C59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功能区</w:t>
            </w:r>
          </w:p>
        </w:tc>
        <w:tc>
          <w:tcPr>
            <w:tcW w:w="2555" w:type="dxa"/>
            <w:tcBorders>
              <w:top w:val="single" w:color="auto" w:sz="4" w:space="0"/>
              <w:left w:val="nil"/>
              <w:bottom w:val="double" w:color="auto" w:sz="4" w:space="0"/>
              <w:right w:val="single" w:color="auto" w:sz="4" w:space="0"/>
            </w:tcBorders>
            <w:shd w:val="clear" w:color="auto" w:fill="auto"/>
            <w:vAlign w:val="center"/>
          </w:tcPr>
          <w:p w14:paraId="443F9D0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布设位置</w:t>
            </w:r>
          </w:p>
        </w:tc>
        <w:tc>
          <w:tcPr>
            <w:tcW w:w="2275" w:type="dxa"/>
            <w:tcBorders>
              <w:top w:val="single" w:color="auto" w:sz="4" w:space="0"/>
              <w:left w:val="nil"/>
              <w:bottom w:val="double" w:color="auto" w:sz="4" w:space="0"/>
              <w:right w:val="single" w:color="auto" w:sz="4" w:space="0"/>
            </w:tcBorders>
            <w:shd w:val="clear" w:color="auto" w:fill="auto"/>
            <w:vAlign w:val="center"/>
          </w:tcPr>
          <w:p w14:paraId="55DDC62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等级及标准</w:t>
            </w:r>
          </w:p>
        </w:tc>
        <w:tc>
          <w:tcPr>
            <w:tcW w:w="0" w:type="auto"/>
            <w:tcBorders>
              <w:top w:val="single" w:color="000000" w:sz="8" w:space="0"/>
              <w:left w:val="nil"/>
              <w:bottom w:val="double" w:color="auto" w:sz="4" w:space="0"/>
              <w:right w:val="single" w:color="000000" w:sz="8" w:space="0"/>
            </w:tcBorders>
            <w:shd w:val="clear" w:color="auto" w:fill="auto"/>
            <w:vAlign w:val="center"/>
          </w:tcPr>
          <w:p w14:paraId="768FB7D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备注</w:t>
            </w:r>
          </w:p>
        </w:tc>
      </w:tr>
      <w:tr w14:paraId="712BA5D2">
        <w:tblPrEx>
          <w:tblCellMar>
            <w:top w:w="0" w:type="dxa"/>
            <w:left w:w="108" w:type="dxa"/>
            <w:bottom w:w="0" w:type="dxa"/>
            <w:right w:w="108" w:type="dxa"/>
          </w:tblCellMar>
        </w:tblPrEx>
        <w:trPr>
          <w:trHeight w:val="397" w:hRule="atLeast"/>
        </w:trPr>
        <w:tc>
          <w:tcPr>
            <w:tcW w:w="0" w:type="auto"/>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792CB6D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表土保护</w:t>
            </w:r>
          </w:p>
        </w:tc>
        <w:tc>
          <w:tcPr>
            <w:tcW w:w="0" w:type="auto"/>
            <w:vMerge w:val="restart"/>
            <w:tcBorders>
              <w:top w:val="double" w:color="auto" w:sz="4" w:space="0"/>
              <w:left w:val="single" w:color="auto" w:sz="4" w:space="0"/>
              <w:right w:val="single" w:color="auto" w:sz="4" w:space="0"/>
            </w:tcBorders>
            <w:shd w:val="clear" w:color="auto" w:fill="auto"/>
            <w:vAlign w:val="center"/>
          </w:tcPr>
          <w:p w14:paraId="667AFD1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表土剥离</w:t>
            </w:r>
          </w:p>
          <w:p w14:paraId="7C2372EA">
            <w:pPr>
              <w:spacing w:line="240" w:lineRule="auto"/>
              <w:ind w:firstLine="42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1152"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5E47D7E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851" w:type="dxa"/>
            <w:tcBorders>
              <w:top w:val="double" w:color="auto" w:sz="4" w:space="0"/>
              <w:left w:val="nil"/>
              <w:bottom w:val="single" w:color="auto" w:sz="4" w:space="0"/>
              <w:right w:val="single" w:color="auto" w:sz="4" w:space="0"/>
            </w:tcBorders>
            <w:shd w:val="clear" w:color="auto" w:fill="auto"/>
            <w:vAlign w:val="center"/>
          </w:tcPr>
          <w:p w14:paraId="7785C3A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2555" w:type="dxa"/>
            <w:tcBorders>
              <w:top w:val="double" w:color="auto" w:sz="4" w:space="0"/>
              <w:left w:val="nil"/>
              <w:bottom w:val="single" w:color="auto" w:sz="4" w:space="0"/>
              <w:right w:val="single" w:color="auto" w:sz="4" w:space="0"/>
            </w:tcBorders>
            <w:shd w:val="clear" w:color="auto" w:fill="auto"/>
            <w:vAlign w:val="center"/>
          </w:tcPr>
          <w:p w14:paraId="4B3691B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挖深大于20cm施工区域</w:t>
            </w:r>
          </w:p>
        </w:tc>
        <w:tc>
          <w:tcPr>
            <w:tcW w:w="2275" w:type="dxa"/>
            <w:tcBorders>
              <w:top w:val="double" w:color="auto" w:sz="4" w:space="0"/>
              <w:left w:val="nil"/>
              <w:bottom w:val="single" w:color="auto" w:sz="4" w:space="0"/>
              <w:right w:val="single" w:color="auto" w:sz="4" w:space="0"/>
            </w:tcBorders>
            <w:shd w:val="clear" w:color="auto" w:fill="auto"/>
            <w:vAlign w:val="center"/>
          </w:tcPr>
          <w:p w14:paraId="59B428E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表土剥离厚度平均为15~30cm</w:t>
            </w:r>
          </w:p>
        </w:tc>
        <w:tc>
          <w:tcPr>
            <w:tcW w:w="0" w:type="auto"/>
            <w:tcBorders>
              <w:top w:val="double" w:color="auto" w:sz="4" w:space="0"/>
              <w:left w:val="nil"/>
              <w:bottom w:val="single" w:color="000000" w:sz="8" w:space="0"/>
              <w:right w:val="single" w:color="000000" w:sz="8" w:space="0"/>
            </w:tcBorders>
            <w:shd w:val="clear" w:color="auto" w:fill="auto"/>
            <w:vAlign w:val="center"/>
          </w:tcPr>
          <w:p w14:paraId="6AD96CB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53716952">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679EFDB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left w:val="single" w:color="auto" w:sz="4" w:space="0"/>
              <w:right w:val="single" w:color="auto" w:sz="4" w:space="0"/>
            </w:tcBorders>
            <w:vAlign w:val="center"/>
          </w:tcPr>
          <w:p w14:paraId="7DCC37D1">
            <w:pPr>
              <w:spacing w:line="240" w:lineRule="auto"/>
              <w:ind w:firstLine="420"/>
              <w:jc w:val="center"/>
              <w:rPr>
                <w:rFonts w:cs="Times New Roman"/>
                <w:color w:val="000000" w:themeColor="text1"/>
                <w:sz w:val="21"/>
                <w:szCs w:val="21"/>
                <w14:textFill>
                  <w14:solidFill>
                    <w14:schemeClr w14:val="tx1"/>
                  </w14:solidFill>
                </w14:textFill>
              </w:rPr>
            </w:pPr>
          </w:p>
        </w:tc>
        <w:tc>
          <w:tcPr>
            <w:tcW w:w="1152" w:type="dxa"/>
            <w:vMerge w:val="continue"/>
            <w:tcBorders>
              <w:top w:val="nil"/>
              <w:left w:val="single" w:color="auto" w:sz="4" w:space="0"/>
              <w:bottom w:val="single" w:color="auto" w:sz="4" w:space="0"/>
              <w:right w:val="single" w:color="auto" w:sz="4" w:space="0"/>
            </w:tcBorders>
            <w:vAlign w:val="center"/>
          </w:tcPr>
          <w:p w14:paraId="47B0219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51" w:type="dxa"/>
            <w:tcBorders>
              <w:top w:val="nil"/>
              <w:left w:val="nil"/>
              <w:bottom w:val="single" w:color="auto" w:sz="4" w:space="0"/>
              <w:right w:val="single" w:color="auto" w:sz="4" w:space="0"/>
            </w:tcBorders>
            <w:shd w:val="clear" w:color="auto" w:fill="auto"/>
            <w:vAlign w:val="center"/>
          </w:tcPr>
          <w:p w14:paraId="28B2C8C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未建成</w:t>
            </w:r>
          </w:p>
        </w:tc>
        <w:tc>
          <w:tcPr>
            <w:tcW w:w="2555" w:type="dxa"/>
            <w:tcBorders>
              <w:top w:val="nil"/>
              <w:left w:val="nil"/>
              <w:bottom w:val="single" w:color="auto" w:sz="4" w:space="0"/>
              <w:right w:val="single" w:color="auto" w:sz="4" w:space="0"/>
            </w:tcBorders>
            <w:shd w:val="clear" w:color="auto" w:fill="auto"/>
            <w:vAlign w:val="center"/>
          </w:tcPr>
          <w:p w14:paraId="2C2E42B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挖深大于20cm施工区域</w:t>
            </w:r>
          </w:p>
        </w:tc>
        <w:tc>
          <w:tcPr>
            <w:tcW w:w="2275" w:type="dxa"/>
            <w:tcBorders>
              <w:top w:val="nil"/>
              <w:left w:val="nil"/>
              <w:bottom w:val="single" w:color="auto" w:sz="4" w:space="0"/>
              <w:right w:val="single" w:color="auto" w:sz="4" w:space="0"/>
            </w:tcBorders>
            <w:shd w:val="clear" w:color="auto" w:fill="auto"/>
            <w:vAlign w:val="center"/>
          </w:tcPr>
          <w:p w14:paraId="2D700DA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表土剥离厚度平均为15~30cm</w:t>
            </w:r>
          </w:p>
        </w:tc>
        <w:tc>
          <w:tcPr>
            <w:tcW w:w="0" w:type="auto"/>
            <w:tcBorders>
              <w:top w:val="nil"/>
              <w:left w:val="nil"/>
              <w:bottom w:val="single" w:color="000000" w:sz="8" w:space="0"/>
              <w:right w:val="single" w:color="000000" w:sz="8" w:space="0"/>
            </w:tcBorders>
            <w:shd w:val="clear" w:color="auto" w:fill="auto"/>
            <w:vAlign w:val="center"/>
          </w:tcPr>
          <w:p w14:paraId="7C3AC6E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0BDB355F">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6E5F261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left w:val="single" w:color="auto" w:sz="4" w:space="0"/>
              <w:right w:val="single" w:color="auto" w:sz="4" w:space="0"/>
            </w:tcBorders>
            <w:shd w:val="clear" w:color="auto" w:fill="auto"/>
            <w:vAlign w:val="center"/>
          </w:tcPr>
          <w:p w14:paraId="2985BFF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52" w:type="dxa"/>
            <w:vMerge w:val="restart"/>
            <w:tcBorders>
              <w:top w:val="nil"/>
              <w:left w:val="single" w:color="auto" w:sz="4" w:space="0"/>
              <w:bottom w:val="single" w:color="000000" w:sz="4" w:space="0"/>
              <w:right w:val="single" w:color="auto" w:sz="4" w:space="0"/>
            </w:tcBorders>
            <w:shd w:val="clear" w:color="auto" w:fill="auto"/>
            <w:vAlign w:val="center"/>
          </w:tcPr>
          <w:p w14:paraId="654CC90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851" w:type="dxa"/>
            <w:tcBorders>
              <w:top w:val="nil"/>
              <w:left w:val="nil"/>
              <w:bottom w:val="single" w:color="auto" w:sz="4" w:space="0"/>
              <w:right w:val="single" w:color="auto" w:sz="4" w:space="0"/>
            </w:tcBorders>
            <w:shd w:val="clear" w:color="auto" w:fill="auto"/>
            <w:vAlign w:val="center"/>
          </w:tcPr>
          <w:p w14:paraId="7FE3B16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2555" w:type="dxa"/>
            <w:tcBorders>
              <w:top w:val="nil"/>
              <w:left w:val="nil"/>
              <w:bottom w:val="single" w:color="auto" w:sz="4" w:space="0"/>
              <w:right w:val="single" w:color="auto" w:sz="4" w:space="0"/>
            </w:tcBorders>
            <w:shd w:val="clear" w:color="auto" w:fill="auto"/>
            <w:vAlign w:val="center"/>
          </w:tcPr>
          <w:p w14:paraId="4572656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挖深大于20cm施工区域</w:t>
            </w:r>
          </w:p>
        </w:tc>
        <w:tc>
          <w:tcPr>
            <w:tcW w:w="2275" w:type="dxa"/>
            <w:tcBorders>
              <w:top w:val="nil"/>
              <w:left w:val="nil"/>
              <w:bottom w:val="single" w:color="auto" w:sz="4" w:space="0"/>
              <w:right w:val="single" w:color="auto" w:sz="4" w:space="0"/>
            </w:tcBorders>
            <w:shd w:val="clear" w:color="auto" w:fill="auto"/>
            <w:vAlign w:val="center"/>
          </w:tcPr>
          <w:p w14:paraId="3C535E0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表土剥离厚度平均为15~30cm</w:t>
            </w:r>
          </w:p>
        </w:tc>
        <w:tc>
          <w:tcPr>
            <w:tcW w:w="0" w:type="auto"/>
            <w:tcBorders>
              <w:top w:val="nil"/>
              <w:left w:val="nil"/>
              <w:bottom w:val="single" w:color="000000" w:sz="8" w:space="0"/>
              <w:right w:val="single" w:color="000000" w:sz="8" w:space="0"/>
            </w:tcBorders>
            <w:shd w:val="clear" w:color="auto" w:fill="auto"/>
            <w:vAlign w:val="center"/>
          </w:tcPr>
          <w:p w14:paraId="689DA11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12AC6562">
        <w:tblPrEx>
          <w:tblCellMar>
            <w:top w:w="0" w:type="dxa"/>
            <w:left w:w="108" w:type="dxa"/>
            <w:bottom w:w="0" w:type="dxa"/>
            <w:right w:w="108" w:type="dxa"/>
          </w:tblCellMar>
        </w:tblPrEx>
        <w:trPr>
          <w:trHeight w:val="397" w:hRule="atLeast"/>
        </w:trPr>
        <w:tc>
          <w:tcPr>
            <w:tcW w:w="0" w:type="auto"/>
            <w:vMerge w:val="continue"/>
            <w:tcBorders>
              <w:top w:val="nil"/>
              <w:left w:val="single" w:color="auto" w:sz="4" w:space="0"/>
              <w:bottom w:val="single" w:color="auto" w:sz="4" w:space="0"/>
              <w:right w:val="single" w:color="auto" w:sz="4" w:space="0"/>
            </w:tcBorders>
            <w:vAlign w:val="center"/>
          </w:tcPr>
          <w:p w14:paraId="0185E95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left w:val="single" w:color="auto" w:sz="4" w:space="0"/>
              <w:bottom w:val="single" w:color="000000" w:sz="4" w:space="0"/>
              <w:right w:val="single" w:color="auto" w:sz="4" w:space="0"/>
            </w:tcBorders>
            <w:vAlign w:val="center"/>
          </w:tcPr>
          <w:p w14:paraId="32695DA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52" w:type="dxa"/>
            <w:vMerge w:val="continue"/>
            <w:tcBorders>
              <w:top w:val="nil"/>
              <w:left w:val="single" w:color="auto" w:sz="4" w:space="0"/>
              <w:bottom w:val="single" w:color="000000" w:sz="4" w:space="0"/>
              <w:right w:val="single" w:color="auto" w:sz="4" w:space="0"/>
            </w:tcBorders>
            <w:vAlign w:val="center"/>
          </w:tcPr>
          <w:p w14:paraId="4A4817D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51" w:type="dxa"/>
            <w:tcBorders>
              <w:top w:val="nil"/>
              <w:left w:val="nil"/>
              <w:bottom w:val="single" w:color="auto" w:sz="4" w:space="0"/>
              <w:right w:val="single" w:color="auto" w:sz="4" w:space="0"/>
            </w:tcBorders>
            <w:shd w:val="clear" w:color="auto" w:fill="auto"/>
            <w:vAlign w:val="center"/>
          </w:tcPr>
          <w:p w14:paraId="147395C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未建成</w:t>
            </w:r>
          </w:p>
        </w:tc>
        <w:tc>
          <w:tcPr>
            <w:tcW w:w="2555" w:type="dxa"/>
            <w:tcBorders>
              <w:top w:val="nil"/>
              <w:left w:val="nil"/>
              <w:bottom w:val="single" w:color="auto" w:sz="4" w:space="0"/>
              <w:right w:val="single" w:color="auto" w:sz="4" w:space="0"/>
            </w:tcBorders>
            <w:shd w:val="clear" w:color="auto" w:fill="auto"/>
            <w:vAlign w:val="center"/>
          </w:tcPr>
          <w:p w14:paraId="7A3E4554">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w:t>
            </w:r>
          </w:p>
        </w:tc>
        <w:tc>
          <w:tcPr>
            <w:tcW w:w="2275" w:type="dxa"/>
            <w:tcBorders>
              <w:top w:val="nil"/>
              <w:left w:val="nil"/>
              <w:bottom w:val="single" w:color="auto" w:sz="4" w:space="0"/>
              <w:right w:val="single" w:color="auto" w:sz="4" w:space="0"/>
            </w:tcBorders>
            <w:shd w:val="clear" w:color="auto" w:fill="auto"/>
            <w:vAlign w:val="center"/>
          </w:tcPr>
          <w:p w14:paraId="30F5538B">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w:t>
            </w:r>
          </w:p>
        </w:tc>
        <w:tc>
          <w:tcPr>
            <w:tcW w:w="0" w:type="auto"/>
            <w:tcBorders>
              <w:top w:val="nil"/>
              <w:left w:val="nil"/>
              <w:bottom w:val="single" w:color="000000" w:sz="8" w:space="0"/>
              <w:right w:val="single" w:color="000000" w:sz="8" w:space="0"/>
            </w:tcBorders>
            <w:shd w:val="clear" w:color="auto" w:fill="auto"/>
            <w:vAlign w:val="center"/>
          </w:tcPr>
          <w:p w14:paraId="200BAF1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bl>
    <w:p w14:paraId="79ABC253">
      <w:pPr>
        <w:pStyle w:val="44"/>
        <w:rPr>
          <w:color w:val="000000" w:themeColor="text1"/>
          <w14:textFill>
            <w14:solidFill>
              <w14:schemeClr w14:val="tx1"/>
            </w14:solidFill>
          </w14:textFill>
        </w:rPr>
      </w:pPr>
    </w:p>
    <w:p w14:paraId="345A9825">
      <w:pPr>
        <w:spacing w:line="240" w:lineRule="auto"/>
        <w:ind w:firstLine="0" w:firstLineChars="0"/>
        <w:jc w:val="left"/>
        <w:rPr>
          <w:b/>
          <w:bCs/>
        </w:rPr>
      </w:pPr>
      <w:r>
        <w:rPr>
          <w:b/>
          <w:bCs/>
        </w:rPr>
        <w:br w:type="page"/>
      </w:r>
    </w:p>
    <w:p w14:paraId="110046B2">
      <w:pPr>
        <w:ind w:firstLine="482"/>
        <w:rPr>
          <w:b/>
          <w:bCs/>
        </w:rPr>
      </w:pPr>
      <w:r>
        <w:rPr>
          <w:rFonts w:hint="eastAsia"/>
          <w:b/>
          <w:bCs/>
        </w:rPr>
        <w:t>2</w:t>
      </w:r>
      <w:r>
        <w:rPr>
          <w:b/>
          <w:bCs/>
        </w:rPr>
        <w:t>.土地整治（含表土回覆）措施</w:t>
      </w:r>
    </w:p>
    <w:p w14:paraId="43B5B1F2">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（一）</w:t>
      </w:r>
      <w:r>
        <w:rPr>
          <w:rFonts w:ascii="Times New Roman" w:hAnsi="Times New Roman" w:eastAsia="仿宋_GB2312"/>
          <w:color w:val="000000" w:themeColor="text1"/>
          <w:spacing w:val="-3"/>
          <w14:textFill>
            <w14:solidFill>
              <w14:schemeClr w14:val="tx1"/>
            </w14:solidFill>
          </w14:textFill>
        </w:rPr>
        <w:t>土地平整</w:t>
      </w:r>
    </w:p>
    <w:p w14:paraId="08F9792D">
      <w:pPr>
        <w:pStyle w:val="12"/>
        <w:ind w:firstLine="474"/>
        <w:rPr>
          <w:rFonts w:ascii="Times New Roman" w:hAnsi="Times New Roman" w:eastAsia="仿宋_GB2312"/>
          <w:bCs/>
          <w:color w:val="000000" w:themeColor="text1"/>
          <w14:textFill>
            <w14:solidFill>
              <w14:schemeClr w14:val="tx1"/>
            </w14:solidFill>
          </w14:textFill>
        </w:rPr>
      </w:pPr>
      <w:r>
        <w:rPr>
          <w:rFonts w:ascii="Times New Roman" w:hAnsi="Times New Roman" w:eastAsia="仿宋_GB2312"/>
          <w:bCs/>
          <w:color w:val="000000" w:themeColor="text1"/>
          <w:spacing w:val="-3"/>
          <w14:textFill>
            <w14:solidFill>
              <w14:schemeClr w14:val="tx1"/>
            </w14:solidFill>
          </w14:textFill>
        </w:rPr>
        <w:t>（1）措施位置</w:t>
      </w:r>
    </w:p>
    <w:p w14:paraId="23A54CCB">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土地平整主要是指对扰动后凹凸不平的土地需采用机械削凸填凹进行粗平整，以便于扰动土地的恢复与利用。</w:t>
      </w:r>
    </w:p>
    <w:p w14:paraId="49D5AEEE">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根据现场查勘及收集资料，产业园内所有已建区域建设结束后，功能区拆除建（构）筑物及硬化区域、需要恢复植被的区域均已完成了土地平整措施；地块1（金山产业园北区）</w:t>
      </w:r>
      <w:r>
        <w:rPr>
          <w:rFonts w:ascii="Times New Roman" w:hAnsi="Times New Roman" w:eastAsia="仿宋_GB2312"/>
          <w:color w:val="000000" w:themeColor="text1"/>
          <w:spacing w:val="-6"/>
          <w14:textFill>
            <w14:solidFill>
              <w14:schemeClr w14:val="tx1"/>
            </w14:solidFill>
          </w14:textFill>
        </w:rPr>
        <w:t>未建成</w:t>
      </w:r>
      <w:r>
        <w:rPr>
          <w:rFonts w:ascii="Times New Roman" w:hAnsi="Times New Roman" w:eastAsia="仿宋_GB2312"/>
          <w:color w:val="000000" w:themeColor="text1"/>
          <w14:textFill>
            <w14:solidFill>
              <w14:schemeClr w14:val="tx1"/>
            </w14:solidFill>
          </w14:textFill>
        </w:rPr>
        <w:t>坡面，在恢复植被前根据植物种植要求应采取土地平整措施</w:t>
      </w:r>
      <w:r>
        <w:rPr>
          <w:rFonts w:ascii="Times New Roman" w:hAnsi="Times New Roman" w:eastAsia="仿宋_GB2312"/>
          <w:color w:val="000000" w:themeColor="text1"/>
          <w:spacing w:val="-10"/>
          <w14:textFill>
            <w14:solidFill>
              <w14:schemeClr w14:val="tx1"/>
            </w14:solidFill>
          </w14:textFill>
        </w:rPr>
        <w:t>。</w:t>
      </w:r>
    </w:p>
    <w:p w14:paraId="3A4F0F84">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（2）措施布设技术要求</w:t>
      </w:r>
    </w:p>
    <w:p w14:paraId="74F8E40D">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根据《水土保持工程设计规范》（GB51018-2014）</w:t>
      </w:r>
      <w:r>
        <w:rPr>
          <w:rFonts w:ascii="Times New Roman" w:hAnsi="Times New Roman" w:eastAsia="仿宋_GB2312"/>
          <w:color w:val="000000" w:themeColor="text1"/>
          <w:spacing w:val="-1"/>
          <w14:textFill>
            <w14:solidFill>
              <w14:schemeClr w14:val="tx1"/>
            </w14:solidFill>
          </w14:textFill>
        </w:rPr>
        <w:t>中制定的标准及要求：</w:t>
      </w:r>
    </w:p>
    <w:p w14:paraId="039CBBCF">
      <w:pPr>
        <w:pStyle w:val="12"/>
        <w:ind w:firstLine="474"/>
        <w:rPr>
          <w:rFonts w:ascii="Times New Roman" w:hAnsi="Times New Roman" w:eastAsia="仿宋_GB2312"/>
          <w:color w:val="000000" w:themeColor="text1"/>
          <w:spacing w:val="-13"/>
          <w14:textFill>
            <w14:solidFill>
              <w14:schemeClr w14:val="tx1"/>
            </w14:solidFill>
          </w14:textFill>
        </w:rPr>
      </w:pPr>
      <w:r>
        <w:rPr>
          <w:rFonts w:hint="eastAsia" w:ascii="宋体" w:hAnsi="宋体" w:cs="宋体"/>
          <w:color w:val="000000" w:themeColor="text1"/>
          <w:spacing w:val="-3"/>
          <w14:textFill>
            <w14:solidFill>
              <w14:schemeClr w14:val="tx1"/>
            </w14:solidFill>
          </w14:textFill>
        </w:rPr>
        <w:t>①</w:t>
      </w:r>
      <w:r>
        <w:rPr>
          <w:rFonts w:ascii="Times New Roman" w:hAnsi="Times New Roman" w:eastAsia="仿宋_GB2312"/>
          <w:color w:val="000000" w:themeColor="text1"/>
          <w:spacing w:val="-3"/>
          <w14:textFill>
            <w14:solidFill>
              <w14:schemeClr w14:val="tx1"/>
            </w14:solidFill>
          </w14:textFill>
        </w:rPr>
        <w:t>恢复为草地的土地，坡度小于</w:t>
      </w:r>
      <w:r>
        <w:rPr>
          <w:rFonts w:ascii="Times New Roman" w:hAnsi="Times New Roman" w:eastAsia="仿宋_GB2312"/>
          <w:color w:val="000000" w:themeColor="text1"/>
          <w14:textFill>
            <w14:solidFill>
              <w14:schemeClr w14:val="tx1"/>
            </w14:solidFill>
          </w14:textFill>
        </w:rPr>
        <w:t>45°且采用撒播方式的坡地，平整的主要内容有</w:t>
      </w:r>
      <w:r>
        <w:rPr>
          <w:rFonts w:ascii="Times New Roman" w:hAnsi="Times New Roman" w:eastAsia="仿宋_GB2312"/>
          <w:color w:val="000000" w:themeColor="text1"/>
          <w:spacing w:val="-7"/>
          <w14:textFill>
            <w14:solidFill>
              <w14:schemeClr w14:val="tx1"/>
            </w14:solidFill>
          </w14:textFill>
        </w:rPr>
        <w:t>场地清理、翻松地表、粗平整和细平整等；坡度大于</w:t>
      </w:r>
      <w:r>
        <w:rPr>
          <w:rFonts w:ascii="Times New Roman" w:hAnsi="Times New Roman" w:eastAsia="仿宋_GB2312"/>
          <w:color w:val="000000" w:themeColor="text1"/>
          <w:spacing w:val="-4"/>
          <w14:textFill>
            <w14:solidFill>
              <w14:schemeClr w14:val="tx1"/>
            </w14:solidFill>
          </w14:textFill>
        </w:rPr>
        <w:t>45°且采用喷播方式的坡地，</w:t>
      </w:r>
      <w:r>
        <w:rPr>
          <w:rFonts w:ascii="Times New Roman" w:hAnsi="Times New Roman" w:eastAsia="仿宋_GB2312"/>
          <w:color w:val="000000" w:themeColor="text1"/>
          <w:spacing w:val="-13"/>
          <w14:textFill>
            <w14:solidFill>
              <w14:schemeClr w14:val="tx1"/>
            </w14:solidFill>
          </w14:textFill>
        </w:rPr>
        <w:t>平整的内容包括修正坡面浮渣土、凿毛坡面增加粗糙率等。</w:t>
      </w:r>
    </w:p>
    <w:p w14:paraId="4ED564C5">
      <w:pPr>
        <w:pStyle w:val="12"/>
        <w:ind w:firstLine="454"/>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spacing w:val="-13"/>
          <w14:textFill>
            <w14:solidFill>
              <w14:schemeClr w14:val="tx1"/>
            </w14:solidFill>
          </w14:textFill>
        </w:rPr>
        <w:t>②</w:t>
      </w:r>
      <w:r>
        <w:rPr>
          <w:rFonts w:ascii="Times New Roman" w:hAnsi="Times New Roman" w:eastAsia="仿宋_GB2312"/>
          <w:color w:val="000000" w:themeColor="text1"/>
          <w:spacing w:val="-13"/>
          <w14:textFill>
            <w14:solidFill>
              <w14:schemeClr w14:val="tx1"/>
            </w14:solidFill>
          </w14:textFill>
        </w:rPr>
        <w:t>恢复为林地的土地，</w:t>
      </w:r>
      <w:r>
        <w:rPr>
          <w:rFonts w:ascii="Times New Roman" w:hAnsi="Times New Roman" w:eastAsia="仿宋_GB2312"/>
          <w:color w:val="000000" w:themeColor="text1"/>
          <w14:textFill>
            <w14:solidFill>
              <w14:schemeClr w14:val="tx1"/>
            </w14:solidFill>
          </w14:textFill>
        </w:rPr>
        <w:t>根据地形的不同，坡面上的土地整治有场地清理、翻松，一般采用块状整地和带状整地；平地上的土地平整主要包括场地清理、翻松地表，一般采用全面整地和带状整地恢复为灌木林的土地，土地平整的内容主要有翻松地表、粗平整和细平</w:t>
      </w:r>
      <w:r>
        <w:rPr>
          <w:rFonts w:ascii="Times New Roman" w:hAnsi="Times New Roman" w:eastAsia="仿宋_GB2312"/>
          <w:color w:val="000000" w:themeColor="text1"/>
          <w:spacing w:val="-6"/>
          <w14:textFill>
            <w14:solidFill>
              <w14:schemeClr w14:val="tx1"/>
            </w14:solidFill>
          </w14:textFill>
        </w:rPr>
        <w:t>整。</w:t>
      </w:r>
    </w:p>
    <w:p w14:paraId="0E3171F8">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（二）</w:t>
      </w:r>
      <w:r>
        <w:rPr>
          <w:rFonts w:ascii="Times New Roman" w:hAnsi="Times New Roman" w:eastAsia="仿宋_GB2312"/>
          <w:color w:val="000000" w:themeColor="text1"/>
          <w:spacing w:val="-3"/>
          <w14:textFill>
            <w14:solidFill>
              <w14:schemeClr w14:val="tx1"/>
            </w14:solidFill>
          </w14:textFill>
        </w:rPr>
        <w:t>表土回覆</w:t>
      </w:r>
    </w:p>
    <w:p w14:paraId="56726265">
      <w:pPr>
        <w:pStyle w:val="12"/>
        <w:ind w:firstLine="474"/>
        <w:rPr>
          <w:rFonts w:ascii="Times New Roman" w:hAnsi="Times New Roman" w:eastAsia="仿宋_GB2312"/>
          <w:bCs/>
          <w:color w:val="000000" w:themeColor="text1"/>
          <w14:textFill>
            <w14:solidFill>
              <w14:schemeClr w14:val="tx1"/>
            </w14:solidFill>
          </w14:textFill>
        </w:rPr>
      </w:pPr>
      <w:r>
        <w:rPr>
          <w:rFonts w:ascii="Times New Roman" w:hAnsi="Times New Roman" w:eastAsia="仿宋_GB2312"/>
          <w:bCs/>
          <w:color w:val="000000" w:themeColor="text1"/>
          <w:spacing w:val="-3"/>
          <w14:textFill>
            <w14:solidFill>
              <w14:schemeClr w14:val="tx1"/>
            </w14:solidFill>
          </w14:textFill>
        </w:rPr>
        <w:t>（1）措施位置</w:t>
      </w:r>
    </w:p>
    <w:p w14:paraId="019F8AD6">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土地</w:t>
      </w:r>
      <w:r>
        <w:rPr>
          <w:rFonts w:hint="eastAsia" w:ascii="Times New Roman" w:hAnsi="Times New Roman" w:eastAsia="仿宋_GB2312"/>
          <w:color w:val="000000" w:themeColor="text1"/>
          <w:spacing w:val="-4"/>
          <w14:textFill>
            <w14:solidFill>
              <w14:schemeClr w14:val="tx1"/>
            </w14:solidFill>
          </w14:textFill>
        </w:rPr>
        <w:t>平整</w:t>
      </w:r>
      <w:r>
        <w:rPr>
          <w:rFonts w:ascii="Times New Roman" w:hAnsi="Times New Roman" w:eastAsia="仿宋_GB2312"/>
          <w:color w:val="000000" w:themeColor="text1"/>
          <w:spacing w:val="-4"/>
          <w14:textFill>
            <w14:solidFill>
              <w14:schemeClr w14:val="tx1"/>
            </w14:solidFill>
          </w14:textFill>
        </w:rPr>
        <w:t>工作结束之后，把剥离表土回覆在需要绿化的地块表层，从而利于</w:t>
      </w:r>
      <w:r>
        <w:rPr>
          <w:rFonts w:ascii="Times New Roman" w:hAnsi="Times New Roman" w:eastAsia="仿宋_GB2312"/>
          <w:color w:val="000000" w:themeColor="text1"/>
          <w14:textFill>
            <w14:solidFill>
              <w14:schemeClr w14:val="tx1"/>
            </w14:solidFill>
          </w14:textFill>
        </w:rPr>
        <w:t>植被快速恢复的过程。</w:t>
      </w:r>
    </w:p>
    <w:p w14:paraId="5224243C">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position w:val="-2"/>
          <w14:textFill>
            <w14:solidFill>
              <w14:schemeClr w14:val="tx1"/>
            </w14:solidFill>
          </w14:textFill>
        </w:rPr>
        <w:t>各</w:t>
      </w:r>
      <w:r>
        <w:rPr>
          <w:rFonts w:ascii="Times New Roman" w:hAnsi="Times New Roman" w:eastAsia="仿宋_GB2312"/>
          <w:color w:val="000000" w:themeColor="text1"/>
          <w:spacing w:val="-8"/>
          <w14:textFill>
            <w14:solidFill>
              <w14:schemeClr w14:val="tx1"/>
            </w14:solidFill>
          </w14:textFill>
        </w:rPr>
        <w:t>功能区未建成区内需绿化的区域，在完成土地平整工作后需实施表土回覆</w:t>
      </w:r>
      <w:r>
        <w:rPr>
          <w:rFonts w:ascii="Times New Roman" w:hAnsi="Times New Roman" w:eastAsia="仿宋_GB2312"/>
          <w:color w:val="000000" w:themeColor="text1"/>
          <w:spacing w:val="-4"/>
          <w14:textFill>
            <w14:solidFill>
              <w14:schemeClr w14:val="tx1"/>
            </w14:solidFill>
          </w14:textFill>
        </w:rPr>
        <w:t>措施，</w:t>
      </w:r>
      <w:r>
        <w:rPr>
          <w:rFonts w:hint="eastAsia" w:ascii="Times New Roman" w:hAnsi="Times New Roman" w:eastAsia="仿宋_GB2312"/>
          <w:color w:val="000000" w:themeColor="text1"/>
          <w:spacing w:val="-4"/>
          <w14:textFill>
            <w14:solidFill>
              <w14:schemeClr w14:val="tx1"/>
            </w14:solidFill>
          </w14:textFill>
        </w:rPr>
        <w:t>主要为</w:t>
      </w:r>
      <w:r>
        <w:rPr>
          <w:rFonts w:ascii="Times New Roman" w:hAnsi="Times New Roman" w:eastAsia="仿宋_GB2312"/>
          <w:color w:val="000000" w:themeColor="text1"/>
          <w:spacing w:val="-4"/>
          <w14:textFill>
            <w14:solidFill>
              <w14:schemeClr w14:val="tx1"/>
            </w14:solidFill>
          </w14:textFill>
        </w:rPr>
        <w:t>地块</w:t>
      </w:r>
      <w:r>
        <w:rPr>
          <w:rFonts w:ascii="Times New Roman" w:hAnsi="Times New Roman" w:eastAsia="仿宋_GB2312"/>
          <w:color w:val="000000" w:themeColor="text1"/>
          <w14:textFill>
            <w14:solidFill>
              <w14:schemeClr w14:val="tx1"/>
            </w14:solidFill>
          </w14:textFill>
        </w:rPr>
        <w:t>1（金山产业园北区）的未建成区</w:t>
      </w:r>
      <w:r>
        <w:rPr>
          <w:rFonts w:hint="eastAsia" w:ascii="Times New Roman" w:hAnsi="Times New Roman" w:eastAsia="仿宋_GB2312"/>
          <w:color w:val="000000" w:themeColor="text1"/>
          <w14:textFill>
            <w14:solidFill>
              <w14:schemeClr w14:val="tx1"/>
            </w14:solidFill>
          </w14:textFill>
        </w:rPr>
        <w:t>。</w:t>
      </w:r>
    </w:p>
    <w:p w14:paraId="0C3D4121">
      <w:pPr>
        <w:pStyle w:val="12"/>
        <w:ind w:firstLine="480"/>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w:t>（2）</w:t>
      </w:r>
      <w:r>
        <w:rPr>
          <w:rFonts w:ascii="Times New Roman" w:hAnsi="Times New Roman" w:eastAsia="仿宋_GB2312"/>
          <w:color w:val="000000" w:themeColor="text1"/>
          <w14:textFill>
            <w14:solidFill>
              <w14:schemeClr w14:val="tx1"/>
            </w14:solidFill>
          </w14:textFill>
        </w:rPr>
        <w:t>措施布设技术要求</w:t>
      </w:r>
    </w:p>
    <w:p w14:paraId="73A55BDC">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根据《水土保持工程设计规范》（GB51018-2014）中制定的技术要求：绿化区域绿化前进行表土回覆，表土回覆时要充分考虑以下因素：充分利用预先收集的表土覆盖形成种植层，未预先收集表土的，在经济运距之内有适宜土源时，可借土覆盖。</w:t>
      </w:r>
    </w:p>
    <w:p w14:paraId="5C44AC8A">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在土料缺乏的地区，用于造林时，只需在植树的坑内填入土壤或其他含肥物料。</w:t>
      </w:r>
    </w:p>
    <w:p w14:paraId="324F2791">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表土覆盖厚度可根据当地土质情况、气候条件、种植种类以及土源情</w:t>
      </w:r>
      <w:r>
        <w:rPr>
          <w:rFonts w:ascii="Times New Roman" w:hAnsi="Times New Roman" w:eastAsia="仿宋_GB2312"/>
          <w:color w:val="000000" w:themeColor="text1"/>
          <w:spacing w:val="-4"/>
          <w14:textFill>
            <w14:solidFill>
              <w14:schemeClr w14:val="tx1"/>
            </w14:solidFill>
          </w14:textFill>
        </w:rPr>
        <w:t>况确定。一般情况下，用于林业栽植时，覆土厚度为</w:t>
      </w:r>
      <w:r>
        <w:rPr>
          <w:rFonts w:ascii="Times New Roman" w:hAnsi="Times New Roman" w:eastAsia="仿宋_GB2312"/>
          <w:color w:val="000000" w:themeColor="text1"/>
          <w14:textFill>
            <w14:solidFill>
              <w14:schemeClr w14:val="tx1"/>
            </w14:solidFill>
          </w14:textFill>
        </w:rPr>
        <w:t>20cm～50cm，种植草类时</w:t>
      </w:r>
      <w:r>
        <w:rPr>
          <w:rFonts w:ascii="Times New Roman" w:hAnsi="Times New Roman" w:eastAsia="仿宋_GB2312"/>
          <w:color w:val="000000" w:themeColor="text1"/>
          <w:spacing w:val="-7"/>
          <w14:textFill>
            <w14:solidFill>
              <w14:schemeClr w14:val="tx1"/>
            </w14:solidFill>
          </w14:textFill>
        </w:rPr>
        <w:t>在土厚度为</w:t>
      </w:r>
      <w:r>
        <w:rPr>
          <w:rFonts w:ascii="Times New Roman" w:hAnsi="Times New Roman" w:eastAsia="仿宋_GB2312"/>
          <w:color w:val="000000" w:themeColor="text1"/>
          <w14:textFill>
            <w14:solidFill>
              <w14:schemeClr w14:val="tx1"/>
            </w14:solidFill>
          </w14:textFill>
        </w:rPr>
        <w:t>20cm～30cm。</w:t>
      </w:r>
    </w:p>
    <w:p w14:paraId="6C105284">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表土回覆后，视土壤松实程度安排土地翻耕，使土壤疏松，为作物根系生长创造良好条件。同时通过农艺措施和土壤培肥，不断培肥地力，逐步达到原耕地</w:t>
      </w:r>
      <w:r>
        <w:rPr>
          <w:rFonts w:ascii="Times New Roman" w:hAnsi="Times New Roman" w:eastAsia="仿宋_GB2312"/>
          <w:color w:val="000000" w:themeColor="text1"/>
          <w14:textFill>
            <w14:solidFill>
              <w14:schemeClr w14:val="tx1"/>
            </w14:solidFill>
          </w14:textFill>
        </w:rPr>
        <w:t>的地力水平。</w:t>
      </w:r>
    </w:p>
    <w:p w14:paraId="528C6155">
      <w:pPr>
        <w:pStyle w:val="12"/>
        <w:ind w:firstLine="474"/>
        <w:rPr>
          <w:rFonts w:ascii="Times New Roman" w:hAnsi="Times New Roman" w:eastAsia="仿宋_GB2312"/>
          <w:color w:val="000000" w:themeColor="text1"/>
          <w:spacing w:val="-10"/>
          <w14:textFill>
            <w14:solidFill>
              <w14:schemeClr w14:val="tx1"/>
            </w14:solidFill>
          </w14:textFill>
        </w:rPr>
      </w:pPr>
      <w:r>
        <w:rPr>
          <w:rFonts w:ascii="Times New Roman" w:hAnsi="Times New Roman" w:eastAsia="仿宋_GB2312"/>
          <w:color w:val="000000" w:themeColor="text1"/>
          <w:spacing w:val="-3"/>
          <w14:textFill>
            <w14:solidFill>
              <w14:schemeClr w14:val="tx1"/>
            </w14:solidFill>
          </w14:textFill>
        </w:rPr>
        <w:t>功能区土地整治措施布设位置、标准及等级情况详见表</w:t>
      </w:r>
      <w:r>
        <w:rPr>
          <w:rFonts w:ascii="Times New Roman" w:hAnsi="Times New Roman" w:eastAsia="仿宋_GB2312"/>
          <w:color w:val="000000" w:themeColor="text1"/>
          <w14:textFill>
            <w14:solidFill>
              <w14:schemeClr w14:val="tx1"/>
            </w14:solidFill>
          </w14:textFill>
        </w:rPr>
        <w:t>5-8</w:t>
      </w:r>
      <w:r>
        <w:rPr>
          <w:rFonts w:ascii="Times New Roman" w:hAnsi="Times New Roman" w:eastAsia="仿宋_GB2312"/>
          <w:color w:val="000000" w:themeColor="text1"/>
          <w:spacing w:val="-10"/>
          <w14:textFill>
            <w14:solidFill>
              <w14:schemeClr w14:val="tx1"/>
            </w14:solidFill>
          </w14:textFill>
        </w:rPr>
        <w:t>。</w:t>
      </w:r>
    </w:p>
    <w:p w14:paraId="5D827B5C">
      <w:pPr>
        <w:pStyle w:val="44"/>
        <w:rPr>
          <w:color w:val="000000" w:themeColor="text1"/>
          <w:spacing w:val="-10"/>
          <w:lang w:eastAsia="zh-CN"/>
          <w14:textFill>
            <w14:solidFill>
              <w14:schemeClr w14:val="tx1"/>
            </w14:solidFill>
          </w14:textFill>
        </w:rPr>
      </w:pPr>
      <w:r>
        <w:rPr>
          <w:color w:val="000000" w:themeColor="text1"/>
          <w:lang w:eastAsia="zh-CN"/>
          <w14:textFill>
            <w14:solidFill>
              <w14:schemeClr w14:val="tx1"/>
            </w14:solidFill>
          </w14:textFill>
        </w:rPr>
        <w:t>表5-</w:t>
      </w:r>
      <w:r>
        <w:rPr>
          <w:color w:val="000000" w:themeColor="text1"/>
          <w:spacing w:val="-10"/>
          <w:lang w:eastAsia="zh-CN"/>
          <w14:textFill>
            <w14:solidFill>
              <w14:schemeClr w14:val="tx1"/>
            </w14:solidFill>
          </w14:textFill>
        </w:rPr>
        <w:t xml:space="preserve">8                        </w:t>
      </w:r>
      <w:r>
        <w:rPr>
          <w:color w:val="000000" w:themeColor="text1"/>
          <w:lang w:eastAsia="zh-CN"/>
          <w14:textFill>
            <w14:solidFill>
              <w14:schemeClr w14:val="tx1"/>
            </w14:solidFill>
          </w14:textFill>
        </w:rPr>
        <w:t>土地整治措施布设位置、标准及等级汇总</w:t>
      </w:r>
      <w:r>
        <w:rPr>
          <w:color w:val="000000" w:themeColor="text1"/>
          <w:spacing w:val="-10"/>
          <w:lang w:eastAsia="zh-CN"/>
          <w14:textFill>
            <w14:solidFill>
              <w14:schemeClr w14:val="tx1"/>
            </w14:solidFill>
          </w14:textFill>
        </w:rPr>
        <w:t>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26"/>
        <w:gridCol w:w="1018"/>
        <w:gridCol w:w="875"/>
        <w:gridCol w:w="2325"/>
        <w:gridCol w:w="3620"/>
      </w:tblGrid>
      <w:tr w14:paraId="4C7C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9" w:type="pct"/>
            <w:tcBorders>
              <w:bottom w:val="double" w:color="auto" w:sz="4" w:space="0"/>
            </w:tcBorders>
            <w:shd w:val="clear" w:color="auto" w:fill="auto"/>
            <w:vAlign w:val="center"/>
          </w:tcPr>
          <w:p w14:paraId="1B9975C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措施类型</w:t>
            </w:r>
          </w:p>
        </w:tc>
        <w:tc>
          <w:tcPr>
            <w:tcW w:w="391" w:type="pct"/>
            <w:tcBorders>
              <w:bottom w:val="double" w:color="auto" w:sz="4" w:space="0"/>
            </w:tcBorders>
            <w:shd w:val="clear" w:color="auto" w:fill="auto"/>
            <w:vAlign w:val="center"/>
          </w:tcPr>
          <w:p w14:paraId="2F2CD80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措施名称</w:t>
            </w:r>
          </w:p>
        </w:tc>
        <w:tc>
          <w:tcPr>
            <w:tcW w:w="1019" w:type="pct"/>
            <w:gridSpan w:val="2"/>
            <w:tcBorders>
              <w:bottom w:val="double" w:color="auto" w:sz="4" w:space="0"/>
            </w:tcBorders>
            <w:shd w:val="clear" w:color="auto" w:fill="auto"/>
            <w:vAlign w:val="center"/>
          </w:tcPr>
          <w:p w14:paraId="1980415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功能区</w:t>
            </w:r>
          </w:p>
        </w:tc>
        <w:tc>
          <w:tcPr>
            <w:tcW w:w="1252" w:type="pct"/>
            <w:tcBorders>
              <w:bottom w:val="double" w:color="auto" w:sz="4" w:space="0"/>
            </w:tcBorders>
            <w:shd w:val="clear" w:color="auto" w:fill="auto"/>
            <w:vAlign w:val="center"/>
          </w:tcPr>
          <w:p w14:paraId="1DA5E1C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布设位置</w:t>
            </w:r>
          </w:p>
        </w:tc>
        <w:tc>
          <w:tcPr>
            <w:tcW w:w="1949" w:type="pct"/>
            <w:tcBorders>
              <w:bottom w:val="double" w:color="auto" w:sz="4" w:space="0"/>
            </w:tcBorders>
            <w:shd w:val="clear" w:color="auto" w:fill="auto"/>
            <w:vAlign w:val="center"/>
          </w:tcPr>
          <w:p w14:paraId="680F4BA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等级及标准</w:t>
            </w:r>
          </w:p>
        </w:tc>
      </w:tr>
      <w:tr w14:paraId="6037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9" w:type="pct"/>
            <w:vMerge w:val="restart"/>
            <w:tcBorders>
              <w:top w:val="double" w:color="auto" w:sz="4" w:space="0"/>
            </w:tcBorders>
            <w:shd w:val="clear" w:color="auto" w:fill="auto"/>
            <w:vAlign w:val="center"/>
          </w:tcPr>
          <w:p w14:paraId="5804EA3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土地整治（含表土回覆）</w:t>
            </w:r>
          </w:p>
        </w:tc>
        <w:tc>
          <w:tcPr>
            <w:tcW w:w="391" w:type="pct"/>
            <w:vMerge w:val="restart"/>
            <w:tcBorders>
              <w:top w:val="double" w:color="auto" w:sz="4" w:space="0"/>
            </w:tcBorders>
            <w:shd w:val="clear" w:color="auto" w:fill="auto"/>
            <w:vAlign w:val="center"/>
          </w:tcPr>
          <w:p w14:paraId="5F3CE16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土地平整</w:t>
            </w:r>
          </w:p>
        </w:tc>
        <w:tc>
          <w:tcPr>
            <w:tcW w:w="548" w:type="pct"/>
            <w:vMerge w:val="restart"/>
            <w:tcBorders>
              <w:top w:val="double" w:color="auto" w:sz="4" w:space="0"/>
            </w:tcBorders>
            <w:shd w:val="clear" w:color="auto" w:fill="auto"/>
            <w:vAlign w:val="center"/>
          </w:tcPr>
          <w:p w14:paraId="4D4EE78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471" w:type="pct"/>
            <w:tcBorders>
              <w:top w:val="double" w:color="auto" w:sz="4" w:space="0"/>
            </w:tcBorders>
            <w:shd w:val="clear" w:color="auto" w:fill="auto"/>
            <w:vAlign w:val="center"/>
          </w:tcPr>
          <w:p w14:paraId="415180A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1252" w:type="pct"/>
            <w:tcBorders>
              <w:top w:val="double" w:color="auto" w:sz="4" w:space="0"/>
            </w:tcBorders>
            <w:shd w:val="clear" w:color="auto" w:fill="auto"/>
            <w:vAlign w:val="center"/>
          </w:tcPr>
          <w:p w14:paraId="0F4F7D4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拆除建（构）筑物及硬化区域、需要恢复植被的区域</w:t>
            </w:r>
          </w:p>
        </w:tc>
        <w:tc>
          <w:tcPr>
            <w:tcW w:w="1949" w:type="pct"/>
            <w:vMerge w:val="restart"/>
            <w:tcBorders>
              <w:top w:val="double" w:color="auto" w:sz="4" w:space="0"/>
            </w:tcBorders>
            <w:shd w:val="clear" w:color="auto" w:fill="auto"/>
            <w:vAlign w:val="center"/>
          </w:tcPr>
          <w:p w14:paraId="77C067CE">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根据《水土保持工程设计规范》（GB51018-2014）中制定的标准及要求：</w:t>
            </w:r>
            <w:r>
              <w:rPr>
                <w:rFonts w:hint="eastAsia" w:ascii="宋体" w:hAnsi="宋体" w:eastAsia="宋体"/>
                <w:color w:val="000000" w:themeColor="text1"/>
                <w:sz w:val="21"/>
                <w:szCs w:val="21"/>
                <w14:textFill>
                  <w14:solidFill>
                    <w14:schemeClr w14:val="tx1"/>
                  </w14:solidFill>
                </w14:textFill>
              </w:rPr>
              <w:t>①</w:t>
            </w:r>
            <w:r>
              <w:rPr>
                <w:rFonts w:cs="Times New Roman"/>
                <w:color w:val="000000" w:themeColor="text1"/>
                <w:sz w:val="21"/>
                <w:szCs w:val="21"/>
                <w14:textFill>
                  <w14:solidFill>
                    <w14:schemeClr w14:val="tx1"/>
                  </w14:solidFill>
                </w14:textFill>
              </w:rPr>
              <w:t>恢复为草地的土地，坡度小于45°且采用撒播方式的坡地，平整的主要内容有场地清理、翻松地表、粗平整和细平整等；坡度大于45°且采用喷播方式的坡地，平整的内容包括修正坡面浮渣土、凿毛坡面增加粗糙率等。</w:t>
            </w:r>
            <w:r>
              <w:rPr>
                <w:rFonts w:hint="eastAsia" w:ascii="宋体" w:hAnsi="宋体" w:eastAsia="宋体"/>
                <w:color w:val="000000" w:themeColor="text1"/>
                <w:sz w:val="21"/>
                <w:szCs w:val="21"/>
                <w14:textFill>
                  <w14:solidFill>
                    <w14:schemeClr w14:val="tx1"/>
                  </w14:solidFill>
                </w14:textFill>
              </w:rPr>
              <w:t>②</w:t>
            </w:r>
            <w:r>
              <w:rPr>
                <w:rFonts w:cs="Times New Roman"/>
                <w:color w:val="000000" w:themeColor="text1"/>
                <w:sz w:val="21"/>
                <w:szCs w:val="21"/>
                <w14:textFill>
                  <w14:solidFill>
                    <w14:schemeClr w14:val="tx1"/>
                  </w14:solidFill>
                </w14:textFill>
              </w:rPr>
              <w:t>恢复为林地的土地，坡面上一般采用块状整地和带状整地；平地一般采用全面整地和带状整地恢复为灌木林的土地，土地平整的内容主要有翻松地表、粗平整和细平整。</w:t>
            </w:r>
          </w:p>
        </w:tc>
      </w:tr>
      <w:tr w14:paraId="556C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9" w:type="pct"/>
            <w:vMerge w:val="continue"/>
            <w:vAlign w:val="center"/>
          </w:tcPr>
          <w:p w14:paraId="008FDC5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91" w:type="pct"/>
            <w:vMerge w:val="continue"/>
            <w:vAlign w:val="center"/>
          </w:tcPr>
          <w:p w14:paraId="30EDAAD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48" w:type="pct"/>
            <w:vMerge w:val="continue"/>
            <w:vAlign w:val="center"/>
          </w:tcPr>
          <w:p w14:paraId="117C244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471" w:type="pct"/>
            <w:shd w:val="clear" w:color="auto" w:fill="auto"/>
            <w:vAlign w:val="center"/>
          </w:tcPr>
          <w:p w14:paraId="661F130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未建成</w:t>
            </w:r>
          </w:p>
        </w:tc>
        <w:tc>
          <w:tcPr>
            <w:tcW w:w="1252" w:type="pct"/>
            <w:shd w:val="clear" w:color="auto" w:fill="auto"/>
            <w:vAlign w:val="center"/>
          </w:tcPr>
          <w:p w14:paraId="701AE36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开挖扰动或占压地表形成的裸露土地</w:t>
            </w:r>
          </w:p>
        </w:tc>
        <w:tc>
          <w:tcPr>
            <w:tcW w:w="1949" w:type="pct"/>
            <w:vMerge w:val="continue"/>
            <w:vAlign w:val="center"/>
          </w:tcPr>
          <w:p w14:paraId="0E90BBEF">
            <w:pPr>
              <w:spacing w:line="240" w:lineRule="auto"/>
              <w:ind w:firstLine="0" w:firstLineChars="0"/>
              <w:jc w:val="left"/>
              <w:rPr>
                <w:rFonts w:cs="Times New Roman"/>
                <w:color w:val="000000" w:themeColor="text1"/>
                <w:sz w:val="21"/>
                <w:szCs w:val="21"/>
                <w14:textFill>
                  <w14:solidFill>
                    <w14:schemeClr w14:val="tx1"/>
                  </w14:solidFill>
                </w14:textFill>
              </w:rPr>
            </w:pPr>
          </w:p>
        </w:tc>
      </w:tr>
      <w:tr w14:paraId="4D3F5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9" w:type="pct"/>
            <w:vMerge w:val="continue"/>
            <w:vAlign w:val="center"/>
          </w:tcPr>
          <w:p w14:paraId="71F9E60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91" w:type="pct"/>
            <w:vMerge w:val="continue"/>
            <w:vAlign w:val="center"/>
          </w:tcPr>
          <w:p w14:paraId="4B72E1E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48" w:type="pct"/>
            <w:vMerge w:val="restart"/>
            <w:shd w:val="clear" w:color="auto" w:fill="auto"/>
            <w:vAlign w:val="center"/>
          </w:tcPr>
          <w:p w14:paraId="76133CB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471" w:type="pct"/>
            <w:shd w:val="clear" w:color="auto" w:fill="auto"/>
            <w:vAlign w:val="center"/>
          </w:tcPr>
          <w:p w14:paraId="238E905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1252" w:type="pct"/>
            <w:shd w:val="clear" w:color="auto" w:fill="auto"/>
            <w:vAlign w:val="center"/>
          </w:tcPr>
          <w:p w14:paraId="6E961FF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拆除建（构）筑物及硬化区域、需要恢复植被的区域</w:t>
            </w:r>
          </w:p>
        </w:tc>
        <w:tc>
          <w:tcPr>
            <w:tcW w:w="1949" w:type="pct"/>
            <w:vMerge w:val="continue"/>
            <w:vAlign w:val="center"/>
          </w:tcPr>
          <w:p w14:paraId="5D3D6C9A">
            <w:pPr>
              <w:spacing w:line="240" w:lineRule="auto"/>
              <w:ind w:firstLine="0" w:firstLineChars="0"/>
              <w:jc w:val="left"/>
              <w:rPr>
                <w:rFonts w:cs="Times New Roman"/>
                <w:color w:val="000000" w:themeColor="text1"/>
                <w:sz w:val="21"/>
                <w:szCs w:val="21"/>
                <w14:textFill>
                  <w14:solidFill>
                    <w14:schemeClr w14:val="tx1"/>
                  </w14:solidFill>
                </w14:textFill>
              </w:rPr>
            </w:pPr>
          </w:p>
        </w:tc>
      </w:tr>
      <w:tr w14:paraId="7FC03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9" w:type="pct"/>
            <w:vMerge w:val="continue"/>
            <w:vAlign w:val="center"/>
          </w:tcPr>
          <w:p w14:paraId="2015BAF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91" w:type="pct"/>
            <w:vMerge w:val="continue"/>
            <w:vAlign w:val="center"/>
          </w:tcPr>
          <w:p w14:paraId="1BEFCA1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48" w:type="pct"/>
            <w:vMerge w:val="continue"/>
            <w:vAlign w:val="center"/>
          </w:tcPr>
          <w:p w14:paraId="111E4DB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471" w:type="pct"/>
            <w:shd w:val="clear" w:color="auto" w:fill="auto"/>
            <w:vAlign w:val="center"/>
          </w:tcPr>
          <w:p w14:paraId="18D0241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未建成</w:t>
            </w:r>
          </w:p>
        </w:tc>
        <w:tc>
          <w:tcPr>
            <w:tcW w:w="1252" w:type="pct"/>
            <w:shd w:val="clear" w:color="auto" w:fill="auto"/>
            <w:vAlign w:val="center"/>
          </w:tcPr>
          <w:p w14:paraId="688301BA">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w:t>
            </w:r>
          </w:p>
        </w:tc>
        <w:tc>
          <w:tcPr>
            <w:tcW w:w="1949" w:type="pct"/>
            <w:vMerge w:val="continue"/>
            <w:vAlign w:val="center"/>
          </w:tcPr>
          <w:p w14:paraId="3ECAE1C3">
            <w:pPr>
              <w:spacing w:line="240" w:lineRule="auto"/>
              <w:ind w:firstLine="0" w:firstLineChars="0"/>
              <w:jc w:val="left"/>
              <w:rPr>
                <w:rFonts w:cs="Times New Roman"/>
                <w:color w:val="000000" w:themeColor="text1"/>
                <w:sz w:val="21"/>
                <w:szCs w:val="21"/>
                <w14:textFill>
                  <w14:solidFill>
                    <w14:schemeClr w14:val="tx1"/>
                  </w14:solidFill>
                </w14:textFill>
              </w:rPr>
            </w:pPr>
          </w:p>
        </w:tc>
      </w:tr>
      <w:tr w14:paraId="6AD16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9" w:type="pct"/>
            <w:vMerge w:val="continue"/>
            <w:vAlign w:val="center"/>
          </w:tcPr>
          <w:p w14:paraId="11079349">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91" w:type="pct"/>
            <w:vMerge w:val="restart"/>
            <w:shd w:val="clear" w:color="auto" w:fill="auto"/>
            <w:vAlign w:val="center"/>
          </w:tcPr>
          <w:p w14:paraId="7E8D237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表土回覆</w:t>
            </w:r>
          </w:p>
        </w:tc>
        <w:tc>
          <w:tcPr>
            <w:tcW w:w="548" w:type="pct"/>
            <w:vMerge w:val="restart"/>
            <w:shd w:val="clear" w:color="auto" w:fill="auto"/>
            <w:vAlign w:val="center"/>
          </w:tcPr>
          <w:p w14:paraId="2EDAD3D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471" w:type="pct"/>
            <w:shd w:val="clear" w:color="auto" w:fill="auto"/>
            <w:vAlign w:val="center"/>
          </w:tcPr>
          <w:p w14:paraId="2B98B1F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1252" w:type="pct"/>
            <w:shd w:val="clear" w:color="auto" w:fill="auto"/>
            <w:vAlign w:val="center"/>
          </w:tcPr>
          <w:p w14:paraId="3EB2991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功能区内需绿化、恢复植被的区域</w:t>
            </w:r>
          </w:p>
        </w:tc>
        <w:tc>
          <w:tcPr>
            <w:tcW w:w="1949" w:type="pct"/>
            <w:shd w:val="clear" w:color="auto" w:fill="auto"/>
            <w:vAlign w:val="center"/>
          </w:tcPr>
          <w:p w14:paraId="5F43CD0B">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种树覆土厚度20cm～50cm，种草覆土厚度20cm～30cm</w:t>
            </w:r>
          </w:p>
        </w:tc>
      </w:tr>
      <w:tr w14:paraId="1484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9" w:type="pct"/>
            <w:vMerge w:val="continue"/>
            <w:vAlign w:val="center"/>
          </w:tcPr>
          <w:p w14:paraId="4204BB9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91" w:type="pct"/>
            <w:vMerge w:val="continue"/>
            <w:vAlign w:val="center"/>
          </w:tcPr>
          <w:p w14:paraId="5670136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48" w:type="pct"/>
            <w:vMerge w:val="continue"/>
            <w:vAlign w:val="center"/>
          </w:tcPr>
          <w:p w14:paraId="34584EA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471" w:type="pct"/>
            <w:shd w:val="clear" w:color="auto" w:fill="auto"/>
            <w:vAlign w:val="center"/>
          </w:tcPr>
          <w:p w14:paraId="49DF975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未建成</w:t>
            </w:r>
          </w:p>
        </w:tc>
        <w:tc>
          <w:tcPr>
            <w:tcW w:w="1252" w:type="pct"/>
            <w:shd w:val="clear" w:color="auto" w:fill="auto"/>
            <w:vAlign w:val="center"/>
          </w:tcPr>
          <w:p w14:paraId="7A318AE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功能区内需绿化、恢复植被的区域</w:t>
            </w:r>
          </w:p>
        </w:tc>
        <w:tc>
          <w:tcPr>
            <w:tcW w:w="1949" w:type="pct"/>
            <w:shd w:val="clear" w:color="auto" w:fill="auto"/>
            <w:vAlign w:val="center"/>
          </w:tcPr>
          <w:p w14:paraId="1C5A7C52">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种树覆土厚度20cm～50cm，种草覆土厚度20cm～30cm</w:t>
            </w:r>
          </w:p>
        </w:tc>
      </w:tr>
      <w:tr w14:paraId="0262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9" w:type="pct"/>
            <w:vMerge w:val="continue"/>
            <w:vAlign w:val="center"/>
          </w:tcPr>
          <w:p w14:paraId="4E0CFC7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91" w:type="pct"/>
            <w:vMerge w:val="continue"/>
            <w:vAlign w:val="center"/>
          </w:tcPr>
          <w:p w14:paraId="57219BD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48" w:type="pct"/>
            <w:vMerge w:val="restart"/>
            <w:shd w:val="clear" w:color="auto" w:fill="auto"/>
            <w:vAlign w:val="center"/>
          </w:tcPr>
          <w:p w14:paraId="74D4FB8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471" w:type="pct"/>
            <w:shd w:val="clear" w:color="auto" w:fill="auto"/>
            <w:vAlign w:val="center"/>
          </w:tcPr>
          <w:p w14:paraId="2054BC0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1252" w:type="pct"/>
            <w:shd w:val="clear" w:color="auto" w:fill="auto"/>
            <w:vAlign w:val="center"/>
          </w:tcPr>
          <w:p w14:paraId="7F8E2B5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功能区内需绿化、恢复植被的区域</w:t>
            </w:r>
          </w:p>
        </w:tc>
        <w:tc>
          <w:tcPr>
            <w:tcW w:w="1949" w:type="pct"/>
            <w:shd w:val="clear" w:color="auto" w:fill="auto"/>
            <w:vAlign w:val="center"/>
          </w:tcPr>
          <w:p w14:paraId="44830377">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种树覆土厚度20cm～50cm，种草覆土厚度20cm～30cm</w:t>
            </w:r>
          </w:p>
        </w:tc>
      </w:tr>
      <w:tr w14:paraId="20738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9" w:type="pct"/>
            <w:vMerge w:val="continue"/>
            <w:vAlign w:val="center"/>
          </w:tcPr>
          <w:p w14:paraId="50C28FA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91" w:type="pct"/>
            <w:vMerge w:val="continue"/>
            <w:vAlign w:val="center"/>
          </w:tcPr>
          <w:p w14:paraId="01FEA54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48" w:type="pct"/>
            <w:vMerge w:val="continue"/>
            <w:vAlign w:val="center"/>
          </w:tcPr>
          <w:p w14:paraId="6AAA6B4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471" w:type="pct"/>
            <w:shd w:val="clear" w:color="auto" w:fill="auto"/>
            <w:vAlign w:val="center"/>
          </w:tcPr>
          <w:p w14:paraId="68AE4F9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未建成</w:t>
            </w:r>
          </w:p>
        </w:tc>
        <w:tc>
          <w:tcPr>
            <w:tcW w:w="1252" w:type="pct"/>
            <w:shd w:val="clear" w:color="auto" w:fill="auto"/>
            <w:vAlign w:val="center"/>
          </w:tcPr>
          <w:p w14:paraId="3C6E35A4">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w:t>
            </w:r>
          </w:p>
        </w:tc>
        <w:tc>
          <w:tcPr>
            <w:tcW w:w="1949" w:type="pct"/>
            <w:shd w:val="clear" w:color="auto" w:fill="auto"/>
            <w:vAlign w:val="center"/>
          </w:tcPr>
          <w:p w14:paraId="2E03E0B2">
            <w:pPr>
              <w:spacing w:line="240" w:lineRule="auto"/>
              <w:ind w:firstLine="0" w:firstLineChars="0"/>
              <w:jc w:val="left"/>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w:t>
            </w:r>
          </w:p>
        </w:tc>
      </w:tr>
    </w:tbl>
    <w:p w14:paraId="69D5BEDB">
      <w:pPr>
        <w:pStyle w:val="44"/>
        <w:rPr>
          <w:color w:val="000000" w:themeColor="text1"/>
          <w14:textFill>
            <w14:solidFill>
              <w14:schemeClr w14:val="tx1"/>
            </w14:solidFill>
          </w14:textFill>
        </w:rPr>
      </w:pPr>
    </w:p>
    <w:p w14:paraId="4E826357">
      <w:pPr>
        <w:ind w:firstLine="482"/>
        <w:rPr>
          <w:b/>
          <w:bCs/>
        </w:rPr>
      </w:pPr>
      <w:r>
        <w:rPr>
          <w:rFonts w:hint="eastAsia"/>
          <w:b/>
          <w:bCs/>
        </w:rPr>
        <w:t>3</w:t>
      </w:r>
      <w:r>
        <w:rPr>
          <w:b/>
          <w:bCs/>
        </w:rPr>
        <w:t>.节水灌溉措施</w:t>
      </w:r>
    </w:p>
    <w:p w14:paraId="5E318472">
      <w:pPr>
        <w:pStyle w:val="12"/>
        <w:ind w:firstLine="47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3"/>
          <w14:textFill>
            <w14:solidFill>
              <w14:schemeClr w14:val="tx1"/>
            </w14:solidFill>
          </w14:textFill>
        </w:rPr>
        <w:t>（一）措施位置</w:t>
      </w:r>
    </w:p>
    <w:p w14:paraId="7FD57C1C">
      <w:pPr>
        <w:pStyle w:val="12"/>
        <w:ind w:firstLine="47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5"/>
          <w14:textFill>
            <w14:solidFill>
              <w14:schemeClr w14:val="tx1"/>
            </w14:solidFill>
          </w14:textFill>
        </w:rPr>
        <w:t>节水灌溉是为了保证或提高植物措施成活率而配套建设的灌溉工程。常用的</w:t>
      </w:r>
      <w:r>
        <w:rPr>
          <w:rFonts w:ascii="Times New Roman" w:hAnsi="Times New Roman" w:eastAsia="仿宋_GB2312"/>
          <w:color w:val="000000" w:themeColor="text1"/>
          <w14:textFill>
            <w14:solidFill>
              <w14:schemeClr w14:val="tx1"/>
            </w14:solidFill>
          </w14:textFill>
        </w:rPr>
        <w:t>节水灌溉主要包括喷灌、滴管、小管出流灌溉等。产业园位于包头市固阳县，</w:t>
      </w:r>
      <w:r>
        <w:rPr>
          <w:rFonts w:ascii="Times New Roman" w:hAnsi="Times New Roman" w:eastAsia="仿宋_GB2312"/>
          <w:color w:val="000000" w:themeColor="text1"/>
          <w:spacing w:val="-10"/>
          <w14:textFill>
            <w14:solidFill>
              <w14:schemeClr w14:val="tx1"/>
            </w14:solidFill>
          </w14:textFill>
        </w:rPr>
        <w:t>多年平均降水量</w:t>
      </w:r>
      <w:r>
        <w:rPr>
          <w:rFonts w:ascii="Times New Roman" w:hAnsi="Times New Roman" w:eastAsia="仿宋_GB2312"/>
          <w:color w:val="000000" w:themeColor="text1"/>
          <w14:textFill>
            <w14:solidFill>
              <w14:schemeClr w14:val="tx1"/>
            </w14:solidFill>
          </w14:textFill>
        </w:rPr>
        <w:t>309.8mm</w:t>
      </w:r>
      <w:r>
        <w:rPr>
          <w:rFonts w:ascii="Times New Roman" w:hAnsi="Times New Roman" w:eastAsia="仿宋_GB2312"/>
          <w:color w:val="000000" w:themeColor="text1"/>
          <w:spacing w:val="-17"/>
          <w14:textFill>
            <w14:solidFill>
              <w14:schemeClr w14:val="tx1"/>
            </w14:solidFill>
          </w14:textFill>
        </w:rPr>
        <w:t>，水资源短缺。通过现场勘查，已完成建设的地块</w:t>
      </w:r>
      <w:r>
        <w:rPr>
          <w:rFonts w:ascii="Times New Roman" w:hAnsi="Times New Roman" w:eastAsia="仿宋_GB2312"/>
          <w:color w:val="000000" w:themeColor="text1"/>
          <w14:textFill>
            <w14:solidFill>
              <w14:schemeClr w14:val="tx1"/>
            </w14:solidFill>
          </w14:textFill>
        </w:rPr>
        <w:t>1（金山产业园北区）</w:t>
      </w:r>
      <w:r>
        <w:rPr>
          <w:rFonts w:ascii="Times New Roman" w:hAnsi="Times New Roman" w:eastAsia="仿宋_GB2312"/>
          <w:color w:val="000000" w:themeColor="text1"/>
          <w:spacing w:val="-5"/>
          <w14:textFill>
            <w14:solidFill>
              <w14:schemeClr w14:val="tx1"/>
            </w14:solidFill>
          </w14:textFill>
        </w:rPr>
        <w:t>、地块</w:t>
      </w:r>
      <w:r>
        <w:rPr>
          <w:rFonts w:ascii="Times New Roman" w:hAnsi="Times New Roman" w:eastAsia="仿宋_GB2312"/>
          <w:color w:val="000000" w:themeColor="text1"/>
          <w14:textFill>
            <w14:solidFill>
              <w14:schemeClr w14:val="tx1"/>
            </w14:solidFill>
          </w14:textFill>
        </w:rPr>
        <w:t>2（下湿壕片区）中已绿化的区域，</w:t>
      </w:r>
      <w:r>
        <w:rPr>
          <w:rFonts w:hint="eastAsia" w:ascii="Times New Roman" w:hAnsi="Times New Roman" w:eastAsia="仿宋_GB2312"/>
          <w:color w:val="000000" w:themeColor="text1"/>
          <w14:textFill>
            <w14:solidFill>
              <w14:schemeClr w14:val="tx1"/>
            </w14:solidFill>
          </w14:textFill>
        </w:rPr>
        <w:t>部分</w:t>
      </w:r>
      <w:r>
        <w:rPr>
          <w:rFonts w:ascii="Times New Roman" w:hAnsi="Times New Roman" w:eastAsia="仿宋_GB2312"/>
          <w:color w:val="000000" w:themeColor="text1"/>
          <w14:textFill>
            <w14:solidFill>
              <w14:schemeClr w14:val="tx1"/>
            </w14:solidFill>
          </w14:textFill>
        </w:rPr>
        <w:t>设置有节水灌溉措施</w:t>
      </w:r>
      <w:r>
        <w:rPr>
          <w:rFonts w:hint="eastAsia" w:ascii="Times New Roman" w:hAnsi="Times New Roman" w:eastAsia="仿宋_GB2312"/>
          <w:color w:val="000000" w:themeColor="text1"/>
          <w14:textFill>
            <w14:solidFill>
              <w14:schemeClr w14:val="tx1"/>
            </w14:solidFill>
          </w14:textFill>
        </w:rPr>
        <w:t>，需进行补充完善。</w:t>
      </w:r>
    </w:p>
    <w:p w14:paraId="3F073045">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为了提高植物措施的成活率，在未建成区内</w:t>
      </w:r>
      <w:r>
        <w:rPr>
          <w:rFonts w:hint="eastAsia" w:ascii="Times New Roman" w:hAnsi="Times New Roman" w:eastAsia="仿宋_GB2312"/>
          <w:color w:val="000000" w:themeColor="text1"/>
          <w14:textFill>
            <w14:solidFill>
              <w14:schemeClr w14:val="tx1"/>
            </w14:solidFill>
          </w14:textFill>
        </w:rPr>
        <w:t>和已建成区植被灌溉不完善区域</w:t>
      </w:r>
      <w:r>
        <w:rPr>
          <w:rFonts w:ascii="Times New Roman" w:hAnsi="Times New Roman" w:eastAsia="仿宋_GB2312"/>
          <w:color w:val="000000" w:themeColor="text1"/>
          <w14:textFill>
            <w14:solidFill>
              <w14:schemeClr w14:val="tx1"/>
            </w14:solidFill>
          </w14:textFill>
        </w:rPr>
        <w:t>也应设置相应的节水灌溉措施，</w:t>
      </w:r>
      <w:r>
        <w:rPr>
          <w:rFonts w:ascii="Times New Roman" w:hAnsi="Times New Roman" w:eastAsia="仿宋_GB2312"/>
          <w:color w:val="000000" w:themeColor="text1"/>
          <w:spacing w:val="-8"/>
          <w14:textFill>
            <w14:solidFill>
              <w14:schemeClr w14:val="tx1"/>
            </w14:solidFill>
          </w14:textFill>
        </w:rPr>
        <w:t>布设区域包括：</w:t>
      </w:r>
      <w:r>
        <w:rPr>
          <w:rFonts w:ascii="Times New Roman" w:hAnsi="Times New Roman" w:eastAsia="仿宋_GB2312"/>
          <w:color w:val="000000" w:themeColor="text1"/>
          <w:spacing w:val="-17"/>
          <w14:textFill>
            <w14:solidFill>
              <w14:schemeClr w14:val="tx1"/>
            </w14:solidFill>
          </w14:textFill>
        </w:rPr>
        <w:t>地块</w:t>
      </w:r>
      <w:r>
        <w:rPr>
          <w:rFonts w:ascii="Times New Roman" w:hAnsi="Times New Roman" w:eastAsia="仿宋_GB2312"/>
          <w:color w:val="000000" w:themeColor="text1"/>
          <w14:textFill>
            <w14:solidFill>
              <w14:schemeClr w14:val="tx1"/>
            </w14:solidFill>
          </w14:textFill>
        </w:rPr>
        <w:t>1（金山产业园北区）</w:t>
      </w:r>
      <w:r>
        <w:rPr>
          <w:rFonts w:ascii="Times New Roman" w:hAnsi="Times New Roman" w:eastAsia="仿宋_GB2312"/>
          <w:color w:val="000000" w:themeColor="text1"/>
          <w:spacing w:val="-5"/>
          <w14:textFill>
            <w14:solidFill>
              <w14:schemeClr w14:val="tx1"/>
            </w14:solidFill>
          </w14:textFill>
        </w:rPr>
        <w:t>、地块</w:t>
      </w:r>
      <w:r>
        <w:rPr>
          <w:rFonts w:ascii="Times New Roman" w:hAnsi="Times New Roman" w:eastAsia="仿宋_GB2312"/>
          <w:color w:val="000000" w:themeColor="text1"/>
          <w14:textFill>
            <w14:solidFill>
              <w14:schemeClr w14:val="tx1"/>
            </w14:solidFill>
          </w14:textFill>
        </w:rPr>
        <w:t>2（下湿壕片区）的</w:t>
      </w:r>
      <w:r>
        <w:rPr>
          <w:rFonts w:hint="eastAsia" w:ascii="Times New Roman" w:hAnsi="Times New Roman" w:eastAsia="仿宋_GB2312"/>
          <w:color w:val="000000" w:themeColor="text1"/>
          <w14:textFill>
            <w14:solidFill>
              <w14:schemeClr w14:val="tx1"/>
            </w14:solidFill>
          </w14:textFill>
        </w:rPr>
        <w:t>未建成区和节水灌溉不完善区域</w:t>
      </w:r>
      <w:r>
        <w:rPr>
          <w:rFonts w:ascii="Times New Roman" w:hAnsi="Times New Roman" w:eastAsia="仿宋_GB2312"/>
          <w:color w:val="000000" w:themeColor="text1"/>
          <w14:textFill>
            <w14:solidFill>
              <w14:schemeClr w14:val="tx1"/>
            </w14:solidFill>
          </w14:textFill>
        </w:rPr>
        <w:t>。节水灌溉措施布设于上述区域的绿化区内。</w:t>
      </w:r>
    </w:p>
    <w:p w14:paraId="0B2218C1">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（二）措施布设技术要求</w:t>
      </w:r>
    </w:p>
    <w:p w14:paraId="5AABDC03">
      <w:pPr>
        <w:pStyle w:val="12"/>
        <w:ind w:firstLine="47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5"/>
          <w14:textFill>
            <w14:solidFill>
              <w14:schemeClr w14:val="tx1"/>
            </w14:solidFill>
          </w14:textFill>
        </w:rPr>
        <w:t>（1）喷灌</w:t>
      </w:r>
    </w:p>
    <w:p w14:paraId="4C205E5D">
      <w:pPr>
        <w:pStyle w:val="12"/>
        <w:ind w:firstLine="47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3"/>
          <w14:textFill>
            <w14:solidFill>
              <w14:schemeClr w14:val="tx1"/>
            </w14:solidFill>
          </w14:textFill>
        </w:rPr>
        <w:t>1）适用范围</w:t>
      </w:r>
    </w:p>
    <w:p w14:paraId="0C65460F">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在产业园内绿化区域布设人工草地或人工草地兼种小型灌木区域采取喷灌进行灌溉。</w:t>
      </w:r>
    </w:p>
    <w:p w14:paraId="54D0EB47">
      <w:pPr>
        <w:pStyle w:val="12"/>
        <w:ind w:firstLine="47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3"/>
          <w14:textFill>
            <w14:solidFill>
              <w14:schemeClr w14:val="tx1"/>
            </w14:solidFill>
          </w14:textFill>
        </w:rPr>
        <w:t>2）布设要点</w:t>
      </w:r>
    </w:p>
    <w:p w14:paraId="6E4CC7FB">
      <w:pPr>
        <w:pStyle w:val="66"/>
      </w:pPr>
      <w:r>
        <w:rPr>
          <w:rFonts w:hint="eastAsia" w:ascii="宋体" w:hAnsi="宋体" w:eastAsia="宋体" w:cs="宋体"/>
        </w:rPr>
        <w:t>①</w:t>
      </w:r>
      <w:r>
        <w:t>喷灌保证率：喷灌工程的设计标准必须满足灌溉保证率不低于85.0%，一般按照这个标准合理配套水源工程、布局管网、选择喷头组合型式、设计灌水强度和灌溉制度。</w:t>
      </w:r>
    </w:p>
    <w:p w14:paraId="7CF36789">
      <w:pPr>
        <w:pStyle w:val="66"/>
        <w:ind w:firstLine="472"/>
      </w:pPr>
      <w:r>
        <w:rPr>
          <w:rFonts w:hint="eastAsia" w:ascii="宋体" w:hAnsi="宋体" w:eastAsia="宋体" w:cs="宋体"/>
          <w:spacing w:val="-4"/>
        </w:rPr>
        <w:t>②</w:t>
      </w:r>
      <w:r>
        <w:rPr>
          <w:spacing w:val="-4"/>
        </w:rPr>
        <w:t>喷灌均匀度：喷灌工程设计规定，在设计风速下，固定管道式喷灌系统的</w:t>
      </w:r>
      <w:r>
        <w:rPr>
          <w:spacing w:val="10"/>
        </w:rPr>
        <w:t>组</w:t>
      </w:r>
      <w:r>
        <w:rPr>
          <w:spacing w:val="10"/>
          <w:position w:val="-2"/>
        </w:rPr>
        <w:t>合</w:t>
      </w:r>
      <w:r>
        <w:t>均匀系数不低于85.0%，移动管道式喷灌</w:t>
      </w:r>
      <w:r>
        <w:rPr>
          <w:spacing w:val="10"/>
        </w:rPr>
        <w:t>组</w:t>
      </w:r>
      <w:r>
        <w:rPr>
          <w:spacing w:val="10"/>
          <w:position w:val="-2"/>
        </w:rPr>
        <w:t>合</w:t>
      </w:r>
      <w:r>
        <w:t>均匀系数不低于75.0%。</w:t>
      </w:r>
    </w:p>
    <w:p w14:paraId="61904F9C">
      <w:pPr>
        <w:pStyle w:val="66"/>
      </w:pPr>
      <w:r>
        <w:rPr>
          <w:rFonts w:hint="eastAsia" w:ascii="宋体" w:hAnsi="宋体" w:eastAsia="宋体" w:cs="宋体"/>
        </w:rPr>
        <w:t>③</w:t>
      </w:r>
      <w:r>
        <w:t>喷灌强度：要求喷头的组</w:t>
      </w:r>
      <w:r>
        <w:rPr>
          <w:spacing w:val="10"/>
          <w:position w:val="-2"/>
        </w:rPr>
        <w:t>合</w:t>
      </w:r>
      <w:r>
        <w:t>喷灌强度不得大于当地土壤的允许喷灌强度。</w:t>
      </w:r>
      <w:r>
        <w:rPr>
          <w:spacing w:val="-3"/>
        </w:rPr>
        <w:t>当有良好覆盖时，允许喷灌强度可提高</w:t>
      </w:r>
      <w:r>
        <w:t>20.0%。</w:t>
      </w:r>
    </w:p>
    <w:p w14:paraId="31030BD1">
      <w:pPr>
        <w:pStyle w:val="66"/>
      </w:pPr>
      <w:r>
        <w:t>（2）滴灌（小管出流</w:t>
      </w:r>
      <w:r>
        <w:rPr>
          <w:spacing w:val="-10"/>
        </w:rPr>
        <w:t>）</w:t>
      </w:r>
    </w:p>
    <w:p w14:paraId="7F701A52">
      <w:pPr>
        <w:pStyle w:val="66"/>
        <w:ind w:firstLine="474"/>
      </w:pPr>
      <w:r>
        <w:rPr>
          <w:spacing w:val="-3"/>
        </w:rPr>
        <w:t>1）适用范围</w:t>
      </w:r>
    </w:p>
    <w:p w14:paraId="38F2000C">
      <w:pPr>
        <w:pStyle w:val="66"/>
        <w:ind w:firstLine="472"/>
      </w:pPr>
      <w:r>
        <w:rPr>
          <w:spacing w:val="-4"/>
        </w:rPr>
        <w:t>在入驻企业内部道路两侧、园林绿化带布设乔灌木等稀植林木、行道树的区</w:t>
      </w:r>
      <w:r>
        <w:t>域采取滴管（小管出流）。</w:t>
      </w:r>
    </w:p>
    <w:p w14:paraId="11B8870C">
      <w:pPr>
        <w:pStyle w:val="66"/>
        <w:ind w:firstLine="474"/>
      </w:pPr>
      <w:r>
        <w:rPr>
          <w:spacing w:val="-3"/>
        </w:rPr>
        <w:t>2）设计要点</w:t>
      </w:r>
    </w:p>
    <w:p w14:paraId="61BB0B0E">
      <w:pPr>
        <w:pStyle w:val="66"/>
        <w:ind w:firstLine="470"/>
      </w:pPr>
      <w:r>
        <w:rPr>
          <w:spacing w:val="-5"/>
        </w:rPr>
        <w:t>滴管工程设计要点主要有：灌溉水源、灌溉制度、管网布局、管材选工程量</w:t>
      </w:r>
      <w:r>
        <w:rPr>
          <w:spacing w:val="-3"/>
        </w:rPr>
        <w:t>估算等。</w:t>
      </w:r>
    </w:p>
    <w:p w14:paraId="07300BA2">
      <w:pPr>
        <w:pStyle w:val="12"/>
        <w:ind w:firstLine="478"/>
        <w:jc w:val="left"/>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①</w:t>
      </w:r>
      <w:r>
        <w:rPr>
          <w:rFonts w:ascii="Times New Roman" w:hAnsi="Times New Roman" w:eastAsia="仿宋_GB2312"/>
          <w:color w:val="000000" w:themeColor="text1"/>
          <w:spacing w:val="-1"/>
          <w14:textFill>
            <w14:solidFill>
              <w14:schemeClr w14:val="tx1"/>
            </w14:solidFill>
          </w14:textFill>
        </w:rPr>
        <w:t>明确灌溉区域位置、面积。</w:t>
      </w:r>
    </w:p>
    <w:p w14:paraId="24FA45D3">
      <w:pPr>
        <w:pStyle w:val="66"/>
      </w:pPr>
      <w:r>
        <w:rPr>
          <w:rFonts w:hint="eastAsia" w:ascii="宋体" w:hAnsi="宋体" w:eastAsia="宋体" w:cs="宋体"/>
        </w:rPr>
        <w:t>②</w:t>
      </w:r>
      <w:r>
        <w:t>明确林草种植方式、</w:t>
      </w:r>
      <w:r>
        <w:rPr>
          <w:spacing w:val="5"/>
          <w:position w:val="-2"/>
        </w:rPr>
        <w:t>各</w:t>
      </w:r>
      <w:r>
        <w:t>林草类型的面积和位</w:t>
      </w:r>
      <w:r>
        <w:rPr>
          <w:spacing w:val="-10"/>
        </w:rPr>
        <w:t>置</w:t>
      </w:r>
    </w:p>
    <w:p w14:paraId="0D5364B8">
      <w:pPr>
        <w:pStyle w:val="12"/>
        <w:ind w:firstLine="480"/>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③</w:t>
      </w:r>
      <w:r>
        <w:rPr>
          <w:rFonts w:ascii="Times New Roman" w:hAnsi="Times New Roman" w:eastAsia="仿宋_GB2312"/>
          <w:color w:val="000000" w:themeColor="text1"/>
          <w14:textFill>
            <w14:solidFill>
              <w14:schemeClr w14:val="tx1"/>
            </w14:solidFill>
          </w14:textFill>
        </w:rPr>
        <w:t>水源确定：明确水源类型（地下水、中水等），年度可供水量、供水过程，供水质能否满足灌溉水质要求。</w:t>
      </w:r>
    </w:p>
    <w:p w14:paraId="4557B763">
      <w:pPr>
        <w:pStyle w:val="12"/>
        <w:ind w:firstLine="478"/>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④</w:t>
      </w:r>
      <w:r>
        <w:rPr>
          <w:rFonts w:ascii="Times New Roman" w:hAnsi="Times New Roman" w:eastAsia="仿宋_GB2312"/>
          <w:color w:val="000000" w:themeColor="text1"/>
          <w:spacing w:val="-1"/>
          <w14:textFill>
            <w14:solidFill>
              <w14:schemeClr w14:val="tx1"/>
            </w14:solidFill>
          </w14:textFill>
        </w:rPr>
        <w:t>制定灌溉制度：次灌水量、灌溉次数、灌溉时间、灌溉总量。</w:t>
      </w:r>
    </w:p>
    <w:p w14:paraId="13BEEE3D">
      <w:pPr>
        <w:pStyle w:val="12"/>
        <w:ind w:firstLine="464"/>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spacing w:val="-8"/>
          <w14:textFill>
            <w14:solidFill>
              <w14:schemeClr w14:val="tx1"/>
            </w14:solidFill>
          </w14:textFill>
        </w:rPr>
        <w:t>⑤</w:t>
      </w:r>
      <w:r>
        <w:rPr>
          <w:rFonts w:ascii="Times New Roman" w:hAnsi="Times New Roman" w:eastAsia="仿宋_GB2312"/>
          <w:color w:val="000000" w:themeColor="text1"/>
          <w:spacing w:val="-8"/>
          <w14:textFill>
            <w14:solidFill>
              <w14:schemeClr w14:val="tx1"/>
            </w14:solidFill>
          </w14:textFill>
        </w:rPr>
        <w:t>管网布局：根据地形、作物布局、布设灌溉管网，应满足流量、压力要求、</w:t>
      </w:r>
      <w:r>
        <w:rPr>
          <w:rFonts w:ascii="Times New Roman" w:hAnsi="Times New Roman" w:eastAsia="仿宋_GB2312"/>
          <w:color w:val="000000" w:themeColor="text1"/>
          <w:spacing w:val="-1"/>
          <w14:textFill>
            <w14:solidFill>
              <w14:schemeClr w14:val="tx1"/>
            </w14:solidFill>
          </w14:textFill>
        </w:rPr>
        <w:t>水头损失要求；确定灌溉均匀度、滴头间距，滴头流量，滴灌管间距、长度等。</w:t>
      </w:r>
    </w:p>
    <w:p w14:paraId="0C375259">
      <w:pPr>
        <w:pStyle w:val="12"/>
        <w:ind w:firstLine="478"/>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⑥</w:t>
      </w:r>
      <w:r>
        <w:rPr>
          <w:rFonts w:ascii="Times New Roman" w:hAnsi="Times New Roman" w:eastAsia="仿宋_GB2312"/>
          <w:color w:val="000000" w:themeColor="text1"/>
          <w:spacing w:val="-1"/>
          <w14:textFill>
            <w14:solidFill>
              <w14:schemeClr w14:val="tx1"/>
            </w14:solidFill>
          </w14:textFill>
        </w:rPr>
        <w:t>确定首部、管网等设备或材料选型。</w:t>
      </w:r>
    </w:p>
    <w:p w14:paraId="4914C435">
      <w:pPr>
        <w:pStyle w:val="12"/>
        <w:ind w:firstLine="480"/>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⑦</w:t>
      </w:r>
      <w:r>
        <w:rPr>
          <w:rFonts w:ascii="Times New Roman" w:hAnsi="Times New Roman" w:eastAsia="仿宋_GB2312"/>
          <w:color w:val="000000" w:themeColor="text1"/>
          <w14:textFill>
            <w14:solidFill>
              <w14:schemeClr w14:val="tx1"/>
            </w14:solidFill>
          </w14:textFill>
        </w:rPr>
        <w:t>估算工程量。</w:t>
      </w:r>
    </w:p>
    <w:p w14:paraId="73AC2D39">
      <w:pPr>
        <w:pStyle w:val="12"/>
        <w:ind w:firstLine="480"/>
        <w:rPr>
          <w:rFonts w:ascii="Times New Roman" w:hAnsi="Times New Roman" w:eastAsia="仿宋_GB2312"/>
          <w:color w:val="000000" w:themeColor="text1"/>
          <w:spacing w:val="-10"/>
          <w14:textFill>
            <w14:solidFill>
              <w14:schemeClr w14:val="tx1"/>
            </w14:solidFill>
          </w14:textFill>
        </w:rPr>
      </w:pPr>
      <w:r>
        <w:rPr>
          <w:rFonts w:ascii="Times New Roman" w:hAnsi="Times New Roman" w:eastAsia="仿宋_GB2312"/>
          <w:color w:val="000000" w:themeColor="text1"/>
          <w:position w:val="-2"/>
          <w14:textFill>
            <w14:solidFill>
              <w14:schemeClr w14:val="tx1"/>
            </w14:solidFill>
          </w14:textFill>
        </w:rPr>
        <w:t>各</w:t>
      </w:r>
      <w:r>
        <w:rPr>
          <w:rFonts w:ascii="Times New Roman" w:hAnsi="Times New Roman" w:eastAsia="仿宋_GB2312"/>
          <w:color w:val="000000" w:themeColor="text1"/>
          <w:spacing w:val="-3"/>
          <w14:textFill>
            <w14:solidFill>
              <w14:schemeClr w14:val="tx1"/>
            </w14:solidFill>
          </w14:textFill>
        </w:rPr>
        <w:t>功能区节水灌溉措施布设位置、标准及等级情况详见表</w:t>
      </w:r>
      <w:r>
        <w:rPr>
          <w:rFonts w:ascii="Times New Roman" w:hAnsi="Times New Roman" w:eastAsia="仿宋_GB2312"/>
          <w:color w:val="000000" w:themeColor="text1"/>
          <w14:textFill>
            <w14:solidFill>
              <w14:schemeClr w14:val="tx1"/>
            </w14:solidFill>
          </w14:textFill>
        </w:rPr>
        <w:t>5-9</w:t>
      </w:r>
      <w:r>
        <w:rPr>
          <w:rFonts w:ascii="Times New Roman" w:hAnsi="Times New Roman" w:eastAsia="仿宋_GB2312"/>
          <w:color w:val="000000" w:themeColor="text1"/>
          <w:spacing w:val="-10"/>
          <w14:textFill>
            <w14:solidFill>
              <w14:schemeClr w14:val="tx1"/>
            </w14:solidFill>
          </w14:textFill>
        </w:rPr>
        <w:t>。</w:t>
      </w:r>
    </w:p>
    <w:p w14:paraId="5E949469">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表5-</w:t>
      </w:r>
      <w:r>
        <w:rPr>
          <w:color w:val="000000" w:themeColor="text1"/>
          <w:spacing w:val="-10"/>
          <w:lang w:eastAsia="zh-CN"/>
          <w14:textFill>
            <w14:solidFill>
              <w14:schemeClr w14:val="tx1"/>
            </w14:solidFill>
          </w14:textFill>
        </w:rPr>
        <w:t xml:space="preserve">9                      </w:t>
      </w:r>
      <w:r>
        <w:rPr>
          <w:color w:val="000000" w:themeColor="text1"/>
          <w:lang w:eastAsia="zh-CN"/>
          <w14:textFill>
            <w14:solidFill>
              <w14:schemeClr w14:val="tx1"/>
            </w14:solidFill>
          </w14:textFill>
        </w:rPr>
        <w:t>节水灌溉措施布设位置、标准及等级汇总表</w:t>
      </w:r>
    </w:p>
    <w:tbl>
      <w:tblPr>
        <w:tblStyle w:val="27"/>
        <w:tblW w:w="0" w:type="auto"/>
        <w:tblInd w:w="0" w:type="dxa"/>
        <w:tblLayout w:type="autofit"/>
        <w:tblCellMar>
          <w:top w:w="0" w:type="dxa"/>
          <w:left w:w="108" w:type="dxa"/>
          <w:bottom w:w="0" w:type="dxa"/>
          <w:right w:w="108" w:type="dxa"/>
        </w:tblCellMar>
      </w:tblPr>
      <w:tblGrid>
        <w:gridCol w:w="704"/>
        <w:gridCol w:w="709"/>
        <w:gridCol w:w="1417"/>
        <w:gridCol w:w="993"/>
        <w:gridCol w:w="1559"/>
        <w:gridCol w:w="3678"/>
      </w:tblGrid>
      <w:tr w14:paraId="15F4D2A6">
        <w:tblPrEx>
          <w:tblCellMar>
            <w:top w:w="0" w:type="dxa"/>
            <w:left w:w="108" w:type="dxa"/>
            <w:bottom w:w="0" w:type="dxa"/>
            <w:right w:w="108" w:type="dxa"/>
          </w:tblCellMar>
        </w:tblPrEx>
        <w:trPr>
          <w:trHeight w:val="397" w:hRule="atLeast"/>
        </w:trPr>
        <w:tc>
          <w:tcPr>
            <w:tcW w:w="704" w:type="dxa"/>
            <w:tcBorders>
              <w:top w:val="single" w:color="auto" w:sz="4" w:space="0"/>
              <w:left w:val="single" w:color="auto" w:sz="4" w:space="0"/>
              <w:bottom w:val="double" w:color="auto" w:sz="4" w:space="0"/>
              <w:right w:val="single" w:color="auto" w:sz="4" w:space="0"/>
            </w:tcBorders>
            <w:shd w:val="clear" w:color="auto" w:fill="auto"/>
            <w:vAlign w:val="center"/>
          </w:tcPr>
          <w:p w14:paraId="10462DD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措施类型</w:t>
            </w:r>
          </w:p>
        </w:tc>
        <w:tc>
          <w:tcPr>
            <w:tcW w:w="709" w:type="dxa"/>
            <w:tcBorders>
              <w:top w:val="single" w:color="auto" w:sz="4" w:space="0"/>
              <w:left w:val="nil"/>
              <w:bottom w:val="double" w:color="auto" w:sz="4" w:space="0"/>
              <w:right w:val="single" w:color="auto" w:sz="4" w:space="0"/>
            </w:tcBorders>
            <w:shd w:val="clear" w:color="auto" w:fill="auto"/>
            <w:vAlign w:val="center"/>
          </w:tcPr>
          <w:p w14:paraId="1A145FB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措施名称</w:t>
            </w:r>
          </w:p>
        </w:tc>
        <w:tc>
          <w:tcPr>
            <w:tcW w:w="2410" w:type="dxa"/>
            <w:gridSpan w:val="2"/>
            <w:tcBorders>
              <w:top w:val="single" w:color="auto" w:sz="4" w:space="0"/>
              <w:left w:val="nil"/>
              <w:bottom w:val="double" w:color="auto" w:sz="4" w:space="0"/>
              <w:right w:val="single" w:color="auto" w:sz="4" w:space="0"/>
            </w:tcBorders>
            <w:shd w:val="clear" w:color="auto" w:fill="auto"/>
            <w:vAlign w:val="center"/>
          </w:tcPr>
          <w:p w14:paraId="4D666CC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功能区</w:t>
            </w:r>
          </w:p>
        </w:tc>
        <w:tc>
          <w:tcPr>
            <w:tcW w:w="1559" w:type="dxa"/>
            <w:tcBorders>
              <w:top w:val="single" w:color="auto" w:sz="4" w:space="0"/>
              <w:left w:val="nil"/>
              <w:bottom w:val="double" w:color="auto" w:sz="4" w:space="0"/>
              <w:right w:val="single" w:color="auto" w:sz="4" w:space="0"/>
            </w:tcBorders>
            <w:shd w:val="clear" w:color="auto" w:fill="auto"/>
            <w:vAlign w:val="center"/>
          </w:tcPr>
          <w:p w14:paraId="72127DC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布设位置</w:t>
            </w:r>
          </w:p>
        </w:tc>
        <w:tc>
          <w:tcPr>
            <w:tcW w:w="3678" w:type="dxa"/>
            <w:tcBorders>
              <w:top w:val="single" w:color="auto" w:sz="4" w:space="0"/>
              <w:left w:val="nil"/>
              <w:bottom w:val="double" w:color="auto" w:sz="4" w:space="0"/>
              <w:right w:val="single" w:color="auto" w:sz="4" w:space="0"/>
            </w:tcBorders>
            <w:shd w:val="clear" w:color="auto" w:fill="auto"/>
            <w:vAlign w:val="center"/>
          </w:tcPr>
          <w:p w14:paraId="25ABC77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等级及标准</w:t>
            </w:r>
          </w:p>
        </w:tc>
      </w:tr>
      <w:tr w14:paraId="4BA4A0E7">
        <w:tblPrEx>
          <w:tblCellMar>
            <w:top w:w="0" w:type="dxa"/>
            <w:left w:w="108" w:type="dxa"/>
            <w:bottom w:w="0" w:type="dxa"/>
            <w:right w:w="108" w:type="dxa"/>
          </w:tblCellMar>
        </w:tblPrEx>
        <w:trPr>
          <w:trHeight w:val="397" w:hRule="atLeast"/>
        </w:trPr>
        <w:tc>
          <w:tcPr>
            <w:tcW w:w="704"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1D49D36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灌溉措施</w:t>
            </w:r>
          </w:p>
        </w:tc>
        <w:tc>
          <w:tcPr>
            <w:tcW w:w="709"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1845323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节水灌溉</w:t>
            </w:r>
          </w:p>
        </w:tc>
        <w:tc>
          <w:tcPr>
            <w:tcW w:w="1417"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2011390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993" w:type="dxa"/>
            <w:tcBorders>
              <w:top w:val="double" w:color="auto" w:sz="4" w:space="0"/>
              <w:left w:val="nil"/>
              <w:bottom w:val="single" w:color="auto" w:sz="4" w:space="0"/>
              <w:right w:val="single" w:color="auto" w:sz="4" w:space="0"/>
            </w:tcBorders>
            <w:shd w:val="clear" w:color="auto" w:fill="auto"/>
            <w:vAlign w:val="center"/>
          </w:tcPr>
          <w:p w14:paraId="1B07958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1559"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171B1696">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产业园内道路两侧绿化带、人工草地等绿化区域</w:t>
            </w:r>
          </w:p>
        </w:tc>
        <w:tc>
          <w:tcPr>
            <w:tcW w:w="3678"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203E9636">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喷灌：产业园内绿化区域布设人工草地或人工草地兼种小型灌木区域，设计标准必须满足灌溉保证率不低于85.0%；滴灌：道路两侧、园林绿化带布设乔灌木等稀植林木、行道树的区域。</w:t>
            </w:r>
          </w:p>
        </w:tc>
      </w:tr>
      <w:tr w14:paraId="293F98D7">
        <w:tblPrEx>
          <w:tblCellMar>
            <w:top w:w="0" w:type="dxa"/>
            <w:left w:w="108" w:type="dxa"/>
            <w:bottom w:w="0" w:type="dxa"/>
            <w:right w:w="108" w:type="dxa"/>
          </w:tblCellMar>
        </w:tblPrEx>
        <w:trPr>
          <w:trHeight w:val="397" w:hRule="atLeast"/>
        </w:trPr>
        <w:tc>
          <w:tcPr>
            <w:tcW w:w="704" w:type="dxa"/>
            <w:vMerge w:val="continue"/>
            <w:tcBorders>
              <w:top w:val="nil"/>
              <w:left w:val="single" w:color="auto" w:sz="4" w:space="0"/>
              <w:bottom w:val="single" w:color="auto" w:sz="4" w:space="0"/>
              <w:right w:val="single" w:color="auto" w:sz="4" w:space="0"/>
            </w:tcBorders>
            <w:vAlign w:val="center"/>
          </w:tcPr>
          <w:p w14:paraId="34358FA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9" w:type="dxa"/>
            <w:vMerge w:val="continue"/>
            <w:tcBorders>
              <w:top w:val="nil"/>
              <w:left w:val="single" w:color="auto" w:sz="4" w:space="0"/>
              <w:bottom w:val="single" w:color="auto" w:sz="4" w:space="0"/>
              <w:right w:val="single" w:color="auto" w:sz="4" w:space="0"/>
            </w:tcBorders>
            <w:vAlign w:val="center"/>
          </w:tcPr>
          <w:p w14:paraId="01B657B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733F5C8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shd w:val="clear" w:color="auto" w:fill="auto"/>
            <w:vAlign w:val="center"/>
          </w:tcPr>
          <w:p w14:paraId="427B9C5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未建成</w:t>
            </w:r>
          </w:p>
        </w:tc>
        <w:tc>
          <w:tcPr>
            <w:tcW w:w="1559" w:type="dxa"/>
            <w:vMerge w:val="continue"/>
            <w:tcBorders>
              <w:top w:val="nil"/>
              <w:left w:val="single" w:color="auto" w:sz="4" w:space="0"/>
              <w:bottom w:val="single" w:color="auto" w:sz="4" w:space="0"/>
              <w:right w:val="single" w:color="auto" w:sz="4" w:space="0"/>
            </w:tcBorders>
            <w:vAlign w:val="center"/>
          </w:tcPr>
          <w:p w14:paraId="45C44E3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78" w:type="dxa"/>
            <w:vMerge w:val="continue"/>
            <w:tcBorders>
              <w:top w:val="nil"/>
              <w:left w:val="single" w:color="auto" w:sz="4" w:space="0"/>
              <w:bottom w:val="single" w:color="auto" w:sz="4" w:space="0"/>
              <w:right w:val="single" w:color="auto" w:sz="4" w:space="0"/>
            </w:tcBorders>
            <w:vAlign w:val="center"/>
          </w:tcPr>
          <w:p w14:paraId="294ED569">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338A2E5E">
        <w:tblPrEx>
          <w:tblCellMar>
            <w:top w:w="0" w:type="dxa"/>
            <w:left w:w="108" w:type="dxa"/>
            <w:bottom w:w="0" w:type="dxa"/>
            <w:right w:w="108" w:type="dxa"/>
          </w:tblCellMar>
        </w:tblPrEx>
        <w:trPr>
          <w:trHeight w:val="397" w:hRule="atLeast"/>
        </w:trPr>
        <w:tc>
          <w:tcPr>
            <w:tcW w:w="704" w:type="dxa"/>
            <w:vMerge w:val="continue"/>
            <w:tcBorders>
              <w:top w:val="nil"/>
              <w:left w:val="single" w:color="auto" w:sz="4" w:space="0"/>
              <w:bottom w:val="single" w:color="auto" w:sz="4" w:space="0"/>
              <w:right w:val="single" w:color="auto" w:sz="4" w:space="0"/>
            </w:tcBorders>
            <w:vAlign w:val="center"/>
          </w:tcPr>
          <w:p w14:paraId="6960089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09" w:type="dxa"/>
            <w:vMerge w:val="continue"/>
            <w:tcBorders>
              <w:top w:val="nil"/>
              <w:left w:val="single" w:color="auto" w:sz="4" w:space="0"/>
              <w:bottom w:val="single" w:color="auto" w:sz="4" w:space="0"/>
              <w:right w:val="single" w:color="auto" w:sz="4" w:space="0"/>
            </w:tcBorders>
            <w:vAlign w:val="center"/>
          </w:tcPr>
          <w:p w14:paraId="684E98F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17" w:type="dxa"/>
            <w:tcBorders>
              <w:top w:val="nil"/>
              <w:left w:val="single" w:color="auto" w:sz="4" w:space="0"/>
              <w:bottom w:val="single" w:color="auto" w:sz="4" w:space="0"/>
              <w:right w:val="single" w:color="auto" w:sz="4" w:space="0"/>
            </w:tcBorders>
            <w:shd w:val="clear" w:color="auto" w:fill="auto"/>
            <w:vAlign w:val="center"/>
          </w:tcPr>
          <w:p w14:paraId="23F7F9A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993" w:type="dxa"/>
            <w:tcBorders>
              <w:top w:val="nil"/>
              <w:left w:val="nil"/>
              <w:bottom w:val="single" w:color="auto" w:sz="4" w:space="0"/>
              <w:right w:val="single" w:color="auto" w:sz="4" w:space="0"/>
            </w:tcBorders>
            <w:shd w:val="clear" w:color="auto" w:fill="auto"/>
            <w:vAlign w:val="center"/>
          </w:tcPr>
          <w:p w14:paraId="5A22725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1559" w:type="dxa"/>
            <w:vMerge w:val="continue"/>
            <w:tcBorders>
              <w:top w:val="nil"/>
              <w:left w:val="single" w:color="auto" w:sz="4" w:space="0"/>
              <w:bottom w:val="single" w:color="auto" w:sz="4" w:space="0"/>
              <w:right w:val="single" w:color="auto" w:sz="4" w:space="0"/>
            </w:tcBorders>
            <w:vAlign w:val="center"/>
          </w:tcPr>
          <w:p w14:paraId="0224E5F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678" w:type="dxa"/>
            <w:vMerge w:val="continue"/>
            <w:tcBorders>
              <w:top w:val="nil"/>
              <w:left w:val="single" w:color="auto" w:sz="4" w:space="0"/>
              <w:bottom w:val="single" w:color="auto" w:sz="4" w:space="0"/>
              <w:right w:val="single" w:color="auto" w:sz="4" w:space="0"/>
            </w:tcBorders>
            <w:vAlign w:val="center"/>
          </w:tcPr>
          <w:p w14:paraId="12ED00E8">
            <w:pPr>
              <w:spacing w:line="240" w:lineRule="auto"/>
              <w:ind w:firstLine="0" w:firstLineChars="0"/>
              <w:jc w:val="center"/>
              <w:rPr>
                <w:rFonts w:cs="Times New Roman"/>
                <w:color w:val="000000" w:themeColor="text1"/>
                <w:sz w:val="21"/>
                <w:szCs w:val="21"/>
                <w14:textFill>
                  <w14:solidFill>
                    <w14:schemeClr w14:val="tx1"/>
                  </w14:solidFill>
                </w14:textFill>
              </w:rPr>
            </w:pPr>
          </w:p>
        </w:tc>
      </w:tr>
    </w:tbl>
    <w:p w14:paraId="4EDFA6ED">
      <w:pPr>
        <w:pStyle w:val="44"/>
        <w:rPr>
          <w:color w:val="000000" w:themeColor="text1"/>
          <w14:textFill>
            <w14:solidFill>
              <w14:schemeClr w14:val="tx1"/>
            </w14:solidFill>
          </w14:textFill>
        </w:rPr>
      </w:pPr>
    </w:p>
    <w:p w14:paraId="09C81F48">
      <w:pPr>
        <w:ind w:firstLine="482"/>
        <w:rPr>
          <w:b/>
          <w:bCs/>
        </w:rPr>
      </w:pPr>
      <w:r>
        <w:rPr>
          <w:rFonts w:hint="eastAsia"/>
          <w:b/>
          <w:bCs/>
        </w:rPr>
        <w:t>4</w:t>
      </w:r>
      <w:r>
        <w:rPr>
          <w:b/>
          <w:bCs/>
        </w:rPr>
        <w:t>.排水措施</w:t>
      </w:r>
    </w:p>
    <w:p w14:paraId="709313E5">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（一）雨水排水管（沟</w:t>
      </w:r>
      <w:r>
        <w:rPr>
          <w:rFonts w:ascii="Times New Roman" w:hAnsi="Times New Roman" w:eastAsia="仿宋_GB2312"/>
          <w:color w:val="000000" w:themeColor="text1"/>
          <w:spacing w:val="-10"/>
          <w14:textFill>
            <w14:solidFill>
              <w14:schemeClr w14:val="tx1"/>
            </w14:solidFill>
          </w14:textFill>
        </w:rPr>
        <w:t>）</w:t>
      </w:r>
    </w:p>
    <w:p w14:paraId="0BD52BEA">
      <w:pPr>
        <w:pStyle w:val="12"/>
        <w:ind w:firstLine="474"/>
        <w:rPr>
          <w:rFonts w:ascii="Times New Roman" w:hAnsi="Times New Roman" w:eastAsia="仿宋_GB2312"/>
          <w:bCs/>
          <w:color w:val="000000" w:themeColor="text1"/>
          <w14:textFill>
            <w14:solidFill>
              <w14:schemeClr w14:val="tx1"/>
            </w14:solidFill>
          </w14:textFill>
        </w:rPr>
      </w:pPr>
      <w:r>
        <w:rPr>
          <w:rFonts w:ascii="Times New Roman" w:hAnsi="Times New Roman" w:eastAsia="仿宋_GB2312"/>
          <w:bCs/>
          <w:color w:val="000000" w:themeColor="text1"/>
          <w:spacing w:val="-3"/>
          <w14:textFill>
            <w14:solidFill>
              <w14:schemeClr w14:val="tx1"/>
            </w14:solidFill>
          </w14:textFill>
        </w:rPr>
        <w:t>（1）措施位置</w:t>
      </w:r>
    </w:p>
    <w:p w14:paraId="4945A46A">
      <w:pPr>
        <w:pStyle w:val="12"/>
        <w:ind w:firstLine="46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10"/>
          <w14:textFill>
            <w14:solidFill>
              <w14:schemeClr w14:val="tx1"/>
            </w14:solidFill>
          </w14:textFill>
        </w:rPr>
        <w:t>通过现场查勘及查阅资料，已建成功能区内均已布设雨水排水及雨水收集利</w:t>
      </w:r>
      <w:r>
        <w:rPr>
          <w:rFonts w:ascii="Times New Roman" w:hAnsi="Times New Roman" w:eastAsia="仿宋_GB2312"/>
          <w:color w:val="000000" w:themeColor="text1"/>
          <w:spacing w:val="-4"/>
          <w14:textFill>
            <w14:solidFill>
              <w14:schemeClr w14:val="tx1"/>
            </w14:solidFill>
          </w14:textFill>
        </w:rPr>
        <w:t>用设施。</w:t>
      </w:r>
    </w:p>
    <w:p w14:paraId="4EA9EA6A">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为预防产业园雨量过大，对产业园建设造成不利影响，本报告设计在</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spacing w:val="-4"/>
          <w14:textFill>
            <w14:solidFill>
              <w14:schemeClr w14:val="tx1"/>
            </w14:solidFill>
          </w14:textFill>
        </w:rPr>
        <w:t>功能区未建成区内道路两侧或厂区中地势较低区域设置雨水排水管（沟），将收集后</w:t>
      </w:r>
      <w:r>
        <w:rPr>
          <w:rFonts w:ascii="Times New Roman" w:hAnsi="Times New Roman" w:eastAsia="仿宋_GB2312"/>
          <w:color w:val="000000" w:themeColor="text1"/>
          <w14:textFill>
            <w14:solidFill>
              <w14:schemeClr w14:val="tx1"/>
            </w14:solidFill>
          </w14:textFill>
        </w:rPr>
        <w:t>雨水通过雨水收集设施进行净化后重复利用。</w:t>
      </w:r>
    </w:p>
    <w:p w14:paraId="4C9AA23C">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（2）措施布设标准和等级</w:t>
      </w:r>
    </w:p>
    <w:p w14:paraId="2D72C8FA">
      <w:pPr>
        <w:pStyle w:val="12"/>
        <w:ind w:firstLine="48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根据《水土保持工程设计规范》（</w:t>
      </w:r>
      <w:r>
        <w:rPr>
          <w:rFonts w:ascii="Times New Roman" w:hAnsi="Times New Roman" w:eastAsia="仿宋_GB2312"/>
          <w:color w:val="000000" w:themeColor="text1"/>
          <w:spacing w:val="-1"/>
          <w14:textFill>
            <w14:solidFill>
              <w14:schemeClr w14:val="tx1"/>
            </w14:solidFill>
          </w14:textFill>
        </w:rPr>
        <w:t>G</w:t>
      </w:r>
      <w:r>
        <w:rPr>
          <w:rFonts w:ascii="Times New Roman" w:hAnsi="Times New Roman" w:eastAsia="仿宋_GB2312"/>
          <w:color w:val="000000" w:themeColor="text1"/>
          <w14:textFill>
            <w14:solidFill>
              <w14:schemeClr w14:val="tx1"/>
            </w14:solidFill>
          </w14:textFill>
        </w:rPr>
        <w:t>B51018</w:t>
      </w:r>
      <w:r>
        <w:rPr>
          <w:rFonts w:ascii="Times New Roman" w:hAnsi="Times New Roman" w:eastAsia="仿宋_GB2312"/>
          <w:color w:val="000000" w:themeColor="text1"/>
          <w:spacing w:val="1"/>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201</w:t>
      </w:r>
      <w:r>
        <w:rPr>
          <w:rFonts w:ascii="Times New Roman" w:hAnsi="Times New Roman" w:eastAsia="仿宋_GB2312"/>
          <w:color w:val="000000" w:themeColor="text1"/>
          <w:spacing w:val="4"/>
          <w14:textFill>
            <w14:solidFill>
              <w14:schemeClr w14:val="tx1"/>
            </w14:solidFill>
          </w14:textFill>
        </w:rPr>
        <w:t>4）</w:t>
      </w:r>
      <w:r>
        <w:rPr>
          <w:rFonts w:ascii="Times New Roman" w:hAnsi="Times New Roman" w:eastAsia="仿宋_GB2312"/>
          <w:color w:val="000000" w:themeColor="text1"/>
          <w:spacing w:val="1"/>
          <w14:textFill>
            <w14:solidFill>
              <w14:schemeClr w14:val="tx1"/>
            </w14:solidFill>
          </w14:textFill>
        </w:rPr>
        <w:t>的要求，并参考《防洪</w:t>
      </w:r>
      <w:r>
        <w:rPr>
          <w:rFonts w:ascii="Times New Roman" w:hAnsi="Times New Roman" w:eastAsia="仿宋_GB2312"/>
          <w:color w:val="000000" w:themeColor="text1"/>
          <w:spacing w:val="2"/>
          <w14:textFill>
            <w14:solidFill>
              <w14:schemeClr w14:val="tx1"/>
            </w14:solidFill>
          </w14:textFill>
        </w:rPr>
        <w:t>标</w:t>
      </w:r>
      <w:r>
        <w:rPr>
          <w:rFonts w:ascii="Times New Roman" w:hAnsi="Times New Roman" w:eastAsia="仿宋_GB2312"/>
          <w:color w:val="000000" w:themeColor="text1"/>
          <w:spacing w:val="4"/>
          <w14:textFill>
            <w14:solidFill>
              <w14:schemeClr w14:val="tx1"/>
            </w14:solidFill>
          </w14:textFill>
        </w:rPr>
        <w:t>准</w:t>
      </w:r>
      <w:r>
        <w:rPr>
          <w:rFonts w:ascii="Times New Roman" w:hAnsi="Times New Roman" w:eastAsia="仿宋_GB2312"/>
          <w:color w:val="000000" w:themeColor="text1"/>
          <w14:textFill>
            <w14:solidFill>
              <w14:schemeClr w14:val="tx1"/>
            </w14:solidFill>
          </w14:textFill>
        </w:rPr>
        <w:t>》</w:t>
      </w:r>
      <w:r>
        <w:rPr>
          <w:rFonts w:ascii="Times New Roman" w:hAnsi="Times New Roman" w:eastAsia="仿宋_GB2312"/>
          <w:color w:val="000000" w:themeColor="text1"/>
          <w:spacing w:val="2"/>
          <w14:textFill>
            <w14:solidFill>
              <w14:schemeClr w14:val="tx1"/>
            </w14:solidFill>
          </w14:textFill>
        </w:rPr>
        <w:t>（</w:t>
      </w:r>
      <w:r>
        <w:rPr>
          <w:rFonts w:ascii="Times New Roman" w:hAnsi="Times New Roman" w:eastAsia="仿宋_GB2312"/>
          <w:color w:val="000000" w:themeColor="text1"/>
          <w:spacing w:val="-1"/>
          <w14:textFill>
            <w14:solidFill>
              <w14:schemeClr w14:val="tx1"/>
            </w14:solidFill>
          </w14:textFill>
        </w:rPr>
        <w:t>G</w:t>
      </w:r>
      <w:r>
        <w:rPr>
          <w:rFonts w:ascii="Times New Roman" w:hAnsi="Times New Roman" w:eastAsia="仿宋_GB2312"/>
          <w:color w:val="000000" w:themeColor="text1"/>
          <w14:textFill>
            <w14:solidFill>
              <w14:schemeClr w14:val="tx1"/>
            </w14:solidFill>
          </w14:textFill>
        </w:rPr>
        <w:t>B501201</w:t>
      </w:r>
      <w:r>
        <w:rPr>
          <w:rFonts w:ascii="Times New Roman" w:hAnsi="Times New Roman" w:eastAsia="仿宋_GB2312"/>
          <w:color w:val="000000" w:themeColor="text1"/>
          <w:spacing w:val="1"/>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201</w:t>
      </w:r>
      <w:r>
        <w:rPr>
          <w:rFonts w:ascii="Times New Roman" w:hAnsi="Times New Roman" w:eastAsia="仿宋_GB2312"/>
          <w:color w:val="000000" w:themeColor="text1"/>
          <w:spacing w:val="4"/>
          <w14:textFill>
            <w14:solidFill>
              <w14:schemeClr w14:val="tx1"/>
            </w14:solidFill>
          </w14:textFill>
        </w:rPr>
        <w:t>4</w:t>
      </w:r>
      <w:r>
        <w:rPr>
          <w:rFonts w:ascii="Times New Roman" w:hAnsi="Times New Roman" w:eastAsia="仿宋_GB2312"/>
          <w:color w:val="000000" w:themeColor="text1"/>
          <w:spacing w:val="2"/>
          <w14:textFill>
            <w14:solidFill>
              <w14:schemeClr w14:val="tx1"/>
            </w14:solidFill>
          </w14:textFill>
        </w:rPr>
        <w:t>）</w:t>
      </w:r>
      <w:r>
        <w:rPr>
          <w:rFonts w:ascii="Times New Roman" w:hAnsi="Times New Roman" w:eastAsia="仿宋_GB2312"/>
          <w:color w:val="000000" w:themeColor="text1"/>
          <w:spacing w:val="14"/>
          <w14:textFill>
            <w14:solidFill>
              <w14:schemeClr w14:val="tx1"/>
            </w14:solidFill>
          </w14:textFill>
        </w:rPr>
        <w:t>结</w:t>
      </w:r>
      <w:r>
        <w:rPr>
          <w:rFonts w:ascii="Times New Roman" w:hAnsi="Times New Roman" w:eastAsia="仿宋_GB2312"/>
          <w:color w:val="000000" w:themeColor="text1"/>
          <w:spacing w:val="14"/>
          <w:position w:val="-2"/>
          <w14:textFill>
            <w14:solidFill>
              <w14:schemeClr w14:val="tx1"/>
            </w14:solidFill>
          </w14:textFill>
        </w:rPr>
        <w:t>合</w:t>
      </w:r>
      <w:r>
        <w:rPr>
          <w:rFonts w:ascii="Times New Roman" w:hAnsi="Times New Roman" w:eastAsia="仿宋_GB2312"/>
          <w:color w:val="000000" w:themeColor="text1"/>
          <w:spacing w:val="2"/>
          <w14:textFill>
            <w14:solidFill>
              <w14:schemeClr w14:val="tx1"/>
            </w14:solidFill>
          </w14:textFill>
        </w:rPr>
        <w:t>包头金山经济开发区</w:t>
      </w:r>
      <w:r>
        <w:rPr>
          <w:rFonts w:ascii="Times New Roman" w:hAnsi="Times New Roman" w:eastAsia="仿宋_GB2312"/>
          <w:color w:val="000000" w:themeColor="text1"/>
          <w:spacing w:val="-3"/>
          <w14:textFill>
            <w14:solidFill>
              <w14:schemeClr w14:val="tx1"/>
            </w14:solidFill>
          </w14:textFill>
        </w:rPr>
        <w:t>总体规划，本规划确定排水工程设计标准为</w:t>
      </w:r>
      <w:r>
        <w:rPr>
          <w:rFonts w:ascii="Times New Roman" w:hAnsi="Times New Roman" w:eastAsia="仿宋_GB2312"/>
          <w:color w:val="000000" w:themeColor="text1"/>
          <w14:textFill>
            <w14:solidFill>
              <w14:schemeClr w14:val="tx1"/>
            </w14:solidFill>
          </w14:textFill>
        </w:rPr>
        <w:t>3</w:t>
      </w:r>
      <w:r>
        <w:rPr>
          <w:rFonts w:ascii="Times New Roman" w:hAnsi="Times New Roman" w:eastAsia="仿宋_GB2312"/>
          <w:color w:val="000000" w:themeColor="text1"/>
          <w:spacing w:val="-1"/>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5</w:t>
      </w:r>
      <w:r>
        <w:rPr>
          <w:rFonts w:ascii="Times New Roman" w:hAnsi="Times New Roman" w:eastAsia="仿宋_GB2312"/>
          <w:color w:val="000000" w:themeColor="text1"/>
          <w:spacing w:val="-15"/>
          <w14:textFill>
            <w14:solidFill>
              <w14:schemeClr w14:val="tx1"/>
            </w14:solidFill>
          </w14:textFill>
        </w:rPr>
        <w:t>年一遇</w:t>
      </w:r>
      <w:r>
        <w:rPr>
          <w:rFonts w:ascii="Times New Roman" w:hAnsi="Times New Roman" w:eastAsia="仿宋_GB2312"/>
          <w:color w:val="000000" w:themeColor="text1"/>
          <w14:textFill>
            <w14:solidFill>
              <w14:schemeClr w14:val="tx1"/>
            </w14:solidFill>
          </w14:textFill>
        </w:rPr>
        <w:t>15min</w:t>
      </w:r>
      <w:r>
        <w:rPr>
          <w:rFonts w:ascii="Times New Roman" w:hAnsi="Times New Roman" w:eastAsia="仿宋_GB2312"/>
          <w:color w:val="000000" w:themeColor="text1"/>
          <w:spacing w:val="-4"/>
          <w14:textFill>
            <w14:solidFill>
              <w14:schemeClr w14:val="tx1"/>
            </w14:solidFill>
          </w14:textFill>
        </w:rPr>
        <w:t>最大暴雨。</w:t>
      </w:r>
      <w:r>
        <w:rPr>
          <w:rFonts w:ascii="Times New Roman" w:hAnsi="Times New Roman" w:eastAsia="仿宋_GB2312"/>
          <w:color w:val="000000" w:themeColor="text1"/>
          <w:spacing w:val="-7"/>
          <w14:textFill>
            <w14:solidFill>
              <w14:schemeClr w14:val="tx1"/>
            </w14:solidFill>
          </w14:textFill>
        </w:rPr>
        <w:t>通过调查，建议产业园采用主管径为</w:t>
      </w:r>
      <w:r>
        <w:rPr>
          <w:rFonts w:ascii="Times New Roman" w:hAnsi="Times New Roman" w:eastAsia="仿宋_GB2312"/>
          <w:color w:val="000000" w:themeColor="text1"/>
          <w:spacing w:val="-1"/>
          <w14:textFill>
            <w14:solidFill>
              <w14:schemeClr w14:val="tx1"/>
            </w14:solidFill>
          </w14:textFill>
        </w:rPr>
        <w:t>DN</w:t>
      </w:r>
      <w:r>
        <w:rPr>
          <w:rFonts w:ascii="Times New Roman" w:hAnsi="Times New Roman" w:eastAsia="仿宋_GB2312"/>
          <w:color w:val="000000" w:themeColor="text1"/>
          <w14:textFill>
            <w14:solidFill>
              <w14:schemeClr w14:val="tx1"/>
            </w14:solidFill>
          </w14:textFill>
        </w:rPr>
        <w:t>160</w:t>
      </w:r>
      <w:r>
        <w:rPr>
          <w:rFonts w:ascii="Times New Roman" w:hAnsi="Times New Roman" w:eastAsia="仿宋_GB2312"/>
          <w:color w:val="000000" w:themeColor="text1"/>
          <w:spacing w:val="2"/>
          <w14:textFill>
            <w14:solidFill>
              <w14:schemeClr w14:val="tx1"/>
            </w14:solidFill>
          </w14:textFill>
        </w:rPr>
        <w:t>0</w:t>
      </w:r>
      <w:r>
        <w:rPr>
          <w:rFonts w:ascii="Times New Roman" w:hAnsi="Times New Roman" w:eastAsia="仿宋_GB2312"/>
          <w:color w:val="000000" w:themeColor="text1"/>
          <w:spacing w:val="-1"/>
          <w14:textFill>
            <w14:solidFill>
              <w14:schemeClr w14:val="tx1"/>
            </w14:solidFill>
          </w14:textFill>
        </w:rPr>
        <w:t>⁓DN</w:t>
      </w:r>
      <w:r>
        <w:rPr>
          <w:rFonts w:ascii="Times New Roman" w:hAnsi="Times New Roman" w:eastAsia="仿宋_GB2312"/>
          <w:color w:val="000000" w:themeColor="text1"/>
          <w14:textFill>
            <w14:solidFill>
              <w14:schemeClr w14:val="tx1"/>
            </w14:solidFill>
          </w14:textFill>
        </w:rPr>
        <w:t>300mm</w:t>
      </w:r>
      <w:r>
        <w:rPr>
          <w:rFonts w:ascii="Times New Roman" w:hAnsi="Times New Roman" w:eastAsia="仿宋_GB2312"/>
          <w:color w:val="000000" w:themeColor="text1"/>
          <w:spacing w:val="-3"/>
          <w14:textFill>
            <w14:solidFill>
              <w14:schemeClr w14:val="tx1"/>
            </w14:solidFill>
          </w14:textFill>
        </w:rPr>
        <w:t>，雨水管道采用双</w:t>
      </w:r>
      <w:r>
        <w:rPr>
          <w:rFonts w:ascii="Times New Roman" w:hAnsi="Times New Roman" w:eastAsia="仿宋_GB2312"/>
          <w:color w:val="000000" w:themeColor="text1"/>
          <w14:textFill>
            <w14:solidFill>
              <w14:schemeClr w14:val="tx1"/>
            </w14:solidFill>
          </w14:textFill>
        </w:rPr>
        <w:t>壁波纹管(UPVC)，其余功能区内由于厂区功能分区、高差、坡度等因素不一致，采取的排水措施不尽相同，采用较多的排水措施有排水暗沟、排水暗管等，未入驻企业可根据实际情况设置适</w:t>
      </w:r>
      <w:r>
        <w:rPr>
          <w:rFonts w:ascii="Times New Roman" w:hAnsi="Times New Roman" w:eastAsia="仿宋_GB2312"/>
          <w:color w:val="000000" w:themeColor="text1"/>
          <w:spacing w:val="10"/>
          <w:position w:val="-2"/>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的排水措施。</w:t>
      </w:r>
    </w:p>
    <w:p w14:paraId="4D61583A">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position w:val="-2"/>
          <w14:textFill>
            <w14:solidFill>
              <w14:schemeClr w14:val="tx1"/>
            </w14:solidFill>
          </w14:textFill>
        </w:rPr>
        <w:t>各</w:t>
      </w:r>
      <w:r>
        <w:rPr>
          <w:rFonts w:ascii="Times New Roman" w:hAnsi="Times New Roman" w:eastAsia="仿宋_GB2312"/>
          <w:color w:val="000000" w:themeColor="text1"/>
          <w:spacing w:val="-3"/>
          <w14:textFill>
            <w14:solidFill>
              <w14:schemeClr w14:val="tx1"/>
            </w14:solidFill>
          </w14:textFill>
        </w:rPr>
        <w:t>功能区排水措施布设位置、标准及等级情况详见表</w:t>
      </w:r>
      <w:r>
        <w:rPr>
          <w:rFonts w:ascii="Times New Roman" w:hAnsi="Times New Roman" w:eastAsia="仿宋_GB2312"/>
          <w:color w:val="000000" w:themeColor="text1"/>
          <w14:textFill>
            <w14:solidFill>
              <w14:schemeClr w14:val="tx1"/>
            </w14:solidFill>
          </w14:textFill>
        </w:rPr>
        <w:t>5-10</w:t>
      </w:r>
      <w:r>
        <w:rPr>
          <w:rFonts w:ascii="Times New Roman" w:hAnsi="Times New Roman" w:eastAsia="仿宋_GB2312"/>
          <w:color w:val="000000" w:themeColor="text1"/>
          <w:spacing w:val="-10"/>
          <w14:textFill>
            <w14:solidFill>
              <w14:schemeClr w14:val="tx1"/>
            </w14:solidFill>
          </w14:textFill>
        </w:rPr>
        <w:t>。</w:t>
      </w:r>
    </w:p>
    <w:p w14:paraId="7CF1D390">
      <w:pPr>
        <w:spacing w:line="240" w:lineRule="auto"/>
        <w:ind w:firstLine="0" w:firstLineChars="0"/>
        <w:jc w:val="left"/>
        <w:rPr>
          <w:rFonts w:eastAsia="宋体" w:cs="仿宋"/>
          <w:b/>
          <w:color w:val="000000" w:themeColor="text1"/>
          <w:spacing w:val="4"/>
          <w:szCs w:val="18"/>
          <w14:textFill>
            <w14:solidFill>
              <w14:schemeClr w14:val="tx1"/>
            </w14:solidFill>
          </w14:textFill>
        </w:rPr>
      </w:pPr>
      <w:r>
        <w:rPr>
          <w:color w:val="000000" w:themeColor="text1"/>
          <w14:textFill>
            <w14:solidFill>
              <w14:schemeClr w14:val="tx1"/>
            </w14:solidFill>
          </w14:textFill>
        </w:rPr>
        <w:br w:type="page"/>
      </w:r>
    </w:p>
    <w:p w14:paraId="24E650E8">
      <w:pPr>
        <w:pStyle w:val="44"/>
        <w:rPr>
          <w:color w:val="000000" w:themeColor="text1"/>
          <w:spacing w:val="-10"/>
          <w:lang w:eastAsia="zh-CN"/>
          <w14:textFill>
            <w14:solidFill>
              <w14:schemeClr w14:val="tx1"/>
            </w14:solidFill>
          </w14:textFill>
        </w:rPr>
      </w:pPr>
      <w:r>
        <w:rPr>
          <w:color w:val="000000" w:themeColor="text1"/>
          <w:lang w:eastAsia="zh-CN"/>
          <w14:textFill>
            <w14:solidFill>
              <w14:schemeClr w14:val="tx1"/>
            </w14:solidFill>
          </w14:textFill>
        </w:rPr>
        <w:t>表5-</w:t>
      </w:r>
      <w:r>
        <w:rPr>
          <w:color w:val="000000" w:themeColor="text1"/>
          <w:spacing w:val="-5"/>
          <w:lang w:eastAsia="zh-CN"/>
          <w14:textFill>
            <w14:solidFill>
              <w14:schemeClr w14:val="tx1"/>
            </w14:solidFill>
          </w14:textFill>
        </w:rPr>
        <w:t>10</w:t>
      </w:r>
      <w:r>
        <w:rPr>
          <w:color w:val="000000" w:themeColor="text1"/>
          <w:lang w:eastAsia="zh-CN"/>
          <w14:textFill>
            <w14:solidFill>
              <w14:schemeClr w14:val="tx1"/>
            </w14:solidFill>
          </w14:textFill>
        </w:rPr>
        <w:t xml:space="preserve">                     排水措施布设位置、标准及等级汇总</w:t>
      </w:r>
      <w:r>
        <w:rPr>
          <w:color w:val="000000" w:themeColor="text1"/>
          <w:spacing w:val="-10"/>
          <w:lang w:eastAsia="zh-CN"/>
          <w14:textFill>
            <w14:solidFill>
              <w14:schemeClr w14:val="tx1"/>
            </w14:solidFill>
          </w14:textFill>
        </w:rPr>
        <w:t>表</w:t>
      </w:r>
    </w:p>
    <w:tbl>
      <w:tblPr>
        <w:tblStyle w:val="27"/>
        <w:tblW w:w="0" w:type="auto"/>
        <w:tblInd w:w="0" w:type="dxa"/>
        <w:tblLayout w:type="autofit"/>
        <w:tblCellMar>
          <w:top w:w="0" w:type="dxa"/>
          <w:left w:w="108" w:type="dxa"/>
          <w:bottom w:w="0" w:type="dxa"/>
          <w:right w:w="108" w:type="dxa"/>
        </w:tblCellMar>
      </w:tblPr>
      <w:tblGrid>
        <w:gridCol w:w="988"/>
        <w:gridCol w:w="1134"/>
        <w:gridCol w:w="1417"/>
        <w:gridCol w:w="992"/>
        <w:gridCol w:w="1985"/>
        <w:gridCol w:w="2544"/>
      </w:tblGrid>
      <w:tr w14:paraId="6305CB2E">
        <w:tblPrEx>
          <w:tblCellMar>
            <w:top w:w="0" w:type="dxa"/>
            <w:left w:w="108" w:type="dxa"/>
            <w:bottom w:w="0" w:type="dxa"/>
            <w:right w:w="108" w:type="dxa"/>
          </w:tblCellMar>
        </w:tblPrEx>
        <w:trPr>
          <w:trHeight w:val="397" w:hRule="atLeast"/>
        </w:trPr>
        <w:tc>
          <w:tcPr>
            <w:tcW w:w="988" w:type="dxa"/>
            <w:tcBorders>
              <w:top w:val="single" w:color="auto" w:sz="4" w:space="0"/>
              <w:left w:val="single" w:color="auto" w:sz="4" w:space="0"/>
              <w:bottom w:val="double" w:color="auto" w:sz="4" w:space="0"/>
              <w:right w:val="single" w:color="auto" w:sz="4" w:space="0"/>
            </w:tcBorders>
            <w:shd w:val="clear" w:color="auto" w:fill="auto"/>
            <w:vAlign w:val="center"/>
          </w:tcPr>
          <w:p w14:paraId="16FE3CB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措施类型</w:t>
            </w:r>
          </w:p>
        </w:tc>
        <w:tc>
          <w:tcPr>
            <w:tcW w:w="1134" w:type="dxa"/>
            <w:tcBorders>
              <w:top w:val="single" w:color="auto" w:sz="4" w:space="0"/>
              <w:left w:val="nil"/>
              <w:bottom w:val="double" w:color="auto" w:sz="4" w:space="0"/>
              <w:right w:val="single" w:color="auto" w:sz="4" w:space="0"/>
            </w:tcBorders>
            <w:shd w:val="clear" w:color="auto" w:fill="auto"/>
            <w:vAlign w:val="center"/>
          </w:tcPr>
          <w:p w14:paraId="355B329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措施名称</w:t>
            </w:r>
          </w:p>
        </w:tc>
        <w:tc>
          <w:tcPr>
            <w:tcW w:w="2409" w:type="dxa"/>
            <w:gridSpan w:val="2"/>
            <w:tcBorders>
              <w:top w:val="single" w:color="auto" w:sz="4" w:space="0"/>
              <w:left w:val="nil"/>
              <w:bottom w:val="double" w:color="auto" w:sz="4" w:space="0"/>
              <w:right w:val="single" w:color="auto" w:sz="4" w:space="0"/>
            </w:tcBorders>
            <w:shd w:val="clear" w:color="auto" w:fill="auto"/>
            <w:vAlign w:val="center"/>
          </w:tcPr>
          <w:p w14:paraId="23DD1A6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功能区</w:t>
            </w:r>
          </w:p>
        </w:tc>
        <w:tc>
          <w:tcPr>
            <w:tcW w:w="1985" w:type="dxa"/>
            <w:tcBorders>
              <w:top w:val="single" w:color="auto" w:sz="4" w:space="0"/>
              <w:left w:val="nil"/>
              <w:bottom w:val="double" w:color="auto" w:sz="4" w:space="0"/>
              <w:right w:val="single" w:color="auto" w:sz="4" w:space="0"/>
            </w:tcBorders>
            <w:shd w:val="clear" w:color="auto" w:fill="auto"/>
            <w:vAlign w:val="center"/>
          </w:tcPr>
          <w:p w14:paraId="6A5F7B8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布设位置</w:t>
            </w:r>
          </w:p>
        </w:tc>
        <w:tc>
          <w:tcPr>
            <w:tcW w:w="2544" w:type="dxa"/>
            <w:tcBorders>
              <w:top w:val="single" w:color="auto" w:sz="4" w:space="0"/>
              <w:left w:val="nil"/>
              <w:bottom w:val="double" w:color="auto" w:sz="4" w:space="0"/>
              <w:right w:val="single" w:color="auto" w:sz="4" w:space="0"/>
            </w:tcBorders>
            <w:shd w:val="clear" w:color="auto" w:fill="auto"/>
            <w:vAlign w:val="center"/>
          </w:tcPr>
          <w:p w14:paraId="036014F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等级及标准</w:t>
            </w:r>
          </w:p>
        </w:tc>
      </w:tr>
      <w:tr w14:paraId="2FA2B045">
        <w:tblPrEx>
          <w:tblCellMar>
            <w:top w:w="0" w:type="dxa"/>
            <w:left w:w="108" w:type="dxa"/>
            <w:bottom w:w="0" w:type="dxa"/>
            <w:right w:w="108" w:type="dxa"/>
          </w:tblCellMar>
        </w:tblPrEx>
        <w:trPr>
          <w:trHeight w:val="397" w:hRule="atLeast"/>
        </w:trPr>
        <w:tc>
          <w:tcPr>
            <w:tcW w:w="988"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78CB48A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截排水</w:t>
            </w:r>
          </w:p>
        </w:tc>
        <w:tc>
          <w:tcPr>
            <w:tcW w:w="1134"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3A675DC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雨水排水管（沟）</w:t>
            </w:r>
          </w:p>
        </w:tc>
        <w:tc>
          <w:tcPr>
            <w:tcW w:w="1417"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0C45C02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992" w:type="dxa"/>
            <w:tcBorders>
              <w:top w:val="double" w:color="auto" w:sz="4" w:space="0"/>
              <w:left w:val="nil"/>
              <w:bottom w:val="single" w:color="auto" w:sz="4" w:space="0"/>
              <w:right w:val="single" w:color="auto" w:sz="4" w:space="0"/>
            </w:tcBorders>
            <w:shd w:val="clear" w:color="auto" w:fill="auto"/>
            <w:vAlign w:val="center"/>
          </w:tcPr>
          <w:p w14:paraId="4B8C10F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1985" w:type="dxa"/>
            <w:tcBorders>
              <w:top w:val="double" w:color="auto" w:sz="4" w:space="0"/>
              <w:left w:val="nil"/>
              <w:bottom w:val="single" w:color="auto" w:sz="4" w:space="0"/>
              <w:right w:val="single" w:color="auto" w:sz="4" w:space="0"/>
            </w:tcBorders>
            <w:shd w:val="clear" w:color="auto" w:fill="auto"/>
            <w:vAlign w:val="center"/>
          </w:tcPr>
          <w:p w14:paraId="69B391D4">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布设于道路两侧或汇水区域的下游</w:t>
            </w:r>
          </w:p>
        </w:tc>
        <w:tc>
          <w:tcPr>
            <w:tcW w:w="2544"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726D2A22">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根据《水土保持工程设计规范》（GB51018-2014）的要求，并参考《防洪标准》（GB501201-2014），本规划确定排水工程设计标准为3-5年一遇短历时暴雨。</w:t>
            </w:r>
          </w:p>
        </w:tc>
      </w:tr>
      <w:tr w14:paraId="52EB86D1">
        <w:tblPrEx>
          <w:tblCellMar>
            <w:top w:w="0" w:type="dxa"/>
            <w:left w:w="108" w:type="dxa"/>
            <w:bottom w:w="0" w:type="dxa"/>
            <w:right w:w="108" w:type="dxa"/>
          </w:tblCellMar>
        </w:tblPrEx>
        <w:trPr>
          <w:trHeight w:val="397" w:hRule="atLeast"/>
        </w:trPr>
        <w:tc>
          <w:tcPr>
            <w:tcW w:w="988" w:type="dxa"/>
            <w:vMerge w:val="continue"/>
            <w:tcBorders>
              <w:top w:val="nil"/>
              <w:left w:val="single" w:color="auto" w:sz="4" w:space="0"/>
              <w:bottom w:val="single" w:color="auto" w:sz="4" w:space="0"/>
              <w:right w:val="single" w:color="auto" w:sz="4" w:space="0"/>
            </w:tcBorders>
            <w:vAlign w:val="center"/>
          </w:tcPr>
          <w:p w14:paraId="61DE8F2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vMerge w:val="continue"/>
            <w:tcBorders>
              <w:top w:val="nil"/>
              <w:left w:val="single" w:color="auto" w:sz="4" w:space="0"/>
              <w:bottom w:val="single" w:color="auto" w:sz="4" w:space="0"/>
              <w:right w:val="single" w:color="auto" w:sz="4" w:space="0"/>
            </w:tcBorders>
            <w:vAlign w:val="center"/>
          </w:tcPr>
          <w:p w14:paraId="7BE929E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53A7732D">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992" w:type="dxa"/>
            <w:tcBorders>
              <w:top w:val="nil"/>
              <w:left w:val="nil"/>
              <w:bottom w:val="single" w:color="auto" w:sz="4" w:space="0"/>
              <w:right w:val="single" w:color="auto" w:sz="4" w:space="0"/>
            </w:tcBorders>
            <w:shd w:val="clear" w:color="auto" w:fill="auto"/>
            <w:vAlign w:val="center"/>
          </w:tcPr>
          <w:p w14:paraId="1AEF164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未建成</w:t>
            </w:r>
          </w:p>
        </w:tc>
        <w:tc>
          <w:tcPr>
            <w:tcW w:w="1985" w:type="dxa"/>
            <w:tcBorders>
              <w:top w:val="nil"/>
              <w:left w:val="nil"/>
              <w:bottom w:val="single" w:color="auto" w:sz="4" w:space="0"/>
              <w:right w:val="single" w:color="auto" w:sz="4" w:space="0"/>
            </w:tcBorders>
            <w:shd w:val="clear" w:color="auto" w:fill="auto"/>
            <w:vAlign w:val="center"/>
          </w:tcPr>
          <w:p w14:paraId="2FEEB76A">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布设于道路两侧或汇水区域的下游</w:t>
            </w:r>
          </w:p>
        </w:tc>
        <w:tc>
          <w:tcPr>
            <w:tcW w:w="2544" w:type="dxa"/>
            <w:vMerge w:val="continue"/>
            <w:tcBorders>
              <w:top w:val="nil"/>
              <w:left w:val="single" w:color="auto" w:sz="4" w:space="0"/>
              <w:bottom w:val="single" w:color="auto" w:sz="4" w:space="0"/>
              <w:right w:val="single" w:color="auto" w:sz="4" w:space="0"/>
            </w:tcBorders>
            <w:vAlign w:val="center"/>
          </w:tcPr>
          <w:p w14:paraId="03737189">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36081E3D">
        <w:tblPrEx>
          <w:tblCellMar>
            <w:top w:w="0" w:type="dxa"/>
            <w:left w:w="108" w:type="dxa"/>
            <w:bottom w:w="0" w:type="dxa"/>
            <w:right w:w="108" w:type="dxa"/>
          </w:tblCellMar>
        </w:tblPrEx>
        <w:trPr>
          <w:trHeight w:val="397" w:hRule="atLeast"/>
        </w:trPr>
        <w:tc>
          <w:tcPr>
            <w:tcW w:w="988" w:type="dxa"/>
            <w:vMerge w:val="continue"/>
            <w:tcBorders>
              <w:top w:val="nil"/>
              <w:left w:val="single" w:color="auto" w:sz="4" w:space="0"/>
              <w:bottom w:val="single" w:color="auto" w:sz="4" w:space="0"/>
              <w:right w:val="single" w:color="auto" w:sz="4" w:space="0"/>
            </w:tcBorders>
            <w:vAlign w:val="center"/>
          </w:tcPr>
          <w:p w14:paraId="2664C40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34" w:type="dxa"/>
            <w:vMerge w:val="continue"/>
            <w:tcBorders>
              <w:top w:val="nil"/>
              <w:left w:val="single" w:color="auto" w:sz="4" w:space="0"/>
              <w:bottom w:val="single" w:color="auto" w:sz="4" w:space="0"/>
              <w:right w:val="single" w:color="auto" w:sz="4" w:space="0"/>
            </w:tcBorders>
            <w:vAlign w:val="center"/>
          </w:tcPr>
          <w:p w14:paraId="0EC805B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417" w:type="dxa"/>
            <w:tcBorders>
              <w:top w:val="nil"/>
              <w:left w:val="single" w:color="auto" w:sz="4" w:space="0"/>
              <w:bottom w:val="single" w:color="auto" w:sz="4" w:space="0"/>
              <w:right w:val="single" w:color="auto" w:sz="4" w:space="0"/>
            </w:tcBorders>
            <w:shd w:val="clear" w:color="auto" w:fill="auto"/>
            <w:vAlign w:val="center"/>
          </w:tcPr>
          <w:p w14:paraId="2370D10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992" w:type="dxa"/>
            <w:tcBorders>
              <w:top w:val="nil"/>
              <w:left w:val="nil"/>
              <w:bottom w:val="single" w:color="auto" w:sz="4" w:space="0"/>
              <w:right w:val="single" w:color="auto" w:sz="4" w:space="0"/>
            </w:tcBorders>
            <w:shd w:val="clear" w:color="auto" w:fill="auto"/>
            <w:vAlign w:val="center"/>
          </w:tcPr>
          <w:p w14:paraId="3251C74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1985" w:type="dxa"/>
            <w:tcBorders>
              <w:top w:val="nil"/>
              <w:left w:val="nil"/>
              <w:bottom w:val="single" w:color="auto" w:sz="4" w:space="0"/>
              <w:right w:val="single" w:color="auto" w:sz="4" w:space="0"/>
            </w:tcBorders>
            <w:shd w:val="clear" w:color="auto" w:fill="auto"/>
            <w:vAlign w:val="center"/>
          </w:tcPr>
          <w:p w14:paraId="06D71431">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布设于道路两侧或汇水区域的下游</w:t>
            </w:r>
          </w:p>
        </w:tc>
        <w:tc>
          <w:tcPr>
            <w:tcW w:w="2544" w:type="dxa"/>
            <w:vMerge w:val="continue"/>
            <w:tcBorders>
              <w:top w:val="nil"/>
              <w:left w:val="single" w:color="auto" w:sz="4" w:space="0"/>
              <w:bottom w:val="single" w:color="auto" w:sz="4" w:space="0"/>
              <w:right w:val="single" w:color="auto" w:sz="4" w:space="0"/>
            </w:tcBorders>
            <w:vAlign w:val="center"/>
          </w:tcPr>
          <w:p w14:paraId="10DE03C5">
            <w:pPr>
              <w:spacing w:line="240" w:lineRule="auto"/>
              <w:ind w:firstLine="0" w:firstLineChars="0"/>
              <w:jc w:val="center"/>
              <w:rPr>
                <w:rFonts w:cs="Times New Roman"/>
                <w:color w:val="000000" w:themeColor="text1"/>
                <w:sz w:val="21"/>
                <w:szCs w:val="21"/>
                <w14:textFill>
                  <w14:solidFill>
                    <w14:schemeClr w14:val="tx1"/>
                  </w14:solidFill>
                </w14:textFill>
              </w:rPr>
            </w:pPr>
          </w:p>
        </w:tc>
      </w:tr>
    </w:tbl>
    <w:p w14:paraId="2712EF0A">
      <w:pPr>
        <w:ind w:firstLine="482"/>
        <w:rPr>
          <w:b/>
          <w:bCs/>
        </w:rPr>
      </w:pPr>
      <w:bookmarkStart w:id="452" w:name="_Hlk153196832"/>
    </w:p>
    <w:p w14:paraId="3BEE2B0B">
      <w:pPr>
        <w:ind w:firstLine="482"/>
        <w:rPr>
          <w:b/>
          <w:bCs/>
        </w:rPr>
      </w:pPr>
      <w:r>
        <w:rPr>
          <w:rFonts w:hint="eastAsia"/>
          <w:b/>
          <w:bCs/>
        </w:rPr>
        <w:t>5</w:t>
      </w:r>
      <w:r>
        <w:rPr>
          <w:b/>
          <w:bCs/>
        </w:rPr>
        <w:t>.降水蓄渗措施</w:t>
      </w:r>
    </w:p>
    <w:bookmarkEnd w:id="452"/>
    <w:p w14:paraId="2B26ACF9">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（一）透水（植草）</w:t>
      </w:r>
      <w:r>
        <w:rPr>
          <w:rFonts w:ascii="Times New Roman" w:hAnsi="Times New Roman" w:eastAsia="仿宋_GB2312"/>
          <w:color w:val="000000" w:themeColor="text1"/>
          <w:spacing w:val="-4"/>
          <w14:textFill>
            <w14:solidFill>
              <w14:schemeClr w14:val="tx1"/>
            </w14:solidFill>
          </w14:textFill>
        </w:rPr>
        <w:t>砖铺设</w:t>
      </w:r>
    </w:p>
    <w:p w14:paraId="1E7BBFBE">
      <w:pPr>
        <w:pStyle w:val="12"/>
        <w:ind w:firstLine="474"/>
        <w:rPr>
          <w:rFonts w:ascii="Times New Roman" w:hAnsi="Times New Roman" w:eastAsia="仿宋_GB2312"/>
          <w:bCs/>
          <w:color w:val="000000" w:themeColor="text1"/>
          <w14:textFill>
            <w14:solidFill>
              <w14:schemeClr w14:val="tx1"/>
            </w14:solidFill>
          </w14:textFill>
        </w:rPr>
      </w:pPr>
      <w:r>
        <w:rPr>
          <w:rFonts w:ascii="Times New Roman" w:hAnsi="Times New Roman" w:eastAsia="仿宋_GB2312"/>
          <w:bCs/>
          <w:color w:val="000000" w:themeColor="text1"/>
          <w:spacing w:val="-3"/>
          <w14:textFill>
            <w14:solidFill>
              <w14:schemeClr w14:val="tx1"/>
            </w14:solidFill>
          </w14:textFill>
        </w:rPr>
        <w:t>（1）措施位置</w:t>
      </w:r>
    </w:p>
    <w:p w14:paraId="1FD67516">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透水（植草）砖是一种绿色环保新型建材，耐磨性好、透水性好、防滑功能强。天然降雨能够迅速透过地表，适时补充地下水；透水透气性好，发挥土壤调节城市温度和湿度的优势，维护城市地表生态平衡；雨天路面无积水，改善车辆</w:t>
      </w:r>
      <w:r>
        <w:rPr>
          <w:rFonts w:ascii="Times New Roman" w:hAnsi="Times New Roman" w:eastAsia="仿宋_GB2312"/>
          <w:color w:val="000000" w:themeColor="text1"/>
          <w14:textFill>
            <w14:solidFill>
              <w14:schemeClr w14:val="tx1"/>
            </w14:solidFill>
          </w14:textFill>
        </w:rPr>
        <w:t>行驶和行人的安全性和舒适性。</w:t>
      </w:r>
    </w:p>
    <w:p w14:paraId="57BBA6F5">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通过现场查勘及收集资料，透水（植草）砖被广泛应用于本产业园已建成的各</w:t>
      </w:r>
      <w:r>
        <w:rPr>
          <w:rFonts w:ascii="Times New Roman" w:hAnsi="Times New Roman" w:eastAsia="仿宋_GB2312"/>
          <w:color w:val="000000" w:themeColor="text1"/>
          <w14:textFill>
            <w14:solidFill>
              <w14:schemeClr w14:val="tx1"/>
            </w14:solidFill>
          </w14:textFill>
        </w:rPr>
        <w:t>功能区中</w:t>
      </w:r>
      <w:r>
        <w:rPr>
          <w:rFonts w:ascii="Times New Roman" w:hAnsi="Times New Roman" w:eastAsia="仿宋_GB2312"/>
          <w:color w:val="000000" w:themeColor="text1"/>
          <w:spacing w:val="-87"/>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主要布设位置为</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14:textFill>
            <w14:solidFill>
              <w14:schemeClr w14:val="tx1"/>
            </w14:solidFill>
          </w14:textFill>
        </w:rPr>
        <w:t>功能区的步行道</w:t>
      </w:r>
      <w:r>
        <w:rPr>
          <w:rFonts w:ascii="Times New Roman" w:hAnsi="Times New Roman" w:eastAsia="仿宋_GB2312"/>
          <w:color w:val="000000" w:themeColor="text1"/>
          <w:spacing w:val="-84"/>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停车场等区域</w:t>
      </w:r>
      <w:r>
        <w:rPr>
          <w:rFonts w:ascii="Times New Roman" w:hAnsi="Times New Roman" w:eastAsia="仿宋_GB2312"/>
          <w:color w:val="000000" w:themeColor="text1"/>
          <w:spacing w:val="-87"/>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考虑到透</w:t>
      </w:r>
      <w:r>
        <w:rPr>
          <w:rFonts w:ascii="Times New Roman" w:hAnsi="Times New Roman" w:eastAsia="仿宋_GB2312"/>
          <w:color w:val="000000" w:themeColor="text1"/>
          <w:spacing w:val="-72"/>
          <w14:textFill>
            <w14:solidFill>
              <w14:schemeClr w14:val="tx1"/>
            </w14:solidFill>
          </w14:textFill>
        </w:rPr>
        <w:t>水</w:t>
      </w:r>
      <w:r>
        <w:rPr>
          <w:rFonts w:ascii="Times New Roman" w:hAnsi="Times New Roman" w:eastAsia="仿宋_GB2312"/>
          <w:color w:val="000000" w:themeColor="text1"/>
          <w14:textFill>
            <w14:solidFill>
              <w14:schemeClr w14:val="tx1"/>
            </w14:solidFill>
          </w14:textFill>
        </w:rPr>
        <w:t>（植</w:t>
      </w:r>
      <w:r>
        <w:rPr>
          <w:rFonts w:ascii="Times New Roman" w:hAnsi="Times New Roman" w:eastAsia="仿宋_GB2312"/>
          <w:color w:val="000000" w:themeColor="text1"/>
          <w:spacing w:val="-4"/>
          <w14:textFill>
            <w14:solidFill>
              <w14:schemeClr w14:val="tx1"/>
            </w14:solidFill>
          </w14:textFill>
        </w:rPr>
        <w:t>草）砖可以有效的控制降雨及地表径流对原地表的溅蚀、冲刷的作用，产业园未建成区的</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spacing w:val="-4"/>
          <w14:textFill>
            <w14:solidFill>
              <w14:schemeClr w14:val="tx1"/>
            </w14:solidFill>
          </w14:textFill>
        </w:rPr>
        <w:t>功能区在场地平整后，在步行道、停车场等区域铺筑透水（植草）砖</w:t>
      </w:r>
      <w:r>
        <w:rPr>
          <w:rFonts w:ascii="Times New Roman" w:hAnsi="Times New Roman" w:eastAsia="仿宋_GB2312"/>
          <w:color w:val="000000" w:themeColor="text1"/>
          <w14:textFill>
            <w14:solidFill>
              <w14:schemeClr w14:val="tx1"/>
            </w14:solidFill>
          </w14:textFill>
        </w:rPr>
        <w:t>或植草砖。</w:t>
      </w:r>
    </w:p>
    <w:p w14:paraId="01FA05B3">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（2）措施布设技术要求</w:t>
      </w:r>
    </w:p>
    <w:p w14:paraId="0105983F">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透水（植草）砖在铺装前，需润湿，但表面不得有水分。细石混凝土摊铺的</w:t>
      </w:r>
      <w:r>
        <w:rPr>
          <w:rFonts w:ascii="Times New Roman" w:hAnsi="Times New Roman" w:eastAsia="仿宋_GB2312"/>
          <w:color w:val="000000" w:themeColor="text1"/>
          <w14:textFill>
            <w14:solidFill>
              <w14:schemeClr w14:val="tx1"/>
            </w14:solidFill>
          </w14:textFill>
        </w:rPr>
        <w:t>虚铺厚度比设计要求高0.5～1cm，由于细石混凝土的粘结性有限（浆液少），</w:t>
      </w:r>
      <w:r>
        <w:rPr>
          <w:rFonts w:ascii="Times New Roman" w:hAnsi="Times New Roman" w:eastAsia="仿宋_GB2312"/>
          <w:color w:val="000000" w:themeColor="text1"/>
          <w:spacing w:val="-4"/>
          <w14:textFill>
            <w14:solidFill>
              <w14:schemeClr w14:val="tx1"/>
            </w14:solidFill>
          </w14:textFill>
        </w:rPr>
        <w:t>在细石混凝土摊铺后，透水（植草）</w:t>
      </w:r>
      <w:r>
        <w:rPr>
          <w:rFonts w:ascii="Times New Roman" w:hAnsi="Times New Roman" w:eastAsia="仿宋_GB2312"/>
          <w:color w:val="000000" w:themeColor="text1"/>
          <w:spacing w:val="-7"/>
          <w14:textFill>
            <w14:solidFill>
              <w14:schemeClr w14:val="tx1"/>
            </w14:solidFill>
          </w14:textFill>
        </w:rPr>
        <w:t>砖底部蘸水灰比为</w:t>
      </w:r>
      <w:r>
        <w:rPr>
          <w:rFonts w:ascii="Times New Roman" w:hAnsi="Times New Roman" w:eastAsia="仿宋_GB2312"/>
          <w:color w:val="000000" w:themeColor="text1"/>
          <w:spacing w:val="-4"/>
          <w14:textFill>
            <w14:solidFill>
              <w14:schemeClr w14:val="tx1"/>
            </w14:solidFill>
          </w14:textFill>
        </w:rPr>
        <w:t>0.4～0.5的水泥浆，在透</w:t>
      </w:r>
      <w:r>
        <w:rPr>
          <w:rFonts w:ascii="Times New Roman" w:hAnsi="Times New Roman" w:eastAsia="仿宋_GB2312"/>
          <w:color w:val="000000" w:themeColor="text1"/>
          <w14:textFill>
            <w14:solidFill>
              <w14:schemeClr w14:val="tx1"/>
            </w14:solidFill>
          </w14:textFill>
        </w:rPr>
        <w:t>水（植草）</w:t>
      </w:r>
      <w:r>
        <w:rPr>
          <w:rFonts w:ascii="Times New Roman" w:hAnsi="Times New Roman" w:eastAsia="仿宋_GB2312"/>
          <w:color w:val="000000" w:themeColor="text1"/>
          <w:spacing w:val="-5"/>
          <w14:textFill>
            <w14:solidFill>
              <w14:schemeClr w14:val="tx1"/>
            </w14:solidFill>
          </w14:textFill>
        </w:rPr>
        <w:t>砖的两侧缝位置，插上</w:t>
      </w:r>
      <w:r>
        <w:rPr>
          <w:rFonts w:ascii="Times New Roman" w:hAnsi="Times New Roman" w:eastAsia="仿宋_GB2312"/>
          <w:color w:val="000000" w:themeColor="text1"/>
          <w14:textFill>
            <w14:solidFill>
              <w14:schemeClr w14:val="tx1"/>
            </w14:solidFill>
          </w14:textFill>
        </w:rPr>
        <w:t>5mm</w:t>
      </w:r>
      <w:r>
        <w:rPr>
          <w:rFonts w:ascii="Times New Roman" w:hAnsi="Times New Roman" w:eastAsia="仿宋_GB2312"/>
          <w:color w:val="000000" w:themeColor="text1"/>
          <w:spacing w:val="-1"/>
          <w14:textFill>
            <w14:solidFill>
              <w14:schemeClr w14:val="tx1"/>
            </w14:solidFill>
          </w14:textFill>
        </w:rPr>
        <w:t>的塑料卡，直接用橡皮锤轻轻锤击透水</w:t>
      </w:r>
    </w:p>
    <w:p w14:paraId="4FB3ED97">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植草）砖，使其两角与砖缝对齐，面层与挂线平。铺设时在方格网已定好的四角挂线，并每米一道，铺设方格网四周的透水（植草）砖。四周透水（植草）砖铺设后，以透水（植草）砖的横向为铺设放线，每米一道线，挂在纵向透水（植</w:t>
      </w:r>
      <w:r>
        <w:rPr>
          <w:rFonts w:ascii="Times New Roman" w:hAnsi="Times New Roman" w:eastAsia="仿宋_GB2312"/>
          <w:color w:val="000000" w:themeColor="text1"/>
          <w14:textFill>
            <w14:solidFill>
              <w14:schemeClr w14:val="tx1"/>
            </w14:solidFill>
          </w14:textFill>
        </w:rPr>
        <w:t>草）砖位置，分仓铺设。</w:t>
      </w:r>
    </w:p>
    <w:p w14:paraId="7AD30FE8">
      <w:pPr>
        <w:pStyle w:val="12"/>
        <w:ind w:firstLine="480"/>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w:t>（二）碎石压盖</w:t>
      </w:r>
    </w:p>
    <w:p w14:paraId="7B6F93BF">
      <w:pPr>
        <w:pStyle w:val="12"/>
        <w:ind w:firstLine="474"/>
        <w:rPr>
          <w:rFonts w:ascii="Times New Roman" w:hAnsi="Times New Roman" w:eastAsia="仿宋_GB2312"/>
          <w:bCs/>
          <w:color w:val="000000" w:themeColor="text1"/>
          <w14:textFill>
            <w14:solidFill>
              <w14:schemeClr w14:val="tx1"/>
            </w14:solidFill>
          </w14:textFill>
        </w:rPr>
      </w:pPr>
      <w:r>
        <w:rPr>
          <w:rFonts w:ascii="Times New Roman" w:hAnsi="Times New Roman" w:eastAsia="仿宋_GB2312"/>
          <w:bCs/>
          <w:color w:val="000000" w:themeColor="text1"/>
          <w:spacing w:val="-3"/>
          <w14:textFill>
            <w14:solidFill>
              <w14:schemeClr w14:val="tx1"/>
            </w14:solidFill>
          </w14:textFill>
        </w:rPr>
        <w:t>（1）措施位置</w:t>
      </w:r>
    </w:p>
    <w:p w14:paraId="2BE36F64">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通过现场查勘及收集资料，</w:t>
      </w:r>
      <w:r>
        <w:rPr>
          <w:rFonts w:hint="eastAsia" w:ascii="Times New Roman" w:hAnsi="Times New Roman" w:eastAsia="仿宋_GB2312"/>
          <w:color w:val="000000" w:themeColor="text1"/>
          <w:spacing w:val="-4"/>
          <w14:textFill>
            <w14:solidFill>
              <w14:schemeClr w14:val="tx1"/>
            </w14:solidFill>
          </w14:textFill>
        </w:rPr>
        <w:t>碎石压盖</w:t>
      </w:r>
      <w:r>
        <w:rPr>
          <w:rFonts w:ascii="Times New Roman" w:hAnsi="Times New Roman" w:eastAsia="仿宋_GB2312"/>
          <w:color w:val="000000" w:themeColor="text1"/>
          <w:spacing w:val="-4"/>
          <w14:textFill>
            <w14:solidFill>
              <w14:schemeClr w14:val="tx1"/>
            </w14:solidFill>
          </w14:textFill>
        </w:rPr>
        <w:t>被广泛应用于本产业园已建成的</w:t>
      </w:r>
      <w:r>
        <w:rPr>
          <w:rFonts w:hint="eastAsia" w:ascii="Times New Roman" w:hAnsi="Times New Roman" w:eastAsia="仿宋_GB2312"/>
          <w:color w:val="000000" w:themeColor="text1"/>
          <w:spacing w:val="-4"/>
          <w14:textFill>
            <w14:solidFill>
              <w14:schemeClr w14:val="tx1"/>
            </w14:solidFill>
          </w14:textFill>
        </w:rPr>
        <w:t>企业</w:t>
      </w:r>
      <w:r>
        <w:rPr>
          <w:rFonts w:ascii="Times New Roman" w:hAnsi="Times New Roman" w:eastAsia="仿宋_GB2312"/>
          <w:color w:val="000000" w:themeColor="text1"/>
          <w14:textFill>
            <w14:solidFill>
              <w14:schemeClr w14:val="tx1"/>
            </w14:solidFill>
          </w14:textFill>
        </w:rPr>
        <w:t>中</w:t>
      </w:r>
      <w:r>
        <w:rPr>
          <w:rFonts w:ascii="Times New Roman" w:hAnsi="Times New Roman" w:eastAsia="仿宋_GB2312"/>
          <w:color w:val="000000" w:themeColor="text1"/>
          <w:spacing w:val="-87"/>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主要布设位置为</w:t>
      </w:r>
      <w:r>
        <w:rPr>
          <w:rFonts w:ascii="Times New Roman" w:hAnsi="Times New Roman" w:eastAsia="仿宋_GB2312"/>
          <w:color w:val="000000" w:themeColor="text1"/>
          <w:spacing w:val="5"/>
          <w:position w:val="-2"/>
          <w14:textFill>
            <w14:solidFill>
              <w14:schemeClr w14:val="tx1"/>
            </w14:solidFill>
          </w14:textFill>
        </w:rPr>
        <w:t>各</w:t>
      </w:r>
      <w:r>
        <w:rPr>
          <w:rFonts w:hint="eastAsia" w:ascii="Times New Roman" w:hAnsi="Times New Roman" w:eastAsia="仿宋_GB2312"/>
          <w:color w:val="000000" w:themeColor="text1"/>
          <w14:textFill>
            <w14:solidFill>
              <w14:schemeClr w14:val="tx1"/>
            </w14:solidFill>
          </w14:textFill>
        </w:rPr>
        <w:t>企业</w:t>
      </w:r>
      <w:r>
        <w:rPr>
          <w:rFonts w:ascii="Times New Roman" w:hAnsi="Times New Roman" w:eastAsia="仿宋_GB2312"/>
          <w:color w:val="000000" w:themeColor="text1"/>
          <w14:textFill>
            <w14:solidFill>
              <w14:schemeClr w14:val="tx1"/>
            </w14:solidFill>
          </w14:textFill>
        </w:rPr>
        <w:t>的步行道</w:t>
      </w:r>
      <w:r>
        <w:rPr>
          <w:rFonts w:ascii="Times New Roman" w:hAnsi="Times New Roman" w:eastAsia="仿宋_GB2312"/>
          <w:color w:val="000000" w:themeColor="text1"/>
          <w:spacing w:val="-84"/>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停车场</w:t>
      </w:r>
      <w:r>
        <w:rPr>
          <w:rFonts w:hint="eastAsia" w:ascii="Times New Roman" w:hAnsi="Times New Roman" w:eastAsia="仿宋_GB2312"/>
          <w:color w:val="000000" w:themeColor="text1"/>
          <w14:textFill>
            <w14:solidFill>
              <w14:schemeClr w14:val="tx1"/>
            </w14:solidFill>
          </w14:textFill>
        </w:rPr>
        <w:t>、施工便道</w:t>
      </w:r>
      <w:r>
        <w:rPr>
          <w:rFonts w:ascii="Times New Roman" w:hAnsi="Times New Roman" w:eastAsia="仿宋_GB2312"/>
          <w:color w:val="000000" w:themeColor="text1"/>
          <w14:textFill>
            <w14:solidFill>
              <w14:schemeClr w14:val="tx1"/>
            </w14:solidFill>
          </w14:textFill>
        </w:rPr>
        <w:t>等区域</w:t>
      </w:r>
      <w:r>
        <w:rPr>
          <w:rFonts w:ascii="Times New Roman" w:hAnsi="Times New Roman" w:eastAsia="仿宋_GB2312"/>
          <w:color w:val="000000" w:themeColor="text1"/>
          <w:spacing w:val="-87"/>
          <w14:textFill>
            <w14:solidFill>
              <w14:schemeClr w14:val="tx1"/>
            </w14:solidFill>
          </w14:textFill>
        </w:rPr>
        <w:t>，</w:t>
      </w:r>
      <w:r>
        <w:rPr>
          <w:rFonts w:ascii="Times New Roman" w:hAnsi="Times New Roman" w:eastAsia="仿宋_GB2312"/>
          <w:color w:val="000000" w:themeColor="text1"/>
          <w:spacing w:val="-4"/>
          <w14:textFill>
            <w14:solidFill>
              <w14:schemeClr w14:val="tx1"/>
            </w14:solidFill>
          </w14:textFill>
        </w:rPr>
        <w:t>产业园未建成区的</w:t>
      </w:r>
      <w:r>
        <w:rPr>
          <w:rFonts w:hint="eastAsia" w:ascii="Times New Roman" w:hAnsi="Times New Roman" w:eastAsia="仿宋_GB2312"/>
          <w:color w:val="000000" w:themeColor="text1"/>
          <w:spacing w:val="5"/>
          <w:position w:val="-2"/>
          <w14:textFill>
            <w14:solidFill>
              <w14:schemeClr w14:val="tx1"/>
            </w14:solidFill>
          </w14:textFill>
        </w:rPr>
        <w:t>新入驻企业</w:t>
      </w:r>
      <w:r>
        <w:rPr>
          <w:rFonts w:ascii="Times New Roman" w:hAnsi="Times New Roman" w:eastAsia="仿宋_GB2312"/>
          <w:color w:val="000000" w:themeColor="text1"/>
          <w:spacing w:val="-4"/>
          <w14:textFill>
            <w14:solidFill>
              <w14:schemeClr w14:val="tx1"/>
            </w14:solidFill>
          </w14:textFill>
        </w:rPr>
        <w:t>在场地平整后，在步行道、停车场</w:t>
      </w:r>
      <w:r>
        <w:rPr>
          <w:rFonts w:hint="eastAsia" w:ascii="Times New Roman" w:hAnsi="Times New Roman" w:eastAsia="仿宋_GB2312"/>
          <w:color w:val="000000" w:themeColor="text1"/>
          <w:spacing w:val="-4"/>
          <w14:textFill>
            <w14:solidFill>
              <w14:schemeClr w14:val="tx1"/>
            </w14:solidFill>
          </w14:textFill>
        </w:rPr>
        <w:t>、施工便道</w:t>
      </w:r>
      <w:r>
        <w:rPr>
          <w:rFonts w:ascii="Times New Roman" w:hAnsi="Times New Roman" w:eastAsia="仿宋_GB2312"/>
          <w:color w:val="000000" w:themeColor="text1"/>
          <w:spacing w:val="-4"/>
          <w14:textFill>
            <w14:solidFill>
              <w14:schemeClr w14:val="tx1"/>
            </w14:solidFill>
          </w14:textFill>
        </w:rPr>
        <w:t>等区域</w:t>
      </w:r>
      <w:r>
        <w:rPr>
          <w:rFonts w:hint="eastAsia" w:ascii="Times New Roman" w:hAnsi="Times New Roman" w:eastAsia="仿宋_GB2312"/>
          <w:color w:val="000000" w:themeColor="text1"/>
          <w:spacing w:val="-4"/>
          <w14:textFill>
            <w14:solidFill>
              <w14:schemeClr w14:val="tx1"/>
            </w14:solidFill>
          </w14:textFill>
        </w:rPr>
        <w:t>布置碎石压盖措施</w:t>
      </w:r>
      <w:r>
        <w:rPr>
          <w:rFonts w:ascii="Times New Roman" w:hAnsi="Times New Roman" w:eastAsia="仿宋_GB2312"/>
          <w:color w:val="000000" w:themeColor="text1"/>
          <w14:textFill>
            <w14:solidFill>
              <w14:schemeClr w14:val="tx1"/>
            </w14:solidFill>
          </w14:textFill>
        </w:rPr>
        <w:t>。</w:t>
      </w:r>
    </w:p>
    <w:p w14:paraId="2BDA1CCC">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（2）措施布设技术要求</w:t>
      </w:r>
    </w:p>
    <w:p w14:paraId="4535EFB5">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1）施工准备</w:t>
      </w:r>
    </w:p>
    <w:p w14:paraId="3F53592D">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在开始施工之前，确定铺设区域的位置和尺寸，清理铺设区域，除去杂物和障碍物，根据需要修整士地，确保表面平整。</w:t>
      </w:r>
    </w:p>
    <w:p w14:paraId="3300008C">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2)施工步骤</w:t>
      </w:r>
    </w:p>
    <w:p w14:paraId="785F5C36">
      <w:pPr>
        <w:pStyle w:val="12"/>
        <w:ind w:firstLine="480"/>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w:t>
      </w:r>
      <w:r>
        <w:rPr>
          <w:rFonts w:ascii="Times New Roman" w:hAnsi="Times New Roman" w:eastAsia="仿宋_GB2312"/>
          <w:color w:val="000000" w:themeColor="text1"/>
          <w14:textFill>
            <w14:solidFill>
              <w14:schemeClr w14:val="tx1"/>
            </w14:solidFill>
          </w14:textFill>
        </w:rPr>
        <w:t xml:space="preserve"> 铺设底层</w:t>
      </w:r>
    </w:p>
    <w:p w14:paraId="7B8F364D">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a.在铺设区域上铺设一层压实的砂士，厚度约为5厘米，确保平整</w:t>
      </w:r>
    </w:p>
    <w:p w14:paraId="5E0E5DC7">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b.喷水将砂土湿润，并使用压路机或辊子进行压实，确保底层稳定</w:t>
      </w:r>
    </w:p>
    <w:p w14:paraId="2C8F5CA8">
      <w:pPr>
        <w:pStyle w:val="12"/>
        <w:ind w:firstLine="480"/>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②</w:t>
      </w:r>
      <w:r>
        <w:rPr>
          <w:rFonts w:ascii="Times New Roman" w:hAnsi="Times New Roman" w:eastAsia="仿宋_GB2312"/>
          <w:color w:val="000000" w:themeColor="text1"/>
          <w14:textFill>
            <w14:solidFill>
              <w14:schemeClr w14:val="tx1"/>
            </w14:solidFill>
          </w14:textFill>
        </w:rPr>
        <w:t>铺设碎石层</w:t>
      </w:r>
    </w:p>
    <w:p w14:paraId="1A22CC58">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a.在底层上铺设一层碎石，厚度约为10厘米，碎石大小应均匀适中</w:t>
      </w:r>
      <w:r>
        <w:rPr>
          <w:rFonts w:hint="eastAsia" w:ascii="Times New Roman" w:hAnsi="Times New Roman" w:eastAsia="仿宋_GB2312"/>
          <w:color w:val="000000" w:themeColor="text1"/>
          <w14:textFill>
            <w14:solidFill>
              <w14:schemeClr w14:val="tx1"/>
            </w14:solidFill>
          </w14:textFill>
        </w:rPr>
        <w:t>。</w:t>
      </w:r>
    </w:p>
    <w:p w14:paraId="65D2E4CF">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b.使用压路机或辊子对碎石层进行压实，确保碎石牢固连接</w:t>
      </w:r>
    </w:p>
    <w:p w14:paraId="2FF98B9B">
      <w:pPr>
        <w:pStyle w:val="12"/>
        <w:ind w:firstLine="480"/>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③</w:t>
      </w:r>
      <w:r>
        <w:rPr>
          <w:rFonts w:ascii="Times New Roman" w:hAnsi="Times New Roman" w:eastAsia="仿宋_GB2312"/>
          <w:color w:val="000000" w:themeColor="text1"/>
          <w14:textFill>
            <w14:solidFill>
              <w14:schemeClr w14:val="tx1"/>
            </w14:solidFill>
          </w14:textFill>
        </w:rPr>
        <w:t>表面整理</w:t>
      </w:r>
    </w:p>
    <w:p w14:paraId="7FB8B3EE">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a.清理碎石层上的杂物和尘士</w:t>
      </w:r>
    </w:p>
    <w:p w14:paraId="209DC5C5">
      <w:pPr>
        <w:pStyle w:val="12"/>
        <w:ind w:firstLine="480"/>
        <w:rPr>
          <w:rFonts w:ascii="Times New Roman" w:hAnsi="Times New Roman" w:eastAsia="仿宋_GB2312"/>
          <w:color w:val="000000" w:themeColor="text1"/>
          <w14:textFill>
            <w14:solidFill>
              <w14:schemeClr w14:val="tx1"/>
            </w14:solidFill>
          </w14:textFill>
        </w:rPr>
      </w:pPr>
      <w:r>
        <w:rPr>
          <w:rStyle w:val="148"/>
          <w:rFonts w:ascii="Times New Roman" w:hAnsi="Times New Roman" w:eastAsia="仿宋_GB2312"/>
        </w:rPr>
        <w:t>b.将碎石表面用喷水器进行湿润。</w:t>
      </w:r>
    </w:p>
    <w:p w14:paraId="3F7E6CBF">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w:t>
      </w:r>
      <w:r>
        <w:rPr>
          <w:rFonts w:hint="eastAsia" w:ascii="Times New Roman" w:hAnsi="Times New Roman" w:eastAsia="仿宋_GB2312"/>
          <w:color w:val="000000" w:themeColor="text1"/>
          <w14:textFill>
            <w14:solidFill>
              <w14:schemeClr w14:val="tx1"/>
            </w14:solidFill>
          </w14:textFill>
        </w:rPr>
        <w:t>三</w:t>
      </w:r>
      <w:r>
        <w:rPr>
          <w:rFonts w:ascii="Times New Roman" w:hAnsi="Times New Roman" w:eastAsia="仿宋_GB2312"/>
          <w:color w:val="000000" w:themeColor="text1"/>
          <w14:textFill>
            <w14:solidFill>
              <w14:schemeClr w14:val="tx1"/>
            </w14:solidFill>
          </w14:textFill>
        </w:rPr>
        <w:t>）雨水收集设施</w:t>
      </w:r>
    </w:p>
    <w:p w14:paraId="2D0953CA">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园区根据实际情况布设雨水蓄水池，建议在道路雨水管网末端布设蓄水池，蓄水池水作为绿化灌溉用水使用。</w:t>
      </w:r>
    </w:p>
    <w:p w14:paraId="1C3D71F6">
      <w:pPr>
        <w:pStyle w:val="12"/>
        <w:ind w:firstLine="47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3"/>
          <w14:textFill>
            <w14:solidFill>
              <w14:schemeClr w14:val="tx1"/>
            </w14:solidFill>
          </w14:textFill>
        </w:rPr>
        <w:t>（1）沉沙设施</w:t>
      </w:r>
    </w:p>
    <w:p w14:paraId="735E800B">
      <w:pPr>
        <w:pStyle w:val="12"/>
        <w:ind w:firstLine="46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8"/>
          <w14:textFill>
            <w14:solidFill>
              <w14:schemeClr w14:val="tx1"/>
            </w14:solidFill>
          </w14:textFill>
        </w:rPr>
        <w:t>沉沙池一般布设在蓄水池进水口的上游附</w:t>
      </w:r>
      <w:r>
        <w:rPr>
          <w:rFonts w:ascii="Times New Roman" w:hAnsi="Times New Roman" w:eastAsia="仿宋_GB2312"/>
          <w:color w:val="000000" w:themeColor="text1"/>
          <w14:textFill>
            <w14:solidFill>
              <w14:schemeClr w14:val="tx1"/>
            </w14:solidFill>
          </w14:textFill>
        </w:rPr>
        <w:t>近。排水沟（或雨水暗管）排出的水，先进入沉沙池，泥沙沉淀后，再将清水排</w:t>
      </w:r>
      <w:r>
        <w:rPr>
          <w:rFonts w:ascii="Times New Roman" w:hAnsi="Times New Roman" w:eastAsia="仿宋_GB2312"/>
          <w:color w:val="000000" w:themeColor="text1"/>
          <w:spacing w:val="-17"/>
          <w14:textFill>
            <w14:solidFill>
              <w14:schemeClr w14:val="tx1"/>
            </w14:solidFill>
          </w14:textFill>
        </w:rPr>
        <w:t>入池中。沉沙池的具体位置，应根据当地地形和工程条件确定，可以紧靠蓄水池，</w:t>
      </w:r>
      <w:r>
        <w:rPr>
          <w:rFonts w:ascii="Times New Roman" w:hAnsi="Times New Roman" w:eastAsia="仿宋_GB2312"/>
          <w:color w:val="000000" w:themeColor="text1"/>
          <w14:textFill>
            <w14:solidFill>
              <w14:schemeClr w14:val="tx1"/>
            </w14:solidFill>
          </w14:textFill>
        </w:rPr>
        <w:t>也可以与蓄水池保持一定距离。</w:t>
      </w:r>
    </w:p>
    <w:p w14:paraId="1785F7B8">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沉沙池为矩形，宽</w:t>
      </w:r>
      <w:r>
        <w:rPr>
          <w:rFonts w:ascii="Times New Roman" w:hAnsi="Times New Roman" w:eastAsia="仿宋_GB2312"/>
          <w:color w:val="000000" w:themeColor="text1"/>
          <w14:textFill>
            <w14:solidFill>
              <w14:schemeClr w14:val="tx1"/>
            </w14:solidFill>
          </w14:textFill>
        </w:rPr>
        <w:t>1m~2m</w:t>
      </w:r>
      <w:r>
        <w:rPr>
          <w:rFonts w:ascii="Times New Roman" w:hAnsi="Times New Roman" w:eastAsia="仿宋_GB2312"/>
          <w:color w:val="000000" w:themeColor="text1"/>
          <w:spacing w:val="-20"/>
          <w14:textFill>
            <w14:solidFill>
              <w14:schemeClr w14:val="tx1"/>
            </w14:solidFill>
          </w14:textFill>
        </w:rPr>
        <w:t>，长</w:t>
      </w:r>
      <w:r>
        <w:rPr>
          <w:rFonts w:ascii="Times New Roman" w:hAnsi="Times New Roman" w:eastAsia="仿宋_GB2312"/>
          <w:color w:val="000000" w:themeColor="text1"/>
          <w14:textFill>
            <w14:solidFill>
              <w14:schemeClr w14:val="tx1"/>
            </w14:solidFill>
          </w14:textFill>
        </w:rPr>
        <w:t>2m~4m</w:t>
      </w:r>
      <w:r>
        <w:rPr>
          <w:rFonts w:ascii="Times New Roman" w:hAnsi="Times New Roman" w:eastAsia="仿宋_GB2312"/>
          <w:color w:val="000000" w:themeColor="text1"/>
          <w:spacing w:val="-20"/>
          <w14:textFill>
            <w14:solidFill>
              <w14:schemeClr w14:val="tx1"/>
            </w14:solidFill>
          </w14:textFill>
        </w:rPr>
        <w:t>，深</w:t>
      </w:r>
      <w:r>
        <w:rPr>
          <w:rFonts w:ascii="Times New Roman" w:hAnsi="Times New Roman" w:eastAsia="仿宋_GB2312"/>
          <w:color w:val="000000" w:themeColor="text1"/>
          <w14:textFill>
            <w14:solidFill>
              <w14:schemeClr w14:val="tx1"/>
            </w14:solidFill>
          </w14:textFill>
        </w:rPr>
        <w:t>1.5m~2.0m。其宽度应为排水沟宽度的2倍，长度为池体宽度的2倍，并有适当深度。</w:t>
      </w:r>
    </w:p>
    <w:p w14:paraId="57492345">
      <w:pPr>
        <w:pStyle w:val="12"/>
        <w:ind w:firstLine="44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19"/>
          <w14:textFill>
            <w14:solidFill>
              <w14:schemeClr w14:val="tx1"/>
            </w14:solidFill>
          </w14:textFill>
        </w:rPr>
        <w:t>沉沙池的进水口和出水口，可参照蓄水池进水口尺寸设计，并应作好石料</w:t>
      </w:r>
      <w:r>
        <w:rPr>
          <w:rFonts w:ascii="Times New Roman" w:hAnsi="Times New Roman" w:eastAsia="仿宋_GB2312"/>
          <w:color w:val="000000" w:themeColor="text1"/>
          <w14:textFill>
            <w14:solidFill>
              <w14:schemeClr w14:val="tx1"/>
            </w14:solidFill>
          </w14:textFill>
        </w:rPr>
        <w:t>（或沙浆砌砖或混凝土板）衬砌。</w:t>
      </w:r>
    </w:p>
    <w:p w14:paraId="504829FC">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（2）蓄水池</w:t>
      </w:r>
    </w:p>
    <w:p w14:paraId="129E40F7">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1）蓄水池设计</w:t>
      </w:r>
    </w:p>
    <w:p w14:paraId="4AA634D3">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依</w:t>
      </w:r>
      <w:r>
        <w:rPr>
          <w:rFonts w:ascii="Times New Roman" w:hAnsi="Times New Roman" w:eastAsia="仿宋_GB2312"/>
          <w:color w:val="000000" w:themeColor="text1"/>
          <w:spacing w:val="-99"/>
          <w14:textFill>
            <w14:solidFill>
              <w14:schemeClr w14:val="tx1"/>
            </w14:solidFill>
          </w14:textFill>
        </w:rPr>
        <w:t>据</w:t>
      </w:r>
      <w:r>
        <w:rPr>
          <w:rFonts w:ascii="Times New Roman" w:hAnsi="Times New Roman" w:eastAsia="仿宋_GB2312"/>
          <w:color w:val="000000" w:themeColor="text1"/>
          <w:spacing w:val="-4"/>
          <w14:textFill>
            <w14:solidFill>
              <w14:schemeClr w14:val="tx1"/>
            </w14:solidFill>
          </w14:textFill>
        </w:rPr>
        <w:t>《水土保持综</w:t>
      </w:r>
      <w:r>
        <w:rPr>
          <w:rFonts w:ascii="Times New Roman" w:hAnsi="Times New Roman" w:eastAsia="仿宋_GB2312"/>
          <w:color w:val="000000" w:themeColor="text1"/>
          <w:spacing w:val="10"/>
          <w:position w:val="-1"/>
          <w14:textFill>
            <w14:solidFill>
              <w14:schemeClr w14:val="tx1"/>
            </w14:solidFill>
          </w14:textFill>
        </w:rPr>
        <w:t>合</w:t>
      </w:r>
      <w:r>
        <w:rPr>
          <w:rFonts w:ascii="Times New Roman" w:hAnsi="Times New Roman" w:eastAsia="仿宋_GB2312"/>
          <w:color w:val="000000" w:themeColor="text1"/>
          <w:spacing w:val="-4"/>
          <w14:textFill>
            <w14:solidFill>
              <w14:schemeClr w14:val="tx1"/>
            </w14:solidFill>
          </w14:textFill>
        </w:rPr>
        <w:t>治理技术规范小型蓄排引水工程</w:t>
      </w:r>
      <w:r>
        <w:rPr>
          <w:rFonts w:ascii="Times New Roman" w:hAnsi="Times New Roman" w:eastAsia="仿宋_GB2312"/>
          <w:color w:val="000000" w:themeColor="text1"/>
          <w:spacing w:val="-195"/>
          <w14:textFill>
            <w14:solidFill>
              <w14:schemeClr w14:val="tx1"/>
            </w14:solidFill>
          </w14:textFill>
        </w:rPr>
        <w:t>》</w:t>
      </w:r>
      <w:r>
        <w:rPr>
          <w:rFonts w:ascii="Times New Roman" w:hAnsi="Times New Roman" w:eastAsia="仿宋_GB2312"/>
          <w:color w:val="000000" w:themeColor="text1"/>
          <w:spacing w:val="-4"/>
          <w14:textFill>
            <w14:solidFill>
              <w14:schemeClr w14:val="tx1"/>
            </w14:solidFill>
          </w14:textFill>
        </w:rPr>
        <w:t>（GB/T16453.1-</w:t>
      </w:r>
      <w:r>
        <w:rPr>
          <w:rFonts w:ascii="Times New Roman" w:hAnsi="Times New Roman" w:eastAsia="仿宋_GB2312"/>
          <w:color w:val="000000" w:themeColor="text1"/>
          <w:spacing w:val="15"/>
          <w14:textFill>
            <w14:solidFill>
              <w14:schemeClr w14:val="tx1"/>
            </w14:solidFill>
          </w14:textFill>
        </w:rPr>
        <w:t>200</w:t>
      </w:r>
      <w:r>
        <w:rPr>
          <w:rFonts w:ascii="Times New Roman" w:hAnsi="Times New Roman" w:eastAsia="仿宋_GB2312"/>
          <w:color w:val="000000" w:themeColor="text1"/>
          <w:spacing w:val="17"/>
          <w14:textFill>
            <w14:solidFill>
              <w14:schemeClr w14:val="tx1"/>
            </w14:solidFill>
          </w14:textFill>
        </w:rPr>
        <w:t>8</w:t>
      </w:r>
      <w:r>
        <w:rPr>
          <w:rFonts w:ascii="Times New Roman" w:hAnsi="Times New Roman" w:eastAsia="仿宋_GB2312"/>
          <w:color w:val="000000" w:themeColor="text1"/>
          <w:spacing w:val="-105"/>
          <w14:textFill>
            <w14:solidFill>
              <w14:schemeClr w14:val="tx1"/>
            </w14:solidFill>
          </w14:textFill>
        </w:rPr>
        <w:t>）</w:t>
      </w:r>
      <w:r>
        <w:rPr>
          <w:rFonts w:ascii="Times New Roman" w:hAnsi="Times New Roman" w:eastAsia="仿宋_GB2312"/>
          <w:color w:val="000000" w:themeColor="text1"/>
          <w:spacing w:val="15"/>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蓄水池容量计算公式：</w:t>
      </w:r>
    </w:p>
    <w:p w14:paraId="73166E03">
      <w:pPr>
        <w:pStyle w:val="12"/>
        <w:ind w:firstLine="480"/>
        <w:jc w:val="center"/>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i/>
          <w:color w:val="000000" w:themeColor="text1"/>
          <w14:textFill>
            <w14:solidFill>
              <w14:schemeClr w14:val="tx1"/>
            </w14:solidFill>
          </w14:textFill>
        </w:rPr>
        <w:t>V</w:t>
      </w:r>
      <w:r>
        <w:rPr>
          <w:rFonts w:ascii="Times New Roman" w:hAnsi="Times New Roman" w:eastAsia="仿宋_GB2312"/>
          <w:color w:val="000000" w:themeColor="text1"/>
          <w14:textFill>
            <w14:solidFill>
              <w14:schemeClr w14:val="tx1"/>
            </w14:solidFill>
          </w14:textFill>
        </w:rPr>
        <w:t></w:t>
      </w:r>
      <w:r>
        <w:rPr>
          <w:rFonts w:ascii="Times New Roman" w:hAnsi="Times New Roman" w:eastAsia="仿宋_GB2312"/>
          <w:i/>
          <w:color w:val="000000" w:themeColor="text1"/>
          <w14:textFill>
            <w14:solidFill>
              <w14:schemeClr w14:val="tx1"/>
            </w14:solidFill>
          </w14:textFill>
        </w:rPr>
        <w:t>K</w:t>
      </w:r>
      <w:r>
        <w:rPr>
          <w:rFonts w:ascii="Times New Roman" w:hAnsi="Times New Roman" w:eastAsia="仿宋_GB2312"/>
          <w:color w:val="000000" w:themeColor="text1"/>
          <w14:textFill>
            <w14:solidFill>
              <w14:schemeClr w14:val="tx1"/>
            </w14:solidFill>
          </w14:textFill>
        </w:rPr>
        <w:t>(</w:t>
      </w:r>
      <w:r>
        <w:rPr>
          <w:rFonts w:ascii="Times New Roman" w:hAnsi="Times New Roman" w:eastAsia="仿宋_GB2312"/>
          <w:i/>
          <w:color w:val="000000" w:themeColor="text1"/>
          <w14:textFill>
            <w14:solidFill>
              <w14:schemeClr w14:val="tx1"/>
            </w14:solidFill>
          </w14:textFill>
        </w:rPr>
        <w:t>V</w:t>
      </w:r>
      <w:r>
        <w:rPr>
          <w:rFonts w:ascii="Times New Roman" w:hAnsi="Times New Roman" w:eastAsia="仿宋_GB2312"/>
          <w:i/>
          <w:color w:val="000000" w:themeColor="text1"/>
          <w:position w:val="-5"/>
          <w:sz w:val="14"/>
          <w14:textFill>
            <w14:solidFill>
              <w14:schemeClr w14:val="tx1"/>
            </w14:solidFill>
          </w14:textFill>
        </w:rPr>
        <w:t>W</w:t>
      </w:r>
      <w:r>
        <w:rPr>
          <w:rFonts w:ascii="Times New Roman" w:hAnsi="Times New Roman" w:eastAsia="仿宋_GB2312"/>
          <w:color w:val="000000" w:themeColor="text1"/>
          <w14:textFill>
            <w14:solidFill>
              <w14:schemeClr w14:val="tx1"/>
            </w14:solidFill>
          </w14:textFill>
        </w:rPr>
        <w:t></w:t>
      </w:r>
      <w:r>
        <w:rPr>
          <w:rFonts w:ascii="Times New Roman" w:hAnsi="Times New Roman" w:eastAsia="仿宋_GB2312"/>
          <w:i/>
          <w:color w:val="000000" w:themeColor="text1"/>
          <w14:textFill>
            <w14:solidFill>
              <w14:schemeClr w14:val="tx1"/>
            </w14:solidFill>
          </w14:textFill>
        </w:rPr>
        <w:t>V</w:t>
      </w:r>
      <w:r>
        <w:rPr>
          <w:rFonts w:ascii="Times New Roman" w:hAnsi="Times New Roman" w:eastAsia="仿宋_GB2312"/>
          <w:i/>
          <w:color w:val="000000" w:themeColor="text1"/>
          <w:position w:val="-5"/>
          <w:sz w:val="14"/>
          <w14:textFill>
            <w14:solidFill>
              <w14:schemeClr w14:val="tx1"/>
            </w14:solidFill>
          </w14:textFill>
        </w:rPr>
        <w:t>S</w:t>
      </w:r>
      <w:r>
        <w:rPr>
          <w:rFonts w:ascii="Times New Roman" w:hAnsi="Times New Roman" w:eastAsia="仿宋_GB2312"/>
          <w:color w:val="000000" w:themeColor="text1"/>
          <w:spacing w:val="-10"/>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w:t>
      </w:r>
      <w:r>
        <w:rPr>
          <w:rFonts w:ascii="Times New Roman" w:hAnsi="Times New Roman" w:eastAsia="仿宋_GB2312"/>
          <w:i/>
          <w:color w:val="000000" w:themeColor="text1"/>
          <w:position w:val="4"/>
          <w14:textFill>
            <w14:solidFill>
              <w14:schemeClr w14:val="tx1"/>
            </w14:solidFill>
          </w14:textFill>
        </w:rPr>
        <w:t>K</w:t>
      </w:r>
      <w:r>
        <w:rPr>
          <w:rFonts w:ascii="Times New Roman" w:hAnsi="Times New Roman" w:eastAsia="仿宋_GB2312"/>
          <w:color w:val="000000" w:themeColor="text1"/>
          <w14:textFill>
            <w14:solidFill>
              <w14:schemeClr w14:val="tx1"/>
            </w14:solidFill>
          </w14:textFill>
        </w:rPr>
        <w:t>为安全系数</w:t>
      </w:r>
      <w:r>
        <w:rPr>
          <w:rFonts w:ascii="Times New Roman" w:hAnsi="Times New Roman" w:eastAsia="仿宋_GB2312"/>
          <w:color w:val="000000" w:themeColor="text1"/>
          <w:spacing w:val="-10"/>
          <w14:textFill>
            <w14:solidFill>
              <w14:schemeClr w14:val="tx1"/>
            </w14:solidFill>
          </w14:textFill>
        </w:rPr>
        <w:t>）</w:t>
      </w:r>
    </w:p>
    <w:p w14:paraId="4517622E">
      <w:pPr>
        <w:pStyle w:val="12"/>
        <w:ind w:leftChars="-118" w:right="-1150" w:rightChars="-479" w:hanging="283" w:hangingChars="118"/>
        <w:jc w:val="center"/>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i/>
          <w:color w:val="000000" w:themeColor="text1"/>
          <w:position w:val="6"/>
          <w14:textFill>
            <w14:solidFill>
              <w14:schemeClr w14:val="tx1"/>
            </w14:solidFill>
          </w14:textFill>
        </w:rPr>
        <w:t>V</w:t>
      </w:r>
      <w:r>
        <w:rPr>
          <w:rFonts w:ascii="Times New Roman" w:hAnsi="Times New Roman" w:eastAsia="仿宋_GB2312"/>
          <w:i/>
          <w:color w:val="000000" w:themeColor="text1"/>
          <w:sz w:val="14"/>
          <w14:textFill>
            <w14:solidFill>
              <w14:schemeClr w14:val="tx1"/>
            </w14:solidFill>
          </w14:textFill>
        </w:rPr>
        <w:t>W</w:t>
      </w:r>
      <w:r>
        <w:rPr>
          <w:rFonts w:ascii="Times New Roman" w:hAnsi="Times New Roman" w:eastAsia="仿宋_GB2312"/>
          <w:color w:val="000000" w:themeColor="text1"/>
          <w:position w:val="6"/>
          <w14:textFill>
            <w14:solidFill>
              <w14:schemeClr w14:val="tx1"/>
            </w14:solidFill>
          </w14:textFill>
        </w:rPr>
        <w:t></w:t>
      </w:r>
      <w:r>
        <w:rPr>
          <w:rFonts w:ascii="Times New Roman" w:hAnsi="Times New Roman" w:eastAsia="仿宋_GB2312"/>
          <w:i/>
          <w:color w:val="000000" w:themeColor="text1"/>
          <w:spacing w:val="10"/>
          <w:position w:val="6"/>
          <w14:textFill>
            <w14:solidFill>
              <w14:schemeClr w14:val="tx1"/>
            </w14:solidFill>
          </w14:textFill>
        </w:rPr>
        <w:t>M</w:t>
      </w:r>
      <w:r>
        <w:rPr>
          <w:rFonts w:ascii="Times New Roman" w:hAnsi="Times New Roman" w:eastAsia="仿宋_GB2312"/>
          <w:i/>
          <w:color w:val="000000" w:themeColor="text1"/>
          <w:spacing w:val="10"/>
          <w:sz w:val="14"/>
          <w14:textFill>
            <w14:solidFill>
              <w14:schemeClr w14:val="tx1"/>
            </w14:solidFill>
          </w14:textFill>
        </w:rPr>
        <w:t>W</w:t>
      </w:r>
      <w:r>
        <w:rPr>
          <w:rFonts w:ascii="Times New Roman" w:hAnsi="Times New Roman" w:eastAsia="仿宋_GB2312"/>
          <w:i/>
          <w:color w:val="000000" w:themeColor="text1"/>
          <w:position w:val="6"/>
          <w14:textFill>
            <w14:solidFill>
              <w14:schemeClr w14:val="tx1"/>
            </w14:solidFill>
          </w14:textFill>
        </w:rPr>
        <w:t>F</w:t>
      </w:r>
      <w:r>
        <w:rPr>
          <w:rFonts w:ascii="Times New Roman" w:hAnsi="Times New Roman" w:eastAsia="仿宋_GB2312"/>
          <w:i/>
          <w:color w:val="000000" w:themeColor="text1"/>
          <w:spacing w:val="2"/>
          <w:position w:val="6"/>
          <w14:textFill>
            <w14:solidFill>
              <w14:schemeClr w14:val="tx1"/>
            </w14:solidFill>
          </w14:textFill>
        </w:rPr>
        <w:t>=</w:t>
      </w:r>
      <w:r>
        <w:rPr>
          <w:rFonts w:ascii="Times New Roman" w:hAnsi="Times New Roman" w:eastAsia="仿宋_GB2312"/>
          <w:color w:val="000000" w:themeColor="text1"/>
          <w:spacing w:val="-2"/>
          <w:sz w:val="25"/>
          <w14:textFill>
            <w14:solidFill>
              <w14:schemeClr w14:val="tx1"/>
            </w14:solidFill>
          </w14:textFill>
        </w:rPr>
        <w:t>10</w:t>
      </w:r>
      <w:r>
        <w:rPr>
          <w:rFonts w:ascii="Times New Roman" w:hAnsi="Times New Roman" w:eastAsia="仿宋_GB2312"/>
          <w:i/>
          <w:color w:val="000000" w:themeColor="text1"/>
          <w:spacing w:val="-2"/>
          <w:sz w:val="25"/>
          <w14:textFill>
            <w14:solidFill>
              <w14:schemeClr w14:val="tx1"/>
            </w14:solidFill>
          </w14:textFill>
        </w:rPr>
        <w:t>KRF</w:t>
      </w:r>
      <w:r>
        <w:rPr>
          <w:rFonts w:ascii="Times New Roman" w:hAnsi="Times New Roman" w:eastAsia="仿宋_GB2312"/>
          <w:color w:val="000000" w:themeColor="text1"/>
          <w14:textFill>
            <w14:solidFill>
              <w14:schemeClr w14:val="tx1"/>
            </w14:solidFill>
          </w14:textFill>
        </w:rPr>
        <w:t>（</w:t>
      </w:r>
      <w:r>
        <w:rPr>
          <w:rFonts w:ascii="Times New Roman" w:hAnsi="Times New Roman" w:eastAsia="仿宋_GB2312"/>
          <w:i/>
          <w:color w:val="000000" w:themeColor="text1"/>
          <w:position w:val="4"/>
          <w14:textFill>
            <w14:solidFill>
              <w14:schemeClr w14:val="tx1"/>
            </w14:solidFill>
          </w14:textFill>
        </w:rPr>
        <w:t>K</w:t>
      </w:r>
      <w:r>
        <w:rPr>
          <w:rFonts w:ascii="Times New Roman" w:hAnsi="Times New Roman" w:eastAsia="仿宋_GB2312"/>
          <w:color w:val="000000" w:themeColor="text1"/>
          <w14:textFill>
            <w14:solidFill>
              <w14:schemeClr w14:val="tx1"/>
            </w14:solidFill>
          </w14:textFill>
        </w:rPr>
        <w:t>为径流系数</w:t>
      </w:r>
      <w:r>
        <w:rPr>
          <w:rFonts w:ascii="Times New Roman" w:hAnsi="Times New Roman" w:eastAsia="仿宋_GB2312"/>
          <w:color w:val="000000" w:themeColor="text1"/>
          <w:spacing w:val="-10"/>
          <w14:textFill>
            <w14:solidFill>
              <w14:schemeClr w14:val="tx1"/>
            </w14:solidFill>
          </w14:textFill>
        </w:rPr>
        <w:t>）</w:t>
      </w:r>
    </w:p>
    <w:p w14:paraId="094D3B2D">
      <w:pPr>
        <w:spacing w:before="192"/>
        <w:ind w:right="588" w:firstLine="470"/>
        <w:jc w:val="center"/>
        <w:rPr>
          <w:rFonts w:cs="Times New Roman"/>
          <w:i/>
          <w:color w:val="000000" w:themeColor="text1"/>
          <w:sz w:val="14"/>
          <w14:textFill>
            <w14:solidFill>
              <w14:schemeClr w14:val="tx1"/>
            </w14:solidFill>
          </w14:textFill>
        </w:rPr>
      </w:pPr>
      <w:r>
        <w:rPr>
          <w:rFonts w:cs="Times New Roman"/>
          <w:i/>
          <w:color w:val="000000" w:themeColor="text1"/>
          <w:spacing w:val="-5"/>
          <w14:textFill>
            <w14:solidFill>
              <w14:schemeClr w14:val="tx1"/>
            </w14:solidFill>
          </w14:textFill>
        </w:rPr>
        <w:t>V</w:t>
      </w:r>
      <w:r>
        <w:rPr>
          <w:rFonts w:cs="Times New Roman"/>
          <w:i/>
          <w:color w:val="000000" w:themeColor="text1"/>
          <w:spacing w:val="-5"/>
          <w:position w:val="-5"/>
          <w:sz w:val="14"/>
          <w14:textFill>
            <w14:solidFill>
              <w14:schemeClr w14:val="tx1"/>
            </w14:solidFill>
          </w14:textFill>
        </w:rPr>
        <w:t>S</w:t>
      </w:r>
      <w:r>
        <w:rPr>
          <w:rFonts w:cs="Times New Roman"/>
          <w:color w:val="000000" w:themeColor="text1"/>
          <w:spacing w:val="9"/>
          <w14:textFill>
            <w14:solidFill>
              <w14:schemeClr w14:val="tx1"/>
            </w14:solidFill>
          </w14:textFill>
        </w:rPr>
        <w:t>=3</w:t>
      </w:r>
      <w:r>
        <w:rPr>
          <w:rFonts w:cs="Times New Roman"/>
          <w:i/>
          <w:color w:val="000000" w:themeColor="text1"/>
          <w:spacing w:val="9"/>
          <w14:textFill>
            <w14:solidFill>
              <w14:schemeClr w14:val="tx1"/>
            </w14:solidFill>
          </w14:textFill>
        </w:rPr>
        <w:t>M</w:t>
      </w:r>
      <w:r>
        <w:rPr>
          <w:rFonts w:cs="Times New Roman"/>
          <w:i/>
          <w:color w:val="000000" w:themeColor="text1"/>
          <w:spacing w:val="9"/>
          <w:position w:val="-5"/>
          <w:sz w:val="14"/>
          <w14:textFill>
            <w14:solidFill>
              <w14:schemeClr w14:val="tx1"/>
            </w14:solidFill>
          </w14:textFill>
        </w:rPr>
        <w:t>S</w:t>
      </w:r>
      <w:r>
        <w:rPr>
          <w:rFonts w:cs="Times New Roman"/>
          <w:i/>
          <w:color w:val="000000" w:themeColor="text1"/>
          <w:spacing w:val="-10"/>
          <w14:textFill>
            <w14:solidFill>
              <w14:schemeClr w14:val="tx1"/>
            </w14:solidFill>
          </w14:textFill>
        </w:rPr>
        <w:t>F</w:t>
      </w:r>
    </w:p>
    <w:p w14:paraId="0A22F4FD">
      <w:pPr>
        <w:pStyle w:val="12"/>
        <w:ind w:firstLine="480"/>
        <w:rPr>
          <w:rFonts w:ascii="Times New Roman" w:hAnsi="Times New Roman" w:eastAsia="仿宋_GB2312"/>
          <w:color w:val="000000" w:themeColor="text1"/>
          <w14:textFill>
            <w14:solidFill>
              <w14:schemeClr w14:val="tx1"/>
            </w14:solidFill>
          </w14:textFill>
        </w:rPr>
      </w:pPr>
    </w:p>
    <w:p w14:paraId="29183C28">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式中：</w:t>
      </w:r>
      <w:r>
        <w:rPr>
          <w:rFonts w:ascii="Times New Roman" w:hAnsi="Times New Roman" w:eastAsia="仿宋_GB2312"/>
          <w:i/>
          <w:color w:val="000000" w:themeColor="text1"/>
          <w:position w:val="6"/>
          <w14:textFill>
            <w14:solidFill>
              <w14:schemeClr w14:val="tx1"/>
            </w14:solidFill>
          </w14:textFill>
        </w:rPr>
        <w:t>V</w:t>
      </w:r>
      <w:r>
        <w:rPr>
          <w:rFonts w:ascii="Times New Roman" w:hAnsi="Times New Roman" w:eastAsia="仿宋_GB2312"/>
          <w:color w:val="000000" w:themeColor="text1"/>
          <w:spacing w:val="-1"/>
          <w14:textFill>
            <w14:solidFill>
              <w14:schemeClr w14:val="tx1"/>
            </w14:solidFill>
          </w14:textFill>
        </w:rPr>
        <w:t>—蓄水池容量，</w:t>
      </w:r>
      <w:r>
        <w:rPr>
          <w:rFonts w:ascii="Times New Roman" w:hAnsi="Times New Roman" w:eastAsia="仿宋_GB2312"/>
          <w:color w:val="000000" w:themeColor="text1"/>
          <w:spacing w:val="-4"/>
          <w14:textFill>
            <w14:solidFill>
              <w14:schemeClr w14:val="tx1"/>
            </w14:solidFill>
          </w14:textFill>
        </w:rPr>
        <w:t>m³；</w:t>
      </w:r>
    </w:p>
    <w:p w14:paraId="43D58E34">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i/>
          <w:color w:val="000000" w:themeColor="text1"/>
          <w:position w:val="12"/>
          <w14:textFill>
            <w14:solidFill>
              <w14:schemeClr w14:val="tx1"/>
            </w14:solidFill>
          </w14:textFill>
        </w:rPr>
        <w:t>V</w:t>
      </w:r>
      <w:r>
        <w:rPr>
          <w:rFonts w:ascii="Times New Roman" w:hAnsi="Times New Roman" w:eastAsia="仿宋_GB2312"/>
          <w:i/>
          <w:color w:val="000000" w:themeColor="text1"/>
          <w:position w:val="6"/>
          <w:vertAlign w:val="subscript"/>
          <w14:textFill>
            <w14:solidFill>
              <w14:schemeClr w14:val="tx1"/>
            </w14:solidFill>
          </w14:textFill>
        </w:rPr>
        <w:t>W</w:t>
      </w:r>
      <w:r>
        <w:rPr>
          <w:rFonts w:ascii="Times New Roman" w:hAnsi="Times New Roman" w:eastAsia="仿宋_GB2312"/>
          <w:color w:val="000000" w:themeColor="text1"/>
          <w:spacing w:val="-1"/>
          <w14:textFill>
            <w14:solidFill>
              <w14:schemeClr w14:val="tx1"/>
            </w14:solidFill>
          </w14:textFill>
        </w:rPr>
        <w:t>—设计频率暴雨径流量，</w:t>
      </w:r>
      <w:r>
        <w:rPr>
          <w:rFonts w:ascii="Times New Roman" w:hAnsi="Times New Roman" w:eastAsia="仿宋_GB2312"/>
          <w:color w:val="000000" w:themeColor="text1"/>
          <w:spacing w:val="-4"/>
          <w14:textFill>
            <w14:solidFill>
              <w14:schemeClr w14:val="tx1"/>
            </w14:solidFill>
          </w14:textFill>
        </w:rPr>
        <w:t>m³；</w:t>
      </w:r>
    </w:p>
    <w:p w14:paraId="263D75C6">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i/>
          <w:color w:val="000000" w:themeColor="text1"/>
          <w:position w:val="12"/>
          <w14:textFill>
            <w14:solidFill>
              <w14:schemeClr w14:val="tx1"/>
            </w14:solidFill>
          </w14:textFill>
        </w:rPr>
        <w:t>V</w:t>
      </w:r>
      <w:r>
        <w:rPr>
          <w:rFonts w:ascii="Times New Roman" w:hAnsi="Times New Roman" w:eastAsia="仿宋_GB2312"/>
          <w:i/>
          <w:color w:val="000000" w:themeColor="text1"/>
          <w:position w:val="6"/>
          <w:vertAlign w:val="subscript"/>
          <w14:textFill>
            <w14:solidFill>
              <w14:schemeClr w14:val="tx1"/>
            </w14:solidFill>
          </w14:textFill>
        </w:rPr>
        <w:t>S</w:t>
      </w:r>
      <w:r>
        <w:rPr>
          <w:rFonts w:ascii="Times New Roman" w:hAnsi="Times New Roman" w:eastAsia="仿宋_GB2312"/>
          <w:color w:val="000000" w:themeColor="text1"/>
          <w14:textFill>
            <w14:solidFill>
              <w14:schemeClr w14:val="tx1"/>
            </w14:solidFill>
          </w14:textFill>
        </w:rPr>
        <w:t>—设计清淤年（3年）</w:t>
      </w:r>
      <w:r>
        <w:rPr>
          <w:rFonts w:ascii="Times New Roman" w:hAnsi="Times New Roman" w:eastAsia="仿宋_GB2312"/>
          <w:color w:val="000000" w:themeColor="text1"/>
          <w:spacing w:val="-1"/>
          <w14:textFill>
            <w14:solidFill>
              <w14:schemeClr w14:val="tx1"/>
            </w14:solidFill>
          </w14:textFill>
        </w:rPr>
        <w:t>累计泥沙淤积量，</w:t>
      </w:r>
      <w:r>
        <w:rPr>
          <w:rFonts w:ascii="Times New Roman" w:hAnsi="Times New Roman" w:eastAsia="仿宋_GB2312"/>
          <w:color w:val="000000" w:themeColor="text1"/>
          <w:spacing w:val="-4"/>
          <w14:textFill>
            <w14:solidFill>
              <w14:schemeClr w14:val="tx1"/>
            </w14:solidFill>
          </w14:textFill>
        </w:rPr>
        <w:t>m³；</w:t>
      </w:r>
    </w:p>
    <w:p w14:paraId="791494CF">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i/>
          <w:color w:val="000000" w:themeColor="text1"/>
          <w:position w:val="4"/>
          <w14:textFill>
            <w14:solidFill>
              <w14:schemeClr w14:val="tx1"/>
            </w14:solidFill>
          </w14:textFill>
        </w:rPr>
        <w:t>K</w:t>
      </w:r>
      <w:r>
        <w:rPr>
          <w:rFonts w:ascii="Times New Roman" w:hAnsi="Times New Roman" w:eastAsia="仿宋_GB2312"/>
          <w:color w:val="000000" w:themeColor="text1"/>
          <w:spacing w:val="-8"/>
          <w14:textFill>
            <w14:solidFill>
              <w14:schemeClr w14:val="tx1"/>
            </w14:solidFill>
          </w14:textFill>
        </w:rPr>
        <w:t>—安全系数，取</w:t>
      </w:r>
      <w:r>
        <w:rPr>
          <w:rFonts w:ascii="Times New Roman" w:hAnsi="Times New Roman" w:eastAsia="仿宋_GB2312"/>
          <w:color w:val="000000" w:themeColor="text1"/>
          <w14:textFill>
            <w14:solidFill>
              <w14:schemeClr w14:val="tx1"/>
            </w14:solidFill>
          </w14:textFill>
        </w:rPr>
        <w:t>1.2～1.3；</w:t>
      </w:r>
    </w:p>
    <w:p w14:paraId="7AE17DA0">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i/>
          <w:color w:val="000000" w:themeColor="text1"/>
          <w:position w:val="12"/>
          <w14:textFill>
            <w14:solidFill>
              <w14:schemeClr w14:val="tx1"/>
            </w14:solidFill>
          </w14:textFill>
        </w:rPr>
        <w:t>M</w:t>
      </w:r>
      <w:r>
        <w:rPr>
          <w:rFonts w:ascii="Times New Roman" w:hAnsi="Times New Roman" w:eastAsia="仿宋_GB2312"/>
          <w:i/>
          <w:color w:val="000000" w:themeColor="text1"/>
          <w:position w:val="6"/>
          <w:vertAlign w:val="subscript"/>
          <w14:textFill>
            <w14:solidFill>
              <w14:schemeClr w14:val="tx1"/>
            </w14:solidFill>
          </w14:textFill>
        </w:rPr>
        <w:t>W</w:t>
      </w:r>
      <w:r>
        <w:rPr>
          <w:rFonts w:ascii="Times New Roman" w:hAnsi="Times New Roman" w:eastAsia="仿宋_GB2312"/>
          <w:color w:val="000000" w:themeColor="text1"/>
          <w:spacing w:val="-1"/>
          <w14:textFill>
            <w14:solidFill>
              <w14:schemeClr w14:val="tx1"/>
            </w14:solidFill>
          </w14:textFill>
        </w:rPr>
        <w:t>—设计频率一次暴雨径流模数，</w:t>
      </w:r>
      <w:r>
        <w:rPr>
          <w:rFonts w:ascii="Times New Roman" w:hAnsi="Times New Roman" w:eastAsia="仿宋_GB2312"/>
          <w:color w:val="000000" w:themeColor="text1"/>
          <w14:textFill>
            <w14:solidFill>
              <w14:schemeClr w14:val="tx1"/>
            </w14:solidFill>
          </w14:textFill>
        </w:rPr>
        <w:t>m³/hm²；</w:t>
      </w:r>
    </w:p>
    <w:p w14:paraId="53A786A8">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i/>
          <w:color w:val="000000" w:themeColor="text1"/>
          <w:position w:val="12"/>
          <w14:textFill>
            <w14:solidFill>
              <w14:schemeClr w14:val="tx1"/>
            </w14:solidFill>
          </w14:textFill>
        </w:rPr>
        <w:t>M</w:t>
      </w:r>
      <w:r>
        <w:rPr>
          <w:rFonts w:ascii="Times New Roman" w:hAnsi="Times New Roman" w:eastAsia="仿宋_GB2312"/>
          <w:i/>
          <w:color w:val="000000" w:themeColor="text1"/>
          <w:position w:val="6"/>
          <w:vertAlign w:val="subscript"/>
          <w14:textFill>
            <w14:solidFill>
              <w14:schemeClr w14:val="tx1"/>
            </w14:solidFill>
          </w14:textFill>
        </w:rPr>
        <w:t>S</w:t>
      </w:r>
      <w:r>
        <w:rPr>
          <w:rFonts w:ascii="Times New Roman" w:hAnsi="Times New Roman" w:eastAsia="仿宋_GB2312"/>
          <w:color w:val="000000" w:themeColor="text1"/>
          <w14:textFill>
            <w14:solidFill>
              <w14:schemeClr w14:val="tx1"/>
            </w14:solidFill>
          </w14:textFill>
        </w:rPr>
        <w:t>—1</w:t>
      </w:r>
      <w:r>
        <w:rPr>
          <w:rFonts w:ascii="Times New Roman" w:hAnsi="Times New Roman" w:eastAsia="仿宋_GB2312"/>
          <w:color w:val="000000" w:themeColor="text1"/>
          <w:spacing w:val="-1"/>
          <w14:textFill>
            <w14:solidFill>
              <w14:schemeClr w14:val="tx1"/>
            </w14:solidFill>
          </w14:textFill>
        </w:rPr>
        <w:t>年的侵蚀模数，</w:t>
      </w:r>
      <w:r>
        <w:rPr>
          <w:rFonts w:ascii="Times New Roman" w:hAnsi="Times New Roman" w:eastAsia="仿宋_GB2312"/>
          <w:color w:val="000000" w:themeColor="text1"/>
          <w14:textFill>
            <w14:solidFill>
              <w14:schemeClr w14:val="tx1"/>
            </w14:solidFill>
          </w14:textFill>
        </w:rPr>
        <w:t>m³/hm²；</w:t>
      </w:r>
    </w:p>
    <w:p w14:paraId="4076BDAA">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i/>
          <w:color w:val="000000" w:themeColor="text1"/>
          <w:position w:val="4"/>
          <w14:textFill>
            <w14:solidFill>
              <w14:schemeClr w14:val="tx1"/>
            </w14:solidFill>
          </w14:textFill>
        </w:rPr>
        <w:t>F</w:t>
      </w:r>
      <w:r>
        <w:rPr>
          <w:rFonts w:ascii="Times New Roman" w:hAnsi="Times New Roman" w:eastAsia="仿宋_GB2312"/>
          <w:color w:val="000000" w:themeColor="text1"/>
          <w:spacing w:val="-1"/>
          <w14:textFill>
            <w14:solidFill>
              <w14:schemeClr w14:val="tx1"/>
            </w14:solidFill>
          </w14:textFill>
        </w:rPr>
        <w:t>—蓄水池的集水面积，</w:t>
      </w:r>
      <w:r>
        <w:rPr>
          <w:rFonts w:ascii="Times New Roman" w:hAnsi="Times New Roman" w:eastAsia="仿宋_GB2312"/>
          <w:color w:val="000000" w:themeColor="text1"/>
          <w:spacing w:val="-4"/>
          <w14:textFill>
            <w14:solidFill>
              <w14:schemeClr w14:val="tx1"/>
            </w14:solidFill>
          </w14:textFill>
        </w:rPr>
        <w:t>hm²；</w:t>
      </w:r>
    </w:p>
    <w:p w14:paraId="495EA248">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i/>
          <w:color w:val="000000" w:themeColor="text1"/>
          <w:position w:val="4"/>
          <w14:textFill>
            <w14:solidFill>
              <w14:schemeClr w14:val="tx1"/>
            </w14:solidFill>
          </w14:textFill>
        </w:rPr>
        <w:t>R</w:t>
      </w:r>
      <w:r>
        <w:rPr>
          <w:rFonts w:ascii="Times New Roman" w:hAnsi="Times New Roman" w:eastAsia="仿宋_GB2312"/>
          <w:color w:val="000000" w:themeColor="text1"/>
          <w14:textFill>
            <w14:solidFill>
              <w14:schemeClr w14:val="tx1"/>
            </w14:solidFill>
          </w14:textFill>
        </w:rPr>
        <w:t>—10</w:t>
      </w:r>
      <w:r>
        <w:rPr>
          <w:rFonts w:ascii="Times New Roman" w:hAnsi="Times New Roman" w:eastAsia="仿宋_GB2312"/>
          <w:color w:val="000000" w:themeColor="text1"/>
          <w:spacing w:val="-15"/>
          <w14:textFill>
            <w14:solidFill>
              <w14:schemeClr w14:val="tx1"/>
            </w14:solidFill>
          </w14:textFill>
        </w:rPr>
        <w:t>年一遇</w:t>
      </w:r>
      <w:r>
        <w:rPr>
          <w:rFonts w:ascii="Times New Roman" w:hAnsi="Times New Roman" w:eastAsia="仿宋_GB2312"/>
          <w:color w:val="000000" w:themeColor="text1"/>
          <w14:textFill>
            <w14:solidFill>
              <w14:schemeClr w14:val="tx1"/>
            </w14:solidFill>
          </w14:textFill>
        </w:rPr>
        <w:t>24h最大降雨量，mm</w:t>
      </w:r>
      <w:r>
        <w:rPr>
          <w:rFonts w:ascii="Times New Roman" w:hAnsi="Times New Roman" w:eastAsia="仿宋_GB2312"/>
          <w:color w:val="000000" w:themeColor="text1"/>
          <w:spacing w:val="-10"/>
          <w14:textFill>
            <w14:solidFill>
              <w14:schemeClr w14:val="tx1"/>
            </w14:solidFill>
          </w14:textFill>
        </w:rPr>
        <w:t>。</w:t>
      </w:r>
    </w:p>
    <w:p w14:paraId="5950558B">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蓄水池设计：根据当地地形及地质条件，蓄水池设计为地下开敞式矩形浆砌</w:t>
      </w:r>
      <w:r>
        <w:rPr>
          <w:rFonts w:ascii="Times New Roman" w:hAnsi="Times New Roman" w:eastAsia="仿宋_GB2312"/>
          <w:color w:val="000000" w:themeColor="text1"/>
          <w14:textFill>
            <w14:solidFill>
              <w14:schemeClr w14:val="tx1"/>
            </w14:solidFill>
          </w14:textFill>
        </w:rPr>
        <w:t>石蓄水池，具体尺寸根据实际需要确定。</w:t>
      </w:r>
    </w:p>
    <w:p w14:paraId="5270E412">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地基处理：蓄水池根据地形条件，布设在坡脚或坡面低凹处，施工前进行</w:t>
      </w:r>
      <w:r>
        <w:rPr>
          <w:rFonts w:ascii="Times New Roman" w:hAnsi="Times New Roman" w:eastAsia="仿宋_GB2312"/>
          <w:color w:val="000000" w:themeColor="text1"/>
          <w:spacing w:val="-17"/>
          <w14:textFill>
            <w14:solidFill>
              <w14:schemeClr w14:val="tx1"/>
            </w14:solidFill>
          </w14:textFill>
        </w:rPr>
        <w:t>坑探试验。如土基承载力不够时，应根据设计提出对地基的要求，采取加固措施，</w:t>
      </w:r>
      <w:r>
        <w:rPr>
          <w:rFonts w:ascii="Times New Roman" w:hAnsi="Times New Roman" w:eastAsia="仿宋_GB2312"/>
          <w:color w:val="000000" w:themeColor="text1"/>
          <w14:textFill>
            <w14:solidFill>
              <w14:schemeClr w14:val="tx1"/>
            </w14:solidFill>
          </w14:textFill>
        </w:rPr>
        <w:t>如扩大基础，换基夯实等措施。</w:t>
      </w:r>
    </w:p>
    <w:p w14:paraId="2D75A86A">
      <w:pPr>
        <w:pStyle w:val="12"/>
        <w:ind w:firstLine="480"/>
        <w:rPr>
          <w:rFonts w:ascii="Times New Roman" w:hAnsi="Times New Roman" w:eastAsia="仿宋_GB2312"/>
          <w:color w:val="000000" w:themeColor="text1"/>
          <w:spacing w:val="-10"/>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池墙砌筑：池墙砌筑时要沿周边分层整体砌石，不可分段分块单独施工，以保证池墙的整体性。池墙采用30cm浆砌石砌筑，砌筑应做到石料安砌平整、</w:t>
      </w:r>
      <w:r>
        <w:rPr>
          <w:rFonts w:ascii="Times New Roman" w:hAnsi="Times New Roman" w:eastAsia="仿宋_GB2312"/>
          <w:color w:val="000000" w:themeColor="text1"/>
          <w:spacing w:val="-18"/>
          <w14:textFill>
            <w14:solidFill>
              <w14:schemeClr w14:val="tx1"/>
            </w14:solidFill>
          </w14:textFill>
        </w:rPr>
        <w:t>稳当，上下层砌石应错缝，砌缝应用砂浆填充密实。石料砌筑前，应先湿润表面。</w:t>
      </w:r>
    </w:p>
    <w:p w14:paraId="2BEEF56A">
      <w:pPr>
        <w:pStyle w:val="12"/>
        <w:ind w:firstLine="45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11"/>
          <w14:textFill>
            <w14:solidFill>
              <w14:schemeClr w14:val="tx1"/>
            </w14:solidFill>
          </w14:textFill>
        </w:rPr>
        <w:t>池墙内壁用</w:t>
      </w:r>
      <w:r>
        <w:rPr>
          <w:rFonts w:ascii="Times New Roman" w:hAnsi="Times New Roman" w:eastAsia="仿宋_GB2312"/>
          <w:color w:val="000000" w:themeColor="text1"/>
          <w14:textFill>
            <w14:solidFill>
              <w14:schemeClr w14:val="tx1"/>
            </w14:solidFill>
          </w14:textFill>
        </w:rPr>
        <w:t>M10#</w:t>
      </w:r>
      <w:r>
        <w:rPr>
          <w:rFonts w:ascii="Times New Roman" w:hAnsi="Times New Roman" w:eastAsia="仿宋_GB2312"/>
          <w:color w:val="000000" w:themeColor="text1"/>
          <w:spacing w:val="-9"/>
          <w14:textFill>
            <w14:solidFill>
              <w14:schemeClr w14:val="tx1"/>
            </w14:solidFill>
          </w14:textFill>
        </w:rPr>
        <w:t>水泥砂浆抹面</w:t>
      </w:r>
      <w:r>
        <w:rPr>
          <w:rFonts w:ascii="Times New Roman" w:hAnsi="Times New Roman" w:eastAsia="仿宋_GB2312"/>
          <w:color w:val="000000" w:themeColor="text1"/>
          <w14:textFill>
            <w14:solidFill>
              <w14:schemeClr w14:val="tx1"/>
            </w14:solidFill>
          </w14:textFill>
        </w:rPr>
        <w:t>3cm</w:t>
      </w:r>
      <w:r>
        <w:rPr>
          <w:rFonts w:ascii="Times New Roman" w:hAnsi="Times New Roman" w:eastAsia="仿宋_GB2312"/>
          <w:color w:val="000000" w:themeColor="text1"/>
          <w:spacing w:val="-5"/>
          <w14:textFill>
            <w14:solidFill>
              <w14:schemeClr w14:val="tx1"/>
            </w14:solidFill>
          </w14:textFill>
        </w:rPr>
        <w:t>厚。</w:t>
      </w:r>
    </w:p>
    <w:p w14:paraId="716BE658">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池底建造：地基经回填碾压夯实达到设计高度时，即可进行池底砌石，浆</w:t>
      </w:r>
      <w:r>
        <w:rPr>
          <w:rFonts w:ascii="Times New Roman" w:hAnsi="Times New Roman" w:eastAsia="仿宋_GB2312"/>
          <w:color w:val="000000" w:themeColor="text1"/>
          <w:spacing w:val="-6"/>
          <w14:textFill>
            <w14:solidFill>
              <w14:schemeClr w14:val="tx1"/>
            </w14:solidFill>
          </w14:textFill>
        </w:rPr>
        <w:t>砌块石厚度为</w:t>
      </w:r>
      <w:r>
        <w:rPr>
          <w:rFonts w:ascii="Times New Roman" w:hAnsi="Times New Roman" w:eastAsia="仿宋_GB2312"/>
          <w:color w:val="000000" w:themeColor="text1"/>
          <w14:textFill>
            <w14:solidFill>
              <w14:schemeClr w14:val="tx1"/>
            </w14:solidFill>
          </w14:textFill>
        </w:rPr>
        <w:t>30cm，一次砌筑完成，浆砌石应采用座浆砌筑，然后进行灌浆，用碎石填充石缝，务必灌浆密实，砌石稳固。在浆砌石基础上浇筑C15混凝土，</w:t>
      </w:r>
      <w:r>
        <w:rPr>
          <w:rFonts w:ascii="Times New Roman" w:hAnsi="Times New Roman" w:eastAsia="仿宋_GB2312"/>
          <w:color w:val="000000" w:themeColor="text1"/>
          <w:spacing w:val="-11"/>
          <w14:textFill>
            <w14:solidFill>
              <w14:schemeClr w14:val="tx1"/>
            </w14:solidFill>
          </w14:textFill>
        </w:rPr>
        <w:t>厚度为</w:t>
      </w:r>
      <w:r>
        <w:rPr>
          <w:rFonts w:ascii="Times New Roman" w:hAnsi="Times New Roman" w:eastAsia="仿宋_GB2312"/>
          <w:color w:val="000000" w:themeColor="text1"/>
          <w14:textFill>
            <w14:solidFill>
              <w14:schemeClr w14:val="tx1"/>
            </w14:solidFill>
          </w14:textFill>
        </w:rPr>
        <w:t>10cm，依次推进，形成整体，一次灌筑完成，并要及时收面三遍，表面要求密实、平整、光滑。池底混凝土浇筑好后，可采用425#水泥加防渗剂用水稀释成糊状刷面。</w:t>
      </w:r>
    </w:p>
    <w:p w14:paraId="6FFE7838">
      <w:pPr>
        <w:pStyle w:val="12"/>
        <w:ind w:firstLine="47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1"/>
          <w14:textFill>
            <w14:solidFill>
              <w14:schemeClr w14:val="tx1"/>
            </w14:solidFill>
          </w14:textFill>
        </w:rPr>
        <w:t>2）进水口和溢洪口设计</w:t>
      </w:r>
    </w:p>
    <w:p w14:paraId="15152C96">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石料衬砌的蓄水池，衬砌中应专设进水口与溢洪口；土质蓄水池的进水口和</w:t>
      </w:r>
      <w:r>
        <w:rPr>
          <w:rFonts w:ascii="Times New Roman" w:hAnsi="Times New Roman" w:eastAsia="仿宋_GB2312"/>
          <w:color w:val="000000" w:themeColor="text1"/>
          <w:spacing w:val="-3"/>
          <w14:textFill>
            <w14:solidFill>
              <w14:schemeClr w14:val="tx1"/>
            </w14:solidFill>
          </w14:textFill>
        </w:rPr>
        <w:t>溢洪口，应进行石料衬砌。一般口宽</w:t>
      </w:r>
      <w:r>
        <w:rPr>
          <w:rFonts w:ascii="Times New Roman" w:hAnsi="Times New Roman" w:eastAsia="仿宋_GB2312"/>
          <w:color w:val="000000" w:themeColor="text1"/>
          <w14:textFill>
            <w14:solidFill>
              <w14:schemeClr w14:val="tx1"/>
            </w14:solidFill>
          </w14:textFill>
        </w:rPr>
        <w:t>40cm~60cm</w:t>
      </w:r>
      <w:r>
        <w:rPr>
          <w:rFonts w:ascii="Times New Roman" w:hAnsi="Times New Roman" w:eastAsia="仿宋_GB2312"/>
          <w:color w:val="000000" w:themeColor="text1"/>
          <w:spacing w:val="-7"/>
          <w14:textFill>
            <w14:solidFill>
              <w14:schemeClr w14:val="tx1"/>
            </w14:solidFill>
          </w14:textFill>
        </w:rPr>
        <w:t>，深</w:t>
      </w:r>
      <w:r>
        <w:rPr>
          <w:rFonts w:ascii="Times New Roman" w:hAnsi="Times New Roman" w:eastAsia="仿宋_GB2312"/>
          <w:color w:val="000000" w:themeColor="text1"/>
          <w14:textFill>
            <w14:solidFill>
              <w14:schemeClr w14:val="tx1"/>
            </w14:solidFill>
          </w14:textFill>
        </w:rPr>
        <w:t>30cm~40cm，并用式下式校核过水断面。</w:t>
      </w:r>
    </w:p>
    <w:p w14:paraId="77F65890">
      <w:pPr>
        <w:pStyle w:val="12"/>
        <w:ind w:firstLine="480"/>
        <w:jc w:val="center"/>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drawing>
          <wp:inline distT="0" distB="0" distL="0" distR="0">
            <wp:extent cx="1884680" cy="609600"/>
            <wp:effectExtent l="0" t="0" r="0" b="0"/>
            <wp:docPr id="772" name="Image 772"/>
            <wp:cNvGraphicFramePr/>
            <a:graphic xmlns:a="http://schemas.openxmlformats.org/drawingml/2006/main">
              <a:graphicData uri="http://schemas.openxmlformats.org/drawingml/2006/picture">
                <pic:pic xmlns:pic="http://schemas.openxmlformats.org/drawingml/2006/picture">
                  <pic:nvPicPr>
                    <pic:cNvPr id="772" name="Image 772"/>
                    <pic:cNvPicPr/>
                  </pic:nvPicPr>
                  <pic:blipFill>
                    <a:blip r:embed="rId100" cstate="print"/>
                    <a:stretch>
                      <a:fillRect/>
                    </a:stretch>
                  </pic:blipFill>
                  <pic:spPr>
                    <a:xfrm>
                      <a:off x="0" y="0"/>
                      <a:ext cx="1885294" cy="609600"/>
                    </a:xfrm>
                    <a:prstGeom prst="rect">
                      <a:avLst/>
                    </a:prstGeom>
                  </pic:spPr>
                </pic:pic>
              </a:graphicData>
            </a:graphic>
          </wp:inline>
        </w:drawing>
      </w:r>
    </w:p>
    <w:p w14:paraId="3B3E02FD">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式中：</w:t>
      </w:r>
    </w:p>
    <w:p w14:paraId="1E501886">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Q——进水（或溢洪）最大流量，单位为立方米每秒（m³/s）;</w:t>
      </w:r>
    </w:p>
    <w:p w14:paraId="760DF20F">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M——流量系数（</w:t>
      </w:r>
      <w:r>
        <w:rPr>
          <w:rFonts w:ascii="Times New Roman" w:hAnsi="Times New Roman" w:eastAsia="仿宋_GB2312"/>
          <w:color w:val="000000" w:themeColor="text1"/>
          <w:spacing w:val="-14"/>
          <w14:textFill>
            <w14:solidFill>
              <w14:schemeClr w14:val="tx1"/>
            </w14:solidFill>
          </w14:textFill>
        </w:rPr>
        <w:t>采用</w:t>
      </w:r>
      <w:r>
        <w:rPr>
          <w:rFonts w:ascii="Times New Roman" w:hAnsi="Times New Roman" w:eastAsia="仿宋_GB2312"/>
          <w:color w:val="000000" w:themeColor="text1"/>
          <w14:textFill>
            <w14:solidFill>
              <w14:schemeClr w14:val="tx1"/>
            </w14:solidFill>
          </w14:textFill>
        </w:rPr>
        <w:t>0.35）;</w:t>
      </w:r>
    </w:p>
    <w:p w14:paraId="3F27D717">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g—重力加速度（9.81，m/s</w:t>
      </w:r>
      <w:r>
        <w:rPr>
          <w:rFonts w:ascii="Times New Roman" w:hAnsi="Times New Roman" w:eastAsia="仿宋_GB2312"/>
          <w:color w:val="000000" w:themeColor="text1"/>
          <w:vertAlign w:val="superscript"/>
          <w14:textFill>
            <w14:solidFill>
              <w14:schemeClr w14:val="tx1"/>
            </w14:solidFill>
          </w14:textFill>
        </w:rPr>
        <w:t>2</w:t>
      </w:r>
      <w:r>
        <w:rPr>
          <w:rFonts w:ascii="Times New Roman" w:hAnsi="Times New Roman" w:eastAsia="仿宋_GB2312"/>
          <w:color w:val="000000" w:themeColor="text1"/>
          <w14:textFill>
            <w14:solidFill>
              <w14:schemeClr w14:val="tx1"/>
            </w14:solidFill>
          </w14:textFill>
        </w:rPr>
        <w:t>）；</w:t>
      </w:r>
    </w:p>
    <w:p w14:paraId="6F575644">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b—堰顶宽（口宽），单位为米（m）；</w:t>
      </w:r>
    </w:p>
    <w:p w14:paraId="66D0F95A">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h——堰顶水深，单位为米（m）。</w:t>
      </w:r>
    </w:p>
    <w:p w14:paraId="56A61FB1">
      <w:pPr>
        <w:pStyle w:val="12"/>
        <w:ind w:firstLine="480"/>
        <w:rPr>
          <w:rFonts w:ascii="Times New Roman" w:hAnsi="Times New Roman" w:eastAsia="仿宋_GB2312"/>
          <w:color w:val="000000" w:themeColor="text1"/>
          <w:spacing w:val="-10"/>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功能区雨水积蓄利用措施布设位置、标准及等级情况详见表5-11</w:t>
      </w:r>
      <w:r>
        <w:rPr>
          <w:rFonts w:ascii="Times New Roman" w:hAnsi="Times New Roman" w:eastAsia="仿宋_GB2312"/>
          <w:color w:val="000000" w:themeColor="text1"/>
          <w:spacing w:val="-10"/>
          <w14:textFill>
            <w14:solidFill>
              <w14:schemeClr w14:val="tx1"/>
            </w14:solidFill>
          </w14:textFill>
        </w:rPr>
        <w:t>。</w:t>
      </w:r>
    </w:p>
    <w:p w14:paraId="64B5DD54">
      <w:pPr>
        <w:pStyle w:val="44"/>
        <w:rPr>
          <w:color w:val="000000" w:themeColor="text1"/>
          <w:spacing w:val="-10"/>
          <w:lang w:eastAsia="zh-CN"/>
          <w14:textFill>
            <w14:solidFill>
              <w14:schemeClr w14:val="tx1"/>
            </w14:solidFill>
          </w14:textFill>
        </w:rPr>
      </w:pPr>
      <w:r>
        <w:rPr>
          <w:color w:val="000000" w:themeColor="text1"/>
          <w:lang w:eastAsia="zh-CN"/>
          <w14:textFill>
            <w14:solidFill>
              <w14:schemeClr w14:val="tx1"/>
            </w14:solidFill>
          </w14:textFill>
        </w:rPr>
        <w:t>表5-</w:t>
      </w:r>
      <w:r>
        <w:rPr>
          <w:color w:val="000000" w:themeColor="text1"/>
          <w:spacing w:val="-5"/>
          <w:lang w:eastAsia="zh-CN"/>
          <w14:textFill>
            <w14:solidFill>
              <w14:schemeClr w14:val="tx1"/>
            </w14:solidFill>
          </w14:textFill>
        </w:rPr>
        <w:t xml:space="preserve">11             </w:t>
      </w:r>
      <w:r>
        <w:rPr>
          <w:color w:val="000000" w:themeColor="text1"/>
          <w:lang w:eastAsia="zh-CN"/>
          <w14:textFill>
            <w14:solidFill>
              <w14:schemeClr w14:val="tx1"/>
            </w14:solidFill>
          </w14:textFill>
        </w:rPr>
        <w:t>雨水积蓄利用措施布设位置、标准及等级汇总</w:t>
      </w:r>
      <w:r>
        <w:rPr>
          <w:color w:val="000000" w:themeColor="text1"/>
          <w:spacing w:val="-10"/>
          <w:lang w:eastAsia="zh-CN"/>
          <w14:textFill>
            <w14:solidFill>
              <w14:schemeClr w14:val="tx1"/>
            </w14:solidFill>
          </w14:textFill>
        </w:rPr>
        <w:t>表</w:t>
      </w:r>
    </w:p>
    <w:tbl>
      <w:tblPr>
        <w:tblStyle w:val="27"/>
        <w:tblW w:w="0" w:type="auto"/>
        <w:jc w:val="center"/>
        <w:tblLayout w:type="autofit"/>
        <w:tblCellMar>
          <w:top w:w="0" w:type="dxa"/>
          <w:left w:w="108" w:type="dxa"/>
          <w:bottom w:w="0" w:type="dxa"/>
          <w:right w:w="108" w:type="dxa"/>
        </w:tblCellMar>
      </w:tblPr>
      <w:tblGrid>
        <w:gridCol w:w="731"/>
        <w:gridCol w:w="854"/>
        <w:gridCol w:w="1046"/>
        <w:gridCol w:w="851"/>
        <w:gridCol w:w="1701"/>
        <w:gridCol w:w="2976"/>
        <w:gridCol w:w="1127"/>
      </w:tblGrid>
      <w:tr w14:paraId="29D6FE09">
        <w:tblPrEx>
          <w:tblCellMar>
            <w:top w:w="0" w:type="dxa"/>
            <w:left w:w="108" w:type="dxa"/>
            <w:bottom w:w="0" w:type="dxa"/>
            <w:right w:w="108" w:type="dxa"/>
          </w:tblCellMar>
        </w:tblPrEx>
        <w:trPr>
          <w:trHeight w:val="397" w:hRule="atLeast"/>
          <w:jc w:val="center"/>
        </w:trPr>
        <w:tc>
          <w:tcPr>
            <w:tcW w:w="0" w:type="auto"/>
            <w:tcBorders>
              <w:top w:val="single" w:color="auto" w:sz="4" w:space="0"/>
              <w:left w:val="single" w:color="auto" w:sz="4" w:space="0"/>
              <w:bottom w:val="double" w:color="auto" w:sz="4" w:space="0"/>
              <w:right w:val="single" w:color="auto" w:sz="4" w:space="0"/>
            </w:tcBorders>
            <w:shd w:val="clear" w:color="auto" w:fill="auto"/>
            <w:vAlign w:val="center"/>
          </w:tcPr>
          <w:p w14:paraId="3D657A9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措施类型</w:t>
            </w:r>
          </w:p>
        </w:tc>
        <w:tc>
          <w:tcPr>
            <w:tcW w:w="0" w:type="auto"/>
            <w:tcBorders>
              <w:top w:val="single" w:color="auto" w:sz="4" w:space="0"/>
              <w:left w:val="nil"/>
              <w:bottom w:val="double" w:color="auto" w:sz="4" w:space="0"/>
              <w:right w:val="single" w:color="auto" w:sz="4" w:space="0"/>
            </w:tcBorders>
            <w:shd w:val="clear" w:color="auto" w:fill="auto"/>
            <w:vAlign w:val="center"/>
          </w:tcPr>
          <w:p w14:paraId="6A9B3B9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措施名称</w:t>
            </w:r>
          </w:p>
        </w:tc>
        <w:tc>
          <w:tcPr>
            <w:tcW w:w="1897" w:type="dxa"/>
            <w:gridSpan w:val="2"/>
            <w:tcBorders>
              <w:top w:val="single" w:color="auto" w:sz="4" w:space="0"/>
              <w:left w:val="nil"/>
              <w:bottom w:val="double" w:color="auto" w:sz="4" w:space="0"/>
              <w:right w:val="single" w:color="auto" w:sz="4" w:space="0"/>
            </w:tcBorders>
            <w:shd w:val="clear" w:color="auto" w:fill="auto"/>
            <w:vAlign w:val="center"/>
          </w:tcPr>
          <w:p w14:paraId="58B5348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功能区</w:t>
            </w:r>
          </w:p>
        </w:tc>
        <w:tc>
          <w:tcPr>
            <w:tcW w:w="1701" w:type="dxa"/>
            <w:tcBorders>
              <w:top w:val="single" w:color="auto" w:sz="4" w:space="0"/>
              <w:left w:val="nil"/>
              <w:bottom w:val="double" w:color="auto" w:sz="4" w:space="0"/>
              <w:right w:val="single" w:color="auto" w:sz="4" w:space="0"/>
            </w:tcBorders>
            <w:shd w:val="clear" w:color="auto" w:fill="auto"/>
            <w:vAlign w:val="center"/>
          </w:tcPr>
          <w:p w14:paraId="233907F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布设位置</w:t>
            </w:r>
          </w:p>
        </w:tc>
        <w:tc>
          <w:tcPr>
            <w:tcW w:w="2976" w:type="dxa"/>
            <w:tcBorders>
              <w:top w:val="single" w:color="auto" w:sz="4" w:space="0"/>
              <w:left w:val="nil"/>
              <w:bottom w:val="double" w:color="auto" w:sz="4" w:space="0"/>
              <w:right w:val="single" w:color="auto" w:sz="4" w:space="0"/>
            </w:tcBorders>
            <w:shd w:val="clear" w:color="auto" w:fill="auto"/>
            <w:vAlign w:val="center"/>
          </w:tcPr>
          <w:p w14:paraId="78BC891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等级及标准</w:t>
            </w:r>
          </w:p>
        </w:tc>
        <w:tc>
          <w:tcPr>
            <w:tcW w:w="1127" w:type="dxa"/>
            <w:tcBorders>
              <w:top w:val="single" w:color="auto" w:sz="4" w:space="0"/>
              <w:left w:val="nil"/>
              <w:bottom w:val="double" w:color="auto" w:sz="4" w:space="0"/>
              <w:right w:val="single" w:color="auto" w:sz="4" w:space="0"/>
            </w:tcBorders>
            <w:shd w:val="clear" w:color="auto" w:fill="auto"/>
            <w:vAlign w:val="center"/>
          </w:tcPr>
          <w:p w14:paraId="0A879E3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备注</w:t>
            </w:r>
          </w:p>
        </w:tc>
      </w:tr>
      <w:tr w14:paraId="027241C6">
        <w:tblPrEx>
          <w:tblCellMar>
            <w:top w:w="0" w:type="dxa"/>
            <w:left w:w="108" w:type="dxa"/>
            <w:bottom w:w="0" w:type="dxa"/>
            <w:right w:w="108" w:type="dxa"/>
          </w:tblCellMar>
        </w:tblPrEx>
        <w:trPr>
          <w:trHeight w:val="397" w:hRule="atLeast"/>
          <w:jc w:val="center"/>
        </w:trPr>
        <w:tc>
          <w:tcPr>
            <w:tcW w:w="0" w:type="auto"/>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1306D1B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雨水积蓄利用措施</w:t>
            </w:r>
          </w:p>
        </w:tc>
        <w:tc>
          <w:tcPr>
            <w:tcW w:w="0" w:type="auto"/>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136694D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透水（植草）砖</w:t>
            </w:r>
          </w:p>
        </w:tc>
        <w:tc>
          <w:tcPr>
            <w:tcW w:w="1046"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3FFC0A3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851" w:type="dxa"/>
            <w:tcBorders>
              <w:top w:val="double" w:color="auto" w:sz="4" w:space="0"/>
              <w:left w:val="nil"/>
              <w:bottom w:val="single" w:color="auto" w:sz="4" w:space="0"/>
              <w:right w:val="single" w:color="auto" w:sz="4" w:space="0"/>
            </w:tcBorders>
            <w:shd w:val="clear" w:color="auto" w:fill="auto"/>
            <w:vAlign w:val="center"/>
          </w:tcPr>
          <w:p w14:paraId="31A9C06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1701" w:type="dxa"/>
            <w:tcBorders>
              <w:top w:val="double" w:color="auto" w:sz="4" w:space="0"/>
              <w:left w:val="nil"/>
              <w:bottom w:val="single" w:color="auto" w:sz="4" w:space="0"/>
              <w:right w:val="single" w:color="auto" w:sz="4" w:space="0"/>
            </w:tcBorders>
            <w:shd w:val="clear" w:color="auto" w:fill="auto"/>
            <w:vAlign w:val="center"/>
          </w:tcPr>
          <w:p w14:paraId="5C1AEE3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人行道、停车位区域及建筑物周边硬化空地</w:t>
            </w:r>
          </w:p>
        </w:tc>
        <w:tc>
          <w:tcPr>
            <w:tcW w:w="2976" w:type="dxa"/>
            <w:vMerge w:val="restart"/>
            <w:tcBorders>
              <w:top w:val="double" w:color="auto" w:sz="4" w:space="0"/>
              <w:left w:val="single" w:color="auto" w:sz="4" w:space="0"/>
              <w:bottom w:val="single" w:color="000000" w:sz="4" w:space="0"/>
              <w:right w:val="single" w:color="auto" w:sz="4" w:space="0"/>
            </w:tcBorders>
            <w:shd w:val="clear" w:color="auto" w:fill="auto"/>
            <w:vAlign w:val="center"/>
          </w:tcPr>
          <w:p w14:paraId="0ED0B82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透水（植草）砖在铺装前，需润湿，但表面不得有水分。细石混凝土摊铺的虚铺厚度比设计要求高0.5～1cm，在细石混凝土摊铺后，透水（植草）砖底部蘸水灰比为0.4～0.5的水泥浆，在透水（植草）砖的两侧缝位置，插上5mm的塑料卡</w:t>
            </w:r>
            <w:r>
              <w:rPr>
                <w:rFonts w:hint="eastAsia" w:cs="Times New Roman"/>
                <w:color w:val="000000" w:themeColor="text1"/>
                <w:sz w:val="21"/>
                <w:szCs w:val="21"/>
                <w14:textFill>
                  <w14:solidFill>
                    <w14:schemeClr w14:val="tx1"/>
                  </w14:solidFill>
                </w14:textFill>
              </w:rPr>
              <w:t>。</w:t>
            </w:r>
          </w:p>
        </w:tc>
        <w:tc>
          <w:tcPr>
            <w:tcW w:w="1127" w:type="dxa"/>
            <w:tcBorders>
              <w:top w:val="double" w:color="auto" w:sz="4" w:space="0"/>
              <w:left w:val="nil"/>
              <w:bottom w:val="single" w:color="auto" w:sz="4" w:space="0"/>
              <w:right w:val="single" w:color="auto" w:sz="4" w:space="0"/>
            </w:tcBorders>
            <w:shd w:val="clear" w:color="auto" w:fill="auto"/>
            <w:vAlign w:val="center"/>
          </w:tcPr>
          <w:p w14:paraId="54484E5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49E02445">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7B4EFE1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0D7D5E2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046" w:type="dxa"/>
            <w:vMerge w:val="continue"/>
            <w:tcBorders>
              <w:top w:val="nil"/>
              <w:left w:val="single" w:color="auto" w:sz="4" w:space="0"/>
              <w:bottom w:val="single" w:color="auto" w:sz="4" w:space="0"/>
              <w:right w:val="single" w:color="auto" w:sz="4" w:space="0"/>
            </w:tcBorders>
            <w:vAlign w:val="center"/>
          </w:tcPr>
          <w:p w14:paraId="3328025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51" w:type="dxa"/>
            <w:tcBorders>
              <w:top w:val="nil"/>
              <w:left w:val="nil"/>
              <w:bottom w:val="single" w:color="auto" w:sz="4" w:space="0"/>
              <w:right w:val="single" w:color="auto" w:sz="4" w:space="0"/>
            </w:tcBorders>
            <w:shd w:val="clear" w:color="auto" w:fill="auto"/>
            <w:vAlign w:val="center"/>
          </w:tcPr>
          <w:p w14:paraId="56E5487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未建成</w:t>
            </w:r>
          </w:p>
        </w:tc>
        <w:tc>
          <w:tcPr>
            <w:tcW w:w="1701" w:type="dxa"/>
            <w:tcBorders>
              <w:top w:val="nil"/>
              <w:left w:val="nil"/>
              <w:bottom w:val="single" w:color="auto" w:sz="4" w:space="0"/>
              <w:right w:val="single" w:color="auto" w:sz="4" w:space="0"/>
            </w:tcBorders>
            <w:shd w:val="clear" w:color="auto" w:fill="auto"/>
            <w:vAlign w:val="center"/>
          </w:tcPr>
          <w:p w14:paraId="0B2D2B5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人行道、停车位区域及建筑物周边硬化空地</w:t>
            </w:r>
          </w:p>
        </w:tc>
        <w:tc>
          <w:tcPr>
            <w:tcW w:w="2976" w:type="dxa"/>
            <w:vMerge w:val="continue"/>
            <w:tcBorders>
              <w:top w:val="nil"/>
              <w:left w:val="single" w:color="auto" w:sz="4" w:space="0"/>
              <w:bottom w:val="single" w:color="000000" w:sz="4" w:space="0"/>
              <w:right w:val="single" w:color="auto" w:sz="4" w:space="0"/>
            </w:tcBorders>
            <w:vAlign w:val="center"/>
          </w:tcPr>
          <w:p w14:paraId="4478818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27" w:type="dxa"/>
            <w:tcBorders>
              <w:top w:val="nil"/>
              <w:left w:val="nil"/>
              <w:bottom w:val="single" w:color="auto" w:sz="4" w:space="0"/>
              <w:right w:val="single" w:color="auto" w:sz="4" w:space="0"/>
            </w:tcBorders>
            <w:shd w:val="clear" w:color="auto" w:fill="auto"/>
            <w:vAlign w:val="center"/>
          </w:tcPr>
          <w:p w14:paraId="60D7E47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13FF0F9E">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0959A95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12F0D28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046" w:type="dxa"/>
            <w:tcBorders>
              <w:top w:val="nil"/>
              <w:left w:val="single" w:color="auto" w:sz="4" w:space="0"/>
              <w:bottom w:val="single" w:color="auto" w:sz="4" w:space="0"/>
              <w:right w:val="single" w:color="auto" w:sz="4" w:space="0"/>
            </w:tcBorders>
            <w:shd w:val="clear" w:color="auto" w:fill="auto"/>
            <w:vAlign w:val="center"/>
          </w:tcPr>
          <w:p w14:paraId="23F165C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851" w:type="dxa"/>
            <w:tcBorders>
              <w:top w:val="nil"/>
              <w:left w:val="nil"/>
              <w:bottom w:val="single" w:color="auto" w:sz="4" w:space="0"/>
              <w:right w:val="single" w:color="auto" w:sz="4" w:space="0"/>
            </w:tcBorders>
            <w:shd w:val="clear" w:color="auto" w:fill="auto"/>
            <w:vAlign w:val="center"/>
          </w:tcPr>
          <w:p w14:paraId="2D68F0B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1701" w:type="dxa"/>
            <w:tcBorders>
              <w:top w:val="nil"/>
              <w:left w:val="nil"/>
              <w:bottom w:val="single" w:color="auto" w:sz="4" w:space="0"/>
              <w:right w:val="single" w:color="auto" w:sz="4" w:space="0"/>
            </w:tcBorders>
            <w:shd w:val="clear" w:color="auto" w:fill="auto"/>
            <w:vAlign w:val="center"/>
          </w:tcPr>
          <w:p w14:paraId="4D0DE2D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人行道、停车位区域及建筑物周边硬化空地</w:t>
            </w:r>
          </w:p>
        </w:tc>
        <w:tc>
          <w:tcPr>
            <w:tcW w:w="2976" w:type="dxa"/>
            <w:vMerge w:val="continue"/>
            <w:tcBorders>
              <w:top w:val="nil"/>
              <w:left w:val="single" w:color="auto" w:sz="4" w:space="0"/>
              <w:bottom w:val="single" w:color="000000" w:sz="4" w:space="0"/>
              <w:right w:val="single" w:color="auto" w:sz="4" w:space="0"/>
            </w:tcBorders>
            <w:vAlign w:val="center"/>
          </w:tcPr>
          <w:p w14:paraId="2B0EBE5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27" w:type="dxa"/>
            <w:tcBorders>
              <w:top w:val="nil"/>
              <w:left w:val="nil"/>
              <w:bottom w:val="single" w:color="auto" w:sz="4" w:space="0"/>
              <w:right w:val="single" w:color="auto" w:sz="4" w:space="0"/>
            </w:tcBorders>
            <w:shd w:val="clear" w:color="auto" w:fill="auto"/>
            <w:vAlign w:val="center"/>
          </w:tcPr>
          <w:p w14:paraId="4A283FB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535CB1AF">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344C262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restart"/>
            <w:tcBorders>
              <w:top w:val="nil"/>
              <w:left w:val="single" w:color="auto" w:sz="4" w:space="0"/>
              <w:right w:val="single" w:color="auto" w:sz="4" w:space="0"/>
            </w:tcBorders>
            <w:vAlign w:val="center"/>
          </w:tcPr>
          <w:p w14:paraId="0E815B5F">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碎石压盖</w:t>
            </w:r>
          </w:p>
        </w:tc>
        <w:tc>
          <w:tcPr>
            <w:tcW w:w="1046" w:type="dxa"/>
            <w:vMerge w:val="restart"/>
            <w:tcBorders>
              <w:top w:val="nil"/>
              <w:left w:val="single" w:color="auto" w:sz="4" w:space="0"/>
              <w:right w:val="single" w:color="auto" w:sz="4" w:space="0"/>
            </w:tcBorders>
            <w:shd w:val="clear" w:color="auto" w:fill="auto"/>
            <w:vAlign w:val="center"/>
          </w:tcPr>
          <w:p w14:paraId="3E9F390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851" w:type="dxa"/>
            <w:tcBorders>
              <w:top w:val="nil"/>
              <w:left w:val="nil"/>
              <w:bottom w:val="single" w:color="auto" w:sz="4" w:space="0"/>
              <w:right w:val="single" w:color="auto" w:sz="4" w:space="0"/>
            </w:tcBorders>
            <w:shd w:val="clear" w:color="auto" w:fill="auto"/>
            <w:vAlign w:val="center"/>
          </w:tcPr>
          <w:p w14:paraId="52F6305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1701" w:type="dxa"/>
            <w:tcBorders>
              <w:top w:val="nil"/>
              <w:left w:val="nil"/>
              <w:bottom w:val="single" w:color="auto" w:sz="4" w:space="0"/>
              <w:right w:val="single" w:color="auto" w:sz="4" w:space="0"/>
            </w:tcBorders>
            <w:shd w:val="clear" w:color="auto" w:fill="auto"/>
            <w:vAlign w:val="center"/>
          </w:tcPr>
          <w:p w14:paraId="7425764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人行道、停车位区域及</w:t>
            </w:r>
            <w:r>
              <w:rPr>
                <w:rFonts w:hint="eastAsia" w:cs="Times New Roman"/>
                <w:color w:val="000000" w:themeColor="text1"/>
                <w:sz w:val="21"/>
                <w:szCs w:val="21"/>
                <w14:textFill>
                  <w14:solidFill>
                    <w14:schemeClr w14:val="tx1"/>
                  </w14:solidFill>
                </w14:textFill>
              </w:rPr>
              <w:t>施工便道等区域</w:t>
            </w:r>
          </w:p>
        </w:tc>
        <w:tc>
          <w:tcPr>
            <w:tcW w:w="2976" w:type="dxa"/>
            <w:vMerge w:val="restart"/>
            <w:tcBorders>
              <w:top w:val="nil"/>
              <w:left w:val="single" w:color="auto" w:sz="4" w:space="0"/>
              <w:right w:val="single" w:color="auto" w:sz="4" w:space="0"/>
            </w:tcBorders>
            <w:vAlign w:val="center"/>
          </w:tcPr>
          <w:p w14:paraId="420B06D4">
            <w:pPr>
              <w:pStyle w:val="12"/>
              <w:spacing w:line="240" w:lineRule="auto"/>
              <w:ind w:firstLine="420"/>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_GB2312"/>
                <w:color w:val="000000" w:themeColor="text1"/>
                <w:sz w:val="21"/>
                <w:szCs w:val="21"/>
                <w14:textFill>
                  <w14:solidFill>
                    <w14:schemeClr w14:val="tx1"/>
                  </w14:solidFill>
                </w14:textFill>
              </w:rPr>
              <w:t>碎石压盖在开始施工之前，确定铺设区域的位置和尺寸，清理铺设区域，除去杂物和障碍物，根据需要修整士地，确保表面平整，</w:t>
            </w:r>
            <w:r>
              <w:rPr>
                <w:rFonts w:ascii="Times New Roman" w:hAnsi="Times New Roman" w:eastAsia="仿宋_GB2312"/>
                <w:color w:val="000000" w:themeColor="text1"/>
                <w:sz w:val="21"/>
                <w:szCs w:val="21"/>
                <w14:textFill>
                  <w14:solidFill>
                    <w14:schemeClr w14:val="tx1"/>
                  </w14:solidFill>
                </w14:textFill>
              </w:rPr>
              <w:t>在底层上铺设一层碎石，厚度约为10厘米，碎石大小应均匀适中</w:t>
            </w:r>
            <w:r>
              <w:rPr>
                <w:rFonts w:hint="eastAsia" w:ascii="Times New Roman" w:hAnsi="Times New Roman" w:eastAsia="仿宋_GB2312"/>
                <w:color w:val="000000" w:themeColor="text1"/>
                <w:sz w:val="21"/>
                <w:szCs w:val="21"/>
                <w14:textFill>
                  <w14:solidFill>
                    <w14:schemeClr w14:val="tx1"/>
                  </w14:solidFill>
                </w14:textFill>
              </w:rPr>
              <w:t>。</w:t>
            </w:r>
          </w:p>
        </w:tc>
        <w:tc>
          <w:tcPr>
            <w:tcW w:w="1127" w:type="dxa"/>
            <w:tcBorders>
              <w:top w:val="nil"/>
              <w:left w:val="nil"/>
              <w:bottom w:val="single" w:color="auto" w:sz="4" w:space="0"/>
              <w:right w:val="single" w:color="auto" w:sz="4" w:space="0"/>
            </w:tcBorders>
            <w:shd w:val="clear" w:color="auto" w:fill="auto"/>
            <w:vAlign w:val="center"/>
          </w:tcPr>
          <w:p w14:paraId="14CC6B3C">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40C491CE">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0C33158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left w:val="single" w:color="auto" w:sz="4" w:space="0"/>
              <w:right w:val="single" w:color="auto" w:sz="4" w:space="0"/>
            </w:tcBorders>
            <w:vAlign w:val="center"/>
          </w:tcPr>
          <w:p w14:paraId="72A25A2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046" w:type="dxa"/>
            <w:vMerge w:val="continue"/>
            <w:tcBorders>
              <w:left w:val="single" w:color="auto" w:sz="4" w:space="0"/>
              <w:bottom w:val="single" w:color="auto" w:sz="4" w:space="0"/>
              <w:right w:val="single" w:color="auto" w:sz="4" w:space="0"/>
            </w:tcBorders>
            <w:shd w:val="clear" w:color="auto" w:fill="auto"/>
            <w:vAlign w:val="center"/>
          </w:tcPr>
          <w:p w14:paraId="0045B71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51" w:type="dxa"/>
            <w:tcBorders>
              <w:top w:val="nil"/>
              <w:left w:val="nil"/>
              <w:bottom w:val="single" w:color="auto" w:sz="4" w:space="0"/>
              <w:right w:val="single" w:color="auto" w:sz="4" w:space="0"/>
            </w:tcBorders>
            <w:shd w:val="clear" w:color="auto" w:fill="auto"/>
            <w:vAlign w:val="center"/>
          </w:tcPr>
          <w:p w14:paraId="74FFBA0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未建成</w:t>
            </w:r>
          </w:p>
        </w:tc>
        <w:tc>
          <w:tcPr>
            <w:tcW w:w="1701" w:type="dxa"/>
            <w:tcBorders>
              <w:top w:val="nil"/>
              <w:left w:val="nil"/>
              <w:bottom w:val="single" w:color="auto" w:sz="4" w:space="0"/>
              <w:right w:val="single" w:color="auto" w:sz="4" w:space="0"/>
            </w:tcBorders>
            <w:shd w:val="clear" w:color="auto" w:fill="auto"/>
          </w:tcPr>
          <w:p w14:paraId="2530024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人行道、停车位区域及</w:t>
            </w:r>
            <w:r>
              <w:rPr>
                <w:rFonts w:hint="eastAsia" w:cs="Times New Roman"/>
                <w:color w:val="000000" w:themeColor="text1"/>
                <w:sz w:val="21"/>
                <w:szCs w:val="21"/>
                <w14:textFill>
                  <w14:solidFill>
                    <w14:schemeClr w14:val="tx1"/>
                  </w14:solidFill>
                </w14:textFill>
              </w:rPr>
              <w:t>施工便道等区域</w:t>
            </w:r>
          </w:p>
        </w:tc>
        <w:tc>
          <w:tcPr>
            <w:tcW w:w="2976" w:type="dxa"/>
            <w:vMerge w:val="continue"/>
            <w:tcBorders>
              <w:left w:val="single" w:color="auto" w:sz="4" w:space="0"/>
              <w:right w:val="single" w:color="auto" w:sz="4" w:space="0"/>
            </w:tcBorders>
            <w:vAlign w:val="center"/>
          </w:tcPr>
          <w:p w14:paraId="3A66BBF8">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27" w:type="dxa"/>
            <w:tcBorders>
              <w:top w:val="nil"/>
              <w:left w:val="nil"/>
              <w:bottom w:val="single" w:color="auto" w:sz="4" w:space="0"/>
              <w:right w:val="single" w:color="auto" w:sz="4" w:space="0"/>
            </w:tcBorders>
            <w:shd w:val="clear" w:color="auto" w:fill="auto"/>
            <w:vAlign w:val="center"/>
          </w:tcPr>
          <w:p w14:paraId="68B57E5E">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450FA698">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126B1F43">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left w:val="single" w:color="auto" w:sz="4" w:space="0"/>
              <w:bottom w:val="single" w:color="auto" w:sz="4" w:space="0"/>
              <w:right w:val="single" w:color="auto" w:sz="4" w:space="0"/>
            </w:tcBorders>
            <w:vAlign w:val="center"/>
          </w:tcPr>
          <w:p w14:paraId="290900C1">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046" w:type="dxa"/>
            <w:tcBorders>
              <w:top w:val="nil"/>
              <w:left w:val="single" w:color="auto" w:sz="4" w:space="0"/>
              <w:bottom w:val="single" w:color="auto" w:sz="4" w:space="0"/>
              <w:right w:val="single" w:color="auto" w:sz="4" w:space="0"/>
            </w:tcBorders>
            <w:shd w:val="clear" w:color="auto" w:fill="auto"/>
            <w:vAlign w:val="center"/>
          </w:tcPr>
          <w:p w14:paraId="22D48B4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851" w:type="dxa"/>
            <w:tcBorders>
              <w:top w:val="nil"/>
              <w:left w:val="nil"/>
              <w:bottom w:val="single" w:color="auto" w:sz="4" w:space="0"/>
              <w:right w:val="single" w:color="auto" w:sz="4" w:space="0"/>
            </w:tcBorders>
            <w:shd w:val="clear" w:color="auto" w:fill="auto"/>
            <w:vAlign w:val="center"/>
          </w:tcPr>
          <w:p w14:paraId="19D679C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1701" w:type="dxa"/>
            <w:tcBorders>
              <w:top w:val="nil"/>
              <w:left w:val="nil"/>
              <w:bottom w:val="single" w:color="auto" w:sz="4" w:space="0"/>
              <w:right w:val="single" w:color="auto" w:sz="4" w:space="0"/>
            </w:tcBorders>
            <w:shd w:val="clear" w:color="auto" w:fill="auto"/>
          </w:tcPr>
          <w:p w14:paraId="4184B30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人行道、停车位区域及</w:t>
            </w:r>
            <w:r>
              <w:rPr>
                <w:rFonts w:hint="eastAsia" w:cs="Times New Roman"/>
                <w:color w:val="000000" w:themeColor="text1"/>
                <w:sz w:val="21"/>
                <w:szCs w:val="21"/>
                <w14:textFill>
                  <w14:solidFill>
                    <w14:schemeClr w14:val="tx1"/>
                  </w14:solidFill>
                </w14:textFill>
              </w:rPr>
              <w:t>施工便道等区域</w:t>
            </w:r>
          </w:p>
        </w:tc>
        <w:tc>
          <w:tcPr>
            <w:tcW w:w="2976" w:type="dxa"/>
            <w:vMerge w:val="continue"/>
            <w:tcBorders>
              <w:left w:val="single" w:color="auto" w:sz="4" w:space="0"/>
              <w:bottom w:val="single" w:color="000000" w:sz="4" w:space="0"/>
              <w:right w:val="single" w:color="auto" w:sz="4" w:space="0"/>
            </w:tcBorders>
            <w:vAlign w:val="center"/>
          </w:tcPr>
          <w:p w14:paraId="53BD4B0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127" w:type="dxa"/>
            <w:tcBorders>
              <w:top w:val="nil"/>
              <w:left w:val="nil"/>
              <w:bottom w:val="single" w:color="auto" w:sz="4" w:space="0"/>
              <w:right w:val="single" w:color="auto" w:sz="4" w:space="0"/>
            </w:tcBorders>
            <w:shd w:val="clear" w:color="auto" w:fill="auto"/>
            <w:vAlign w:val="center"/>
          </w:tcPr>
          <w:p w14:paraId="7C58ABB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本区域已建成，未实施该措施</w:t>
            </w:r>
          </w:p>
        </w:tc>
      </w:tr>
      <w:tr w14:paraId="5D7A4BC7">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633D919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30E1BC9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雨水收集设施</w:t>
            </w:r>
          </w:p>
        </w:tc>
        <w:tc>
          <w:tcPr>
            <w:tcW w:w="1046" w:type="dxa"/>
            <w:vMerge w:val="restart"/>
            <w:tcBorders>
              <w:top w:val="nil"/>
              <w:left w:val="single" w:color="auto" w:sz="4" w:space="0"/>
              <w:bottom w:val="single" w:color="000000" w:sz="4" w:space="0"/>
              <w:right w:val="single" w:color="auto" w:sz="4" w:space="0"/>
            </w:tcBorders>
            <w:shd w:val="clear" w:color="auto" w:fill="auto"/>
            <w:vAlign w:val="center"/>
          </w:tcPr>
          <w:p w14:paraId="6EE6A57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851" w:type="dxa"/>
            <w:tcBorders>
              <w:top w:val="nil"/>
              <w:left w:val="nil"/>
              <w:bottom w:val="single" w:color="auto" w:sz="4" w:space="0"/>
              <w:right w:val="single" w:color="auto" w:sz="4" w:space="0"/>
            </w:tcBorders>
            <w:shd w:val="clear" w:color="auto" w:fill="auto"/>
            <w:vAlign w:val="center"/>
          </w:tcPr>
          <w:p w14:paraId="77AAB4F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1701" w:type="dxa"/>
            <w:tcBorders>
              <w:top w:val="nil"/>
              <w:left w:val="nil"/>
              <w:bottom w:val="single" w:color="auto" w:sz="4" w:space="0"/>
              <w:right w:val="single" w:color="auto" w:sz="4" w:space="0"/>
            </w:tcBorders>
            <w:shd w:val="clear" w:color="auto" w:fill="auto"/>
            <w:vAlign w:val="center"/>
          </w:tcPr>
          <w:p w14:paraId="7D97B80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未实施</w:t>
            </w:r>
          </w:p>
        </w:tc>
        <w:tc>
          <w:tcPr>
            <w:tcW w:w="2976" w:type="dxa"/>
            <w:tcBorders>
              <w:top w:val="nil"/>
              <w:left w:val="nil"/>
              <w:bottom w:val="single" w:color="auto" w:sz="4" w:space="0"/>
              <w:right w:val="single" w:color="auto" w:sz="4" w:space="0"/>
            </w:tcBorders>
            <w:shd w:val="clear" w:color="auto" w:fill="auto"/>
            <w:vAlign w:val="center"/>
          </w:tcPr>
          <w:p w14:paraId="794A8FD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127" w:type="dxa"/>
            <w:tcBorders>
              <w:top w:val="nil"/>
              <w:left w:val="nil"/>
              <w:bottom w:val="single" w:color="auto" w:sz="4" w:space="0"/>
              <w:right w:val="single" w:color="auto" w:sz="4" w:space="0"/>
            </w:tcBorders>
            <w:shd w:val="clear" w:color="auto" w:fill="auto"/>
            <w:vAlign w:val="center"/>
          </w:tcPr>
          <w:p w14:paraId="2D3DA82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本区域已建成，未实施该措施</w:t>
            </w:r>
          </w:p>
        </w:tc>
      </w:tr>
      <w:tr w14:paraId="76DC5937">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582F451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0D9F4F0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046" w:type="dxa"/>
            <w:vMerge w:val="continue"/>
            <w:tcBorders>
              <w:top w:val="nil"/>
              <w:left w:val="single" w:color="auto" w:sz="4" w:space="0"/>
              <w:bottom w:val="single" w:color="000000" w:sz="4" w:space="0"/>
              <w:right w:val="single" w:color="auto" w:sz="4" w:space="0"/>
            </w:tcBorders>
            <w:vAlign w:val="center"/>
          </w:tcPr>
          <w:p w14:paraId="0CE296B2">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851" w:type="dxa"/>
            <w:tcBorders>
              <w:top w:val="nil"/>
              <w:left w:val="nil"/>
              <w:bottom w:val="single" w:color="auto" w:sz="4" w:space="0"/>
              <w:right w:val="single" w:color="auto" w:sz="4" w:space="0"/>
            </w:tcBorders>
            <w:shd w:val="clear" w:color="auto" w:fill="auto"/>
            <w:vAlign w:val="center"/>
          </w:tcPr>
          <w:p w14:paraId="546681B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未建成</w:t>
            </w:r>
          </w:p>
        </w:tc>
        <w:tc>
          <w:tcPr>
            <w:tcW w:w="1701" w:type="dxa"/>
            <w:tcBorders>
              <w:top w:val="nil"/>
              <w:left w:val="nil"/>
              <w:bottom w:val="single" w:color="auto" w:sz="4" w:space="0"/>
              <w:right w:val="single" w:color="auto" w:sz="4" w:space="0"/>
            </w:tcBorders>
            <w:shd w:val="clear" w:color="auto" w:fill="auto"/>
            <w:vAlign w:val="center"/>
          </w:tcPr>
          <w:p w14:paraId="078185F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雨水排水管网末端</w:t>
            </w:r>
          </w:p>
        </w:tc>
        <w:tc>
          <w:tcPr>
            <w:tcW w:w="2976" w:type="dxa"/>
            <w:tcBorders>
              <w:top w:val="nil"/>
              <w:left w:val="nil"/>
              <w:bottom w:val="single" w:color="auto" w:sz="4" w:space="0"/>
              <w:right w:val="single" w:color="auto" w:sz="4" w:space="0"/>
            </w:tcBorders>
            <w:shd w:val="clear" w:color="auto" w:fill="auto"/>
            <w:vAlign w:val="center"/>
          </w:tcPr>
          <w:p w14:paraId="7327164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雨水集蓄利用设施应符合《雨水集蓄利用工程技术规范》GB/T50596相关规定</w:t>
            </w:r>
            <w:r>
              <w:rPr>
                <w:rFonts w:hint="eastAsia" w:cs="Times New Roman"/>
                <w:color w:val="000000" w:themeColor="text1"/>
                <w:sz w:val="21"/>
                <w:szCs w:val="21"/>
                <w14:textFill>
                  <w14:solidFill>
                    <w14:schemeClr w14:val="tx1"/>
                  </w14:solidFill>
                </w14:textFill>
              </w:rPr>
              <w:t>。</w:t>
            </w:r>
          </w:p>
        </w:tc>
        <w:tc>
          <w:tcPr>
            <w:tcW w:w="1127" w:type="dxa"/>
            <w:tcBorders>
              <w:top w:val="nil"/>
              <w:left w:val="nil"/>
              <w:bottom w:val="single" w:color="auto" w:sz="4" w:space="0"/>
              <w:right w:val="single" w:color="auto" w:sz="4" w:space="0"/>
            </w:tcBorders>
            <w:shd w:val="clear" w:color="auto" w:fill="auto"/>
            <w:vAlign w:val="center"/>
          </w:tcPr>
          <w:p w14:paraId="1F4BA79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3836DBAA">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5410B06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11088B0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1046" w:type="dxa"/>
            <w:tcBorders>
              <w:top w:val="nil"/>
              <w:left w:val="single" w:color="auto" w:sz="4" w:space="0"/>
              <w:bottom w:val="single" w:color="auto" w:sz="4" w:space="0"/>
              <w:right w:val="single" w:color="auto" w:sz="4" w:space="0"/>
            </w:tcBorders>
            <w:shd w:val="clear" w:color="auto" w:fill="auto"/>
            <w:vAlign w:val="center"/>
          </w:tcPr>
          <w:p w14:paraId="36502C0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851" w:type="dxa"/>
            <w:tcBorders>
              <w:top w:val="nil"/>
              <w:left w:val="nil"/>
              <w:bottom w:val="single" w:color="auto" w:sz="4" w:space="0"/>
              <w:right w:val="single" w:color="auto" w:sz="4" w:space="0"/>
            </w:tcBorders>
            <w:shd w:val="clear" w:color="auto" w:fill="auto"/>
            <w:vAlign w:val="center"/>
          </w:tcPr>
          <w:p w14:paraId="5C39B21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1701" w:type="dxa"/>
            <w:tcBorders>
              <w:top w:val="nil"/>
              <w:left w:val="nil"/>
              <w:bottom w:val="single" w:color="auto" w:sz="4" w:space="0"/>
              <w:right w:val="single" w:color="auto" w:sz="4" w:space="0"/>
            </w:tcBorders>
            <w:shd w:val="clear" w:color="auto" w:fill="auto"/>
            <w:vAlign w:val="center"/>
          </w:tcPr>
          <w:p w14:paraId="4CD087B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未实施</w:t>
            </w:r>
          </w:p>
        </w:tc>
        <w:tc>
          <w:tcPr>
            <w:tcW w:w="2976" w:type="dxa"/>
            <w:tcBorders>
              <w:top w:val="nil"/>
              <w:left w:val="nil"/>
              <w:bottom w:val="single" w:color="auto" w:sz="4" w:space="0"/>
              <w:right w:val="single" w:color="auto" w:sz="4" w:space="0"/>
            </w:tcBorders>
            <w:shd w:val="clear" w:color="auto" w:fill="auto"/>
            <w:vAlign w:val="center"/>
          </w:tcPr>
          <w:p w14:paraId="52F13D5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雨水集蓄利用设施应符合《雨水集蓄利用工程技术规范》GB/T50596相关规定</w:t>
            </w:r>
            <w:r>
              <w:rPr>
                <w:rFonts w:hint="eastAsia" w:cs="Times New Roman"/>
                <w:color w:val="000000" w:themeColor="text1"/>
                <w:sz w:val="21"/>
                <w:szCs w:val="21"/>
                <w14:textFill>
                  <w14:solidFill>
                    <w14:schemeClr w14:val="tx1"/>
                  </w14:solidFill>
                </w14:textFill>
              </w:rPr>
              <w:t>。</w:t>
            </w:r>
          </w:p>
        </w:tc>
        <w:tc>
          <w:tcPr>
            <w:tcW w:w="1127" w:type="dxa"/>
            <w:tcBorders>
              <w:top w:val="nil"/>
              <w:left w:val="nil"/>
              <w:bottom w:val="single" w:color="auto" w:sz="4" w:space="0"/>
              <w:right w:val="single" w:color="auto" w:sz="4" w:space="0"/>
            </w:tcBorders>
            <w:shd w:val="clear" w:color="auto" w:fill="auto"/>
            <w:vAlign w:val="center"/>
          </w:tcPr>
          <w:p w14:paraId="6CD957E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本区域已建成，未实施该措施</w:t>
            </w:r>
            <w:r>
              <w:rPr>
                <w:rFonts w:hint="eastAsia" w:cs="Times New Roman"/>
                <w:color w:val="000000" w:themeColor="text1"/>
                <w:sz w:val="21"/>
                <w:szCs w:val="21"/>
                <w14:textFill>
                  <w14:solidFill>
                    <w14:schemeClr w14:val="tx1"/>
                  </w14:solidFill>
                </w14:textFill>
              </w:rPr>
              <w:t>，需在</w:t>
            </w:r>
            <w:r>
              <w:rPr>
                <w:rFonts w:cs="Times New Roman"/>
                <w:color w:val="000000" w:themeColor="text1"/>
                <w:sz w:val="21"/>
                <w:szCs w:val="21"/>
                <w14:textFill>
                  <w14:solidFill>
                    <w14:schemeClr w14:val="tx1"/>
                  </w14:solidFill>
                </w14:textFill>
              </w:rPr>
              <w:t>雨水排水管网末端</w:t>
            </w:r>
            <w:r>
              <w:rPr>
                <w:rFonts w:hint="eastAsia" w:cs="Times New Roman"/>
                <w:color w:val="000000" w:themeColor="text1"/>
                <w:sz w:val="21"/>
                <w:szCs w:val="21"/>
                <w14:textFill>
                  <w14:solidFill>
                    <w14:schemeClr w14:val="tx1"/>
                  </w14:solidFill>
                </w14:textFill>
              </w:rPr>
              <w:t>补充设计</w:t>
            </w:r>
          </w:p>
        </w:tc>
      </w:tr>
    </w:tbl>
    <w:p w14:paraId="7A08F6AE">
      <w:pPr>
        <w:ind w:firstLine="482"/>
        <w:rPr>
          <w:b/>
          <w:bCs/>
        </w:rPr>
      </w:pPr>
    </w:p>
    <w:p w14:paraId="26FF732F">
      <w:pPr>
        <w:ind w:firstLine="482"/>
        <w:rPr>
          <w:b/>
          <w:bCs/>
        </w:rPr>
      </w:pPr>
      <w:r>
        <w:rPr>
          <w:rFonts w:hint="eastAsia"/>
          <w:b/>
          <w:bCs/>
        </w:rPr>
        <w:t>6</w:t>
      </w:r>
      <w:r>
        <w:rPr>
          <w:b/>
          <w:bCs/>
        </w:rPr>
        <w:t>.</w:t>
      </w:r>
      <w:r>
        <w:rPr>
          <w:rFonts w:hint="eastAsia"/>
          <w:b/>
          <w:bCs/>
        </w:rPr>
        <w:t>边坡防护措施</w:t>
      </w:r>
    </w:p>
    <w:p w14:paraId="454F6C11">
      <w:pPr>
        <w:ind w:firstLine="480"/>
      </w:pPr>
      <w:r>
        <w:rPr>
          <w:rFonts w:hint="eastAsia"/>
        </w:rPr>
        <w:t>（1）适用范围</w:t>
      </w:r>
    </w:p>
    <w:p w14:paraId="28AC9F08">
      <w:pPr>
        <w:ind w:firstLine="480"/>
      </w:pPr>
      <w:r>
        <w:rPr>
          <w:rFonts w:hint="eastAsia"/>
        </w:rPr>
        <w:t>地块1（金山产业园北区）内部分入驻企业场平形成的挖填方边坡，地块1内的公路挖方边坡进行边坡防护。边坡分为工程护坡和植草护坡。当边坡高度不大于3m时，边坡比小于1:1.5，边坡采用植草防护。边坡高度大于3m时，采用混凝土拱形骨架护坡，骨架内植草防护，点缀灌木固土、遮挡拱肋。</w:t>
      </w:r>
    </w:p>
    <w:p w14:paraId="14E6B455">
      <w:pPr>
        <w:ind w:firstLine="480"/>
      </w:pPr>
      <w:r>
        <w:rPr>
          <w:rFonts w:hint="eastAsia"/>
        </w:rPr>
        <w:t>（2）技术要求：</w:t>
      </w:r>
    </w:p>
    <w:p w14:paraId="47D55D65">
      <w:pPr>
        <w:ind w:firstLine="480"/>
      </w:pPr>
      <w:r>
        <w:rPr>
          <w:rFonts w:hint="eastAsia"/>
        </w:rPr>
        <w:t>1）植生护坡</w:t>
      </w:r>
    </w:p>
    <w:p w14:paraId="07B8A5D8">
      <w:pPr>
        <w:ind w:firstLine="480"/>
      </w:pPr>
      <w:r>
        <w:rPr>
          <w:rFonts w:hint="eastAsia"/>
        </w:rPr>
        <w:t>通过植物绿化种植实现护坡目的，绿化率达到95%以上。利用植物根系加固，减弱雨水侵蚀，还可以降低孔隙水压，利于边坡稳定。植草边坡实施前，采用挖掘机等机械对边坡进行土地整治，清理边坡平整，将表土采用机械平铺到坡面。然后撒播乔灌木种子后进行抚育管理，最终使得边坡恢复植被，防治水土流失。</w:t>
      </w:r>
    </w:p>
    <w:p w14:paraId="5E16E109">
      <w:pPr>
        <w:ind w:firstLine="480"/>
      </w:pPr>
      <w:r>
        <w:rPr>
          <w:rFonts w:hint="eastAsia"/>
        </w:rPr>
        <w:t>2）拱形骨架护坡</w:t>
      </w:r>
    </w:p>
    <w:p w14:paraId="0BB4F461">
      <w:pPr>
        <w:ind w:firstLine="480"/>
      </w:pPr>
      <w:r>
        <w:rPr>
          <w:rFonts w:hint="eastAsia"/>
        </w:rPr>
        <w:t>路基高度H&gt;3m采用拱形骨架护坡防护，镶边石采用C25水泥混凝土预制，M10水泥砂浆砌缝，缝宽1cm，铺完成后，拱圈内播撒适于当地生长的草籽。</w:t>
      </w:r>
    </w:p>
    <w:p w14:paraId="3CFDB5DF">
      <w:pPr>
        <w:ind w:firstLine="480"/>
      </w:pPr>
      <w:r>
        <w:rPr>
          <w:rFonts w:hint="eastAsia"/>
        </w:rPr>
        <w:t>最下面一排拱圈底设置M10浆砌片石护坡基础，基础砌筑前，基底应夯实。边坡修整完成后再进行护坡放样，骨架施工采用挖槽法进行。浆片石基础每隔10m设置2cm宽伸缩缝，缝内用沥青麻絮或沥青木板填塞，其深度不小于10cm。用于浆砌工程的片石强度不低于MU40，砌筑采用M10水泥砂浆勾成凸缝。有水流冲刷较严重的段落采用M10浆砌片石防护。</w:t>
      </w:r>
    </w:p>
    <w:p w14:paraId="74235FFA">
      <w:pPr>
        <w:ind w:firstLine="460"/>
        <w:rPr>
          <w:color w:val="000000" w:themeColor="text1"/>
          <w:spacing w:val="-10"/>
          <w14:textFill>
            <w14:solidFill>
              <w14:schemeClr w14:val="tx1"/>
            </w14:solidFill>
          </w14:textFill>
        </w:rPr>
      </w:pPr>
    </w:p>
    <w:p w14:paraId="497B3C54">
      <w:pPr>
        <w:pStyle w:val="5"/>
      </w:pPr>
      <w:bookmarkStart w:id="453" w:name="5.4.3植物措施布设"/>
      <w:bookmarkEnd w:id="453"/>
      <w:r>
        <w:t>植物措施布设</w:t>
      </w:r>
    </w:p>
    <w:p w14:paraId="7ADA4DD6">
      <w:pPr>
        <w:ind w:firstLine="482"/>
        <w:rPr>
          <w:b/>
          <w:bCs/>
        </w:rPr>
      </w:pPr>
      <w:bookmarkStart w:id="454" w:name="5.4.3.1布设位置及标准等级"/>
      <w:bookmarkEnd w:id="454"/>
      <w:r>
        <w:rPr>
          <w:rFonts w:hint="eastAsia"/>
          <w:b/>
          <w:bCs/>
        </w:rPr>
        <w:t>1</w:t>
      </w:r>
      <w:r>
        <w:rPr>
          <w:b/>
          <w:bCs/>
        </w:rPr>
        <w:t>.布设位置及标准等级</w:t>
      </w:r>
    </w:p>
    <w:p w14:paraId="4E501A48">
      <w:pPr>
        <w:pStyle w:val="12"/>
        <w:ind w:firstLine="47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3"/>
          <w14:textFill>
            <w14:solidFill>
              <w14:schemeClr w14:val="tx1"/>
            </w14:solidFill>
          </w14:textFill>
        </w:rPr>
        <w:t>（一）措施位置</w:t>
      </w:r>
    </w:p>
    <w:p w14:paraId="522FBD8C">
      <w:pPr>
        <w:pStyle w:val="12"/>
        <w:ind w:firstLine="46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6"/>
          <w14:textFill>
            <w14:solidFill>
              <w14:schemeClr w14:val="tx1"/>
            </w14:solidFill>
          </w14:textFill>
        </w:rPr>
        <w:t>产业园内已建成区空地及道路两侧已基本实施植物措施，绿化采用乔灌草多</w:t>
      </w:r>
      <w:r>
        <w:rPr>
          <w:rFonts w:ascii="Times New Roman" w:hAnsi="Times New Roman" w:eastAsia="仿宋_GB2312"/>
          <w:color w:val="000000" w:themeColor="text1"/>
          <w:spacing w:val="-4"/>
          <w14:textFill>
            <w14:solidFill>
              <w14:schemeClr w14:val="tx1"/>
            </w14:solidFill>
          </w14:textFill>
        </w:rPr>
        <w:t>层绿化，场地绿化可有效防止土壤的裸露，防治因雨水冲刷产生的水土流失，维护和提高土地生产力，有良好的水土保持效果。通过对产业园植被调查，产业园内绿化采用植物种有新疆杨、金叶榆、桑树、榆叶梅、垂柳、樟子松、玫瑰、丁香、油松、山杏、紫惠槐、云杉、早熟禾、羊草、披碱草等。根据现场植被调查结果，已建区种植草树种可以达到减少水土流失的目的，且有较高</w:t>
      </w:r>
      <w:r>
        <w:rPr>
          <w:rFonts w:ascii="Times New Roman" w:hAnsi="Times New Roman" w:eastAsia="仿宋_GB2312"/>
          <w:color w:val="000000" w:themeColor="text1"/>
          <w14:textFill>
            <w14:solidFill>
              <w14:schemeClr w14:val="tx1"/>
            </w14:solidFill>
          </w14:textFill>
        </w:rPr>
        <w:t>参考性，未建区可以借鉴已建成区栽植的植物种进行绿化。</w:t>
      </w:r>
    </w:p>
    <w:p w14:paraId="576CDA77">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（二）措施布设标准和等级</w:t>
      </w:r>
    </w:p>
    <w:p w14:paraId="08081FF6">
      <w:pPr>
        <w:pStyle w:val="12"/>
        <w:ind w:firstLine="480"/>
        <w:rPr>
          <w:rFonts w:ascii="Times New Roman" w:hAnsi="Times New Roman" w:eastAsia="仿宋_GB2312"/>
          <w:color w:val="000000" w:themeColor="text1"/>
          <w:spacing w:val="-10"/>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根据《水土保持工程设计规范》（GB51018-2014）的要求，产业园根据</w:t>
      </w:r>
      <w:r>
        <w:rPr>
          <w:rFonts w:ascii="Times New Roman" w:hAnsi="Times New Roman" w:eastAsia="仿宋_GB2312"/>
          <w:color w:val="000000" w:themeColor="text1"/>
          <w:spacing w:val="7"/>
          <w:position w:val="-2"/>
          <w14:textFill>
            <w14:solidFill>
              <w14:schemeClr w14:val="tx1"/>
            </w14:solidFill>
          </w14:textFill>
        </w:rPr>
        <w:t>各</w:t>
      </w:r>
      <w:r>
        <w:rPr>
          <w:rFonts w:ascii="Times New Roman" w:hAnsi="Times New Roman" w:eastAsia="仿宋_GB2312"/>
          <w:color w:val="000000" w:themeColor="text1"/>
          <w:spacing w:val="-4"/>
          <w14:textFill>
            <w14:solidFill>
              <w14:schemeClr w14:val="tx1"/>
            </w14:solidFill>
          </w14:textFill>
        </w:rPr>
        <w:t>区域功能选择不同乔、灌木及花草品种。产业园应选择具有绿化、美化、净化作</w:t>
      </w:r>
      <w:r>
        <w:rPr>
          <w:rFonts w:ascii="Times New Roman" w:hAnsi="Times New Roman" w:eastAsia="仿宋_GB2312"/>
          <w:color w:val="000000" w:themeColor="text1"/>
          <w14:textFill>
            <w14:solidFill>
              <w14:schemeClr w14:val="tx1"/>
            </w14:solidFill>
          </w14:textFill>
        </w:rPr>
        <w:t>用的树、草种。未建区可选用草树种及绿化区域见表5-12。</w:t>
      </w:r>
    </w:p>
    <w:p w14:paraId="4FAD1A1E">
      <w:pPr>
        <w:pStyle w:val="44"/>
        <w:rPr>
          <w:color w:val="000000" w:themeColor="text1"/>
          <w:spacing w:val="-10"/>
          <w:lang w:eastAsia="zh-CN"/>
          <w14:textFill>
            <w14:solidFill>
              <w14:schemeClr w14:val="tx1"/>
            </w14:solidFill>
          </w14:textFill>
        </w:rPr>
      </w:pPr>
      <w:r>
        <w:rPr>
          <w:color w:val="000000" w:themeColor="text1"/>
          <w:lang w:eastAsia="zh-CN"/>
          <w14:textFill>
            <w14:solidFill>
              <w14:schemeClr w14:val="tx1"/>
            </w14:solidFill>
          </w14:textFill>
        </w:rPr>
        <w:t>表5-</w:t>
      </w:r>
      <w:r>
        <w:rPr>
          <w:color w:val="000000" w:themeColor="text1"/>
          <w:spacing w:val="-5"/>
          <w:lang w:eastAsia="zh-CN"/>
          <w14:textFill>
            <w14:solidFill>
              <w14:schemeClr w14:val="tx1"/>
            </w14:solidFill>
          </w14:textFill>
        </w:rPr>
        <w:t xml:space="preserve">12                         </w:t>
      </w:r>
      <w:r>
        <w:rPr>
          <w:color w:val="000000" w:themeColor="text1"/>
          <w:lang w:eastAsia="zh-CN"/>
          <w14:textFill>
            <w14:solidFill>
              <w14:schemeClr w14:val="tx1"/>
            </w14:solidFill>
          </w14:textFill>
        </w:rPr>
        <w:t>产业园绿化树（草）种规格表及绿化区域</w:t>
      </w:r>
      <w:r>
        <w:rPr>
          <w:color w:val="000000" w:themeColor="text1"/>
          <w:spacing w:val="-10"/>
          <w:lang w:eastAsia="zh-CN"/>
          <w14:textFill>
            <w14:solidFill>
              <w14:schemeClr w14:val="tx1"/>
            </w14:solidFill>
          </w14:textFill>
        </w:rPr>
        <w:t>表</w:t>
      </w:r>
    </w:p>
    <w:tbl>
      <w:tblPr>
        <w:tblStyle w:val="27"/>
        <w:tblW w:w="0" w:type="auto"/>
        <w:tblInd w:w="0" w:type="dxa"/>
        <w:tblLayout w:type="autofit"/>
        <w:tblCellMar>
          <w:top w:w="0" w:type="dxa"/>
          <w:left w:w="108" w:type="dxa"/>
          <w:bottom w:w="0" w:type="dxa"/>
          <w:right w:w="108" w:type="dxa"/>
        </w:tblCellMar>
      </w:tblPr>
      <w:tblGrid>
        <w:gridCol w:w="1129"/>
        <w:gridCol w:w="1843"/>
        <w:gridCol w:w="2410"/>
        <w:gridCol w:w="3678"/>
      </w:tblGrid>
      <w:tr w14:paraId="2282FB51">
        <w:tblPrEx>
          <w:tblCellMar>
            <w:top w:w="0" w:type="dxa"/>
            <w:left w:w="108" w:type="dxa"/>
            <w:bottom w:w="0" w:type="dxa"/>
            <w:right w:w="108" w:type="dxa"/>
          </w:tblCellMar>
        </w:tblPrEx>
        <w:trPr>
          <w:trHeight w:val="397" w:hRule="atLeast"/>
        </w:trPr>
        <w:tc>
          <w:tcPr>
            <w:tcW w:w="1129" w:type="dxa"/>
            <w:tcBorders>
              <w:top w:val="single" w:color="auto" w:sz="4" w:space="0"/>
              <w:left w:val="single" w:color="auto" w:sz="4" w:space="0"/>
              <w:bottom w:val="double" w:color="auto" w:sz="4" w:space="0"/>
              <w:right w:val="single" w:color="auto" w:sz="4" w:space="0"/>
            </w:tcBorders>
            <w:shd w:val="clear" w:color="auto" w:fill="auto"/>
            <w:vAlign w:val="center"/>
          </w:tcPr>
          <w:p w14:paraId="00723DD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树（草）种</w:t>
            </w:r>
          </w:p>
        </w:tc>
        <w:tc>
          <w:tcPr>
            <w:tcW w:w="1843" w:type="dxa"/>
            <w:tcBorders>
              <w:top w:val="single" w:color="auto" w:sz="4" w:space="0"/>
              <w:left w:val="nil"/>
              <w:bottom w:val="double" w:color="auto" w:sz="4" w:space="0"/>
              <w:right w:val="single" w:color="auto" w:sz="4" w:space="0"/>
            </w:tcBorders>
            <w:shd w:val="clear" w:color="auto" w:fill="auto"/>
            <w:vAlign w:val="center"/>
          </w:tcPr>
          <w:p w14:paraId="47556FD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种类</w:t>
            </w:r>
          </w:p>
        </w:tc>
        <w:tc>
          <w:tcPr>
            <w:tcW w:w="2410" w:type="dxa"/>
            <w:tcBorders>
              <w:top w:val="single" w:color="auto" w:sz="4" w:space="0"/>
              <w:left w:val="nil"/>
              <w:bottom w:val="double" w:color="auto" w:sz="4" w:space="0"/>
              <w:right w:val="single" w:color="auto" w:sz="4" w:space="0"/>
            </w:tcBorders>
            <w:shd w:val="clear" w:color="auto" w:fill="auto"/>
            <w:vAlign w:val="center"/>
          </w:tcPr>
          <w:p w14:paraId="757250F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苗木（种籽）规格</w:t>
            </w:r>
          </w:p>
        </w:tc>
        <w:tc>
          <w:tcPr>
            <w:tcW w:w="3678" w:type="dxa"/>
            <w:tcBorders>
              <w:top w:val="single" w:color="auto" w:sz="4" w:space="0"/>
              <w:left w:val="nil"/>
              <w:bottom w:val="double" w:color="auto" w:sz="4" w:space="0"/>
              <w:right w:val="single" w:color="auto" w:sz="4" w:space="0"/>
            </w:tcBorders>
            <w:shd w:val="clear" w:color="auto" w:fill="auto"/>
            <w:vAlign w:val="center"/>
          </w:tcPr>
          <w:p w14:paraId="4A6069B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绿化区域</w:t>
            </w:r>
          </w:p>
        </w:tc>
      </w:tr>
      <w:tr w14:paraId="3D0994C9">
        <w:tblPrEx>
          <w:tblCellMar>
            <w:top w:w="0" w:type="dxa"/>
            <w:left w:w="108" w:type="dxa"/>
            <w:bottom w:w="0" w:type="dxa"/>
            <w:right w:w="108" w:type="dxa"/>
          </w:tblCellMar>
        </w:tblPrEx>
        <w:trPr>
          <w:trHeight w:val="397" w:hRule="atLeast"/>
        </w:trPr>
        <w:tc>
          <w:tcPr>
            <w:tcW w:w="1129" w:type="dxa"/>
            <w:tcBorders>
              <w:top w:val="double" w:color="auto" w:sz="4" w:space="0"/>
              <w:left w:val="single" w:color="auto" w:sz="4" w:space="0"/>
              <w:bottom w:val="single" w:color="auto" w:sz="4" w:space="0"/>
              <w:right w:val="single" w:color="auto" w:sz="4" w:space="0"/>
            </w:tcBorders>
            <w:shd w:val="clear" w:color="auto" w:fill="auto"/>
            <w:vAlign w:val="center"/>
          </w:tcPr>
          <w:p w14:paraId="4F30C46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新疆杨</w:t>
            </w:r>
          </w:p>
        </w:tc>
        <w:tc>
          <w:tcPr>
            <w:tcW w:w="1843" w:type="dxa"/>
            <w:tcBorders>
              <w:top w:val="double" w:color="auto" w:sz="4" w:space="0"/>
              <w:left w:val="nil"/>
              <w:bottom w:val="single" w:color="auto" w:sz="4" w:space="0"/>
              <w:right w:val="single" w:color="auto" w:sz="4" w:space="0"/>
            </w:tcBorders>
            <w:shd w:val="clear" w:color="auto" w:fill="auto"/>
            <w:vAlign w:val="center"/>
          </w:tcPr>
          <w:p w14:paraId="0F1D76C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落叶乔木</w:t>
            </w:r>
          </w:p>
        </w:tc>
        <w:tc>
          <w:tcPr>
            <w:tcW w:w="2410"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4F631ED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选择大小、形状与周围景观相协调且长势良好的苗木</w:t>
            </w:r>
          </w:p>
        </w:tc>
        <w:tc>
          <w:tcPr>
            <w:tcW w:w="3678" w:type="dxa"/>
            <w:tcBorders>
              <w:top w:val="double" w:color="auto" w:sz="4" w:space="0"/>
              <w:left w:val="nil"/>
              <w:bottom w:val="single" w:color="auto" w:sz="4" w:space="0"/>
              <w:right w:val="single" w:color="auto" w:sz="4" w:space="0"/>
            </w:tcBorders>
            <w:shd w:val="clear" w:color="auto" w:fill="auto"/>
            <w:vAlign w:val="center"/>
          </w:tcPr>
          <w:p w14:paraId="7A104543">
            <w:pPr>
              <w:spacing w:line="240" w:lineRule="auto"/>
              <w:ind w:firstLine="210" w:firstLineChars="10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地块1（金山产业园北区）、地块2（下湿壕片区）</w:t>
            </w:r>
          </w:p>
        </w:tc>
      </w:tr>
      <w:tr w14:paraId="20D400DD">
        <w:tblPrEx>
          <w:tblCellMar>
            <w:top w:w="0" w:type="dxa"/>
            <w:left w:w="108" w:type="dxa"/>
            <w:bottom w:w="0" w:type="dxa"/>
            <w:right w:w="108" w:type="dxa"/>
          </w:tblCellMar>
        </w:tblPrEx>
        <w:trPr>
          <w:trHeight w:val="397"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2823AF1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金叶榆</w:t>
            </w:r>
          </w:p>
        </w:tc>
        <w:tc>
          <w:tcPr>
            <w:tcW w:w="1843" w:type="dxa"/>
            <w:tcBorders>
              <w:top w:val="nil"/>
              <w:left w:val="nil"/>
              <w:bottom w:val="single" w:color="auto" w:sz="4" w:space="0"/>
              <w:right w:val="single" w:color="auto" w:sz="4" w:space="0"/>
            </w:tcBorders>
            <w:shd w:val="clear" w:color="auto" w:fill="auto"/>
            <w:vAlign w:val="center"/>
          </w:tcPr>
          <w:p w14:paraId="101FECB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落叶乔木</w:t>
            </w:r>
          </w:p>
        </w:tc>
        <w:tc>
          <w:tcPr>
            <w:tcW w:w="2410" w:type="dxa"/>
            <w:vMerge w:val="continue"/>
            <w:tcBorders>
              <w:top w:val="nil"/>
              <w:left w:val="single" w:color="auto" w:sz="4" w:space="0"/>
              <w:bottom w:val="single" w:color="auto" w:sz="4" w:space="0"/>
              <w:right w:val="single" w:color="auto" w:sz="4" w:space="0"/>
            </w:tcBorders>
            <w:shd w:val="clear" w:color="auto" w:fill="auto"/>
            <w:vAlign w:val="center"/>
          </w:tcPr>
          <w:p w14:paraId="5CF37CAA">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3678" w:type="dxa"/>
            <w:tcBorders>
              <w:top w:val="nil"/>
              <w:left w:val="nil"/>
              <w:bottom w:val="single" w:color="auto" w:sz="4" w:space="0"/>
              <w:right w:val="single" w:color="auto" w:sz="4" w:space="0"/>
            </w:tcBorders>
            <w:shd w:val="clear" w:color="auto" w:fill="auto"/>
            <w:vAlign w:val="center"/>
          </w:tcPr>
          <w:p w14:paraId="0EEA175D">
            <w:pPr>
              <w:spacing w:line="240" w:lineRule="auto"/>
              <w:ind w:firstLine="210" w:firstLineChars="10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地块1（金山产业园北区）、地块2（下湿壕片区）</w:t>
            </w:r>
          </w:p>
        </w:tc>
      </w:tr>
      <w:tr w14:paraId="11661BAF">
        <w:tblPrEx>
          <w:tblCellMar>
            <w:top w:w="0" w:type="dxa"/>
            <w:left w:w="108" w:type="dxa"/>
            <w:bottom w:w="0" w:type="dxa"/>
            <w:right w:w="108" w:type="dxa"/>
          </w:tblCellMar>
        </w:tblPrEx>
        <w:trPr>
          <w:trHeight w:val="397"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71A159F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桑树</w:t>
            </w:r>
          </w:p>
        </w:tc>
        <w:tc>
          <w:tcPr>
            <w:tcW w:w="1843" w:type="dxa"/>
            <w:tcBorders>
              <w:top w:val="nil"/>
              <w:left w:val="nil"/>
              <w:bottom w:val="single" w:color="auto" w:sz="4" w:space="0"/>
              <w:right w:val="single" w:color="auto" w:sz="4" w:space="0"/>
            </w:tcBorders>
            <w:shd w:val="clear" w:color="auto" w:fill="auto"/>
            <w:vAlign w:val="center"/>
          </w:tcPr>
          <w:p w14:paraId="44F3815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落叶乔木</w:t>
            </w:r>
          </w:p>
        </w:tc>
        <w:tc>
          <w:tcPr>
            <w:tcW w:w="2410" w:type="dxa"/>
            <w:vMerge w:val="continue"/>
            <w:tcBorders>
              <w:top w:val="nil"/>
              <w:left w:val="single" w:color="auto" w:sz="4" w:space="0"/>
              <w:bottom w:val="single" w:color="auto" w:sz="4" w:space="0"/>
              <w:right w:val="single" w:color="auto" w:sz="4" w:space="0"/>
            </w:tcBorders>
            <w:shd w:val="clear" w:color="auto" w:fill="auto"/>
            <w:vAlign w:val="center"/>
          </w:tcPr>
          <w:p w14:paraId="02FF0826">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3678" w:type="dxa"/>
            <w:tcBorders>
              <w:top w:val="nil"/>
              <w:left w:val="nil"/>
              <w:bottom w:val="single" w:color="auto" w:sz="4" w:space="0"/>
              <w:right w:val="single" w:color="auto" w:sz="4" w:space="0"/>
            </w:tcBorders>
            <w:shd w:val="clear" w:color="auto" w:fill="auto"/>
            <w:vAlign w:val="center"/>
          </w:tcPr>
          <w:p w14:paraId="0852CDDA">
            <w:pPr>
              <w:spacing w:line="240" w:lineRule="auto"/>
              <w:ind w:firstLine="210" w:firstLineChars="10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地块1（金山产业园北区）、地块2（下湿壕片区）</w:t>
            </w:r>
          </w:p>
        </w:tc>
      </w:tr>
      <w:tr w14:paraId="1BD02768">
        <w:tblPrEx>
          <w:tblCellMar>
            <w:top w:w="0" w:type="dxa"/>
            <w:left w:w="108" w:type="dxa"/>
            <w:bottom w:w="0" w:type="dxa"/>
            <w:right w:w="108" w:type="dxa"/>
          </w:tblCellMar>
        </w:tblPrEx>
        <w:trPr>
          <w:trHeight w:val="397"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0B1F759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榆叶梅</w:t>
            </w:r>
          </w:p>
        </w:tc>
        <w:tc>
          <w:tcPr>
            <w:tcW w:w="1843" w:type="dxa"/>
            <w:tcBorders>
              <w:top w:val="nil"/>
              <w:left w:val="nil"/>
              <w:bottom w:val="single" w:color="auto" w:sz="4" w:space="0"/>
              <w:right w:val="single" w:color="auto" w:sz="4" w:space="0"/>
            </w:tcBorders>
            <w:shd w:val="clear" w:color="auto" w:fill="auto"/>
            <w:vAlign w:val="center"/>
          </w:tcPr>
          <w:p w14:paraId="717960E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落叶乔木</w:t>
            </w:r>
          </w:p>
        </w:tc>
        <w:tc>
          <w:tcPr>
            <w:tcW w:w="2410" w:type="dxa"/>
            <w:vMerge w:val="continue"/>
            <w:tcBorders>
              <w:top w:val="nil"/>
              <w:left w:val="single" w:color="auto" w:sz="4" w:space="0"/>
              <w:bottom w:val="single" w:color="auto" w:sz="4" w:space="0"/>
              <w:right w:val="single" w:color="auto" w:sz="4" w:space="0"/>
            </w:tcBorders>
            <w:shd w:val="clear" w:color="auto" w:fill="auto"/>
            <w:vAlign w:val="center"/>
          </w:tcPr>
          <w:p w14:paraId="34FAEEFE">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3678" w:type="dxa"/>
            <w:tcBorders>
              <w:top w:val="nil"/>
              <w:left w:val="nil"/>
              <w:bottom w:val="single" w:color="auto" w:sz="4" w:space="0"/>
              <w:right w:val="single" w:color="auto" w:sz="4" w:space="0"/>
            </w:tcBorders>
            <w:shd w:val="clear" w:color="auto" w:fill="auto"/>
            <w:vAlign w:val="center"/>
          </w:tcPr>
          <w:p w14:paraId="0FC296BA">
            <w:pPr>
              <w:spacing w:line="240" w:lineRule="auto"/>
              <w:ind w:firstLine="210" w:firstLineChars="10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地块1（金山产业园北区）、地块2（下湿壕片区）</w:t>
            </w:r>
          </w:p>
        </w:tc>
      </w:tr>
      <w:tr w14:paraId="5DFCBB87">
        <w:tblPrEx>
          <w:tblCellMar>
            <w:top w:w="0" w:type="dxa"/>
            <w:left w:w="108" w:type="dxa"/>
            <w:bottom w:w="0" w:type="dxa"/>
            <w:right w:w="108" w:type="dxa"/>
          </w:tblCellMar>
        </w:tblPrEx>
        <w:trPr>
          <w:trHeight w:val="397"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44E0BCF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垂柳</w:t>
            </w:r>
          </w:p>
        </w:tc>
        <w:tc>
          <w:tcPr>
            <w:tcW w:w="1843" w:type="dxa"/>
            <w:tcBorders>
              <w:top w:val="nil"/>
              <w:left w:val="nil"/>
              <w:bottom w:val="single" w:color="auto" w:sz="4" w:space="0"/>
              <w:right w:val="single" w:color="auto" w:sz="4" w:space="0"/>
            </w:tcBorders>
            <w:shd w:val="clear" w:color="auto" w:fill="auto"/>
            <w:vAlign w:val="center"/>
          </w:tcPr>
          <w:p w14:paraId="35AACF1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落叶乔木</w:t>
            </w:r>
          </w:p>
        </w:tc>
        <w:tc>
          <w:tcPr>
            <w:tcW w:w="2410" w:type="dxa"/>
            <w:vMerge w:val="continue"/>
            <w:tcBorders>
              <w:top w:val="nil"/>
              <w:left w:val="single" w:color="auto" w:sz="4" w:space="0"/>
              <w:bottom w:val="single" w:color="auto" w:sz="4" w:space="0"/>
              <w:right w:val="single" w:color="auto" w:sz="4" w:space="0"/>
            </w:tcBorders>
            <w:shd w:val="clear" w:color="auto" w:fill="auto"/>
            <w:vAlign w:val="center"/>
          </w:tcPr>
          <w:p w14:paraId="65C20290">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3678" w:type="dxa"/>
            <w:tcBorders>
              <w:top w:val="nil"/>
              <w:left w:val="nil"/>
              <w:bottom w:val="single" w:color="auto" w:sz="4" w:space="0"/>
              <w:right w:val="single" w:color="auto" w:sz="4" w:space="0"/>
            </w:tcBorders>
            <w:shd w:val="clear" w:color="auto" w:fill="auto"/>
            <w:vAlign w:val="center"/>
          </w:tcPr>
          <w:p w14:paraId="5246B39F">
            <w:pPr>
              <w:spacing w:line="240" w:lineRule="auto"/>
              <w:ind w:firstLine="210" w:firstLineChars="10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地块1（金山产业园北区）、地块2（下湿壕片区）</w:t>
            </w:r>
          </w:p>
        </w:tc>
      </w:tr>
      <w:tr w14:paraId="0B8E5BD1">
        <w:tblPrEx>
          <w:tblCellMar>
            <w:top w:w="0" w:type="dxa"/>
            <w:left w:w="108" w:type="dxa"/>
            <w:bottom w:w="0" w:type="dxa"/>
            <w:right w:w="108" w:type="dxa"/>
          </w:tblCellMar>
        </w:tblPrEx>
        <w:trPr>
          <w:trHeight w:val="397"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47F5E23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樟子松</w:t>
            </w:r>
          </w:p>
        </w:tc>
        <w:tc>
          <w:tcPr>
            <w:tcW w:w="1843" w:type="dxa"/>
            <w:tcBorders>
              <w:top w:val="nil"/>
              <w:left w:val="nil"/>
              <w:bottom w:val="single" w:color="auto" w:sz="4" w:space="0"/>
              <w:right w:val="single" w:color="auto" w:sz="4" w:space="0"/>
            </w:tcBorders>
            <w:shd w:val="clear" w:color="auto" w:fill="auto"/>
            <w:vAlign w:val="center"/>
          </w:tcPr>
          <w:p w14:paraId="3E0BF9E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落叶乔木</w:t>
            </w:r>
          </w:p>
        </w:tc>
        <w:tc>
          <w:tcPr>
            <w:tcW w:w="2410" w:type="dxa"/>
            <w:vMerge w:val="continue"/>
            <w:tcBorders>
              <w:top w:val="nil"/>
              <w:left w:val="single" w:color="auto" w:sz="4" w:space="0"/>
              <w:bottom w:val="single" w:color="auto" w:sz="4" w:space="0"/>
              <w:right w:val="single" w:color="auto" w:sz="4" w:space="0"/>
            </w:tcBorders>
            <w:shd w:val="clear" w:color="auto" w:fill="auto"/>
            <w:vAlign w:val="center"/>
          </w:tcPr>
          <w:p w14:paraId="7FE0219D">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3678" w:type="dxa"/>
            <w:tcBorders>
              <w:top w:val="nil"/>
              <w:left w:val="nil"/>
              <w:bottom w:val="single" w:color="auto" w:sz="4" w:space="0"/>
              <w:right w:val="single" w:color="auto" w:sz="4" w:space="0"/>
            </w:tcBorders>
            <w:shd w:val="clear" w:color="auto" w:fill="auto"/>
            <w:vAlign w:val="center"/>
          </w:tcPr>
          <w:p w14:paraId="09B6384D">
            <w:pPr>
              <w:spacing w:line="240" w:lineRule="auto"/>
              <w:ind w:firstLine="210" w:firstLineChars="10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地块1（金山产业园北区）、地块2（下湿壕片区）</w:t>
            </w:r>
          </w:p>
        </w:tc>
      </w:tr>
      <w:tr w14:paraId="544D6D84">
        <w:tblPrEx>
          <w:tblCellMar>
            <w:top w:w="0" w:type="dxa"/>
            <w:left w:w="108" w:type="dxa"/>
            <w:bottom w:w="0" w:type="dxa"/>
            <w:right w:w="108" w:type="dxa"/>
          </w:tblCellMar>
        </w:tblPrEx>
        <w:trPr>
          <w:trHeight w:val="397"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36DE94C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玫瑰</w:t>
            </w:r>
          </w:p>
        </w:tc>
        <w:tc>
          <w:tcPr>
            <w:tcW w:w="1843" w:type="dxa"/>
            <w:tcBorders>
              <w:top w:val="nil"/>
              <w:left w:val="nil"/>
              <w:bottom w:val="single" w:color="auto" w:sz="4" w:space="0"/>
              <w:right w:val="single" w:color="auto" w:sz="4" w:space="0"/>
            </w:tcBorders>
            <w:shd w:val="clear" w:color="auto" w:fill="auto"/>
            <w:vAlign w:val="center"/>
          </w:tcPr>
          <w:p w14:paraId="15CB54A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落叶灌木</w:t>
            </w:r>
          </w:p>
        </w:tc>
        <w:tc>
          <w:tcPr>
            <w:tcW w:w="2410" w:type="dxa"/>
            <w:vMerge w:val="continue"/>
            <w:tcBorders>
              <w:top w:val="nil"/>
              <w:left w:val="single" w:color="auto" w:sz="4" w:space="0"/>
              <w:bottom w:val="single" w:color="auto" w:sz="4" w:space="0"/>
              <w:right w:val="single" w:color="auto" w:sz="4" w:space="0"/>
            </w:tcBorders>
            <w:shd w:val="clear" w:color="auto" w:fill="auto"/>
            <w:vAlign w:val="center"/>
          </w:tcPr>
          <w:p w14:paraId="63C66DEF">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3678" w:type="dxa"/>
            <w:tcBorders>
              <w:top w:val="nil"/>
              <w:left w:val="nil"/>
              <w:bottom w:val="single" w:color="auto" w:sz="4" w:space="0"/>
              <w:right w:val="single" w:color="auto" w:sz="4" w:space="0"/>
            </w:tcBorders>
            <w:shd w:val="clear" w:color="auto" w:fill="auto"/>
            <w:vAlign w:val="center"/>
          </w:tcPr>
          <w:p w14:paraId="13813B06">
            <w:pPr>
              <w:spacing w:line="240" w:lineRule="auto"/>
              <w:ind w:firstLine="210" w:firstLineChars="10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地块1（金山产业园北区）、地块2（下湿壕片区）</w:t>
            </w:r>
          </w:p>
        </w:tc>
      </w:tr>
      <w:tr w14:paraId="1B0BACD0">
        <w:tblPrEx>
          <w:tblCellMar>
            <w:top w:w="0" w:type="dxa"/>
            <w:left w:w="108" w:type="dxa"/>
            <w:bottom w:w="0" w:type="dxa"/>
            <w:right w:w="108" w:type="dxa"/>
          </w:tblCellMar>
        </w:tblPrEx>
        <w:trPr>
          <w:trHeight w:val="397"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59D0E19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丁香</w:t>
            </w:r>
          </w:p>
        </w:tc>
        <w:tc>
          <w:tcPr>
            <w:tcW w:w="1843" w:type="dxa"/>
            <w:tcBorders>
              <w:top w:val="nil"/>
              <w:left w:val="nil"/>
              <w:bottom w:val="single" w:color="auto" w:sz="4" w:space="0"/>
              <w:right w:val="single" w:color="auto" w:sz="4" w:space="0"/>
            </w:tcBorders>
            <w:shd w:val="clear" w:color="auto" w:fill="auto"/>
            <w:vAlign w:val="center"/>
          </w:tcPr>
          <w:p w14:paraId="2DB9CAF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落叶灌木</w:t>
            </w:r>
          </w:p>
        </w:tc>
        <w:tc>
          <w:tcPr>
            <w:tcW w:w="2410" w:type="dxa"/>
            <w:vMerge w:val="continue"/>
            <w:tcBorders>
              <w:top w:val="nil"/>
              <w:left w:val="single" w:color="auto" w:sz="4" w:space="0"/>
              <w:bottom w:val="single" w:color="auto" w:sz="4" w:space="0"/>
              <w:right w:val="single" w:color="auto" w:sz="4" w:space="0"/>
            </w:tcBorders>
            <w:shd w:val="clear" w:color="auto" w:fill="auto"/>
            <w:vAlign w:val="center"/>
          </w:tcPr>
          <w:p w14:paraId="4B5A65C8">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3678" w:type="dxa"/>
            <w:tcBorders>
              <w:top w:val="nil"/>
              <w:left w:val="nil"/>
              <w:bottom w:val="single" w:color="auto" w:sz="4" w:space="0"/>
              <w:right w:val="single" w:color="auto" w:sz="4" w:space="0"/>
            </w:tcBorders>
            <w:shd w:val="clear" w:color="auto" w:fill="auto"/>
            <w:vAlign w:val="center"/>
          </w:tcPr>
          <w:p w14:paraId="586F4191">
            <w:pPr>
              <w:spacing w:line="240" w:lineRule="auto"/>
              <w:ind w:firstLine="210" w:firstLineChars="10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地块1（金山产业园北区）、地块2（下湿壕片区）</w:t>
            </w:r>
          </w:p>
        </w:tc>
      </w:tr>
      <w:tr w14:paraId="4E1AE969">
        <w:tblPrEx>
          <w:tblCellMar>
            <w:top w:w="0" w:type="dxa"/>
            <w:left w:w="108" w:type="dxa"/>
            <w:bottom w:w="0" w:type="dxa"/>
            <w:right w:w="108" w:type="dxa"/>
          </w:tblCellMar>
        </w:tblPrEx>
        <w:trPr>
          <w:trHeight w:val="397"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387E6B9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油松</w:t>
            </w:r>
          </w:p>
        </w:tc>
        <w:tc>
          <w:tcPr>
            <w:tcW w:w="1843" w:type="dxa"/>
            <w:tcBorders>
              <w:top w:val="nil"/>
              <w:left w:val="nil"/>
              <w:bottom w:val="single" w:color="auto" w:sz="4" w:space="0"/>
              <w:right w:val="single" w:color="auto" w:sz="4" w:space="0"/>
            </w:tcBorders>
            <w:shd w:val="clear" w:color="auto" w:fill="auto"/>
            <w:vAlign w:val="center"/>
          </w:tcPr>
          <w:p w14:paraId="052DD36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常绿乔木</w:t>
            </w:r>
          </w:p>
        </w:tc>
        <w:tc>
          <w:tcPr>
            <w:tcW w:w="2410" w:type="dxa"/>
            <w:vMerge w:val="continue"/>
            <w:tcBorders>
              <w:top w:val="nil"/>
              <w:left w:val="single" w:color="auto" w:sz="4" w:space="0"/>
              <w:bottom w:val="single" w:color="auto" w:sz="4" w:space="0"/>
              <w:right w:val="single" w:color="auto" w:sz="4" w:space="0"/>
            </w:tcBorders>
            <w:shd w:val="clear" w:color="auto" w:fill="auto"/>
            <w:vAlign w:val="center"/>
          </w:tcPr>
          <w:p w14:paraId="77DFB4E2">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3678" w:type="dxa"/>
            <w:tcBorders>
              <w:top w:val="nil"/>
              <w:left w:val="nil"/>
              <w:bottom w:val="single" w:color="auto" w:sz="4" w:space="0"/>
              <w:right w:val="single" w:color="auto" w:sz="4" w:space="0"/>
            </w:tcBorders>
            <w:shd w:val="clear" w:color="auto" w:fill="auto"/>
            <w:vAlign w:val="center"/>
          </w:tcPr>
          <w:p w14:paraId="0C8E7FA8">
            <w:pPr>
              <w:spacing w:line="240" w:lineRule="auto"/>
              <w:ind w:firstLine="210" w:firstLineChars="10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地块1（金山产业园北区）、地块2（下湿壕片区）</w:t>
            </w:r>
          </w:p>
        </w:tc>
      </w:tr>
      <w:tr w14:paraId="48FAEBA4">
        <w:tblPrEx>
          <w:tblCellMar>
            <w:top w:w="0" w:type="dxa"/>
            <w:left w:w="108" w:type="dxa"/>
            <w:bottom w:w="0" w:type="dxa"/>
            <w:right w:w="108" w:type="dxa"/>
          </w:tblCellMar>
        </w:tblPrEx>
        <w:trPr>
          <w:trHeight w:val="397"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6921AEC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山杏</w:t>
            </w:r>
          </w:p>
        </w:tc>
        <w:tc>
          <w:tcPr>
            <w:tcW w:w="1843" w:type="dxa"/>
            <w:tcBorders>
              <w:top w:val="nil"/>
              <w:left w:val="nil"/>
              <w:bottom w:val="single" w:color="auto" w:sz="4" w:space="0"/>
              <w:right w:val="single" w:color="auto" w:sz="4" w:space="0"/>
            </w:tcBorders>
            <w:shd w:val="clear" w:color="auto" w:fill="auto"/>
            <w:vAlign w:val="center"/>
          </w:tcPr>
          <w:p w14:paraId="58CEB0D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常绿乔木</w:t>
            </w:r>
          </w:p>
        </w:tc>
        <w:tc>
          <w:tcPr>
            <w:tcW w:w="2410" w:type="dxa"/>
            <w:vMerge w:val="continue"/>
            <w:tcBorders>
              <w:top w:val="nil"/>
              <w:left w:val="single" w:color="auto" w:sz="4" w:space="0"/>
              <w:bottom w:val="single" w:color="auto" w:sz="4" w:space="0"/>
              <w:right w:val="single" w:color="auto" w:sz="4" w:space="0"/>
            </w:tcBorders>
            <w:shd w:val="clear" w:color="auto" w:fill="auto"/>
            <w:vAlign w:val="center"/>
          </w:tcPr>
          <w:p w14:paraId="71A866FC">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3678" w:type="dxa"/>
            <w:tcBorders>
              <w:top w:val="nil"/>
              <w:left w:val="nil"/>
              <w:bottom w:val="single" w:color="auto" w:sz="4" w:space="0"/>
              <w:right w:val="single" w:color="auto" w:sz="4" w:space="0"/>
            </w:tcBorders>
            <w:shd w:val="clear" w:color="auto" w:fill="auto"/>
            <w:vAlign w:val="center"/>
          </w:tcPr>
          <w:p w14:paraId="7623F157">
            <w:pPr>
              <w:spacing w:line="240" w:lineRule="auto"/>
              <w:ind w:firstLine="210" w:firstLineChars="10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地块1（金山产业园北区）、地块2（下湿壕片区）</w:t>
            </w:r>
          </w:p>
        </w:tc>
      </w:tr>
      <w:tr w14:paraId="25DEFD52">
        <w:tblPrEx>
          <w:tblCellMar>
            <w:top w:w="0" w:type="dxa"/>
            <w:left w:w="108" w:type="dxa"/>
            <w:bottom w:w="0" w:type="dxa"/>
            <w:right w:w="108" w:type="dxa"/>
          </w:tblCellMar>
        </w:tblPrEx>
        <w:trPr>
          <w:trHeight w:val="397"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0A2AB90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紫惠槐</w:t>
            </w:r>
          </w:p>
        </w:tc>
        <w:tc>
          <w:tcPr>
            <w:tcW w:w="1843" w:type="dxa"/>
            <w:tcBorders>
              <w:top w:val="nil"/>
              <w:left w:val="nil"/>
              <w:bottom w:val="single" w:color="auto" w:sz="4" w:space="0"/>
              <w:right w:val="single" w:color="auto" w:sz="4" w:space="0"/>
            </w:tcBorders>
            <w:shd w:val="clear" w:color="auto" w:fill="auto"/>
            <w:vAlign w:val="center"/>
          </w:tcPr>
          <w:p w14:paraId="26C843D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落叶灌木</w:t>
            </w:r>
          </w:p>
        </w:tc>
        <w:tc>
          <w:tcPr>
            <w:tcW w:w="2410" w:type="dxa"/>
            <w:vMerge w:val="continue"/>
            <w:tcBorders>
              <w:top w:val="nil"/>
              <w:left w:val="single" w:color="auto" w:sz="4" w:space="0"/>
              <w:bottom w:val="single" w:color="auto" w:sz="4" w:space="0"/>
              <w:right w:val="single" w:color="auto" w:sz="4" w:space="0"/>
            </w:tcBorders>
            <w:shd w:val="clear" w:color="auto" w:fill="auto"/>
            <w:vAlign w:val="center"/>
          </w:tcPr>
          <w:p w14:paraId="6755FC62">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3678" w:type="dxa"/>
            <w:tcBorders>
              <w:top w:val="nil"/>
              <w:left w:val="nil"/>
              <w:bottom w:val="single" w:color="auto" w:sz="4" w:space="0"/>
              <w:right w:val="single" w:color="auto" w:sz="4" w:space="0"/>
            </w:tcBorders>
            <w:shd w:val="clear" w:color="auto" w:fill="auto"/>
            <w:vAlign w:val="center"/>
          </w:tcPr>
          <w:p w14:paraId="1369DBA0">
            <w:pPr>
              <w:spacing w:line="240" w:lineRule="auto"/>
              <w:ind w:firstLine="210" w:firstLineChars="10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地块1（金山产业园北区）、地块2（下湿壕片区）</w:t>
            </w:r>
          </w:p>
        </w:tc>
      </w:tr>
      <w:tr w14:paraId="35C0E41B">
        <w:tblPrEx>
          <w:tblCellMar>
            <w:top w:w="0" w:type="dxa"/>
            <w:left w:w="108" w:type="dxa"/>
            <w:bottom w:w="0" w:type="dxa"/>
            <w:right w:w="108" w:type="dxa"/>
          </w:tblCellMar>
        </w:tblPrEx>
        <w:trPr>
          <w:trHeight w:val="397"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4CDE766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云杉</w:t>
            </w:r>
          </w:p>
        </w:tc>
        <w:tc>
          <w:tcPr>
            <w:tcW w:w="1843" w:type="dxa"/>
            <w:tcBorders>
              <w:top w:val="nil"/>
              <w:left w:val="nil"/>
              <w:bottom w:val="single" w:color="auto" w:sz="4" w:space="0"/>
              <w:right w:val="single" w:color="auto" w:sz="4" w:space="0"/>
            </w:tcBorders>
            <w:shd w:val="clear" w:color="auto" w:fill="auto"/>
            <w:vAlign w:val="center"/>
          </w:tcPr>
          <w:p w14:paraId="3871BAF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常绿乔木</w:t>
            </w:r>
          </w:p>
        </w:tc>
        <w:tc>
          <w:tcPr>
            <w:tcW w:w="2410" w:type="dxa"/>
            <w:vMerge w:val="continue"/>
            <w:tcBorders>
              <w:top w:val="nil"/>
              <w:left w:val="single" w:color="auto" w:sz="4" w:space="0"/>
              <w:bottom w:val="single" w:color="auto" w:sz="4" w:space="0"/>
              <w:right w:val="single" w:color="auto" w:sz="4" w:space="0"/>
            </w:tcBorders>
            <w:shd w:val="clear" w:color="auto" w:fill="auto"/>
            <w:vAlign w:val="center"/>
          </w:tcPr>
          <w:p w14:paraId="6D5F2FD2">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3678" w:type="dxa"/>
            <w:tcBorders>
              <w:top w:val="nil"/>
              <w:left w:val="nil"/>
              <w:bottom w:val="single" w:color="auto" w:sz="4" w:space="0"/>
              <w:right w:val="single" w:color="auto" w:sz="4" w:space="0"/>
            </w:tcBorders>
            <w:shd w:val="clear" w:color="auto" w:fill="auto"/>
            <w:vAlign w:val="center"/>
          </w:tcPr>
          <w:p w14:paraId="7D325771">
            <w:pPr>
              <w:spacing w:line="240" w:lineRule="auto"/>
              <w:ind w:firstLine="210" w:firstLineChars="10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地块1（金山产业园北区）、地块2（下湿壕片区）</w:t>
            </w:r>
          </w:p>
        </w:tc>
      </w:tr>
      <w:tr w14:paraId="180269D6">
        <w:tblPrEx>
          <w:tblCellMar>
            <w:top w:w="0" w:type="dxa"/>
            <w:left w:w="108" w:type="dxa"/>
            <w:bottom w:w="0" w:type="dxa"/>
            <w:right w:w="108" w:type="dxa"/>
          </w:tblCellMar>
        </w:tblPrEx>
        <w:trPr>
          <w:trHeight w:val="397"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30BFD44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早熟禾</w:t>
            </w:r>
          </w:p>
        </w:tc>
        <w:tc>
          <w:tcPr>
            <w:tcW w:w="1843" w:type="dxa"/>
            <w:tcBorders>
              <w:top w:val="nil"/>
              <w:left w:val="nil"/>
              <w:bottom w:val="single" w:color="auto" w:sz="4" w:space="0"/>
              <w:right w:val="single" w:color="auto" w:sz="4" w:space="0"/>
            </w:tcBorders>
            <w:shd w:val="clear" w:color="auto" w:fill="auto"/>
            <w:vAlign w:val="center"/>
          </w:tcPr>
          <w:p w14:paraId="734A0B4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一年生草本植物</w:t>
            </w:r>
          </w:p>
        </w:tc>
        <w:tc>
          <w:tcPr>
            <w:tcW w:w="2410" w:type="dxa"/>
            <w:tcBorders>
              <w:top w:val="nil"/>
              <w:left w:val="nil"/>
              <w:bottom w:val="single" w:color="auto" w:sz="4" w:space="0"/>
              <w:right w:val="single" w:color="auto" w:sz="4" w:space="0"/>
            </w:tcBorders>
            <w:shd w:val="clear" w:color="auto" w:fill="auto"/>
            <w:vAlign w:val="center"/>
          </w:tcPr>
          <w:p w14:paraId="6D53DDE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新鲜饱满一级籽种</w:t>
            </w:r>
          </w:p>
        </w:tc>
        <w:tc>
          <w:tcPr>
            <w:tcW w:w="3678" w:type="dxa"/>
            <w:tcBorders>
              <w:top w:val="nil"/>
              <w:left w:val="nil"/>
              <w:bottom w:val="single" w:color="auto" w:sz="4" w:space="0"/>
              <w:right w:val="single" w:color="auto" w:sz="4" w:space="0"/>
            </w:tcBorders>
            <w:shd w:val="clear" w:color="auto" w:fill="auto"/>
            <w:vAlign w:val="center"/>
          </w:tcPr>
          <w:p w14:paraId="54149291">
            <w:pPr>
              <w:spacing w:line="240" w:lineRule="auto"/>
              <w:ind w:firstLine="210" w:firstLineChars="10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地块1（金山产业园北区）、地块2（下湿壕片区）</w:t>
            </w:r>
          </w:p>
        </w:tc>
      </w:tr>
      <w:tr w14:paraId="779265B6">
        <w:tblPrEx>
          <w:tblCellMar>
            <w:top w:w="0" w:type="dxa"/>
            <w:left w:w="108" w:type="dxa"/>
            <w:bottom w:w="0" w:type="dxa"/>
            <w:right w:w="108" w:type="dxa"/>
          </w:tblCellMar>
        </w:tblPrEx>
        <w:trPr>
          <w:trHeight w:val="397"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4A926E3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羊草</w:t>
            </w:r>
          </w:p>
        </w:tc>
        <w:tc>
          <w:tcPr>
            <w:tcW w:w="1843" w:type="dxa"/>
            <w:tcBorders>
              <w:top w:val="nil"/>
              <w:left w:val="nil"/>
              <w:bottom w:val="single" w:color="auto" w:sz="4" w:space="0"/>
              <w:right w:val="single" w:color="auto" w:sz="4" w:space="0"/>
            </w:tcBorders>
            <w:shd w:val="clear" w:color="auto" w:fill="auto"/>
            <w:vAlign w:val="center"/>
          </w:tcPr>
          <w:p w14:paraId="1D210BF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一年生草本植物</w:t>
            </w:r>
          </w:p>
        </w:tc>
        <w:tc>
          <w:tcPr>
            <w:tcW w:w="2410" w:type="dxa"/>
            <w:tcBorders>
              <w:top w:val="nil"/>
              <w:left w:val="nil"/>
              <w:bottom w:val="single" w:color="auto" w:sz="4" w:space="0"/>
              <w:right w:val="single" w:color="auto" w:sz="4" w:space="0"/>
            </w:tcBorders>
            <w:shd w:val="clear" w:color="auto" w:fill="auto"/>
            <w:vAlign w:val="center"/>
          </w:tcPr>
          <w:p w14:paraId="0A6DE9F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新鲜饱满一级籽种</w:t>
            </w:r>
          </w:p>
        </w:tc>
        <w:tc>
          <w:tcPr>
            <w:tcW w:w="3678" w:type="dxa"/>
            <w:tcBorders>
              <w:top w:val="nil"/>
              <w:left w:val="nil"/>
              <w:bottom w:val="single" w:color="auto" w:sz="4" w:space="0"/>
              <w:right w:val="single" w:color="auto" w:sz="4" w:space="0"/>
            </w:tcBorders>
            <w:shd w:val="clear" w:color="auto" w:fill="auto"/>
            <w:vAlign w:val="center"/>
          </w:tcPr>
          <w:p w14:paraId="570D5BEC">
            <w:pPr>
              <w:spacing w:line="240" w:lineRule="auto"/>
              <w:ind w:firstLine="210" w:firstLineChars="10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地块1（金山产业园北区）、地块2（下湿壕片区）</w:t>
            </w:r>
          </w:p>
        </w:tc>
      </w:tr>
      <w:tr w14:paraId="43CD4B04">
        <w:tblPrEx>
          <w:tblCellMar>
            <w:top w:w="0" w:type="dxa"/>
            <w:left w:w="108" w:type="dxa"/>
            <w:bottom w:w="0" w:type="dxa"/>
            <w:right w:w="108" w:type="dxa"/>
          </w:tblCellMar>
        </w:tblPrEx>
        <w:trPr>
          <w:trHeight w:val="397" w:hRule="atLeast"/>
        </w:trPr>
        <w:tc>
          <w:tcPr>
            <w:tcW w:w="1129" w:type="dxa"/>
            <w:tcBorders>
              <w:top w:val="nil"/>
              <w:left w:val="single" w:color="auto" w:sz="4" w:space="0"/>
              <w:bottom w:val="single" w:color="auto" w:sz="4" w:space="0"/>
              <w:right w:val="single" w:color="auto" w:sz="4" w:space="0"/>
            </w:tcBorders>
            <w:shd w:val="clear" w:color="auto" w:fill="auto"/>
            <w:vAlign w:val="center"/>
          </w:tcPr>
          <w:p w14:paraId="2F6EF6E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披碱草</w:t>
            </w:r>
          </w:p>
        </w:tc>
        <w:tc>
          <w:tcPr>
            <w:tcW w:w="1843" w:type="dxa"/>
            <w:tcBorders>
              <w:top w:val="nil"/>
              <w:left w:val="nil"/>
              <w:bottom w:val="single" w:color="auto" w:sz="4" w:space="0"/>
              <w:right w:val="single" w:color="auto" w:sz="4" w:space="0"/>
            </w:tcBorders>
            <w:shd w:val="clear" w:color="auto" w:fill="auto"/>
            <w:vAlign w:val="center"/>
          </w:tcPr>
          <w:p w14:paraId="0DD4E3F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一年生草本植物</w:t>
            </w:r>
          </w:p>
        </w:tc>
        <w:tc>
          <w:tcPr>
            <w:tcW w:w="2410" w:type="dxa"/>
            <w:tcBorders>
              <w:top w:val="nil"/>
              <w:left w:val="nil"/>
              <w:bottom w:val="single" w:color="auto" w:sz="4" w:space="0"/>
              <w:right w:val="single" w:color="auto" w:sz="4" w:space="0"/>
            </w:tcBorders>
            <w:shd w:val="clear" w:color="auto" w:fill="auto"/>
            <w:vAlign w:val="center"/>
          </w:tcPr>
          <w:p w14:paraId="10F3E08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新鲜饱满一级籽种</w:t>
            </w:r>
          </w:p>
        </w:tc>
        <w:tc>
          <w:tcPr>
            <w:tcW w:w="3678" w:type="dxa"/>
            <w:tcBorders>
              <w:top w:val="nil"/>
              <w:left w:val="nil"/>
              <w:bottom w:val="single" w:color="auto" w:sz="4" w:space="0"/>
              <w:right w:val="single" w:color="auto" w:sz="4" w:space="0"/>
            </w:tcBorders>
            <w:shd w:val="clear" w:color="auto" w:fill="auto"/>
            <w:vAlign w:val="center"/>
          </w:tcPr>
          <w:p w14:paraId="16E5AF0B">
            <w:pPr>
              <w:spacing w:line="240" w:lineRule="auto"/>
              <w:ind w:firstLine="210" w:firstLineChars="10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地块1（金山产业园北区）、地块2（下湿壕片区）</w:t>
            </w:r>
          </w:p>
        </w:tc>
      </w:tr>
    </w:tbl>
    <w:p w14:paraId="5D3C1C4B">
      <w:pPr>
        <w:pStyle w:val="12"/>
        <w:ind w:firstLine="474"/>
        <w:rPr>
          <w:rFonts w:ascii="Times New Roman" w:hAnsi="Times New Roman" w:eastAsia="仿宋_GB2312"/>
          <w:color w:val="000000" w:themeColor="text1"/>
          <w:spacing w:val="-10"/>
          <w14:textFill>
            <w14:solidFill>
              <w14:schemeClr w14:val="tx1"/>
            </w14:solidFill>
          </w14:textFill>
        </w:rPr>
      </w:pPr>
      <w:r>
        <w:rPr>
          <w:rFonts w:ascii="Times New Roman" w:hAnsi="Times New Roman" w:eastAsia="仿宋_GB2312"/>
          <w:color w:val="000000" w:themeColor="text1"/>
          <w:spacing w:val="-3"/>
          <w14:textFill>
            <w14:solidFill>
              <w14:schemeClr w14:val="tx1"/>
            </w14:solidFill>
          </w14:textFill>
        </w:rPr>
        <w:t>各功能区植物措施措施布设位置、标准及等级情况详见表</w:t>
      </w:r>
      <w:r>
        <w:rPr>
          <w:rFonts w:ascii="Times New Roman" w:hAnsi="Times New Roman" w:eastAsia="仿宋_GB2312"/>
          <w:color w:val="000000" w:themeColor="text1"/>
          <w14:textFill>
            <w14:solidFill>
              <w14:schemeClr w14:val="tx1"/>
            </w14:solidFill>
          </w14:textFill>
        </w:rPr>
        <w:t>5-13</w:t>
      </w:r>
      <w:r>
        <w:rPr>
          <w:rFonts w:ascii="Times New Roman" w:hAnsi="Times New Roman" w:eastAsia="仿宋_GB2312"/>
          <w:color w:val="000000" w:themeColor="text1"/>
          <w:spacing w:val="-10"/>
          <w14:textFill>
            <w14:solidFill>
              <w14:schemeClr w14:val="tx1"/>
            </w14:solidFill>
          </w14:textFill>
        </w:rPr>
        <w:t>。</w:t>
      </w:r>
    </w:p>
    <w:p w14:paraId="6144DA3A">
      <w:pPr>
        <w:spacing w:line="240" w:lineRule="auto"/>
        <w:ind w:firstLine="0" w:firstLineChars="0"/>
        <w:jc w:val="left"/>
        <w:rPr>
          <w:rFonts w:cs="Times New Roman"/>
          <w:color w:val="000000" w:themeColor="text1"/>
          <w:spacing w:val="-10"/>
          <w:szCs w:val="20"/>
          <w14:textFill>
            <w14:solidFill>
              <w14:schemeClr w14:val="tx1"/>
            </w14:solidFill>
          </w14:textFill>
        </w:rPr>
      </w:pPr>
      <w:r>
        <w:rPr>
          <w:color w:val="000000" w:themeColor="text1"/>
          <w:spacing w:val="-10"/>
          <w14:textFill>
            <w14:solidFill>
              <w14:schemeClr w14:val="tx1"/>
            </w14:solidFill>
          </w14:textFill>
        </w:rPr>
        <w:br w:type="page"/>
      </w:r>
    </w:p>
    <w:p w14:paraId="3D69973E">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表5-</w:t>
      </w:r>
      <w:r>
        <w:rPr>
          <w:color w:val="000000" w:themeColor="text1"/>
          <w:spacing w:val="-5"/>
          <w:lang w:eastAsia="zh-CN"/>
          <w14:textFill>
            <w14:solidFill>
              <w14:schemeClr w14:val="tx1"/>
            </w14:solidFill>
          </w14:textFill>
        </w:rPr>
        <w:t>13</w:t>
      </w:r>
      <w:r>
        <w:rPr>
          <w:color w:val="000000" w:themeColor="text1"/>
          <w:lang w:eastAsia="zh-CN"/>
          <w14:textFill>
            <w14:solidFill>
              <w14:schemeClr w14:val="tx1"/>
            </w14:solidFill>
          </w14:textFill>
        </w:rPr>
        <w:t xml:space="preserve">                     植物措施布设位置、标准及等级汇总表</w:t>
      </w:r>
    </w:p>
    <w:tbl>
      <w:tblPr>
        <w:tblStyle w:val="27"/>
        <w:tblW w:w="5000" w:type="pct"/>
        <w:tblInd w:w="0" w:type="dxa"/>
        <w:tblLayout w:type="autofit"/>
        <w:tblCellMar>
          <w:top w:w="0" w:type="dxa"/>
          <w:left w:w="108" w:type="dxa"/>
          <w:bottom w:w="0" w:type="dxa"/>
          <w:right w:w="108" w:type="dxa"/>
        </w:tblCellMar>
      </w:tblPr>
      <w:tblGrid>
        <w:gridCol w:w="603"/>
        <w:gridCol w:w="604"/>
        <w:gridCol w:w="1404"/>
        <w:gridCol w:w="1016"/>
        <w:gridCol w:w="1163"/>
        <w:gridCol w:w="4496"/>
      </w:tblGrid>
      <w:tr w14:paraId="30C47A20">
        <w:tblPrEx>
          <w:tblCellMar>
            <w:top w:w="0" w:type="dxa"/>
            <w:left w:w="108" w:type="dxa"/>
            <w:bottom w:w="0" w:type="dxa"/>
            <w:right w:w="108" w:type="dxa"/>
          </w:tblCellMar>
        </w:tblPrEx>
        <w:trPr>
          <w:trHeight w:val="397" w:hRule="atLeast"/>
        </w:trPr>
        <w:tc>
          <w:tcPr>
            <w:tcW w:w="325" w:type="pct"/>
            <w:tcBorders>
              <w:top w:val="single" w:color="auto" w:sz="4" w:space="0"/>
              <w:left w:val="single" w:color="auto" w:sz="4" w:space="0"/>
              <w:bottom w:val="double" w:color="auto" w:sz="4" w:space="0"/>
              <w:right w:val="single" w:color="auto" w:sz="4" w:space="0"/>
            </w:tcBorders>
            <w:shd w:val="clear" w:color="auto" w:fill="auto"/>
            <w:vAlign w:val="center"/>
          </w:tcPr>
          <w:p w14:paraId="58D7B1D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措施类型</w:t>
            </w:r>
          </w:p>
        </w:tc>
        <w:tc>
          <w:tcPr>
            <w:tcW w:w="325" w:type="pct"/>
            <w:tcBorders>
              <w:top w:val="single" w:color="auto" w:sz="4" w:space="0"/>
              <w:left w:val="nil"/>
              <w:bottom w:val="double" w:color="auto" w:sz="4" w:space="0"/>
              <w:right w:val="single" w:color="auto" w:sz="4" w:space="0"/>
            </w:tcBorders>
            <w:shd w:val="clear" w:color="auto" w:fill="auto"/>
            <w:vAlign w:val="center"/>
          </w:tcPr>
          <w:p w14:paraId="711B7E0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措施名称</w:t>
            </w:r>
          </w:p>
        </w:tc>
        <w:tc>
          <w:tcPr>
            <w:tcW w:w="1303" w:type="pct"/>
            <w:gridSpan w:val="2"/>
            <w:tcBorders>
              <w:top w:val="single" w:color="auto" w:sz="4" w:space="0"/>
              <w:left w:val="nil"/>
              <w:bottom w:val="double" w:color="auto" w:sz="4" w:space="0"/>
              <w:right w:val="single" w:color="auto" w:sz="4" w:space="0"/>
            </w:tcBorders>
            <w:shd w:val="clear" w:color="auto" w:fill="auto"/>
            <w:vAlign w:val="center"/>
          </w:tcPr>
          <w:p w14:paraId="069E276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功能区</w:t>
            </w:r>
          </w:p>
        </w:tc>
        <w:tc>
          <w:tcPr>
            <w:tcW w:w="626" w:type="pct"/>
            <w:tcBorders>
              <w:top w:val="single" w:color="auto" w:sz="4" w:space="0"/>
              <w:left w:val="nil"/>
              <w:bottom w:val="double" w:color="auto" w:sz="4" w:space="0"/>
              <w:right w:val="single" w:color="auto" w:sz="4" w:space="0"/>
            </w:tcBorders>
            <w:shd w:val="clear" w:color="auto" w:fill="auto"/>
            <w:vAlign w:val="center"/>
          </w:tcPr>
          <w:p w14:paraId="002A3C7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布设位置</w:t>
            </w:r>
          </w:p>
        </w:tc>
        <w:tc>
          <w:tcPr>
            <w:tcW w:w="2421" w:type="pct"/>
            <w:tcBorders>
              <w:top w:val="single" w:color="auto" w:sz="4" w:space="0"/>
              <w:left w:val="nil"/>
              <w:bottom w:val="double" w:color="auto" w:sz="4" w:space="0"/>
              <w:right w:val="single" w:color="auto" w:sz="4" w:space="0"/>
            </w:tcBorders>
            <w:shd w:val="clear" w:color="auto" w:fill="auto"/>
            <w:vAlign w:val="center"/>
          </w:tcPr>
          <w:p w14:paraId="533C41B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等级及标准</w:t>
            </w:r>
          </w:p>
        </w:tc>
      </w:tr>
      <w:tr w14:paraId="287D6391">
        <w:tblPrEx>
          <w:tblCellMar>
            <w:top w:w="0" w:type="dxa"/>
            <w:left w:w="108" w:type="dxa"/>
            <w:bottom w:w="0" w:type="dxa"/>
            <w:right w:w="108" w:type="dxa"/>
          </w:tblCellMar>
        </w:tblPrEx>
        <w:trPr>
          <w:trHeight w:val="397" w:hRule="atLeast"/>
        </w:trPr>
        <w:tc>
          <w:tcPr>
            <w:tcW w:w="325" w:type="pct"/>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11346AE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植物措施</w:t>
            </w:r>
          </w:p>
        </w:tc>
        <w:tc>
          <w:tcPr>
            <w:tcW w:w="325" w:type="pct"/>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6883A54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绿化带</w:t>
            </w:r>
          </w:p>
        </w:tc>
        <w:tc>
          <w:tcPr>
            <w:tcW w:w="756" w:type="pct"/>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1F83D73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547" w:type="pct"/>
            <w:tcBorders>
              <w:top w:val="double" w:color="auto" w:sz="4" w:space="0"/>
              <w:left w:val="nil"/>
              <w:bottom w:val="single" w:color="auto" w:sz="4" w:space="0"/>
              <w:right w:val="single" w:color="auto" w:sz="4" w:space="0"/>
            </w:tcBorders>
            <w:shd w:val="clear" w:color="auto" w:fill="auto"/>
            <w:vAlign w:val="center"/>
          </w:tcPr>
          <w:p w14:paraId="70057FB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626" w:type="pct"/>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65DF128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道路两侧人行道区域设施绿化带</w:t>
            </w:r>
          </w:p>
        </w:tc>
        <w:tc>
          <w:tcPr>
            <w:tcW w:w="2421" w:type="pct"/>
            <w:vMerge w:val="restart"/>
            <w:tcBorders>
              <w:top w:val="double" w:color="auto" w:sz="4" w:space="0"/>
              <w:left w:val="single" w:color="auto" w:sz="4" w:space="0"/>
              <w:bottom w:val="single" w:color="auto" w:sz="4" w:space="0"/>
              <w:right w:val="single" w:color="auto" w:sz="4" w:space="0"/>
            </w:tcBorders>
            <w:shd w:val="clear" w:color="auto" w:fill="auto"/>
            <w:vAlign w:val="center"/>
          </w:tcPr>
          <w:p w14:paraId="14121D3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根据《水土保持工程设计规范》（GB51018-2014），各厂区内道路两侧绿化带，执行2级标准。</w:t>
            </w:r>
          </w:p>
        </w:tc>
      </w:tr>
      <w:tr w14:paraId="164A7786">
        <w:tblPrEx>
          <w:tblCellMar>
            <w:top w:w="0" w:type="dxa"/>
            <w:left w:w="108" w:type="dxa"/>
            <w:bottom w:w="0" w:type="dxa"/>
            <w:right w:w="108" w:type="dxa"/>
          </w:tblCellMar>
        </w:tblPrEx>
        <w:trPr>
          <w:trHeight w:val="397" w:hRule="atLeast"/>
        </w:trPr>
        <w:tc>
          <w:tcPr>
            <w:tcW w:w="325" w:type="pct"/>
            <w:vMerge w:val="continue"/>
            <w:tcBorders>
              <w:top w:val="nil"/>
              <w:left w:val="single" w:color="auto" w:sz="4" w:space="0"/>
              <w:bottom w:val="single" w:color="auto" w:sz="4" w:space="0"/>
              <w:right w:val="single" w:color="auto" w:sz="4" w:space="0"/>
            </w:tcBorders>
            <w:vAlign w:val="center"/>
          </w:tcPr>
          <w:p w14:paraId="7E8E106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25" w:type="pct"/>
            <w:vMerge w:val="continue"/>
            <w:tcBorders>
              <w:top w:val="nil"/>
              <w:left w:val="single" w:color="auto" w:sz="4" w:space="0"/>
              <w:bottom w:val="single" w:color="auto" w:sz="4" w:space="0"/>
              <w:right w:val="single" w:color="auto" w:sz="4" w:space="0"/>
            </w:tcBorders>
            <w:vAlign w:val="center"/>
          </w:tcPr>
          <w:p w14:paraId="6F76D03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56" w:type="pct"/>
            <w:vMerge w:val="continue"/>
            <w:tcBorders>
              <w:top w:val="nil"/>
              <w:left w:val="single" w:color="auto" w:sz="4" w:space="0"/>
              <w:bottom w:val="single" w:color="auto" w:sz="4" w:space="0"/>
              <w:right w:val="single" w:color="auto" w:sz="4" w:space="0"/>
            </w:tcBorders>
            <w:vAlign w:val="center"/>
          </w:tcPr>
          <w:p w14:paraId="77A28DA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47" w:type="pct"/>
            <w:tcBorders>
              <w:top w:val="nil"/>
              <w:left w:val="nil"/>
              <w:bottom w:val="single" w:color="auto" w:sz="4" w:space="0"/>
              <w:right w:val="single" w:color="auto" w:sz="4" w:space="0"/>
            </w:tcBorders>
            <w:shd w:val="clear" w:color="auto" w:fill="auto"/>
            <w:vAlign w:val="center"/>
          </w:tcPr>
          <w:p w14:paraId="4501F40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未建成</w:t>
            </w:r>
          </w:p>
        </w:tc>
        <w:tc>
          <w:tcPr>
            <w:tcW w:w="626" w:type="pct"/>
            <w:vMerge w:val="continue"/>
            <w:tcBorders>
              <w:top w:val="nil"/>
              <w:left w:val="single" w:color="auto" w:sz="4" w:space="0"/>
              <w:bottom w:val="single" w:color="auto" w:sz="4" w:space="0"/>
              <w:right w:val="single" w:color="auto" w:sz="4" w:space="0"/>
            </w:tcBorders>
            <w:vAlign w:val="center"/>
          </w:tcPr>
          <w:p w14:paraId="6AA330E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421" w:type="pct"/>
            <w:vMerge w:val="continue"/>
            <w:tcBorders>
              <w:top w:val="nil"/>
              <w:left w:val="single" w:color="auto" w:sz="4" w:space="0"/>
              <w:bottom w:val="single" w:color="auto" w:sz="4" w:space="0"/>
              <w:right w:val="single" w:color="auto" w:sz="4" w:space="0"/>
            </w:tcBorders>
            <w:vAlign w:val="center"/>
          </w:tcPr>
          <w:p w14:paraId="660E9F3A">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19BF2E40">
        <w:tblPrEx>
          <w:tblCellMar>
            <w:top w:w="0" w:type="dxa"/>
            <w:left w:w="108" w:type="dxa"/>
            <w:bottom w:w="0" w:type="dxa"/>
            <w:right w:w="108" w:type="dxa"/>
          </w:tblCellMar>
        </w:tblPrEx>
        <w:trPr>
          <w:trHeight w:val="397" w:hRule="atLeast"/>
        </w:trPr>
        <w:tc>
          <w:tcPr>
            <w:tcW w:w="325" w:type="pct"/>
            <w:vMerge w:val="continue"/>
            <w:tcBorders>
              <w:top w:val="nil"/>
              <w:left w:val="single" w:color="auto" w:sz="4" w:space="0"/>
              <w:bottom w:val="single" w:color="auto" w:sz="4" w:space="0"/>
              <w:right w:val="single" w:color="auto" w:sz="4" w:space="0"/>
            </w:tcBorders>
            <w:vAlign w:val="center"/>
          </w:tcPr>
          <w:p w14:paraId="62CDB5B0">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25" w:type="pct"/>
            <w:vMerge w:val="continue"/>
            <w:tcBorders>
              <w:top w:val="nil"/>
              <w:left w:val="single" w:color="auto" w:sz="4" w:space="0"/>
              <w:bottom w:val="single" w:color="auto" w:sz="4" w:space="0"/>
              <w:right w:val="single" w:color="auto" w:sz="4" w:space="0"/>
            </w:tcBorders>
            <w:vAlign w:val="center"/>
          </w:tcPr>
          <w:p w14:paraId="5DBB644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56" w:type="pct"/>
            <w:tcBorders>
              <w:top w:val="nil"/>
              <w:left w:val="single" w:color="auto" w:sz="4" w:space="0"/>
              <w:bottom w:val="single" w:color="auto" w:sz="4" w:space="0"/>
              <w:right w:val="single" w:color="auto" w:sz="4" w:space="0"/>
            </w:tcBorders>
            <w:shd w:val="clear" w:color="auto" w:fill="auto"/>
            <w:vAlign w:val="center"/>
          </w:tcPr>
          <w:p w14:paraId="5E7C834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547" w:type="pct"/>
            <w:tcBorders>
              <w:top w:val="nil"/>
              <w:left w:val="nil"/>
              <w:bottom w:val="single" w:color="auto" w:sz="4" w:space="0"/>
              <w:right w:val="single" w:color="auto" w:sz="4" w:space="0"/>
            </w:tcBorders>
            <w:shd w:val="clear" w:color="auto" w:fill="auto"/>
            <w:vAlign w:val="center"/>
          </w:tcPr>
          <w:p w14:paraId="4BD1E64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626" w:type="pct"/>
            <w:vMerge w:val="continue"/>
            <w:tcBorders>
              <w:top w:val="nil"/>
              <w:left w:val="single" w:color="auto" w:sz="4" w:space="0"/>
              <w:bottom w:val="single" w:color="auto" w:sz="4" w:space="0"/>
              <w:right w:val="single" w:color="auto" w:sz="4" w:space="0"/>
            </w:tcBorders>
            <w:vAlign w:val="center"/>
          </w:tcPr>
          <w:p w14:paraId="2E0A9CDB">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421" w:type="pct"/>
            <w:tcBorders>
              <w:top w:val="nil"/>
              <w:left w:val="single" w:color="auto" w:sz="4" w:space="0"/>
              <w:bottom w:val="single" w:color="auto" w:sz="4" w:space="0"/>
              <w:right w:val="single" w:color="auto" w:sz="4" w:space="0"/>
            </w:tcBorders>
            <w:shd w:val="clear" w:color="auto" w:fill="auto"/>
            <w:vAlign w:val="center"/>
          </w:tcPr>
          <w:p w14:paraId="4BB1CFF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根据《水土保持工程设计规范》（GB51018-2014），厂区内道路两侧绿化带，执行2级标准。</w:t>
            </w:r>
          </w:p>
        </w:tc>
      </w:tr>
      <w:tr w14:paraId="633EF46E">
        <w:tblPrEx>
          <w:tblCellMar>
            <w:top w:w="0" w:type="dxa"/>
            <w:left w:w="108" w:type="dxa"/>
            <w:bottom w:w="0" w:type="dxa"/>
            <w:right w:w="108" w:type="dxa"/>
          </w:tblCellMar>
        </w:tblPrEx>
        <w:trPr>
          <w:trHeight w:val="397" w:hRule="atLeast"/>
        </w:trPr>
        <w:tc>
          <w:tcPr>
            <w:tcW w:w="325" w:type="pct"/>
            <w:vMerge w:val="continue"/>
            <w:tcBorders>
              <w:top w:val="nil"/>
              <w:left w:val="single" w:color="auto" w:sz="4" w:space="0"/>
              <w:bottom w:val="single" w:color="auto" w:sz="4" w:space="0"/>
              <w:right w:val="single" w:color="auto" w:sz="4" w:space="0"/>
            </w:tcBorders>
            <w:vAlign w:val="center"/>
          </w:tcPr>
          <w:p w14:paraId="20DA6EB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25" w:type="pct"/>
            <w:vMerge w:val="restart"/>
            <w:tcBorders>
              <w:top w:val="nil"/>
              <w:left w:val="single" w:color="auto" w:sz="4" w:space="0"/>
              <w:bottom w:val="single" w:color="auto" w:sz="4" w:space="0"/>
              <w:right w:val="single" w:color="auto" w:sz="4" w:space="0"/>
            </w:tcBorders>
            <w:shd w:val="clear" w:color="auto" w:fill="auto"/>
            <w:vAlign w:val="center"/>
          </w:tcPr>
          <w:p w14:paraId="5F636F5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空地绿化</w:t>
            </w:r>
          </w:p>
        </w:tc>
        <w:tc>
          <w:tcPr>
            <w:tcW w:w="756" w:type="pct"/>
            <w:vMerge w:val="restart"/>
            <w:tcBorders>
              <w:top w:val="nil"/>
              <w:left w:val="single" w:color="auto" w:sz="4" w:space="0"/>
              <w:bottom w:val="single" w:color="auto" w:sz="4" w:space="0"/>
              <w:right w:val="single" w:color="auto" w:sz="4" w:space="0"/>
            </w:tcBorders>
            <w:shd w:val="clear" w:color="auto" w:fill="auto"/>
            <w:vAlign w:val="center"/>
          </w:tcPr>
          <w:p w14:paraId="162E41F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547" w:type="pct"/>
            <w:tcBorders>
              <w:top w:val="nil"/>
              <w:left w:val="nil"/>
              <w:bottom w:val="single" w:color="auto" w:sz="4" w:space="0"/>
              <w:right w:val="single" w:color="auto" w:sz="4" w:space="0"/>
            </w:tcBorders>
            <w:shd w:val="clear" w:color="auto" w:fill="auto"/>
            <w:vAlign w:val="center"/>
          </w:tcPr>
          <w:p w14:paraId="2A197BE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626" w:type="pct"/>
            <w:vMerge w:val="restart"/>
            <w:tcBorders>
              <w:top w:val="nil"/>
              <w:left w:val="single" w:color="auto" w:sz="4" w:space="0"/>
              <w:bottom w:val="single" w:color="auto" w:sz="4" w:space="0"/>
              <w:right w:val="single" w:color="auto" w:sz="4" w:space="0"/>
            </w:tcBorders>
            <w:shd w:val="clear" w:color="auto" w:fill="auto"/>
            <w:vAlign w:val="center"/>
          </w:tcPr>
          <w:p w14:paraId="11FF749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布设于项目区内构建筑物周边空地区域</w:t>
            </w:r>
          </w:p>
        </w:tc>
        <w:tc>
          <w:tcPr>
            <w:tcW w:w="2421" w:type="pct"/>
            <w:vMerge w:val="restart"/>
            <w:tcBorders>
              <w:top w:val="nil"/>
              <w:left w:val="single" w:color="auto" w:sz="4" w:space="0"/>
              <w:bottom w:val="single" w:color="000000" w:sz="4" w:space="0"/>
              <w:right w:val="single" w:color="auto" w:sz="4" w:space="0"/>
            </w:tcBorders>
            <w:shd w:val="clear" w:color="auto" w:fill="auto"/>
            <w:vAlign w:val="center"/>
          </w:tcPr>
          <w:p w14:paraId="2F7E81A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公共管理与公共服务用地、商业服务业用地、公用设施用地、绿地与开敞空间用地执行1级标准；交通运输用地、工业用地执行2级标准</w:t>
            </w:r>
          </w:p>
        </w:tc>
      </w:tr>
      <w:tr w14:paraId="29F263B8">
        <w:tblPrEx>
          <w:tblCellMar>
            <w:top w:w="0" w:type="dxa"/>
            <w:left w:w="108" w:type="dxa"/>
            <w:bottom w:w="0" w:type="dxa"/>
            <w:right w:w="108" w:type="dxa"/>
          </w:tblCellMar>
        </w:tblPrEx>
        <w:trPr>
          <w:trHeight w:val="397" w:hRule="atLeast"/>
        </w:trPr>
        <w:tc>
          <w:tcPr>
            <w:tcW w:w="325" w:type="pct"/>
            <w:vMerge w:val="continue"/>
            <w:tcBorders>
              <w:top w:val="nil"/>
              <w:left w:val="single" w:color="auto" w:sz="4" w:space="0"/>
              <w:bottom w:val="single" w:color="auto" w:sz="4" w:space="0"/>
              <w:right w:val="single" w:color="auto" w:sz="4" w:space="0"/>
            </w:tcBorders>
            <w:vAlign w:val="center"/>
          </w:tcPr>
          <w:p w14:paraId="68F411F5">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25" w:type="pct"/>
            <w:vMerge w:val="continue"/>
            <w:tcBorders>
              <w:top w:val="nil"/>
              <w:left w:val="single" w:color="auto" w:sz="4" w:space="0"/>
              <w:bottom w:val="single" w:color="auto" w:sz="4" w:space="0"/>
              <w:right w:val="single" w:color="auto" w:sz="4" w:space="0"/>
            </w:tcBorders>
            <w:vAlign w:val="center"/>
          </w:tcPr>
          <w:p w14:paraId="75FF00B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56" w:type="pct"/>
            <w:vMerge w:val="continue"/>
            <w:tcBorders>
              <w:top w:val="nil"/>
              <w:left w:val="single" w:color="auto" w:sz="4" w:space="0"/>
              <w:bottom w:val="single" w:color="auto" w:sz="4" w:space="0"/>
              <w:right w:val="single" w:color="auto" w:sz="4" w:space="0"/>
            </w:tcBorders>
            <w:vAlign w:val="center"/>
          </w:tcPr>
          <w:p w14:paraId="7418A1B7">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547" w:type="pct"/>
            <w:tcBorders>
              <w:top w:val="nil"/>
              <w:left w:val="nil"/>
              <w:bottom w:val="single" w:color="auto" w:sz="4" w:space="0"/>
              <w:right w:val="single" w:color="auto" w:sz="4" w:space="0"/>
            </w:tcBorders>
            <w:shd w:val="clear" w:color="auto" w:fill="auto"/>
            <w:vAlign w:val="center"/>
          </w:tcPr>
          <w:p w14:paraId="2C64A33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未建成</w:t>
            </w:r>
          </w:p>
        </w:tc>
        <w:tc>
          <w:tcPr>
            <w:tcW w:w="626" w:type="pct"/>
            <w:vMerge w:val="continue"/>
            <w:tcBorders>
              <w:top w:val="nil"/>
              <w:left w:val="single" w:color="auto" w:sz="4" w:space="0"/>
              <w:bottom w:val="single" w:color="auto" w:sz="4" w:space="0"/>
              <w:right w:val="single" w:color="auto" w:sz="4" w:space="0"/>
            </w:tcBorders>
            <w:vAlign w:val="center"/>
          </w:tcPr>
          <w:p w14:paraId="113CEFA4">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421" w:type="pct"/>
            <w:vMerge w:val="continue"/>
            <w:tcBorders>
              <w:top w:val="nil"/>
              <w:left w:val="single" w:color="auto" w:sz="4" w:space="0"/>
              <w:bottom w:val="single" w:color="000000" w:sz="4" w:space="0"/>
              <w:right w:val="single" w:color="auto" w:sz="4" w:space="0"/>
            </w:tcBorders>
            <w:vAlign w:val="center"/>
          </w:tcPr>
          <w:p w14:paraId="7D3E2B23">
            <w:pPr>
              <w:spacing w:line="240" w:lineRule="auto"/>
              <w:ind w:firstLine="0" w:firstLineChars="0"/>
              <w:jc w:val="center"/>
              <w:rPr>
                <w:rFonts w:cs="Times New Roman"/>
                <w:color w:val="000000" w:themeColor="text1"/>
                <w:sz w:val="21"/>
                <w:szCs w:val="21"/>
                <w14:textFill>
                  <w14:solidFill>
                    <w14:schemeClr w14:val="tx1"/>
                  </w14:solidFill>
                </w14:textFill>
              </w:rPr>
            </w:pPr>
          </w:p>
        </w:tc>
      </w:tr>
      <w:tr w14:paraId="59D9DB24">
        <w:tblPrEx>
          <w:tblCellMar>
            <w:top w:w="0" w:type="dxa"/>
            <w:left w:w="108" w:type="dxa"/>
            <w:bottom w:w="0" w:type="dxa"/>
            <w:right w:w="108" w:type="dxa"/>
          </w:tblCellMar>
        </w:tblPrEx>
        <w:trPr>
          <w:trHeight w:val="397" w:hRule="atLeast"/>
        </w:trPr>
        <w:tc>
          <w:tcPr>
            <w:tcW w:w="325" w:type="pct"/>
            <w:vMerge w:val="continue"/>
            <w:tcBorders>
              <w:top w:val="nil"/>
              <w:left w:val="single" w:color="auto" w:sz="4" w:space="0"/>
              <w:bottom w:val="single" w:color="auto" w:sz="4" w:space="0"/>
              <w:right w:val="single" w:color="auto" w:sz="4" w:space="0"/>
            </w:tcBorders>
            <w:vAlign w:val="center"/>
          </w:tcPr>
          <w:p w14:paraId="11FC6946">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325" w:type="pct"/>
            <w:vMerge w:val="continue"/>
            <w:tcBorders>
              <w:top w:val="nil"/>
              <w:left w:val="single" w:color="auto" w:sz="4" w:space="0"/>
              <w:bottom w:val="single" w:color="auto" w:sz="4" w:space="0"/>
              <w:right w:val="single" w:color="auto" w:sz="4" w:space="0"/>
            </w:tcBorders>
            <w:vAlign w:val="center"/>
          </w:tcPr>
          <w:p w14:paraId="1E99543A">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756" w:type="pct"/>
            <w:tcBorders>
              <w:top w:val="nil"/>
              <w:left w:val="single" w:color="auto" w:sz="4" w:space="0"/>
              <w:bottom w:val="single" w:color="auto" w:sz="4" w:space="0"/>
              <w:right w:val="single" w:color="auto" w:sz="4" w:space="0"/>
            </w:tcBorders>
            <w:shd w:val="clear" w:color="auto" w:fill="auto"/>
            <w:vAlign w:val="center"/>
          </w:tcPr>
          <w:p w14:paraId="195A24F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547" w:type="pct"/>
            <w:tcBorders>
              <w:top w:val="nil"/>
              <w:left w:val="nil"/>
              <w:bottom w:val="single" w:color="auto" w:sz="4" w:space="0"/>
              <w:right w:val="single" w:color="auto" w:sz="4" w:space="0"/>
            </w:tcBorders>
            <w:shd w:val="clear" w:color="auto" w:fill="auto"/>
            <w:vAlign w:val="center"/>
          </w:tcPr>
          <w:p w14:paraId="75F0E98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626" w:type="pct"/>
            <w:vMerge w:val="continue"/>
            <w:tcBorders>
              <w:top w:val="nil"/>
              <w:left w:val="single" w:color="auto" w:sz="4" w:space="0"/>
              <w:bottom w:val="single" w:color="auto" w:sz="4" w:space="0"/>
              <w:right w:val="single" w:color="auto" w:sz="4" w:space="0"/>
            </w:tcBorders>
            <w:vAlign w:val="center"/>
          </w:tcPr>
          <w:p w14:paraId="3306916E">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2421" w:type="pct"/>
            <w:tcBorders>
              <w:top w:val="nil"/>
              <w:left w:val="single" w:color="auto" w:sz="4" w:space="0"/>
              <w:bottom w:val="single" w:color="000000" w:sz="4" w:space="0"/>
              <w:right w:val="single" w:color="auto" w:sz="4" w:space="0"/>
            </w:tcBorders>
            <w:shd w:val="clear" w:color="auto" w:fill="auto"/>
            <w:vAlign w:val="center"/>
          </w:tcPr>
          <w:p w14:paraId="06C64A6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绿地与开敞空间用地执行、陆地水域1级标准；交通运输用地、工业用地执行2级标准</w:t>
            </w:r>
          </w:p>
        </w:tc>
      </w:tr>
    </w:tbl>
    <w:p w14:paraId="209B672C">
      <w:pPr>
        <w:pStyle w:val="12"/>
        <w:ind w:firstLine="460"/>
        <w:rPr>
          <w:rFonts w:ascii="Times New Roman" w:hAnsi="Times New Roman" w:eastAsia="仿宋_GB2312"/>
          <w:color w:val="000000" w:themeColor="text1"/>
          <w:spacing w:val="-10"/>
          <w14:textFill>
            <w14:solidFill>
              <w14:schemeClr w14:val="tx1"/>
            </w14:solidFill>
          </w14:textFill>
        </w:rPr>
      </w:pPr>
    </w:p>
    <w:p w14:paraId="6553232F">
      <w:pPr>
        <w:ind w:firstLine="482"/>
        <w:rPr>
          <w:b/>
          <w:bCs/>
        </w:rPr>
      </w:pPr>
      <w:r>
        <w:rPr>
          <w:rFonts w:hint="eastAsia"/>
          <w:b/>
          <w:bCs/>
        </w:rPr>
        <w:t>2</w:t>
      </w:r>
      <w:r>
        <w:rPr>
          <w:b/>
          <w:bCs/>
        </w:rPr>
        <w:t>.造林</w:t>
      </w:r>
    </w:p>
    <w:p w14:paraId="5675494B">
      <w:pPr>
        <w:pStyle w:val="12"/>
        <w:ind w:firstLine="47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3"/>
          <w14:textFill>
            <w14:solidFill>
              <w14:schemeClr w14:val="tx1"/>
            </w14:solidFill>
          </w14:textFill>
        </w:rPr>
        <w:t>（1）造林季节</w:t>
      </w:r>
    </w:p>
    <w:p w14:paraId="7F161E5B">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造林季节分为春季造林、夏季造林、秋季造林及非季节造林。春季造林适宜于大部分地区；夏季造林也称雨季造林，适用于夏季降水较集中土石山区，主要适用于针叶树种、某些常绿叶树种的栽植造林，以及一些树种的播种造林；秋季</w:t>
      </w:r>
      <w:r>
        <w:rPr>
          <w:rFonts w:ascii="Times New Roman" w:hAnsi="Times New Roman" w:eastAsia="仿宋_GB2312"/>
          <w:color w:val="000000" w:themeColor="text1"/>
          <w14:textFill>
            <w14:solidFill>
              <w14:schemeClr w14:val="tx1"/>
            </w14:solidFill>
          </w14:textFill>
        </w:rPr>
        <w:t>造林，适用于鸟兽害和冻拔害不严重的地区，应以种后当年不发芽出土为准。</w:t>
      </w:r>
    </w:p>
    <w:p w14:paraId="68496D53">
      <w:pPr>
        <w:pStyle w:val="12"/>
        <w:ind w:firstLine="47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3"/>
          <w14:textFill>
            <w14:solidFill>
              <w14:schemeClr w14:val="tx1"/>
            </w14:solidFill>
          </w14:textFill>
        </w:rPr>
        <w:t>1）春季造林</w:t>
      </w:r>
    </w:p>
    <w:p w14:paraId="7AC40C22">
      <w:pPr>
        <w:pStyle w:val="12"/>
        <w:ind w:firstLine="47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3"/>
          <w14:textFill>
            <w14:solidFill>
              <w14:schemeClr w14:val="tx1"/>
            </w14:solidFill>
          </w14:textFill>
        </w:rPr>
        <w:t>根据树种的物候期和土壤解冻情况适时安排造林，一般在树木发芽前</w:t>
      </w:r>
      <w:r>
        <w:rPr>
          <w:rFonts w:ascii="Times New Roman" w:hAnsi="Times New Roman" w:eastAsia="仿宋_GB2312"/>
          <w:color w:val="000000" w:themeColor="text1"/>
          <w:spacing w:val="-4"/>
          <w14:textFill>
            <w14:solidFill>
              <w14:schemeClr w14:val="tx1"/>
            </w14:solidFill>
          </w14:textFill>
        </w:rPr>
        <w:t>7～10</w:t>
      </w:r>
      <w:r>
        <w:rPr>
          <w:rFonts w:ascii="Times New Roman" w:hAnsi="Times New Roman" w:eastAsia="仿宋_GB2312"/>
          <w:color w:val="000000" w:themeColor="text1"/>
          <w:spacing w:val="-3"/>
          <w14:textFill>
            <w14:solidFill>
              <w14:schemeClr w14:val="tx1"/>
            </w14:solidFill>
          </w14:textFill>
        </w:rPr>
        <w:t>天完成。</w:t>
      </w:r>
    </w:p>
    <w:p w14:paraId="2BB65BC2">
      <w:pPr>
        <w:pStyle w:val="12"/>
        <w:ind w:firstLine="47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3"/>
          <w14:textFill>
            <w14:solidFill>
              <w14:schemeClr w14:val="tx1"/>
            </w14:solidFill>
          </w14:textFill>
        </w:rPr>
        <w:t>2）雨季造林</w:t>
      </w:r>
    </w:p>
    <w:p w14:paraId="47ECBEB4">
      <w:pPr>
        <w:pStyle w:val="12"/>
        <w:ind w:firstLine="46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8"/>
          <w14:textFill>
            <w14:solidFill>
              <w14:schemeClr w14:val="tx1"/>
            </w14:solidFill>
          </w14:textFill>
        </w:rPr>
        <w:t>尽量在雨季开始后的前半期造林，保证新栽或直播的幼苗在当年有两个月以</w:t>
      </w:r>
      <w:r>
        <w:rPr>
          <w:rFonts w:ascii="Times New Roman" w:hAnsi="Times New Roman" w:eastAsia="仿宋_GB2312"/>
          <w:color w:val="000000" w:themeColor="text1"/>
          <w:spacing w:val="-4"/>
          <w14:textFill>
            <w14:solidFill>
              <w14:schemeClr w14:val="tx1"/>
            </w14:solidFill>
          </w14:textFill>
        </w:rPr>
        <w:t>上的生长期，以利安全越冬。干旱、半干旱地区应结</w:t>
      </w:r>
      <w:r>
        <w:rPr>
          <w:rFonts w:ascii="Times New Roman" w:hAnsi="Times New Roman" w:eastAsia="仿宋_GB2312"/>
          <w:color w:val="000000" w:themeColor="text1"/>
          <w:spacing w:val="10"/>
          <w:position w:val="-1"/>
          <w14:textFill>
            <w14:solidFill>
              <w14:schemeClr w14:val="tx1"/>
            </w14:solidFill>
          </w14:textFill>
        </w:rPr>
        <w:t>合</w:t>
      </w:r>
      <w:r>
        <w:rPr>
          <w:rFonts w:ascii="Times New Roman" w:hAnsi="Times New Roman" w:eastAsia="仿宋_GB2312"/>
          <w:color w:val="000000" w:themeColor="text1"/>
          <w:spacing w:val="-4"/>
          <w14:textFill>
            <w14:solidFill>
              <w14:schemeClr w14:val="tx1"/>
            </w14:solidFill>
          </w14:textFill>
        </w:rPr>
        <w:t>天气预报，尽量在连阴天</w:t>
      </w:r>
      <w:r>
        <w:rPr>
          <w:rFonts w:ascii="Times New Roman" w:hAnsi="Times New Roman" w:eastAsia="仿宋_GB2312"/>
          <w:color w:val="000000" w:themeColor="text1"/>
          <w14:textFill>
            <w14:solidFill>
              <w14:schemeClr w14:val="tx1"/>
            </w14:solidFill>
          </w14:textFill>
        </w:rPr>
        <w:t>墒情好时造林。</w:t>
      </w:r>
    </w:p>
    <w:p w14:paraId="3ECC13A0">
      <w:pPr>
        <w:pStyle w:val="12"/>
        <w:ind w:firstLine="47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3"/>
          <w14:textFill>
            <w14:solidFill>
              <w14:schemeClr w14:val="tx1"/>
            </w14:solidFill>
          </w14:textFill>
        </w:rPr>
        <w:t>3）秋季造林</w:t>
      </w:r>
    </w:p>
    <w:p w14:paraId="4FD78A07">
      <w:pPr>
        <w:pStyle w:val="12"/>
        <w:ind w:firstLine="46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6"/>
          <w14:textFill>
            <w14:solidFill>
              <w14:schemeClr w14:val="tx1"/>
            </w14:solidFill>
          </w14:textFill>
        </w:rPr>
        <w:t>秋季应在树木停止生长后和土地封冻前抓紧造林。秋季适宜阔叶树植苗造林</w:t>
      </w:r>
      <w:r>
        <w:rPr>
          <w:rFonts w:ascii="Times New Roman" w:hAnsi="Times New Roman" w:eastAsia="仿宋_GB2312"/>
          <w:color w:val="000000" w:themeColor="text1"/>
          <w14:textFill>
            <w14:solidFill>
              <w14:schemeClr w14:val="tx1"/>
            </w14:solidFill>
          </w14:textFill>
        </w:rPr>
        <w:t>和大粒、硬壳、休眠期长、不耐储存种子播种造林。</w:t>
      </w:r>
    </w:p>
    <w:p w14:paraId="570A4367">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4）非种植季节种植</w:t>
      </w:r>
    </w:p>
    <w:p w14:paraId="7A187748">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主要针对建设项目管理区等有景观绿化要求的区域，因特殊情况，需在非种植季节植树，</w:t>
      </w:r>
      <w:r>
        <w:rPr>
          <w:rFonts w:ascii="Times New Roman" w:hAnsi="Times New Roman" w:eastAsia="仿宋_GB2312"/>
          <w:color w:val="000000" w:themeColor="text1"/>
          <w:spacing w:val="-27"/>
          <w:position w:val="-2"/>
          <w14:textFill>
            <w14:solidFill>
              <w14:schemeClr w14:val="tx1"/>
            </w14:solidFill>
          </w14:textFill>
        </w:rPr>
        <w:t>各</w:t>
      </w:r>
      <w:r>
        <w:rPr>
          <w:rFonts w:ascii="Times New Roman" w:hAnsi="Times New Roman" w:eastAsia="仿宋_GB2312"/>
          <w:color w:val="000000" w:themeColor="text1"/>
          <w:spacing w:val="-4"/>
          <w14:textFill>
            <w14:solidFill>
              <w14:schemeClr w14:val="tx1"/>
            </w14:solidFill>
          </w14:textFill>
        </w:rPr>
        <w:t>类树木必须带好土球，土球大于正常植树季节一个规格，并做到各个种植环节紧密衔接。栽后立即对树干和二级、三级枝缠干，在夏季对树冠喷</w:t>
      </w:r>
      <w:r>
        <w:rPr>
          <w:rFonts w:ascii="Times New Roman" w:hAnsi="Times New Roman" w:eastAsia="仿宋_GB2312"/>
          <w:color w:val="000000" w:themeColor="text1"/>
          <w14:textFill>
            <w14:solidFill>
              <w14:schemeClr w14:val="tx1"/>
            </w14:solidFill>
          </w14:textFill>
        </w:rPr>
        <w:t>雾保湿，每天不少于三次，冬季注意植后防寒。</w:t>
      </w:r>
    </w:p>
    <w:p w14:paraId="00A56F4E">
      <w:pPr>
        <w:pStyle w:val="12"/>
        <w:ind w:firstLine="47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3"/>
          <w14:textFill>
            <w14:solidFill>
              <w14:schemeClr w14:val="tx1"/>
            </w14:solidFill>
          </w14:textFill>
        </w:rPr>
        <w:t>（2）植苗造林</w:t>
      </w:r>
    </w:p>
    <w:p w14:paraId="011B7E21">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植苗造林是将苗木直接栽倒造林地的造林方式，其幼林郁闭早，生长快，成</w:t>
      </w:r>
      <w:r>
        <w:rPr>
          <w:rFonts w:ascii="Times New Roman" w:hAnsi="Times New Roman" w:eastAsia="仿宋_GB2312"/>
          <w:color w:val="000000" w:themeColor="text1"/>
          <w14:textFill>
            <w14:solidFill>
              <w14:schemeClr w14:val="tx1"/>
            </w14:solidFill>
          </w14:textFill>
        </w:rPr>
        <w:t>林迅速，林相整齐，林分稳定。</w:t>
      </w:r>
    </w:p>
    <w:p w14:paraId="1D847286">
      <w:pPr>
        <w:pStyle w:val="12"/>
        <w:ind w:firstLine="472"/>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spacing w:val="-4"/>
          <w14:textFill>
            <w14:solidFill>
              <w14:schemeClr w14:val="tx1"/>
            </w14:solidFill>
          </w14:textFill>
        </w:rPr>
        <w:t>①</w:t>
      </w:r>
      <w:r>
        <w:rPr>
          <w:rFonts w:ascii="Times New Roman" w:hAnsi="Times New Roman" w:eastAsia="仿宋_GB2312"/>
          <w:color w:val="000000" w:themeColor="text1"/>
          <w:spacing w:val="-4"/>
          <w14:textFill>
            <w14:solidFill>
              <w14:schemeClr w14:val="tx1"/>
            </w14:solidFill>
          </w14:textFill>
        </w:rPr>
        <w:t>树种及苗木规格选择，按不同类型区、有无灌溉条件。不同林种、树种的造林使用不同年龄的苗木。年龄小的苗木。起苗伤根少，栽植后缓苗期短，在适宜的条件下造林成活率高，运苗栽植方便，投资较省，但是在恶劣条件下苗木成活受威胁较大；年龄大的苗木，对杂草、干旱、冻拔、日灼等的抵抗力强，适宜</w:t>
      </w:r>
      <w:r>
        <w:rPr>
          <w:rFonts w:ascii="Times New Roman" w:hAnsi="Times New Roman" w:eastAsia="仿宋_GB2312"/>
          <w:color w:val="000000" w:themeColor="text1"/>
          <w:spacing w:val="-5"/>
          <w14:textFill>
            <w14:solidFill>
              <w14:schemeClr w14:val="tx1"/>
            </w14:solidFill>
          </w14:textFill>
        </w:rPr>
        <w:t>的条件成活率也高，幼林郁闭早，但苗木培育与栽植的费用高，遇不良条件更容</w:t>
      </w:r>
      <w:r>
        <w:rPr>
          <w:rFonts w:ascii="Times New Roman" w:hAnsi="Times New Roman" w:eastAsia="仿宋_GB2312"/>
          <w:color w:val="000000" w:themeColor="text1"/>
          <w:spacing w:val="-4"/>
          <w14:textFill>
            <w14:solidFill>
              <w14:schemeClr w14:val="tx1"/>
            </w14:solidFill>
          </w14:textFill>
        </w:rPr>
        <w:t>易死亡。一般营造水土保</w:t>
      </w:r>
      <w:r>
        <w:rPr>
          <w:rFonts w:ascii="Times New Roman" w:hAnsi="Times New Roman" w:eastAsia="仿宋_GB2312"/>
          <w:color w:val="000000" w:themeColor="text1"/>
          <w:spacing w:val="-9"/>
          <w14:textFill>
            <w14:solidFill>
              <w14:schemeClr w14:val="tx1"/>
            </w14:solidFill>
          </w14:textFill>
        </w:rPr>
        <w:t>持林常用</w:t>
      </w:r>
      <w:r>
        <w:rPr>
          <w:rFonts w:ascii="Times New Roman" w:hAnsi="Times New Roman" w:eastAsia="仿宋_GB2312"/>
          <w:color w:val="000000" w:themeColor="text1"/>
          <w:spacing w:val="-4"/>
          <w14:textFill>
            <w14:solidFill>
              <w14:schemeClr w14:val="tx1"/>
            </w14:solidFill>
          </w14:textFill>
        </w:rPr>
        <w:t>0.5～3.0</w:t>
      </w:r>
      <w:r>
        <w:rPr>
          <w:rFonts w:ascii="Times New Roman" w:hAnsi="Times New Roman" w:eastAsia="仿宋_GB2312"/>
          <w:color w:val="000000" w:themeColor="text1"/>
          <w:spacing w:val="-6"/>
          <w14:textFill>
            <w14:solidFill>
              <w14:schemeClr w14:val="tx1"/>
            </w14:solidFill>
          </w14:textFill>
        </w:rPr>
        <w:t>年生的苗木，防护林常用</w:t>
      </w:r>
      <w:r>
        <w:rPr>
          <w:rFonts w:ascii="Times New Roman" w:hAnsi="Times New Roman" w:eastAsia="仿宋_GB2312"/>
          <w:color w:val="000000" w:themeColor="text1"/>
          <w:spacing w:val="-4"/>
          <w14:textFill>
            <w14:solidFill>
              <w14:schemeClr w14:val="tx1"/>
            </w14:solidFill>
          </w14:textFill>
        </w:rPr>
        <w:t>2.0～3.0年</w:t>
      </w:r>
      <w:r>
        <w:rPr>
          <w:rFonts w:ascii="Times New Roman" w:hAnsi="Times New Roman" w:eastAsia="仿宋_GB2312"/>
          <w:color w:val="000000" w:themeColor="text1"/>
          <w:spacing w:val="-3"/>
          <w14:textFill>
            <w14:solidFill>
              <w14:schemeClr w14:val="tx1"/>
            </w14:solidFill>
          </w14:textFill>
        </w:rPr>
        <w:t>生的苗木，景观乔木林常用</w:t>
      </w:r>
      <w:r>
        <w:rPr>
          <w:rFonts w:ascii="Times New Roman" w:hAnsi="Times New Roman" w:eastAsia="仿宋_GB2312"/>
          <w:color w:val="000000" w:themeColor="text1"/>
          <w14:textFill>
            <w14:solidFill>
              <w14:schemeClr w14:val="tx1"/>
            </w14:solidFill>
          </w14:textFill>
        </w:rPr>
        <w:t>3.0年生以上的苗木。常规造林苗木灌木地径1.0～2.0cm</w:t>
      </w:r>
      <w:r>
        <w:rPr>
          <w:rFonts w:ascii="Times New Roman" w:hAnsi="Times New Roman" w:eastAsia="仿宋_GB2312"/>
          <w:color w:val="000000" w:themeColor="text1"/>
          <w:spacing w:val="-4"/>
          <w14:textFill>
            <w14:solidFill>
              <w14:schemeClr w14:val="tx1"/>
            </w14:solidFill>
          </w14:textFill>
        </w:rPr>
        <w:t>，乔木胸径</w:t>
      </w:r>
      <w:r>
        <w:rPr>
          <w:rFonts w:ascii="Times New Roman" w:hAnsi="Times New Roman" w:eastAsia="仿宋_GB2312"/>
          <w:color w:val="000000" w:themeColor="text1"/>
          <w14:textFill>
            <w14:solidFill>
              <w14:schemeClr w14:val="tx1"/>
            </w14:solidFill>
          </w14:textFill>
        </w:rPr>
        <w:t>3.0cm以上。</w:t>
      </w:r>
    </w:p>
    <w:p w14:paraId="13E24155">
      <w:pPr>
        <w:pStyle w:val="12"/>
        <w:ind w:firstLine="472"/>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spacing w:val="-4"/>
          <w14:textFill>
            <w14:solidFill>
              <w14:schemeClr w14:val="tx1"/>
            </w14:solidFill>
          </w14:textFill>
        </w:rPr>
        <w:t>②</w:t>
      </w:r>
      <w:r>
        <w:rPr>
          <w:rFonts w:ascii="Times New Roman" w:hAnsi="Times New Roman" w:eastAsia="仿宋_GB2312"/>
          <w:color w:val="000000" w:themeColor="text1"/>
          <w:spacing w:val="-4"/>
          <w14:textFill>
            <w14:solidFill>
              <w14:schemeClr w14:val="tx1"/>
            </w14:solidFill>
          </w14:textFill>
        </w:rPr>
        <w:t>栽植工序。植苗造林工序为挖植树坑、选苗、栽植、填土、浇水、覆土等</w:t>
      </w:r>
      <w:r>
        <w:rPr>
          <w:rFonts w:ascii="Times New Roman" w:hAnsi="Times New Roman" w:eastAsia="仿宋_GB2312"/>
          <w:color w:val="000000" w:themeColor="text1"/>
          <w14:textFill>
            <w14:solidFill>
              <w14:schemeClr w14:val="tx1"/>
            </w14:solidFill>
          </w14:textFill>
        </w:rPr>
        <w:t>六道工序。挖植树坑（穴）是在造林地整地工作完成后进行的。</w:t>
      </w:r>
    </w:p>
    <w:p w14:paraId="07E50E2D">
      <w:pPr>
        <w:pStyle w:val="12"/>
        <w:ind w:firstLine="472"/>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spacing w:val="-4"/>
          <w14:textFill>
            <w14:solidFill>
              <w14:schemeClr w14:val="tx1"/>
            </w14:solidFill>
          </w14:textFill>
        </w:rPr>
        <w:t>③</w:t>
      </w:r>
      <w:r>
        <w:rPr>
          <w:rFonts w:ascii="Times New Roman" w:hAnsi="Times New Roman" w:eastAsia="仿宋_GB2312"/>
          <w:color w:val="000000" w:themeColor="text1"/>
          <w:spacing w:val="-4"/>
          <w14:textFill>
            <w14:solidFill>
              <w14:schemeClr w14:val="tx1"/>
            </w14:solidFill>
          </w14:textFill>
        </w:rPr>
        <w:t>植苗方式。植苗造林的关键是栽植时造林地要有较高土壤含水量，并需采取一系列的苗木保护措施，保持苗木体内的水分平衡。植苗方法及设计要点见表</w:t>
      </w:r>
      <w:r>
        <w:rPr>
          <w:rFonts w:ascii="Times New Roman" w:hAnsi="Times New Roman" w:eastAsia="仿宋_GB2312"/>
          <w:color w:val="000000" w:themeColor="text1"/>
          <w14:textFill>
            <w14:solidFill>
              <w14:schemeClr w14:val="tx1"/>
            </w14:solidFill>
          </w14:textFill>
        </w:rPr>
        <w:t>5-14。</w:t>
      </w:r>
    </w:p>
    <w:p w14:paraId="2D5D4230">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表5-14                                   植苗方法及设计要点表</w:t>
      </w:r>
    </w:p>
    <w:tbl>
      <w:tblPr>
        <w:tblStyle w:val="27"/>
        <w:tblW w:w="0" w:type="auto"/>
        <w:tblInd w:w="0" w:type="dxa"/>
        <w:tblLayout w:type="autofit"/>
        <w:tblCellMar>
          <w:top w:w="0" w:type="dxa"/>
          <w:left w:w="108" w:type="dxa"/>
          <w:bottom w:w="0" w:type="dxa"/>
          <w:right w:w="108" w:type="dxa"/>
        </w:tblCellMar>
      </w:tblPr>
      <w:tblGrid>
        <w:gridCol w:w="650"/>
        <w:gridCol w:w="1218"/>
        <w:gridCol w:w="7418"/>
      </w:tblGrid>
      <w:tr w14:paraId="6897153E">
        <w:tblPrEx>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double" w:color="auto" w:sz="4" w:space="0"/>
              <w:right w:val="single" w:color="auto" w:sz="4" w:space="0"/>
            </w:tcBorders>
            <w:shd w:val="clear" w:color="auto" w:fill="auto"/>
            <w:vAlign w:val="center"/>
          </w:tcPr>
          <w:p w14:paraId="4DECCB8F">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植苗方式</w:t>
            </w:r>
          </w:p>
        </w:tc>
        <w:tc>
          <w:tcPr>
            <w:tcW w:w="0" w:type="auto"/>
            <w:tcBorders>
              <w:top w:val="single" w:color="auto" w:sz="4" w:space="0"/>
              <w:left w:val="nil"/>
              <w:bottom w:val="double" w:color="auto" w:sz="4" w:space="0"/>
              <w:right w:val="single" w:color="auto" w:sz="4" w:space="0"/>
            </w:tcBorders>
            <w:shd w:val="clear" w:color="auto" w:fill="auto"/>
            <w:vAlign w:val="center"/>
          </w:tcPr>
          <w:p w14:paraId="5AC30FBB">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使用形式</w:t>
            </w:r>
          </w:p>
        </w:tc>
        <w:tc>
          <w:tcPr>
            <w:tcW w:w="0" w:type="auto"/>
            <w:tcBorders>
              <w:top w:val="single" w:color="auto" w:sz="4" w:space="0"/>
              <w:left w:val="nil"/>
              <w:bottom w:val="double" w:color="auto" w:sz="4" w:space="0"/>
              <w:right w:val="single" w:color="auto" w:sz="4" w:space="0"/>
            </w:tcBorders>
            <w:shd w:val="clear" w:color="auto" w:fill="auto"/>
            <w:vAlign w:val="center"/>
          </w:tcPr>
          <w:p w14:paraId="2E0D7D3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操作要点</w:t>
            </w:r>
          </w:p>
        </w:tc>
      </w:tr>
      <w:tr w14:paraId="5886358E">
        <w:tblPrEx>
          <w:tblCellMar>
            <w:top w:w="0" w:type="dxa"/>
            <w:left w:w="108" w:type="dxa"/>
            <w:bottom w:w="0" w:type="dxa"/>
            <w:right w:w="108" w:type="dxa"/>
          </w:tblCellMar>
        </w:tblPrEx>
        <w:trPr>
          <w:trHeight w:val="397" w:hRule="atLeast"/>
        </w:trPr>
        <w:tc>
          <w:tcPr>
            <w:tcW w:w="0" w:type="auto"/>
            <w:tcBorders>
              <w:top w:val="double" w:color="auto" w:sz="4" w:space="0"/>
              <w:left w:val="single" w:color="auto" w:sz="4" w:space="0"/>
              <w:bottom w:val="single" w:color="auto" w:sz="4" w:space="0"/>
              <w:right w:val="single" w:color="auto" w:sz="4" w:space="0"/>
            </w:tcBorders>
            <w:shd w:val="clear" w:color="auto" w:fill="auto"/>
            <w:vAlign w:val="center"/>
          </w:tcPr>
          <w:p w14:paraId="1748F96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穴植</w:t>
            </w:r>
          </w:p>
        </w:tc>
        <w:tc>
          <w:tcPr>
            <w:tcW w:w="0" w:type="auto"/>
            <w:tcBorders>
              <w:top w:val="double" w:color="auto" w:sz="4" w:space="0"/>
              <w:left w:val="nil"/>
              <w:bottom w:val="single" w:color="auto" w:sz="4" w:space="0"/>
              <w:right w:val="single" w:color="auto" w:sz="4" w:space="0"/>
            </w:tcBorders>
            <w:shd w:val="clear" w:color="auto" w:fill="auto"/>
            <w:vAlign w:val="center"/>
          </w:tcPr>
          <w:p w14:paraId="442BB18E">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用于栽植侧根发达的苗木。</w:t>
            </w:r>
          </w:p>
        </w:tc>
        <w:tc>
          <w:tcPr>
            <w:tcW w:w="0" w:type="auto"/>
            <w:tcBorders>
              <w:top w:val="double" w:color="auto" w:sz="4" w:space="0"/>
              <w:left w:val="nil"/>
              <w:bottom w:val="single" w:color="auto" w:sz="4" w:space="0"/>
              <w:right w:val="single" w:color="auto" w:sz="4" w:space="0"/>
            </w:tcBorders>
            <w:shd w:val="clear" w:color="auto" w:fill="auto"/>
            <w:vAlign w:val="center"/>
          </w:tcPr>
          <w:p w14:paraId="1CBE4B54">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苗之前先挖好穴，穴要比苗木的跟大一些、深一些，穴的底部和上部同样大，不能上大下小，呈锅底形。挖穴时，表土和心土分开堆放在穴的旁边，挖出的心土要打碎，草根和石块要拣净。栽的时候，要把苗木放正，并使苗木根系舒展。填土时先用湿润而细碎的表土填入穴内，填到1/3左右，将苗木轻轻向上一提，使苗根舒展，不窝根。踩实后，把余土回填到穴内，再踩。为了保持土壤中的水分，栽后应在穴面上盖一层松土。</w:t>
            </w:r>
          </w:p>
        </w:tc>
      </w:tr>
      <w:tr w14:paraId="36095D3B">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51E283D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缝植法</w:t>
            </w:r>
          </w:p>
        </w:tc>
        <w:tc>
          <w:tcPr>
            <w:tcW w:w="0" w:type="auto"/>
            <w:tcBorders>
              <w:top w:val="nil"/>
              <w:left w:val="nil"/>
              <w:bottom w:val="single" w:color="auto" w:sz="4" w:space="0"/>
              <w:right w:val="single" w:color="auto" w:sz="4" w:space="0"/>
            </w:tcBorders>
            <w:shd w:val="clear" w:color="auto" w:fill="auto"/>
            <w:vAlign w:val="center"/>
          </w:tcPr>
          <w:p w14:paraId="41A670B7">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沙质土和栽植植根性树种的小苗。</w:t>
            </w:r>
          </w:p>
        </w:tc>
        <w:tc>
          <w:tcPr>
            <w:tcW w:w="0" w:type="auto"/>
            <w:tcBorders>
              <w:top w:val="nil"/>
              <w:left w:val="nil"/>
              <w:bottom w:val="single" w:color="auto" w:sz="4" w:space="0"/>
              <w:right w:val="single" w:color="auto" w:sz="4" w:space="0"/>
            </w:tcBorders>
            <w:shd w:val="clear" w:color="auto" w:fill="auto"/>
            <w:vAlign w:val="center"/>
          </w:tcPr>
          <w:p w14:paraId="114752A0">
            <w:pPr>
              <w:spacing w:line="240" w:lineRule="auto"/>
              <w:ind w:firstLine="0" w:firstLineChars="0"/>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先把植苗锹插入土中，达到栽植深度后，先向前推，再往后拉，即开出缝，在未提出苗锹之前，将苗木放入缝中，随后提出植苗锹，土壤自然塌陷，将苗木大部分埋于缝中，将植苗锹垂直插入栽植缝一侧10.0cm左右的地方，深度同前，先拉后推，使植苗缝隙挤满土，提出锹，重复做一次（第三次）将第二个缝隙闭，并用脚把植苗点周围土壤踩紧。</w:t>
            </w:r>
          </w:p>
        </w:tc>
      </w:tr>
      <w:tr w14:paraId="3607D00B">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16F739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带土苗栽植法</w:t>
            </w:r>
          </w:p>
        </w:tc>
        <w:tc>
          <w:tcPr>
            <w:tcW w:w="0" w:type="auto"/>
            <w:tcBorders>
              <w:top w:val="nil"/>
              <w:left w:val="nil"/>
              <w:bottom w:val="single" w:color="auto" w:sz="4" w:space="0"/>
              <w:right w:val="single" w:color="auto" w:sz="4" w:space="0"/>
            </w:tcBorders>
            <w:shd w:val="clear" w:color="auto" w:fill="auto"/>
            <w:vAlign w:val="center"/>
          </w:tcPr>
          <w:p w14:paraId="6DD30471">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常用于开发建设项目园林式绿化。</w:t>
            </w:r>
          </w:p>
        </w:tc>
        <w:tc>
          <w:tcPr>
            <w:tcW w:w="0" w:type="auto"/>
            <w:tcBorders>
              <w:top w:val="nil"/>
              <w:left w:val="nil"/>
              <w:bottom w:val="single" w:color="auto" w:sz="4" w:space="0"/>
              <w:right w:val="single" w:color="auto" w:sz="4" w:space="0"/>
            </w:tcBorders>
            <w:shd w:val="clear" w:color="auto" w:fill="auto"/>
            <w:vAlign w:val="center"/>
          </w:tcPr>
          <w:p w14:paraId="1DF34C56">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带土苗栽植法指起苗时带土，将苗木连土团一起栽植在造林地上的方法，主要应用于容器苗造林和城市绿化栽植大苗。由于根系保持自然状态，起苗和包装运输时根系不受损伤，且栽植后根系不容易变形，容易恢复吸收水肥等生理机能，具有成活率高、成林快的优点。</w:t>
            </w:r>
          </w:p>
        </w:tc>
      </w:tr>
    </w:tbl>
    <w:p w14:paraId="149723BE">
      <w:pPr>
        <w:pStyle w:val="12"/>
        <w:ind w:firstLine="474"/>
        <w:rPr>
          <w:rFonts w:ascii="Times New Roman" w:hAnsi="Times New Roman" w:eastAsia="仿宋_GB2312"/>
          <w:color w:val="000000" w:themeColor="text1"/>
          <w:spacing w:val="-3"/>
          <w14:textFill>
            <w14:solidFill>
              <w14:schemeClr w14:val="tx1"/>
            </w14:solidFill>
          </w14:textFill>
        </w:rPr>
      </w:pPr>
    </w:p>
    <w:p w14:paraId="367B51A1">
      <w:pPr>
        <w:spacing w:line="240" w:lineRule="auto"/>
        <w:ind w:firstLine="0" w:firstLineChars="0"/>
        <w:jc w:val="left"/>
        <w:rPr>
          <w:rFonts w:cs="Times New Roman"/>
          <w:color w:val="000000" w:themeColor="text1"/>
          <w:spacing w:val="-3"/>
          <w:szCs w:val="20"/>
          <w14:textFill>
            <w14:solidFill>
              <w14:schemeClr w14:val="tx1"/>
            </w14:solidFill>
          </w14:textFill>
        </w:rPr>
      </w:pPr>
      <w:r>
        <w:rPr>
          <w:color w:val="000000" w:themeColor="text1"/>
          <w:spacing w:val="-3"/>
          <w14:textFill>
            <w14:solidFill>
              <w14:schemeClr w14:val="tx1"/>
            </w14:solidFill>
          </w14:textFill>
        </w:rPr>
        <w:br w:type="page"/>
      </w:r>
    </w:p>
    <w:p w14:paraId="34872A36">
      <w:pPr>
        <w:pStyle w:val="12"/>
        <w:ind w:firstLine="47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3"/>
          <w14:textFill>
            <w14:solidFill>
              <w14:schemeClr w14:val="tx1"/>
            </w14:solidFill>
          </w14:textFill>
        </w:rPr>
        <w:t>（3）播种造林</w:t>
      </w:r>
    </w:p>
    <w:p w14:paraId="61C52D46">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播种造林法，又称直播造林，是将林木种子直接播种在造林地进行造林的方法。采取点播也称穴播，几按一定穴距，在整好的造林地或未经整地的造林地上</w:t>
      </w:r>
      <w:r>
        <w:rPr>
          <w:rFonts w:ascii="Times New Roman" w:hAnsi="Times New Roman" w:eastAsia="仿宋_GB2312"/>
          <w:color w:val="000000" w:themeColor="text1"/>
          <w14:textFill>
            <w14:solidFill>
              <w14:schemeClr w14:val="tx1"/>
            </w14:solidFill>
          </w14:textFill>
        </w:rPr>
        <w:t>挖穴播种。点播穴播整地工作量小，施工简便。</w:t>
      </w:r>
    </w:p>
    <w:p w14:paraId="7D634754">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1）</w:t>
      </w:r>
      <w:r>
        <w:rPr>
          <w:rFonts w:ascii="Times New Roman" w:hAnsi="Times New Roman" w:eastAsia="仿宋_GB2312"/>
          <w:color w:val="000000" w:themeColor="text1"/>
          <w:spacing w:val="-3"/>
          <w14:textFill>
            <w14:solidFill>
              <w14:schemeClr w14:val="tx1"/>
            </w14:solidFill>
          </w14:textFill>
        </w:rPr>
        <w:t>设计要点</w:t>
      </w:r>
    </w:p>
    <w:p w14:paraId="50E55C42">
      <w:pPr>
        <w:pStyle w:val="12"/>
        <w:ind w:firstLine="478"/>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①</w:t>
      </w:r>
      <w:r>
        <w:rPr>
          <w:rFonts w:ascii="Times New Roman" w:hAnsi="Times New Roman" w:eastAsia="仿宋_GB2312"/>
          <w:color w:val="000000" w:themeColor="text1"/>
          <w:spacing w:val="-1"/>
          <w14:textFill>
            <w14:solidFill>
              <w14:schemeClr w14:val="tx1"/>
            </w14:solidFill>
          </w14:textFill>
        </w:rPr>
        <w:t>种植方式。灌木采用播种造林方式。</w:t>
      </w:r>
    </w:p>
    <w:p w14:paraId="138E403C">
      <w:pPr>
        <w:pStyle w:val="12"/>
        <w:ind w:firstLine="480"/>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②</w:t>
      </w:r>
      <w:r>
        <w:rPr>
          <w:rFonts w:ascii="Times New Roman" w:hAnsi="Times New Roman" w:eastAsia="仿宋_GB2312"/>
          <w:color w:val="000000" w:themeColor="text1"/>
          <w14:textFill>
            <w14:solidFill>
              <w14:schemeClr w14:val="tx1"/>
            </w14:solidFill>
          </w14:textFill>
        </w:rPr>
        <w:t>播种量。灌木种子属于小粒种子可多粒点播，每穴10～15粒。播前应进</w:t>
      </w:r>
      <w:r>
        <w:rPr>
          <w:rFonts w:ascii="Times New Roman" w:hAnsi="Times New Roman" w:eastAsia="仿宋_GB2312"/>
          <w:color w:val="000000" w:themeColor="text1"/>
          <w:spacing w:val="-3"/>
          <w14:textFill>
            <w14:solidFill>
              <w14:schemeClr w14:val="tx1"/>
            </w14:solidFill>
          </w14:textFill>
        </w:rPr>
        <w:t>行发芽试验，并根据实验结果对播种量加以调整，播种量在</w:t>
      </w:r>
      <w:r>
        <w:rPr>
          <w:rFonts w:ascii="Times New Roman" w:hAnsi="Times New Roman" w:eastAsia="仿宋_GB2312"/>
          <w:color w:val="000000" w:themeColor="text1"/>
          <w14:textFill>
            <w14:solidFill>
              <w14:schemeClr w14:val="tx1"/>
            </w14:solidFill>
          </w14:textFill>
        </w:rPr>
        <w:t>4.5～6.0kg/hm²，播</w:t>
      </w:r>
      <w:r>
        <w:rPr>
          <w:rFonts w:ascii="Times New Roman" w:hAnsi="Times New Roman" w:eastAsia="仿宋_GB2312"/>
          <w:color w:val="000000" w:themeColor="text1"/>
          <w:spacing w:val="-4"/>
          <w14:textFill>
            <w14:solidFill>
              <w14:schemeClr w14:val="tx1"/>
            </w14:solidFill>
          </w14:textFill>
        </w:rPr>
        <w:t>种量按造林株行距，确定</w:t>
      </w:r>
      <w:r>
        <w:rPr>
          <w:rFonts w:hint="eastAsia" w:ascii="Times New Roman" w:hAnsi="Times New Roman" w:eastAsia="仿宋_GB2312"/>
          <w:color w:val="000000" w:themeColor="text1"/>
          <w:spacing w:val="-4"/>
          <w14:textFill>
            <w14:solidFill>
              <w14:schemeClr w14:val="tx1"/>
            </w14:solidFill>
          </w14:textFill>
        </w:rPr>
        <w:t>每公顷</w:t>
      </w:r>
      <w:r>
        <w:rPr>
          <w:rFonts w:ascii="Times New Roman" w:hAnsi="Times New Roman" w:eastAsia="仿宋_GB2312"/>
          <w:color w:val="000000" w:themeColor="text1"/>
          <w:spacing w:val="-4"/>
          <w14:textFill>
            <w14:solidFill>
              <w14:schemeClr w14:val="tx1"/>
            </w14:solidFill>
          </w14:textFill>
        </w:rPr>
        <w:t>种植穴，每穴播种粒数，所选树种千粒重计算</w:t>
      </w:r>
      <w:r>
        <w:rPr>
          <w:rFonts w:hint="eastAsia" w:ascii="Times New Roman" w:hAnsi="Times New Roman" w:eastAsia="仿宋_GB2312"/>
          <w:color w:val="000000" w:themeColor="text1"/>
          <w:spacing w:val="-4"/>
          <w14:textFill>
            <w14:solidFill>
              <w14:schemeClr w14:val="tx1"/>
            </w14:solidFill>
          </w14:textFill>
        </w:rPr>
        <w:t>每公顷</w:t>
      </w:r>
      <w:r>
        <w:rPr>
          <w:rFonts w:ascii="Times New Roman" w:hAnsi="Times New Roman" w:eastAsia="仿宋_GB2312"/>
          <w:color w:val="000000" w:themeColor="text1"/>
          <w14:textFill>
            <w14:solidFill>
              <w14:schemeClr w14:val="tx1"/>
            </w14:solidFill>
          </w14:textFill>
        </w:rPr>
        <w:t>播种量。</w:t>
      </w:r>
    </w:p>
    <w:p w14:paraId="379D7A4F">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造林地播种量（kg/hm²）=种植穴数量（穴/hm²）×穴播种树（粒/穴</w:t>
      </w:r>
      <w:r>
        <w:rPr>
          <w:rFonts w:ascii="Times New Roman" w:hAnsi="Times New Roman" w:eastAsia="仿宋_GB2312"/>
          <w:color w:val="000000" w:themeColor="text1"/>
          <w:spacing w:val="-5"/>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［树种千粒重（g/1000粒）/1000］</w:t>
      </w:r>
    </w:p>
    <w:p w14:paraId="32EDB1CA">
      <w:pPr>
        <w:pStyle w:val="12"/>
        <w:ind w:firstLine="472"/>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spacing w:val="-4"/>
          <w14:textFill>
            <w14:solidFill>
              <w14:schemeClr w14:val="tx1"/>
            </w14:solidFill>
          </w14:textFill>
        </w:rPr>
        <w:t>③</w:t>
      </w:r>
      <w:r>
        <w:rPr>
          <w:rFonts w:ascii="Times New Roman" w:hAnsi="Times New Roman" w:eastAsia="仿宋_GB2312"/>
          <w:color w:val="000000" w:themeColor="text1"/>
          <w:spacing w:val="-4"/>
          <w14:textFill>
            <w14:solidFill>
              <w14:schemeClr w14:val="tx1"/>
            </w14:solidFill>
          </w14:textFill>
        </w:rPr>
        <w:t>种子处理。播种前种子处理包括消毒、浸种、催芽和拌种。处理方法与苗圃中的种子处理相同，但做何种处理必须根据具体情况而定。一般秋季播种造林无需进行浸种和催芽，但春季播种要进行浸种和催芽，有利于种子早发芽、早出土，增加幼苗抗旱能力和越冬功能。此外，鸟兽害严重的地方，播种前要进行药剂拌种。</w:t>
      </w:r>
    </w:p>
    <w:p w14:paraId="37401DDD">
      <w:pPr>
        <w:pStyle w:val="12"/>
        <w:ind w:firstLine="472"/>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spacing w:val="-4"/>
          <w14:textFill>
            <w14:solidFill>
              <w14:schemeClr w14:val="tx1"/>
            </w14:solidFill>
          </w14:textFill>
        </w:rPr>
        <w:t>④</w:t>
      </w:r>
      <w:r>
        <w:rPr>
          <w:rFonts w:ascii="Times New Roman" w:hAnsi="Times New Roman" w:eastAsia="仿宋_GB2312"/>
          <w:color w:val="000000" w:themeColor="text1"/>
          <w:spacing w:val="-4"/>
          <w14:textFill>
            <w14:solidFill>
              <w14:schemeClr w14:val="tx1"/>
            </w14:solidFill>
          </w14:textFill>
        </w:rPr>
        <w:t>覆土。覆土厚度根据播种时间、种子大小、土壤水分状况、土壤性质等灵</w:t>
      </w:r>
      <w:r>
        <w:rPr>
          <w:rFonts w:ascii="Times New Roman" w:hAnsi="Times New Roman" w:eastAsia="仿宋_GB2312"/>
          <w:color w:val="000000" w:themeColor="text1"/>
          <w:spacing w:val="-6"/>
          <w14:textFill>
            <w14:solidFill>
              <w14:schemeClr w14:val="tx1"/>
            </w14:solidFill>
          </w14:textFill>
        </w:rPr>
        <w:t>活掌握，一般为种子直径的</w:t>
      </w:r>
      <w:r>
        <w:rPr>
          <w:rFonts w:ascii="Times New Roman" w:hAnsi="Times New Roman" w:eastAsia="仿宋_GB2312"/>
          <w:color w:val="000000" w:themeColor="text1"/>
          <w:spacing w:val="-4"/>
          <w14:textFill>
            <w14:solidFill>
              <w14:schemeClr w14:val="tx1"/>
            </w14:solidFill>
          </w14:textFill>
        </w:rPr>
        <w:t>3.0～5.0倍。秋季播种覆土宜深，春季覆土宜浅。一</w:t>
      </w:r>
      <w:r>
        <w:rPr>
          <w:rFonts w:ascii="Times New Roman" w:hAnsi="Times New Roman" w:eastAsia="仿宋_GB2312"/>
          <w:color w:val="000000" w:themeColor="text1"/>
          <w:spacing w:val="-5"/>
          <w14:textFill>
            <w14:solidFill>
              <w14:schemeClr w14:val="tx1"/>
            </w14:solidFill>
          </w14:textFill>
        </w:rPr>
        <w:t>般中粒种子覆土厚度</w:t>
      </w:r>
      <w:r>
        <w:rPr>
          <w:rFonts w:ascii="Times New Roman" w:hAnsi="Times New Roman" w:eastAsia="仿宋_GB2312"/>
          <w:color w:val="000000" w:themeColor="text1"/>
          <w14:textFill>
            <w14:solidFill>
              <w14:schemeClr w14:val="tx1"/>
            </w14:solidFill>
          </w14:textFill>
        </w:rPr>
        <w:t>2.0～3.0cm。</w:t>
      </w:r>
    </w:p>
    <w:p w14:paraId="7B7615E9">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（4）园林绿化造林</w:t>
      </w:r>
    </w:p>
    <w:p w14:paraId="255FA64F">
      <w:pPr>
        <w:pStyle w:val="12"/>
        <w:ind w:firstLine="46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6"/>
          <w14:textFill>
            <w14:solidFill>
              <w14:schemeClr w14:val="tx1"/>
            </w14:solidFill>
          </w14:textFill>
        </w:rPr>
        <w:t>园林绿化树种栽植主要环节与常规植被恢复的造林基本相同，但在具体环节</w:t>
      </w:r>
      <w:r>
        <w:rPr>
          <w:rFonts w:ascii="Times New Roman" w:hAnsi="Times New Roman" w:eastAsia="仿宋_GB2312"/>
          <w:color w:val="000000" w:themeColor="text1"/>
          <w14:textFill>
            <w14:solidFill>
              <w14:schemeClr w14:val="tx1"/>
            </w14:solidFill>
          </w14:textFill>
        </w:rPr>
        <w:t>上有更严格的要求。</w:t>
      </w:r>
    </w:p>
    <w:p w14:paraId="760027FE">
      <w:pPr>
        <w:pStyle w:val="12"/>
        <w:ind w:firstLine="47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3"/>
          <w14:textFill>
            <w14:solidFill>
              <w14:schemeClr w14:val="tx1"/>
            </w14:solidFill>
          </w14:textFill>
        </w:rPr>
        <w:t>1）设计要点</w:t>
      </w:r>
    </w:p>
    <w:p w14:paraId="41431B30">
      <w:pPr>
        <w:pStyle w:val="12"/>
        <w:ind w:firstLine="45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11"/>
          <w14:textFill>
            <w14:solidFill>
              <w14:schemeClr w14:val="tx1"/>
            </w14:solidFill>
          </w14:textFill>
        </w:rPr>
        <w:t>园林绿化树种在造林设计中主要考虑造林整地、造林时间、苗木规格与形状、</w:t>
      </w:r>
      <w:r>
        <w:rPr>
          <w:rFonts w:ascii="Times New Roman" w:hAnsi="Times New Roman" w:eastAsia="仿宋_GB2312"/>
          <w:color w:val="000000" w:themeColor="text1"/>
          <w14:textFill>
            <w14:solidFill>
              <w14:schemeClr w14:val="tx1"/>
            </w14:solidFill>
          </w14:textFill>
        </w:rPr>
        <w:t>乔灌木土球规格、栽植方法等。</w:t>
      </w:r>
    </w:p>
    <w:p w14:paraId="3282DE83">
      <w:pPr>
        <w:pStyle w:val="12"/>
        <w:ind w:firstLine="480"/>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w:t>
      </w:r>
      <w:r>
        <w:rPr>
          <w:rFonts w:ascii="Times New Roman" w:hAnsi="Times New Roman" w:eastAsia="仿宋_GB2312"/>
          <w:color w:val="000000" w:themeColor="text1"/>
          <w14:textFill>
            <w14:solidFill>
              <w14:schemeClr w14:val="tx1"/>
            </w14:solidFill>
          </w14:textFill>
        </w:rPr>
        <w:t>造林整地。造林整地通常较常规造林更为严格，在土地整治时需要考虑覆</w:t>
      </w:r>
      <w:r>
        <w:rPr>
          <w:rFonts w:ascii="Times New Roman" w:hAnsi="Times New Roman" w:eastAsia="仿宋_GB2312"/>
          <w:color w:val="000000" w:themeColor="text1"/>
          <w:spacing w:val="-18"/>
          <w14:textFill>
            <w14:solidFill>
              <w14:schemeClr w14:val="tx1"/>
            </w14:solidFill>
          </w14:textFill>
        </w:rPr>
        <w:t>土厚度、土壤改良等措施。种植树木土层厚度要求：乔木深根</w:t>
      </w:r>
      <w:r>
        <w:rPr>
          <w:rFonts w:ascii="Times New Roman" w:hAnsi="Times New Roman" w:eastAsia="仿宋_GB2312"/>
          <w:color w:val="000000" w:themeColor="text1"/>
          <w14:textFill>
            <w14:solidFill>
              <w14:schemeClr w14:val="tx1"/>
            </w14:solidFill>
          </w14:textFill>
        </w:rPr>
        <w:t>150.0cm</w:t>
      </w:r>
      <w:r>
        <w:rPr>
          <w:rFonts w:ascii="Times New Roman" w:hAnsi="Times New Roman" w:eastAsia="仿宋_GB2312"/>
          <w:color w:val="000000" w:themeColor="text1"/>
          <w:spacing w:val="-30"/>
          <w14:textFill>
            <w14:solidFill>
              <w14:schemeClr w14:val="tx1"/>
            </w14:solidFill>
          </w14:textFill>
        </w:rPr>
        <w:t>至</w:t>
      </w:r>
      <w:r>
        <w:rPr>
          <w:rFonts w:ascii="Times New Roman" w:hAnsi="Times New Roman" w:eastAsia="仿宋_GB2312"/>
          <w:color w:val="000000" w:themeColor="text1"/>
          <w14:textFill>
            <w14:solidFill>
              <w14:schemeClr w14:val="tx1"/>
            </w14:solidFill>
          </w14:textFill>
        </w:rPr>
        <w:t>250cm，</w:t>
      </w:r>
      <w:r>
        <w:rPr>
          <w:rFonts w:ascii="Times New Roman" w:hAnsi="Times New Roman" w:eastAsia="仿宋_GB2312"/>
          <w:color w:val="000000" w:themeColor="text1"/>
          <w:spacing w:val="-17"/>
          <w14:textFill>
            <w14:solidFill>
              <w14:schemeClr w14:val="tx1"/>
            </w14:solidFill>
          </w14:textFill>
        </w:rPr>
        <w:t>浅根</w:t>
      </w:r>
      <w:r>
        <w:rPr>
          <w:rFonts w:ascii="Times New Roman" w:hAnsi="Times New Roman" w:eastAsia="仿宋_GB2312"/>
          <w:color w:val="000000" w:themeColor="text1"/>
          <w14:textFill>
            <w14:solidFill>
              <w14:schemeClr w14:val="tx1"/>
            </w14:solidFill>
          </w14:textFill>
        </w:rPr>
        <w:t>100.0cm</w:t>
      </w:r>
      <w:r>
        <w:rPr>
          <w:rFonts w:ascii="Times New Roman" w:hAnsi="Times New Roman" w:eastAsia="仿宋_GB2312"/>
          <w:color w:val="000000" w:themeColor="text1"/>
          <w:spacing w:val="-11"/>
          <w14:textFill>
            <w14:solidFill>
              <w14:schemeClr w14:val="tx1"/>
            </w14:solidFill>
          </w14:textFill>
        </w:rPr>
        <w:t>，大灌木</w:t>
      </w:r>
      <w:r>
        <w:rPr>
          <w:rFonts w:ascii="Times New Roman" w:hAnsi="Times New Roman" w:eastAsia="仿宋_GB2312"/>
          <w:color w:val="000000" w:themeColor="text1"/>
          <w14:textFill>
            <w14:solidFill>
              <w14:schemeClr w14:val="tx1"/>
            </w14:solidFill>
          </w14:textFill>
        </w:rPr>
        <w:t>90.0cm</w:t>
      </w:r>
      <w:r>
        <w:rPr>
          <w:rFonts w:ascii="Times New Roman" w:hAnsi="Times New Roman" w:eastAsia="仿宋_GB2312"/>
          <w:color w:val="000000" w:themeColor="text1"/>
          <w:spacing w:val="-11"/>
          <w14:textFill>
            <w14:solidFill>
              <w14:schemeClr w14:val="tx1"/>
            </w14:solidFill>
          </w14:textFill>
        </w:rPr>
        <w:t>，小灌木</w:t>
      </w:r>
      <w:r>
        <w:rPr>
          <w:rFonts w:ascii="Times New Roman" w:hAnsi="Times New Roman" w:eastAsia="仿宋_GB2312"/>
          <w:color w:val="000000" w:themeColor="text1"/>
          <w14:textFill>
            <w14:solidFill>
              <w14:schemeClr w14:val="tx1"/>
            </w14:solidFill>
          </w14:textFill>
        </w:rPr>
        <w:t>45.0cm。较为名贵的树种需要采取客土，种植时需</w:t>
      </w:r>
      <w:r>
        <w:rPr>
          <w:rFonts w:ascii="Times New Roman" w:hAnsi="Times New Roman" w:eastAsia="仿宋_GB2312"/>
          <w:color w:val="000000" w:themeColor="text1"/>
          <w:spacing w:val="4"/>
          <w14:textFill>
            <w14:solidFill>
              <w14:schemeClr w14:val="tx1"/>
            </w14:solidFill>
          </w14:textFill>
        </w:rPr>
        <w:t>结</w:t>
      </w:r>
      <w:r>
        <w:rPr>
          <w:rFonts w:ascii="Times New Roman" w:hAnsi="Times New Roman" w:eastAsia="仿宋_GB2312"/>
          <w:color w:val="000000" w:themeColor="text1"/>
          <w:spacing w:val="10"/>
          <w:position w:val="-1"/>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施用基肥</w:t>
      </w:r>
      <w:r>
        <w:rPr>
          <w:rFonts w:ascii="Times New Roman" w:hAnsi="Times New Roman" w:eastAsia="仿宋_GB2312"/>
          <w:color w:val="000000" w:themeColor="text1"/>
          <w:spacing w:val="-106"/>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基肥应以腐熟有机肥为主</w:t>
      </w:r>
      <w:r>
        <w:rPr>
          <w:rFonts w:ascii="Times New Roman" w:hAnsi="Times New Roman" w:eastAsia="仿宋_GB2312"/>
          <w:color w:val="000000" w:themeColor="text1"/>
          <w:spacing w:val="-104"/>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也可施用</w:t>
      </w:r>
      <w:r>
        <w:rPr>
          <w:rFonts w:ascii="Times New Roman" w:hAnsi="Times New Roman" w:eastAsia="仿宋_GB2312"/>
          <w:color w:val="000000" w:themeColor="text1"/>
          <w:spacing w:val="4"/>
          <w14:textFill>
            <w14:solidFill>
              <w14:schemeClr w14:val="tx1"/>
            </w14:solidFill>
          </w14:textFill>
        </w:rPr>
        <w:t>复</w:t>
      </w:r>
      <w:r>
        <w:rPr>
          <w:rFonts w:ascii="Times New Roman" w:hAnsi="Times New Roman" w:eastAsia="仿宋_GB2312"/>
          <w:color w:val="000000" w:themeColor="text1"/>
          <w:spacing w:val="10"/>
          <w:position w:val="-1"/>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肥和缓释棒肥、颗粒肥，用量根据商品说明确定。</w:t>
      </w:r>
    </w:p>
    <w:p w14:paraId="0FE9F0E5">
      <w:pPr>
        <w:pStyle w:val="12"/>
        <w:ind w:firstLine="480"/>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②</w:t>
      </w:r>
      <w:r>
        <w:rPr>
          <w:rFonts w:ascii="Times New Roman" w:hAnsi="Times New Roman" w:eastAsia="仿宋_GB2312"/>
          <w:color w:val="000000" w:themeColor="text1"/>
          <w14:textFill>
            <w14:solidFill>
              <w14:schemeClr w14:val="tx1"/>
            </w14:solidFill>
          </w14:textFill>
        </w:rPr>
        <w:t>造林季节。常绿树木的挖掘种植应在春天土壤解冻以后、树木发芽以前，或在秋季新梢停止生长后霜降以前进行。特殊情况可采用非季节造林。</w:t>
      </w:r>
    </w:p>
    <w:p w14:paraId="6FDA048E">
      <w:pPr>
        <w:pStyle w:val="12"/>
        <w:ind w:firstLine="450"/>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spacing w:val="-15"/>
          <w14:textFill>
            <w14:solidFill>
              <w14:schemeClr w14:val="tx1"/>
            </w14:solidFill>
          </w14:textFill>
        </w:rPr>
        <w:t>③</w:t>
      </w:r>
      <w:r>
        <w:rPr>
          <w:rFonts w:ascii="Times New Roman" w:hAnsi="Times New Roman" w:eastAsia="仿宋_GB2312"/>
          <w:color w:val="000000" w:themeColor="text1"/>
          <w:spacing w:val="-15"/>
          <w14:textFill>
            <w14:solidFill>
              <w14:schemeClr w14:val="tx1"/>
            </w14:solidFill>
          </w14:textFill>
        </w:rPr>
        <w:t>苗木规格。苗木规格主要指园林树种的树形</w:t>
      </w:r>
      <w:r>
        <w:rPr>
          <w:rFonts w:ascii="Times New Roman" w:hAnsi="Times New Roman" w:eastAsia="仿宋_GB2312"/>
          <w:color w:val="000000" w:themeColor="text1"/>
          <w14:textFill>
            <w14:solidFill>
              <w14:schemeClr w14:val="tx1"/>
            </w14:solidFill>
          </w14:textFill>
        </w:rPr>
        <w:t>（</w:t>
      </w:r>
      <w:r>
        <w:rPr>
          <w:rFonts w:ascii="Times New Roman" w:hAnsi="Times New Roman" w:eastAsia="仿宋_GB2312"/>
          <w:color w:val="000000" w:themeColor="text1"/>
          <w:spacing w:val="-18"/>
          <w14:textFill>
            <w14:solidFill>
              <w14:schemeClr w14:val="tx1"/>
            </w14:solidFill>
          </w14:textFill>
        </w:rPr>
        <w:t>外观、乔木胸径、灌木地径</w:t>
      </w:r>
      <w:r>
        <w:rPr>
          <w:rFonts w:ascii="Times New Roman" w:hAnsi="Times New Roman" w:eastAsia="仿宋_GB2312"/>
          <w:color w:val="000000" w:themeColor="text1"/>
          <w:spacing w:val="-120"/>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、挖掘（根系）等指标。</w:t>
      </w:r>
    </w:p>
    <w:p w14:paraId="3891DD27">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名贵树木和非常规季节种植挖土球或根盘比原规定要求提高一个档次进行。包扎土球用绳索粗细要适度，质地结实。土球包扎形式应根据树种、规格、土壤质地、运输距离、装运方式选定。</w:t>
      </w:r>
    </w:p>
    <w:p w14:paraId="3E8B4E8D">
      <w:pPr>
        <w:pStyle w:val="12"/>
        <w:ind w:firstLine="478"/>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仿宋_GB2312"/>
          <w:color w:val="000000" w:themeColor="text1"/>
          <w:spacing w:val="-1"/>
          <w14:textFill>
            <w14:solidFill>
              <w14:schemeClr w14:val="tx1"/>
            </w14:solidFill>
          </w14:textFill>
        </w:rPr>
        <w:t>（5）</w:t>
      </w:r>
      <w:r>
        <w:rPr>
          <w:rFonts w:ascii="Times New Roman" w:hAnsi="Times New Roman" w:eastAsia="仿宋_GB2312"/>
          <w:color w:val="000000" w:themeColor="text1"/>
          <w:spacing w:val="-1"/>
          <w14:textFill>
            <w14:solidFill>
              <w14:schemeClr w14:val="tx1"/>
            </w14:solidFill>
          </w14:textFill>
        </w:rPr>
        <w:t>苗木栽植。苗木栽植主要包括以下两方面：</w:t>
      </w:r>
    </w:p>
    <w:p w14:paraId="7B3DBC36">
      <w:pPr>
        <w:pStyle w:val="12"/>
        <w:ind w:firstLine="47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3"/>
          <w14:textFill>
            <w14:solidFill>
              <w14:schemeClr w14:val="tx1"/>
            </w14:solidFill>
          </w14:textFill>
        </w:rPr>
        <w:t>树木种植槽穴的规格大小深浅。应按植株的根盘和土球直径适当放大，使</w:t>
      </w:r>
      <w:r>
        <w:rPr>
          <w:rFonts w:ascii="Times New Roman" w:hAnsi="Times New Roman" w:eastAsia="仿宋_GB2312"/>
          <w:color w:val="000000" w:themeColor="text1"/>
          <w:spacing w:val="-1"/>
          <w14:textFill>
            <w14:solidFill>
              <w14:schemeClr w14:val="tx1"/>
            </w14:solidFill>
          </w14:textFill>
        </w:rPr>
        <w:t>根系能充分舒展，高燥砂性土地植穴稍深、大，低凹粘性土地可稍浅。</w:t>
      </w:r>
    </w:p>
    <w:p w14:paraId="632E7773">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苗木栽植。园林绿化树木</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14:textFill>
            <w14:solidFill>
              <w14:schemeClr w14:val="tx1"/>
            </w14:solidFill>
          </w14:textFill>
        </w:rPr>
        <w:t>项种植工作应密切衔接，做到随挖、随运、随</w:t>
      </w:r>
      <w:r>
        <w:rPr>
          <w:rFonts w:ascii="Times New Roman" w:hAnsi="Times New Roman" w:eastAsia="仿宋_GB2312"/>
          <w:color w:val="000000" w:themeColor="text1"/>
          <w:spacing w:val="-4"/>
          <w14:textFill>
            <w14:solidFill>
              <w14:schemeClr w14:val="tx1"/>
            </w14:solidFill>
          </w14:textFill>
        </w:rPr>
        <w:t>种、随养护。如遇气候骤升、骤降或遇大风大雨气象变化，应立即暂停种植，并采取临时措施保护树木土球和植穴。裸根苗原则上当天种植，尽量缩短起苗到种植之间的时间，当天不能种完的苗木应假植。带土球树木种植时现在穴（槽）内用种植土填放到放土球底面的高度，将土球放置在填土上，初步覆土夯实，定好方向，打开土球包装物自下而上小心取下包装物，泥球如松散，底下包装物可剪断不取出。随后分层捣实，填土高度达土球深度</w:t>
      </w:r>
      <w:r>
        <w:rPr>
          <w:rFonts w:ascii="Times New Roman" w:hAnsi="Times New Roman" w:eastAsia="仿宋_GB2312"/>
          <w:color w:val="000000" w:themeColor="text1"/>
          <w14:textFill>
            <w14:solidFill>
              <w14:schemeClr w14:val="tx1"/>
            </w14:solidFill>
          </w14:textFill>
        </w:rPr>
        <w:t>2/3时，浇足第一次水，水份渗</w:t>
      </w:r>
      <w:r>
        <w:rPr>
          <w:rFonts w:ascii="Times New Roman" w:hAnsi="Times New Roman" w:eastAsia="仿宋_GB2312"/>
          <w:color w:val="000000" w:themeColor="text1"/>
          <w:spacing w:val="-4"/>
          <w14:textFill>
            <w14:solidFill>
              <w14:schemeClr w14:val="tx1"/>
            </w14:solidFill>
          </w14:textFill>
        </w:rPr>
        <w:t>透后继续填土至地面持平时再浇第二次水，至不再下渗为止，如土层下沉，应在</w:t>
      </w:r>
      <w:r>
        <w:rPr>
          <w:rFonts w:ascii="Times New Roman" w:hAnsi="Times New Roman" w:eastAsia="仿宋_GB2312"/>
          <w:color w:val="000000" w:themeColor="text1"/>
          <w14:textFill>
            <w14:solidFill>
              <w14:schemeClr w14:val="tx1"/>
            </w14:solidFill>
          </w14:textFill>
        </w:rPr>
        <w:t>三日内补填种植土，再浇水整平。</w:t>
      </w:r>
    </w:p>
    <w:p w14:paraId="4F750CD7">
      <w:pPr>
        <w:pStyle w:val="12"/>
        <w:ind w:firstLine="472"/>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4"/>
          <w14:textFill>
            <w14:solidFill>
              <w14:schemeClr w14:val="tx1"/>
            </w14:solidFill>
          </w14:textFill>
        </w:rPr>
        <w:t>裸根树木的种植，先将植株入穴、扶正后定好方向，按根系情况先在穴内填适当厚度种植土，舒展根系，均匀填土，再将树干稍上提，并左右前后移动，使根和土充分接触，减少空隙，扶正后继续填土分层捣实、沿树木坑穴外缘作养水</w:t>
      </w:r>
      <w:r>
        <w:rPr>
          <w:rFonts w:ascii="Times New Roman" w:hAnsi="Times New Roman" w:eastAsia="仿宋_GB2312"/>
          <w:color w:val="000000" w:themeColor="text1"/>
          <w14:textFill>
            <w14:solidFill>
              <w14:schemeClr w14:val="tx1"/>
            </w14:solidFill>
          </w14:textFill>
        </w:rPr>
        <w:t>围堰、浇足水，并在三日内再次浇水。如遇土下沉，在根际补土浇水整平。</w:t>
      </w:r>
    </w:p>
    <w:p w14:paraId="3648F72B">
      <w:pPr>
        <w:ind w:firstLine="482"/>
        <w:rPr>
          <w:b/>
          <w:bCs/>
        </w:rPr>
      </w:pPr>
      <w:bookmarkStart w:id="455" w:name="5.4.3.3种草"/>
      <w:bookmarkEnd w:id="455"/>
      <w:r>
        <w:rPr>
          <w:rFonts w:hint="eastAsia"/>
          <w:b/>
          <w:bCs/>
        </w:rPr>
        <w:t>3</w:t>
      </w:r>
      <w:r>
        <w:rPr>
          <w:b/>
          <w:bCs/>
        </w:rPr>
        <w:t>.种草</w:t>
      </w:r>
    </w:p>
    <w:p w14:paraId="2A002B1A">
      <w:pPr>
        <w:pStyle w:val="12"/>
        <w:ind w:firstLine="46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6"/>
          <w14:textFill>
            <w14:solidFill>
              <w14:schemeClr w14:val="tx1"/>
            </w14:solidFill>
          </w14:textFill>
        </w:rPr>
        <w:t>植被恢复中的种草措施分为常规种草和草坪草种植，常规种草主要针对利用</w:t>
      </w:r>
      <w:r>
        <w:rPr>
          <w:rFonts w:ascii="Times New Roman" w:hAnsi="Times New Roman" w:eastAsia="仿宋_GB2312"/>
          <w:color w:val="000000" w:themeColor="text1"/>
          <w:spacing w:val="-4"/>
          <w14:textFill>
            <w14:solidFill>
              <w14:schemeClr w14:val="tx1"/>
            </w14:solidFill>
          </w14:textFill>
        </w:rPr>
        <w:t>当地适生草种，在自然降雨条件下所采取的植被恢复措施；草坪草种植主要是生产建设项目管理区、厂前区等有绿化美化要求的区域，再有灌溉条件下种植草坪</w:t>
      </w:r>
      <w:r>
        <w:rPr>
          <w:rFonts w:ascii="Times New Roman" w:hAnsi="Times New Roman" w:eastAsia="仿宋_GB2312"/>
          <w:color w:val="000000" w:themeColor="text1"/>
          <w14:textFill>
            <w14:solidFill>
              <w14:schemeClr w14:val="tx1"/>
            </w14:solidFill>
          </w14:textFill>
        </w:rPr>
        <w:t>草的防护和绿化措施。</w:t>
      </w:r>
    </w:p>
    <w:p w14:paraId="326A50F8">
      <w:pPr>
        <w:pStyle w:val="12"/>
        <w:ind w:firstLine="47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3"/>
          <w14:textFill>
            <w14:solidFill>
              <w14:schemeClr w14:val="tx1"/>
            </w14:solidFill>
          </w14:textFill>
        </w:rPr>
        <w:t>(1)设计要点</w:t>
      </w:r>
    </w:p>
    <w:p w14:paraId="71A47AFE">
      <w:pPr>
        <w:pStyle w:val="12"/>
        <w:ind w:firstLine="480"/>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w:t>
      </w:r>
      <w:r>
        <w:rPr>
          <w:rFonts w:ascii="Times New Roman" w:hAnsi="Times New Roman" w:eastAsia="仿宋_GB2312"/>
          <w:color w:val="000000" w:themeColor="text1"/>
          <w14:textFill>
            <w14:solidFill>
              <w14:schemeClr w14:val="tx1"/>
            </w14:solidFill>
          </w14:textFill>
        </w:rPr>
        <w:t>草种选择。由于土壤瘠薄，气候干旱，雨量较少，冬春风多，夏季最高温</w:t>
      </w:r>
      <w:r>
        <w:rPr>
          <w:rFonts w:ascii="Times New Roman" w:hAnsi="Times New Roman" w:eastAsia="仿宋_GB2312"/>
          <w:color w:val="000000" w:themeColor="text1"/>
          <w:spacing w:val="-12"/>
          <w14:textFill>
            <w14:solidFill>
              <w14:schemeClr w14:val="tx1"/>
            </w14:solidFill>
          </w14:textFill>
        </w:rPr>
        <w:t>度可达</w:t>
      </w:r>
      <w:r>
        <w:rPr>
          <w:rFonts w:ascii="Times New Roman" w:hAnsi="Times New Roman" w:eastAsia="仿宋_GB2312"/>
          <w:color w:val="000000" w:themeColor="text1"/>
          <w14:textFill>
            <w14:solidFill>
              <w14:schemeClr w14:val="tx1"/>
            </w14:solidFill>
          </w14:textFill>
        </w:rPr>
        <w:t>40.0℃，冬季最低温度为-30.0℃。因此，适宜种植耐寒、耐旱、耐瘠薄、抗逆性强的草种。常规草种主要选择</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14:textFill>
            <w14:solidFill>
              <w14:schemeClr w14:val="tx1"/>
            </w14:solidFill>
          </w14:textFill>
        </w:rPr>
        <w:t>区域内的适生草种，如冰草、沙蒿、红豆草、沙打旺等。超过一个生长季的临时堆土可选择小麦、糜子等生长快的植物进</w:t>
      </w:r>
      <w:r>
        <w:rPr>
          <w:rFonts w:ascii="Times New Roman" w:hAnsi="Times New Roman" w:eastAsia="仿宋_GB2312"/>
          <w:color w:val="000000" w:themeColor="text1"/>
          <w:spacing w:val="-4"/>
          <w14:textFill>
            <w14:solidFill>
              <w14:schemeClr w14:val="tx1"/>
            </w14:solidFill>
          </w14:textFill>
        </w:rPr>
        <w:t>行防护。</w:t>
      </w:r>
    </w:p>
    <w:p w14:paraId="3A2405C7">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在有灌溉条件下，可适当种植草坪草，草种主要选择本地区适宜的早熟禾、羊草、披碱草等。</w:t>
      </w:r>
    </w:p>
    <w:p w14:paraId="7C70C6C0">
      <w:pPr>
        <w:pStyle w:val="12"/>
        <w:ind w:firstLine="472"/>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spacing w:val="-4"/>
          <w14:textFill>
            <w14:solidFill>
              <w14:schemeClr w14:val="tx1"/>
            </w14:solidFill>
          </w14:textFill>
        </w:rPr>
        <w:t>②</w:t>
      </w:r>
      <w:r>
        <w:rPr>
          <w:rFonts w:ascii="Times New Roman" w:hAnsi="Times New Roman" w:eastAsia="仿宋_GB2312"/>
          <w:color w:val="000000" w:themeColor="text1"/>
          <w:spacing w:val="-4"/>
          <w14:textFill>
            <w14:solidFill>
              <w14:schemeClr w14:val="tx1"/>
            </w14:solidFill>
          </w14:textFill>
        </w:rPr>
        <w:t>草种混播。一般植被恢复的种草，通常采用禾本科与豆科牧草混播，也有</w:t>
      </w:r>
      <w:r>
        <w:rPr>
          <w:rFonts w:ascii="Times New Roman" w:hAnsi="Times New Roman" w:eastAsia="仿宋_GB2312"/>
          <w:color w:val="000000" w:themeColor="text1"/>
          <w:spacing w:val="-8"/>
          <w14:textFill>
            <w14:solidFill>
              <w14:schemeClr w14:val="tx1"/>
            </w14:solidFill>
          </w14:textFill>
        </w:rPr>
        <w:t>采用单一禾本科或豆科播种的。生产建设项目种草主要以快速恢复地表植被并要</w:t>
      </w:r>
      <w:r>
        <w:rPr>
          <w:rFonts w:ascii="Times New Roman" w:hAnsi="Times New Roman" w:eastAsia="仿宋_GB2312"/>
          <w:color w:val="000000" w:themeColor="text1"/>
          <w:spacing w:val="-5"/>
          <w14:textFill>
            <w14:solidFill>
              <w14:schemeClr w14:val="tx1"/>
            </w14:solidFill>
          </w14:textFill>
        </w:rPr>
        <w:t>求生长期较长，因此适宜选择</w:t>
      </w:r>
      <w:r>
        <w:rPr>
          <w:rFonts w:ascii="Times New Roman" w:hAnsi="Times New Roman" w:eastAsia="仿宋_GB2312"/>
          <w:color w:val="000000" w:themeColor="text1"/>
          <w14:textFill>
            <w14:solidFill>
              <w14:schemeClr w14:val="tx1"/>
            </w14:solidFill>
          </w14:textFill>
        </w:rPr>
        <w:t>4～7年草种混播。</w:t>
      </w:r>
    </w:p>
    <w:p w14:paraId="3FD77F6F">
      <w:pPr>
        <w:pStyle w:val="12"/>
        <w:ind w:firstLine="478"/>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③</w:t>
      </w:r>
      <w:r>
        <w:rPr>
          <w:rFonts w:ascii="Times New Roman" w:hAnsi="Times New Roman" w:eastAsia="仿宋_GB2312"/>
          <w:color w:val="000000" w:themeColor="text1"/>
          <w:spacing w:val="-1"/>
          <w14:textFill>
            <w14:solidFill>
              <w14:schemeClr w14:val="tx1"/>
            </w14:solidFill>
          </w14:textFill>
        </w:rPr>
        <w:t>播种。播种主要涉及种子处理、播种期和播种方法。</w:t>
      </w:r>
    </w:p>
    <w:p w14:paraId="53AC5544">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a.种子处理：大部分种子有后熟过程，即种胚休眠，播种前必须进行种子处</w:t>
      </w:r>
      <w:r>
        <w:rPr>
          <w:rFonts w:ascii="Times New Roman" w:hAnsi="Times New Roman" w:eastAsia="仿宋_GB2312"/>
          <w:color w:val="000000" w:themeColor="text1"/>
          <w:spacing w:val="-4"/>
          <w14:textFill>
            <w14:solidFill>
              <w14:schemeClr w14:val="tx1"/>
            </w14:solidFill>
          </w14:textFill>
        </w:rPr>
        <w:t>理，以打破休眠，促进发芽。种子处理包括：机械处理、选种晒种、浸种、去壳</w:t>
      </w:r>
      <w:r>
        <w:rPr>
          <w:rFonts w:ascii="Times New Roman" w:hAnsi="Times New Roman" w:eastAsia="仿宋_GB2312"/>
          <w:color w:val="000000" w:themeColor="text1"/>
          <w14:textFill>
            <w14:solidFill>
              <w14:schemeClr w14:val="tx1"/>
            </w14:solidFill>
          </w14:textFill>
        </w:rPr>
        <w:t>去芒、射线照射、生物处理和根瘤菌接种等。</w:t>
      </w:r>
    </w:p>
    <w:p w14:paraId="40CF1E95">
      <w:pPr>
        <w:pStyle w:val="66"/>
      </w:pPr>
      <w:r>
        <w:t>b.播种期：水土保持草，一年生牧草宜春播，多年生牧草春、夏均可，以雨</w:t>
      </w:r>
      <w:r>
        <w:rPr>
          <w:spacing w:val="-4"/>
        </w:rPr>
        <w:t>季播种最好；草坪草，寒地型禾草最适宜的播种时间是夏末，暖地形草坪草则宜</w:t>
      </w:r>
      <w:r>
        <w:t>在春末和初夏播种。</w:t>
      </w:r>
    </w:p>
    <w:p w14:paraId="475D987E">
      <w:pPr>
        <w:pStyle w:val="66"/>
      </w:pPr>
      <w:r>
        <w:t>c.播种方法：一般水土保持种草你挑拨、撒播、点播均可。播种深度2.0～4.0cm。播后覆土镇压，以提高造林成活率。建设项目常规种草采取撒播种草方式，位于坡面上种草，可采用条播、点播方式。</w:t>
      </w:r>
    </w:p>
    <w:p w14:paraId="3A5FD521">
      <w:pPr>
        <w:pStyle w:val="66"/>
        <w:ind w:firstLine="444"/>
      </w:pPr>
      <w:r>
        <w:rPr>
          <w:spacing w:val="-18"/>
        </w:rPr>
        <w:t>草坪草播种，首先要求种子均匀的覆盖在坪床上，其次是使种子掺和到</w:t>
      </w:r>
      <w:r>
        <w:rPr>
          <w:spacing w:val="-4"/>
        </w:rPr>
        <w:t>1.0～</w:t>
      </w:r>
      <w:r>
        <w:t>1.5cm的土层中去。大面积播种可利用播种机，小面积则采用手播。此外，也可</w:t>
      </w:r>
      <w:r>
        <w:rPr>
          <w:spacing w:val="-4"/>
        </w:rPr>
        <w:t>以采用水力播种，即借助水力播种机将种子喷洒到坪床上，是远距离播种和陡坡</w:t>
      </w:r>
      <w:r>
        <w:t>绿化的有效手段。</w:t>
      </w:r>
    </w:p>
    <w:p w14:paraId="1EE62339">
      <w:pPr>
        <w:pStyle w:val="66"/>
      </w:pPr>
      <w:r>
        <w:t>草坪植生带（纸）建植法，植生带草坪是在整好的土地上，将植生带平铺，铺时拉直、铺平、接缝紧密，依次铺放，铺后覆细土（砂）0.5～1.0cm厚，及时</w:t>
      </w:r>
      <w:r>
        <w:rPr>
          <w:spacing w:val="-4"/>
        </w:rPr>
        <w:t>浇水。</w:t>
      </w:r>
    </w:p>
    <w:p w14:paraId="58A2FE76">
      <w:pPr>
        <w:pStyle w:val="66"/>
      </w:pPr>
      <w:r>
        <w:rPr>
          <w:rFonts w:hint="eastAsia" w:ascii="宋体" w:hAnsi="宋体" w:eastAsia="宋体" w:cs="宋体"/>
        </w:rPr>
        <w:t>④</w:t>
      </w:r>
      <w:r>
        <w:t>种草管护：建设项目常规种草一般不采取种后措施，有条件的区域可在出</w:t>
      </w:r>
      <w:r>
        <w:rPr>
          <w:spacing w:val="-1"/>
        </w:rPr>
        <w:t>苗前、后洒水，保证出苗率、成活率。草坪草需要有较为严格的后期管护措施。</w:t>
      </w:r>
    </w:p>
    <w:p w14:paraId="021D5392">
      <w:pPr>
        <w:pStyle w:val="66"/>
        <w:ind w:firstLine="472"/>
        <w:rPr>
          <w:spacing w:val="-10"/>
        </w:rPr>
      </w:pPr>
      <w:r>
        <w:rPr>
          <w:spacing w:val="-4"/>
        </w:rPr>
        <w:t>播种草坪苗期管理要求，见表</w:t>
      </w:r>
      <w:r>
        <w:t>5-15</w:t>
      </w:r>
      <w:r>
        <w:rPr>
          <w:spacing w:val="-10"/>
        </w:rPr>
        <w:t>。</w:t>
      </w:r>
    </w:p>
    <w:p w14:paraId="4706FFAA">
      <w:pPr>
        <w:spacing w:line="240" w:lineRule="auto"/>
        <w:ind w:firstLine="0" w:firstLineChars="0"/>
        <w:jc w:val="left"/>
        <w:rPr>
          <w:rFonts w:cs="Times New Roman"/>
          <w:color w:val="000000" w:themeColor="text1"/>
          <w:spacing w:val="-10"/>
          <w14:textFill>
            <w14:solidFill>
              <w14:schemeClr w14:val="tx1"/>
            </w14:solidFill>
          </w14:textFill>
        </w:rPr>
      </w:pPr>
      <w:r>
        <w:rPr>
          <w:color w:val="000000" w:themeColor="text1"/>
          <w:spacing w:val="-10"/>
          <w14:textFill>
            <w14:solidFill>
              <w14:schemeClr w14:val="tx1"/>
            </w14:solidFill>
          </w14:textFill>
        </w:rPr>
        <w:br w:type="page"/>
      </w:r>
    </w:p>
    <w:p w14:paraId="77D82EE7">
      <w:pPr>
        <w:pStyle w:val="44"/>
        <w:rPr>
          <w:color w:val="000000" w:themeColor="text1"/>
          <w14:textFill>
            <w14:solidFill>
              <w14:schemeClr w14:val="tx1"/>
            </w14:solidFill>
          </w14:textFill>
        </w:rPr>
      </w:pPr>
      <w:r>
        <w:rPr>
          <w:color w:val="000000" w:themeColor="text1"/>
          <w14:textFill>
            <w14:solidFill>
              <w14:schemeClr w14:val="tx1"/>
            </w14:solidFill>
          </w14:textFill>
        </w:rPr>
        <w:t>表5-15                              播种草坪苗期管理要求表</w:t>
      </w:r>
    </w:p>
    <w:tbl>
      <w:tblPr>
        <w:tblStyle w:val="27"/>
        <w:tblW w:w="0" w:type="auto"/>
        <w:tblInd w:w="0" w:type="dxa"/>
        <w:tblLayout w:type="autofit"/>
        <w:tblCellMar>
          <w:top w:w="0" w:type="dxa"/>
          <w:left w:w="108" w:type="dxa"/>
          <w:bottom w:w="0" w:type="dxa"/>
          <w:right w:w="108" w:type="dxa"/>
        </w:tblCellMar>
      </w:tblPr>
      <w:tblGrid>
        <w:gridCol w:w="756"/>
        <w:gridCol w:w="2808"/>
        <w:gridCol w:w="2840"/>
        <w:gridCol w:w="2882"/>
      </w:tblGrid>
      <w:tr w14:paraId="254DF7C2">
        <w:tblPrEx>
          <w:tblCellMar>
            <w:top w:w="0" w:type="dxa"/>
            <w:left w:w="108" w:type="dxa"/>
            <w:bottom w:w="0" w:type="dxa"/>
            <w:right w:w="108" w:type="dxa"/>
          </w:tblCellMar>
        </w:tblPrEx>
        <w:trPr>
          <w:trHeight w:val="397"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4BA66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管理内容</w:t>
            </w:r>
          </w:p>
        </w:tc>
        <w:tc>
          <w:tcPr>
            <w:tcW w:w="0" w:type="auto"/>
            <w:gridSpan w:val="3"/>
            <w:tcBorders>
              <w:top w:val="single" w:color="auto" w:sz="4" w:space="0"/>
              <w:left w:val="nil"/>
              <w:bottom w:val="single" w:color="auto" w:sz="4" w:space="0"/>
              <w:right w:val="single" w:color="auto" w:sz="4" w:space="0"/>
            </w:tcBorders>
            <w:shd w:val="clear" w:color="auto" w:fill="auto"/>
            <w:vAlign w:val="center"/>
          </w:tcPr>
          <w:p w14:paraId="1BD1E40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播种方式</w:t>
            </w:r>
          </w:p>
        </w:tc>
      </w:tr>
      <w:tr w14:paraId="0968AF37">
        <w:tblPrEx>
          <w:tblCellMar>
            <w:top w:w="0" w:type="dxa"/>
            <w:left w:w="108" w:type="dxa"/>
            <w:bottom w:w="0" w:type="dxa"/>
            <w:right w:w="108" w:type="dxa"/>
          </w:tblCellMar>
        </w:tblPrEx>
        <w:trPr>
          <w:trHeight w:val="397" w:hRule="atLeast"/>
        </w:trPr>
        <w:tc>
          <w:tcPr>
            <w:tcW w:w="0" w:type="auto"/>
            <w:vMerge w:val="continue"/>
            <w:tcBorders>
              <w:top w:val="single" w:color="auto" w:sz="4" w:space="0"/>
              <w:left w:val="single" w:color="auto" w:sz="4" w:space="0"/>
              <w:bottom w:val="double" w:color="auto" w:sz="4" w:space="0"/>
              <w:right w:val="single" w:color="auto" w:sz="4" w:space="0"/>
            </w:tcBorders>
            <w:vAlign w:val="center"/>
          </w:tcPr>
          <w:p w14:paraId="652A26CF">
            <w:pPr>
              <w:spacing w:line="240" w:lineRule="auto"/>
              <w:ind w:firstLine="0" w:firstLineChars="0"/>
              <w:jc w:val="center"/>
              <w:rPr>
                <w:rFonts w:cs="Times New Roman"/>
                <w:color w:val="000000" w:themeColor="text1"/>
                <w:sz w:val="21"/>
                <w:szCs w:val="21"/>
                <w14:textFill>
                  <w14:solidFill>
                    <w14:schemeClr w14:val="tx1"/>
                  </w14:solidFill>
                </w14:textFill>
              </w:rPr>
            </w:pPr>
          </w:p>
        </w:tc>
        <w:tc>
          <w:tcPr>
            <w:tcW w:w="0" w:type="auto"/>
            <w:tcBorders>
              <w:top w:val="nil"/>
              <w:left w:val="nil"/>
              <w:bottom w:val="double" w:color="auto" w:sz="4" w:space="0"/>
              <w:right w:val="single" w:color="auto" w:sz="4" w:space="0"/>
            </w:tcBorders>
            <w:shd w:val="clear" w:color="auto" w:fill="auto"/>
            <w:vAlign w:val="center"/>
          </w:tcPr>
          <w:p w14:paraId="626B57D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籽播</w:t>
            </w:r>
          </w:p>
        </w:tc>
        <w:tc>
          <w:tcPr>
            <w:tcW w:w="0" w:type="auto"/>
            <w:tcBorders>
              <w:top w:val="nil"/>
              <w:left w:val="nil"/>
              <w:bottom w:val="double" w:color="auto" w:sz="4" w:space="0"/>
              <w:right w:val="single" w:color="auto" w:sz="4" w:space="0"/>
            </w:tcBorders>
            <w:shd w:val="clear" w:color="auto" w:fill="auto"/>
            <w:vAlign w:val="center"/>
          </w:tcPr>
          <w:p w14:paraId="3B70F24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喷播</w:t>
            </w:r>
          </w:p>
        </w:tc>
        <w:tc>
          <w:tcPr>
            <w:tcW w:w="0" w:type="auto"/>
            <w:tcBorders>
              <w:top w:val="nil"/>
              <w:left w:val="nil"/>
              <w:bottom w:val="double" w:color="auto" w:sz="4" w:space="0"/>
              <w:right w:val="single" w:color="auto" w:sz="4" w:space="0"/>
            </w:tcBorders>
            <w:shd w:val="clear" w:color="auto" w:fill="auto"/>
            <w:vAlign w:val="center"/>
          </w:tcPr>
          <w:p w14:paraId="0E4ECAD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植生带</w:t>
            </w:r>
          </w:p>
        </w:tc>
      </w:tr>
      <w:tr w14:paraId="0C13D872">
        <w:tblPrEx>
          <w:tblCellMar>
            <w:top w:w="0" w:type="dxa"/>
            <w:left w:w="108" w:type="dxa"/>
            <w:bottom w:w="0" w:type="dxa"/>
            <w:right w:w="108" w:type="dxa"/>
          </w:tblCellMar>
        </w:tblPrEx>
        <w:trPr>
          <w:trHeight w:val="397" w:hRule="atLeast"/>
        </w:trPr>
        <w:tc>
          <w:tcPr>
            <w:tcW w:w="0" w:type="auto"/>
            <w:tcBorders>
              <w:top w:val="double" w:color="auto" w:sz="4" w:space="0"/>
              <w:left w:val="single" w:color="auto" w:sz="4" w:space="0"/>
              <w:bottom w:val="single" w:color="auto" w:sz="4" w:space="0"/>
              <w:right w:val="single" w:color="auto" w:sz="4" w:space="0"/>
            </w:tcBorders>
            <w:shd w:val="clear" w:color="auto" w:fill="auto"/>
            <w:vAlign w:val="center"/>
          </w:tcPr>
          <w:p w14:paraId="64D1911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喷水</w:t>
            </w:r>
          </w:p>
        </w:tc>
        <w:tc>
          <w:tcPr>
            <w:tcW w:w="0" w:type="auto"/>
            <w:tcBorders>
              <w:top w:val="double" w:color="auto" w:sz="4" w:space="0"/>
              <w:left w:val="nil"/>
              <w:bottom w:val="single" w:color="auto" w:sz="4" w:space="0"/>
              <w:right w:val="single" w:color="auto" w:sz="4" w:space="0"/>
            </w:tcBorders>
            <w:shd w:val="clear" w:color="auto" w:fill="auto"/>
            <w:vAlign w:val="center"/>
          </w:tcPr>
          <w:p w14:paraId="2D6AFC2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小苗初期如无雨，每天喷1～2次，视天气情况逐日减喷次数。</w:t>
            </w:r>
          </w:p>
        </w:tc>
        <w:tc>
          <w:tcPr>
            <w:tcW w:w="0" w:type="auto"/>
            <w:tcBorders>
              <w:top w:val="double" w:color="auto" w:sz="4" w:space="0"/>
              <w:left w:val="nil"/>
              <w:bottom w:val="single" w:color="auto" w:sz="4" w:space="0"/>
              <w:right w:val="single" w:color="auto" w:sz="4" w:space="0"/>
            </w:tcBorders>
            <w:shd w:val="clear" w:color="auto" w:fill="auto"/>
            <w:vAlign w:val="center"/>
          </w:tcPr>
          <w:p w14:paraId="3C88A04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种子萌发前少量多次喷湿为主，出苗后视天气增减。</w:t>
            </w:r>
          </w:p>
        </w:tc>
        <w:tc>
          <w:tcPr>
            <w:tcW w:w="0" w:type="auto"/>
            <w:tcBorders>
              <w:top w:val="double" w:color="auto" w:sz="4" w:space="0"/>
              <w:left w:val="nil"/>
              <w:bottom w:val="single" w:color="auto" w:sz="4" w:space="0"/>
              <w:right w:val="single" w:color="auto" w:sz="4" w:space="0"/>
            </w:tcBorders>
            <w:shd w:val="clear" w:color="auto" w:fill="auto"/>
            <w:vAlign w:val="center"/>
          </w:tcPr>
          <w:p w14:paraId="6645B11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幼苗期每天早晚喷一次。</w:t>
            </w:r>
          </w:p>
        </w:tc>
      </w:tr>
      <w:tr w14:paraId="71458715">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26FFC3E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除草</w:t>
            </w:r>
          </w:p>
        </w:tc>
        <w:tc>
          <w:tcPr>
            <w:tcW w:w="0" w:type="auto"/>
            <w:tcBorders>
              <w:top w:val="nil"/>
              <w:left w:val="nil"/>
              <w:bottom w:val="single" w:color="auto" w:sz="4" w:space="0"/>
              <w:right w:val="single" w:color="auto" w:sz="4" w:space="0"/>
            </w:tcBorders>
            <w:shd w:val="clear" w:color="auto" w:fill="auto"/>
            <w:vAlign w:val="center"/>
          </w:tcPr>
          <w:p w14:paraId="0229791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人工和化学除草均可，除早、除小、除了。</w:t>
            </w:r>
          </w:p>
        </w:tc>
        <w:tc>
          <w:tcPr>
            <w:tcW w:w="0" w:type="auto"/>
            <w:tcBorders>
              <w:top w:val="nil"/>
              <w:left w:val="nil"/>
              <w:bottom w:val="single" w:color="auto" w:sz="4" w:space="0"/>
              <w:right w:val="single" w:color="auto" w:sz="4" w:space="0"/>
            </w:tcBorders>
            <w:shd w:val="clear" w:color="auto" w:fill="auto"/>
            <w:vAlign w:val="center"/>
          </w:tcPr>
          <w:p w14:paraId="7C115B4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选适当除草剂或人工除草。</w:t>
            </w:r>
          </w:p>
        </w:tc>
        <w:tc>
          <w:tcPr>
            <w:tcW w:w="0" w:type="auto"/>
            <w:tcBorders>
              <w:top w:val="nil"/>
              <w:left w:val="nil"/>
              <w:bottom w:val="single" w:color="auto" w:sz="4" w:space="0"/>
              <w:right w:val="single" w:color="auto" w:sz="4" w:space="0"/>
            </w:tcBorders>
            <w:shd w:val="clear" w:color="auto" w:fill="auto"/>
            <w:vAlign w:val="center"/>
          </w:tcPr>
          <w:p w14:paraId="1CF221C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人工拔草，除早、除小、除了。</w:t>
            </w:r>
          </w:p>
        </w:tc>
      </w:tr>
      <w:tr w14:paraId="4E06C716">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1F83F51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清除覆盖物</w:t>
            </w:r>
          </w:p>
        </w:tc>
        <w:tc>
          <w:tcPr>
            <w:tcW w:w="0" w:type="auto"/>
            <w:tcBorders>
              <w:top w:val="nil"/>
              <w:left w:val="nil"/>
              <w:bottom w:val="single" w:color="auto" w:sz="4" w:space="0"/>
              <w:right w:val="single" w:color="auto" w:sz="4" w:space="0"/>
            </w:tcBorders>
            <w:shd w:val="clear" w:color="auto" w:fill="auto"/>
            <w:vAlign w:val="center"/>
          </w:tcPr>
          <w:p w14:paraId="6C1631F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出苗50.0%左右，可除去覆盖物和坪内杂物。</w:t>
            </w:r>
          </w:p>
        </w:tc>
        <w:tc>
          <w:tcPr>
            <w:tcW w:w="0" w:type="auto"/>
            <w:tcBorders>
              <w:top w:val="nil"/>
              <w:left w:val="nil"/>
              <w:bottom w:val="single" w:color="auto" w:sz="4" w:space="0"/>
              <w:right w:val="single" w:color="auto" w:sz="4" w:space="0"/>
            </w:tcBorders>
            <w:shd w:val="clear" w:color="auto" w:fill="auto"/>
            <w:vAlign w:val="center"/>
          </w:tcPr>
          <w:p w14:paraId="39CDC73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清除杂物垃圾。</w:t>
            </w:r>
          </w:p>
        </w:tc>
        <w:tc>
          <w:tcPr>
            <w:tcW w:w="0" w:type="auto"/>
            <w:tcBorders>
              <w:top w:val="nil"/>
              <w:left w:val="nil"/>
              <w:bottom w:val="single" w:color="auto" w:sz="4" w:space="0"/>
              <w:right w:val="single" w:color="auto" w:sz="4" w:space="0"/>
            </w:tcBorders>
            <w:shd w:val="clear" w:color="auto" w:fill="auto"/>
            <w:vAlign w:val="center"/>
          </w:tcPr>
          <w:p w14:paraId="6D731A5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清除杂物垃圾。</w:t>
            </w:r>
          </w:p>
        </w:tc>
      </w:tr>
      <w:tr w14:paraId="3CFC3CE4">
        <w:tblPrEx>
          <w:tblCellMar>
            <w:top w:w="0" w:type="dxa"/>
            <w:left w:w="108" w:type="dxa"/>
            <w:bottom w:w="0" w:type="dxa"/>
            <w:right w:w="108" w:type="dxa"/>
          </w:tblCellMar>
        </w:tblPrEx>
        <w:trPr>
          <w:trHeight w:val="397" w:hRule="atLeast"/>
        </w:trPr>
        <w:tc>
          <w:tcPr>
            <w:tcW w:w="0" w:type="auto"/>
            <w:tcBorders>
              <w:top w:val="nil"/>
              <w:left w:val="single" w:color="auto" w:sz="4" w:space="0"/>
              <w:bottom w:val="single" w:color="auto" w:sz="4" w:space="0"/>
              <w:right w:val="single" w:color="auto" w:sz="4" w:space="0"/>
            </w:tcBorders>
            <w:shd w:val="clear" w:color="auto" w:fill="auto"/>
            <w:vAlign w:val="center"/>
          </w:tcPr>
          <w:p w14:paraId="63E2B69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其他管理</w:t>
            </w:r>
          </w:p>
        </w:tc>
        <w:tc>
          <w:tcPr>
            <w:tcW w:w="0" w:type="auto"/>
            <w:tcBorders>
              <w:top w:val="nil"/>
              <w:left w:val="nil"/>
              <w:bottom w:val="single" w:color="auto" w:sz="4" w:space="0"/>
              <w:right w:val="single" w:color="auto" w:sz="4" w:space="0"/>
            </w:tcBorders>
            <w:shd w:val="clear" w:color="auto" w:fill="auto"/>
            <w:vAlign w:val="center"/>
          </w:tcPr>
          <w:p w14:paraId="3051836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0" w:type="auto"/>
            <w:tcBorders>
              <w:top w:val="nil"/>
              <w:left w:val="nil"/>
              <w:bottom w:val="single" w:color="auto" w:sz="4" w:space="0"/>
              <w:right w:val="single" w:color="auto" w:sz="4" w:space="0"/>
            </w:tcBorders>
            <w:shd w:val="clear" w:color="auto" w:fill="auto"/>
            <w:vAlign w:val="center"/>
          </w:tcPr>
          <w:p w14:paraId="566E7CC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覆盖率达70.0～80.0%时，紧压一次，使根系和土壤紧密结合。</w:t>
            </w:r>
          </w:p>
        </w:tc>
        <w:tc>
          <w:tcPr>
            <w:tcW w:w="0" w:type="auto"/>
            <w:tcBorders>
              <w:top w:val="nil"/>
              <w:left w:val="nil"/>
              <w:bottom w:val="single" w:color="auto" w:sz="4" w:space="0"/>
              <w:right w:val="single" w:color="auto" w:sz="4" w:space="0"/>
            </w:tcBorders>
            <w:shd w:val="clear" w:color="auto" w:fill="auto"/>
            <w:vAlign w:val="center"/>
          </w:tcPr>
          <w:p w14:paraId="43EBCDB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如有必要在幼苗分蘖前再覆土1.0～2.0cm，促进匍匐茎生长。</w:t>
            </w:r>
          </w:p>
        </w:tc>
      </w:tr>
    </w:tbl>
    <w:p w14:paraId="5FB0B87C">
      <w:pPr>
        <w:pStyle w:val="66"/>
        <w:ind w:firstLine="460"/>
        <w:rPr>
          <w:spacing w:val="-10"/>
        </w:rPr>
      </w:pPr>
    </w:p>
    <w:p w14:paraId="63917FCA">
      <w:pPr>
        <w:pStyle w:val="4"/>
        <w:spacing w:before="120" w:after="120"/>
      </w:pPr>
      <w:r>
        <w:t>临时措施布设</w:t>
      </w:r>
    </w:p>
    <w:p w14:paraId="0C4CAC07">
      <w:pPr>
        <w:pStyle w:val="66"/>
      </w:pPr>
      <w:r>
        <w:t>（一）</w:t>
      </w:r>
      <w:r>
        <w:rPr>
          <w:spacing w:val="-3"/>
        </w:rPr>
        <w:t>临时拦挡</w:t>
      </w:r>
    </w:p>
    <w:p w14:paraId="65FF80FD">
      <w:pPr>
        <w:pStyle w:val="66"/>
        <w:ind w:firstLine="474"/>
        <w:rPr>
          <w:bCs/>
        </w:rPr>
      </w:pPr>
      <w:r>
        <w:rPr>
          <w:bCs/>
          <w:spacing w:val="-3"/>
        </w:rPr>
        <w:t>（1）措施位置</w:t>
      </w:r>
    </w:p>
    <w:p w14:paraId="051E392A">
      <w:pPr>
        <w:pStyle w:val="66"/>
        <w:ind w:firstLine="472"/>
      </w:pPr>
      <w:r>
        <w:rPr>
          <w:spacing w:val="-4"/>
        </w:rPr>
        <w:t>产业园未建设区域施工时，临时拦挡主要修建于施工场地的边坡下侧、土方中转场和表土临时堆放场等周边，其形式包括土袋围挡、土埂拦挡</w:t>
      </w:r>
      <w:r>
        <w:t>及彩钢板拦挡等。</w:t>
      </w:r>
    </w:p>
    <w:p w14:paraId="24C12979">
      <w:pPr>
        <w:pStyle w:val="66"/>
      </w:pPr>
      <w:r>
        <w:t>（2）措施布设技术要求</w:t>
      </w:r>
    </w:p>
    <w:p w14:paraId="3ED2E5EA">
      <w:pPr>
        <w:pStyle w:val="66"/>
      </w:pPr>
      <w:r>
        <w:t>应满足《生产建设项目水土保持技术标准》（GB50433-2018）、《水土保持工程设计规范》（GB51018-2014）的相关要求，临时拦挡的形式及规模应根</w:t>
      </w:r>
      <w:r>
        <w:rPr>
          <w:spacing w:val="-4"/>
        </w:rPr>
        <w:t>据堆土的规模、地面坡度、降雨等情况分析确定，遵循就地取材、经济</w:t>
      </w:r>
      <w:r>
        <w:rPr>
          <w:spacing w:val="10"/>
          <w:position w:val="-1"/>
        </w:rPr>
        <w:t>合</w:t>
      </w:r>
      <w:r>
        <w:rPr>
          <w:spacing w:val="-4"/>
        </w:rPr>
        <w:t>理、施</w:t>
      </w:r>
      <w:r>
        <w:t>工便捷、实用有效等原则。</w:t>
      </w:r>
    </w:p>
    <w:p w14:paraId="3DB3DABD">
      <w:pPr>
        <w:pStyle w:val="66"/>
      </w:pPr>
      <w:r>
        <w:t>（二）</w:t>
      </w:r>
      <w:r>
        <w:rPr>
          <w:spacing w:val="-3"/>
        </w:rPr>
        <w:t>临时苫盖</w:t>
      </w:r>
    </w:p>
    <w:p w14:paraId="0802B3E5">
      <w:pPr>
        <w:pStyle w:val="66"/>
        <w:ind w:firstLine="474"/>
        <w:rPr>
          <w:bCs/>
        </w:rPr>
      </w:pPr>
      <w:r>
        <w:rPr>
          <w:bCs/>
          <w:spacing w:val="-3"/>
        </w:rPr>
        <w:t>（1）措施位置</w:t>
      </w:r>
    </w:p>
    <w:p w14:paraId="3AAFB3E2">
      <w:pPr>
        <w:pStyle w:val="66"/>
        <w:ind w:firstLine="470"/>
      </w:pPr>
      <w:r>
        <w:rPr>
          <w:spacing w:val="-5"/>
        </w:rPr>
        <w:t>产业园内地块</w:t>
      </w:r>
      <w:r>
        <w:t>1（金山产业园北区）</w:t>
      </w:r>
      <w:r>
        <w:rPr>
          <w:spacing w:val="-7"/>
        </w:rPr>
        <w:t>、地块</w:t>
      </w:r>
      <w:r>
        <w:t>2（下湿壕片区）</w:t>
      </w:r>
      <w:r>
        <w:rPr>
          <w:spacing w:val="-4"/>
        </w:rPr>
        <w:t>基础设施区未建区在施工中的</w:t>
      </w:r>
      <w:r>
        <w:rPr>
          <w:spacing w:val="5"/>
          <w:position w:val="-2"/>
        </w:rPr>
        <w:t>各</w:t>
      </w:r>
      <w:r>
        <w:rPr>
          <w:spacing w:val="-4"/>
        </w:rPr>
        <w:t>种裸露地、建筑用砂石料、剥离的</w:t>
      </w:r>
      <w:r>
        <w:t>表土等临时堆土，以及上述松散物质的运输过程，均应采取临时苫盖措施。</w:t>
      </w:r>
    </w:p>
    <w:p w14:paraId="2DA38F18">
      <w:pPr>
        <w:pStyle w:val="66"/>
      </w:pPr>
      <w:r>
        <w:t>（2）措施布设技术要求</w:t>
      </w:r>
    </w:p>
    <w:p w14:paraId="1E3E207A">
      <w:pPr>
        <w:pStyle w:val="66"/>
        <w:ind w:firstLine="484"/>
      </w:pPr>
      <w:r>
        <w:rPr>
          <w:spacing w:val="2"/>
        </w:rPr>
        <w:t>应满足《生产建设项目水土保持技术标准》（</w:t>
      </w:r>
      <w:r>
        <w:rPr>
          <w:spacing w:val="-1"/>
        </w:rPr>
        <w:t>G</w:t>
      </w:r>
      <w:r>
        <w:t>B50433</w:t>
      </w:r>
      <w:r>
        <w:rPr>
          <w:spacing w:val="1"/>
        </w:rPr>
        <w:t>-</w:t>
      </w:r>
      <w:r>
        <w:t>201</w:t>
      </w:r>
      <w:r>
        <w:rPr>
          <w:spacing w:val="4"/>
        </w:rPr>
        <w:t>8）</w:t>
      </w:r>
      <w:r>
        <w:rPr>
          <w:spacing w:val="1"/>
        </w:rPr>
        <w:t>、《水土保</w:t>
      </w:r>
      <w:r>
        <w:rPr>
          <w:spacing w:val="2"/>
        </w:rPr>
        <w:t>持工程设计规范》（</w:t>
      </w:r>
      <w:r>
        <w:rPr>
          <w:spacing w:val="-1"/>
        </w:rPr>
        <w:t>G</w:t>
      </w:r>
      <w:r>
        <w:t>B51018</w:t>
      </w:r>
      <w:r>
        <w:rPr>
          <w:spacing w:val="-1"/>
        </w:rPr>
        <w:t>-</w:t>
      </w:r>
      <w:r>
        <w:t>201</w:t>
      </w:r>
      <w:r>
        <w:rPr>
          <w:spacing w:val="4"/>
        </w:rPr>
        <w:t>4</w:t>
      </w:r>
      <w:r>
        <w:rPr>
          <w:spacing w:val="2"/>
        </w:rPr>
        <w:t>）</w:t>
      </w:r>
      <w:r>
        <w:rPr>
          <w:spacing w:val="1"/>
        </w:rPr>
        <w:t>的相关要求，临时苫盖措施根据不同的使</w:t>
      </w:r>
      <w:r>
        <w:t>用材料，可分为草袋苫盖、砾石苫盖、苫布苫盖、防尘网苫盖、塑料布苫盖等，覆盖时注意压牢，避免覆盖物被风吹走。</w:t>
      </w:r>
    </w:p>
    <w:p w14:paraId="67D0C0DF">
      <w:pPr>
        <w:pStyle w:val="66"/>
      </w:pPr>
      <w:r>
        <w:t>（三）</w:t>
      </w:r>
      <w:r>
        <w:rPr>
          <w:spacing w:val="-1"/>
        </w:rPr>
        <w:t>临时排水沟、临时沉沙池</w:t>
      </w:r>
    </w:p>
    <w:p w14:paraId="0D7CC33C">
      <w:pPr>
        <w:pStyle w:val="66"/>
        <w:ind w:firstLine="474"/>
        <w:rPr>
          <w:bCs/>
        </w:rPr>
      </w:pPr>
      <w:r>
        <w:rPr>
          <w:bCs/>
          <w:spacing w:val="-3"/>
        </w:rPr>
        <w:t>1）措施位置</w:t>
      </w:r>
    </w:p>
    <w:p w14:paraId="3B37D5F5">
      <w:pPr>
        <w:pStyle w:val="66"/>
        <w:ind w:firstLine="468"/>
      </w:pPr>
      <w:r>
        <w:rPr>
          <w:spacing w:val="-6"/>
        </w:rPr>
        <w:t>为了减少施工期间裸露面在降雨作用下可能产生的水土流失，雨季时段在产</w:t>
      </w:r>
      <w:r>
        <w:t>业园土石方中转场及表土堆放场周围应设置土质临时排水沟。</w:t>
      </w:r>
    </w:p>
    <w:p w14:paraId="30425A5B">
      <w:pPr>
        <w:pStyle w:val="66"/>
      </w:pPr>
      <w:r>
        <w:t>临时排水沟能有效地减少场内水土流失，但若汇水直接流入南排沟，会冲</w:t>
      </w:r>
      <w:r>
        <w:rPr>
          <w:spacing w:val="-17"/>
        </w:rPr>
        <w:t>刷沟岸并造成水土流失，且汇水含有大量泥沙，直接排入沟道还将影响下游水质，</w:t>
      </w:r>
      <w:r>
        <w:t>因此在临时排水沟汇水排出功能区前设置临时沉沙池，进行缓流、沉沙，减少对周围环境的不利影响。</w:t>
      </w:r>
    </w:p>
    <w:p w14:paraId="43C22BE8">
      <w:pPr>
        <w:pStyle w:val="66"/>
      </w:pPr>
      <w:r>
        <w:t>2）措施布设技术要求</w:t>
      </w:r>
    </w:p>
    <w:p w14:paraId="560DBA52">
      <w:pPr>
        <w:pStyle w:val="66"/>
      </w:pPr>
      <w:r>
        <w:t>临时排水沟和临时沉沙池主要是为了减少降雨对表土堆放场造成的水土流失，考虑到产业园气象及投入成本等因素，临时排水沟和临时沉沙池采用机械配合人工的施工方式，沉沙池宽取1m-2m，长取2m-4m，深取1.5m-2m。</w:t>
      </w:r>
    </w:p>
    <w:p w14:paraId="66478867">
      <w:pPr>
        <w:pStyle w:val="66"/>
      </w:pPr>
      <w:r>
        <w:t>（四）撒播草籽</w:t>
      </w:r>
    </w:p>
    <w:p w14:paraId="4FB627D2">
      <w:pPr>
        <w:pStyle w:val="66"/>
      </w:pPr>
      <w:r>
        <w:t>1)措施位置</w:t>
      </w:r>
    </w:p>
    <w:p w14:paraId="5FDDF8C9">
      <w:pPr>
        <w:pStyle w:val="66"/>
      </w:pPr>
      <w:r>
        <w:t>对产业园中未建设区域裸露超过一个生长季节的临时堆土区，应采取临时绿化防护措施。在条件合适的地区，对堆存时间较长的堆土区可采取临时撒播草籽的方式，既防止水土流失、美化区域环境，又可有效保存土壤中的有机养分，以达到后期利用的目的。</w:t>
      </w:r>
    </w:p>
    <w:p w14:paraId="714FDED4">
      <w:pPr>
        <w:pStyle w:val="66"/>
      </w:pPr>
      <w:r>
        <w:t>2)措施布设技术要求</w:t>
      </w:r>
    </w:p>
    <w:p w14:paraId="6B0FE97A">
      <w:pPr>
        <w:pStyle w:val="66"/>
      </w:pPr>
      <w:r>
        <w:t>临时绿化防护措施设计时要充分考虑地形条件、生产工艺、防护要求等，要在满足防护需要的同时，尽可能降低防护成本。草籽采用撒播方式，品种选取草本物种，以“适地适草”，生长迅速为原则。临时绿化防护措施施工期应选择在雨季或者雨季即将来临之前。</w:t>
      </w:r>
    </w:p>
    <w:p w14:paraId="31E8577C">
      <w:pPr>
        <w:pStyle w:val="66"/>
        <w:jc w:val="left"/>
      </w:pPr>
      <w:r>
        <w:t>各功能区临时措施布设位置、标准及等级情况详见表5-16。</w:t>
      </w:r>
    </w:p>
    <w:p w14:paraId="1ACF7199">
      <w:pPr>
        <w:spacing w:line="240" w:lineRule="auto"/>
        <w:ind w:firstLine="0" w:firstLineChars="0"/>
        <w:jc w:val="left"/>
        <w:rPr>
          <w:rFonts w:cs="Times New Roman"/>
          <w:color w:val="000000" w:themeColor="text1"/>
          <w14:textFill>
            <w14:solidFill>
              <w14:schemeClr w14:val="tx1"/>
            </w14:solidFill>
          </w14:textFill>
        </w:rPr>
      </w:pPr>
      <w:r>
        <w:rPr>
          <w:color w:val="000000" w:themeColor="text1"/>
          <w14:textFill>
            <w14:solidFill>
              <w14:schemeClr w14:val="tx1"/>
            </w14:solidFill>
          </w14:textFill>
        </w:rPr>
        <w:br w:type="page"/>
      </w:r>
    </w:p>
    <w:p w14:paraId="3291B7D9">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表5-16               临时措施布设位置、标准及等级汇总表</w:t>
      </w:r>
    </w:p>
    <w:tbl>
      <w:tblPr>
        <w:tblStyle w:val="27"/>
        <w:tblW w:w="0" w:type="auto"/>
        <w:tblInd w:w="-147" w:type="dxa"/>
        <w:tblLayout w:type="autofit"/>
        <w:tblCellMar>
          <w:top w:w="0" w:type="dxa"/>
          <w:left w:w="108" w:type="dxa"/>
          <w:bottom w:w="0" w:type="dxa"/>
          <w:right w:w="108" w:type="dxa"/>
        </w:tblCellMar>
      </w:tblPr>
      <w:tblGrid>
        <w:gridCol w:w="657"/>
        <w:gridCol w:w="636"/>
        <w:gridCol w:w="993"/>
        <w:gridCol w:w="708"/>
        <w:gridCol w:w="2977"/>
        <w:gridCol w:w="2126"/>
        <w:gridCol w:w="1127"/>
      </w:tblGrid>
      <w:tr w14:paraId="0E794AE8">
        <w:tblPrEx>
          <w:tblCellMar>
            <w:top w:w="0" w:type="dxa"/>
            <w:left w:w="108" w:type="dxa"/>
            <w:bottom w:w="0" w:type="dxa"/>
            <w:right w:w="108" w:type="dxa"/>
          </w:tblCellMar>
        </w:tblPrEx>
        <w:trPr>
          <w:trHeight w:val="369" w:hRule="atLeast"/>
        </w:trPr>
        <w:tc>
          <w:tcPr>
            <w:tcW w:w="657" w:type="dxa"/>
            <w:tcBorders>
              <w:top w:val="single" w:color="auto" w:sz="4" w:space="0"/>
              <w:left w:val="single" w:color="auto" w:sz="4" w:space="0"/>
              <w:bottom w:val="double" w:color="auto" w:sz="4" w:space="0"/>
              <w:right w:val="single" w:color="auto" w:sz="4" w:space="0"/>
            </w:tcBorders>
            <w:shd w:val="clear" w:color="auto" w:fill="auto"/>
            <w:vAlign w:val="center"/>
          </w:tcPr>
          <w:p w14:paraId="1F139105">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措施类型</w:t>
            </w:r>
          </w:p>
        </w:tc>
        <w:tc>
          <w:tcPr>
            <w:tcW w:w="619" w:type="dxa"/>
            <w:tcBorders>
              <w:top w:val="single" w:color="auto" w:sz="4" w:space="0"/>
              <w:left w:val="nil"/>
              <w:bottom w:val="double" w:color="auto" w:sz="4" w:space="0"/>
              <w:right w:val="single" w:color="auto" w:sz="4" w:space="0"/>
            </w:tcBorders>
            <w:shd w:val="clear" w:color="auto" w:fill="auto"/>
            <w:vAlign w:val="center"/>
          </w:tcPr>
          <w:p w14:paraId="5DBD9016">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措施名称</w:t>
            </w:r>
          </w:p>
        </w:tc>
        <w:tc>
          <w:tcPr>
            <w:tcW w:w="993" w:type="dxa"/>
            <w:tcBorders>
              <w:top w:val="single" w:color="auto" w:sz="4" w:space="0"/>
              <w:left w:val="nil"/>
              <w:bottom w:val="double" w:color="auto" w:sz="4" w:space="0"/>
              <w:right w:val="single" w:color="auto" w:sz="4" w:space="0"/>
            </w:tcBorders>
            <w:shd w:val="clear" w:color="auto" w:fill="auto"/>
            <w:vAlign w:val="center"/>
          </w:tcPr>
          <w:p w14:paraId="7B2CA5A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功能区</w:t>
            </w:r>
          </w:p>
        </w:tc>
        <w:tc>
          <w:tcPr>
            <w:tcW w:w="708" w:type="dxa"/>
            <w:tcBorders>
              <w:top w:val="single" w:color="auto" w:sz="4" w:space="0"/>
              <w:left w:val="nil"/>
              <w:bottom w:val="double" w:color="auto" w:sz="4" w:space="0"/>
              <w:right w:val="single" w:color="auto" w:sz="4" w:space="0"/>
            </w:tcBorders>
            <w:shd w:val="clear" w:color="auto" w:fill="auto"/>
            <w:vAlign w:val="center"/>
          </w:tcPr>
          <w:p w14:paraId="15C57B1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c>
          <w:tcPr>
            <w:tcW w:w="2977" w:type="dxa"/>
            <w:tcBorders>
              <w:top w:val="single" w:color="auto" w:sz="4" w:space="0"/>
              <w:left w:val="nil"/>
              <w:bottom w:val="double" w:color="auto" w:sz="4" w:space="0"/>
              <w:right w:val="single" w:color="auto" w:sz="4" w:space="0"/>
            </w:tcBorders>
            <w:shd w:val="clear" w:color="auto" w:fill="auto"/>
            <w:vAlign w:val="center"/>
          </w:tcPr>
          <w:p w14:paraId="0388D4B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布设位置</w:t>
            </w:r>
          </w:p>
        </w:tc>
        <w:tc>
          <w:tcPr>
            <w:tcW w:w="2126" w:type="dxa"/>
            <w:tcBorders>
              <w:top w:val="single" w:color="auto" w:sz="4" w:space="0"/>
              <w:left w:val="nil"/>
              <w:bottom w:val="double" w:color="auto" w:sz="4" w:space="0"/>
              <w:right w:val="single" w:color="auto" w:sz="4" w:space="0"/>
            </w:tcBorders>
            <w:shd w:val="clear" w:color="auto" w:fill="auto"/>
            <w:vAlign w:val="center"/>
          </w:tcPr>
          <w:p w14:paraId="3F33652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等级及标准</w:t>
            </w:r>
          </w:p>
        </w:tc>
        <w:tc>
          <w:tcPr>
            <w:tcW w:w="1127" w:type="dxa"/>
            <w:tcBorders>
              <w:top w:val="single" w:color="auto" w:sz="4" w:space="0"/>
              <w:left w:val="nil"/>
              <w:bottom w:val="double" w:color="auto" w:sz="4" w:space="0"/>
              <w:right w:val="single" w:color="auto" w:sz="4" w:space="0"/>
            </w:tcBorders>
            <w:shd w:val="clear" w:color="auto" w:fill="auto"/>
            <w:vAlign w:val="center"/>
          </w:tcPr>
          <w:p w14:paraId="30B46AB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备注</w:t>
            </w:r>
          </w:p>
        </w:tc>
      </w:tr>
      <w:tr w14:paraId="190931FA">
        <w:tblPrEx>
          <w:tblCellMar>
            <w:top w:w="0" w:type="dxa"/>
            <w:left w:w="108" w:type="dxa"/>
            <w:bottom w:w="0" w:type="dxa"/>
            <w:right w:w="108" w:type="dxa"/>
          </w:tblCellMar>
        </w:tblPrEx>
        <w:trPr>
          <w:trHeight w:val="369" w:hRule="atLeast"/>
        </w:trPr>
        <w:tc>
          <w:tcPr>
            <w:tcW w:w="657" w:type="dxa"/>
            <w:vMerge w:val="restart"/>
            <w:tcBorders>
              <w:top w:val="double" w:color="auto" w:sz="4" w:space="0"/>
              <w:left w:val="single" w:color="auto" w:sz="4" w:space="0"/>
              <w:bottom w:val="single" w:color="000000" w:sz="4" w:space="0"/>
              <w:right w:val="single" w:color="auto" w:sz="4" w:space="0"/>
            </w:tcBorders>
            <w:shd w:val="clear" w:color="auto" w:fill="auto"/>
            <w:vAlign w:val="center"/>
          </w:tcPr>
          <w:p w14:paraId="79B4580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临时措施</w:t>
            </w:r>
          </w:p>
        </w:tc>
        <w:tc>
          <w:tcPr>
            <w:tcW w:w="619" w:type="dxa"/>
            <w:vMerge w:val="restart"/>
            <w:tcBorders>
              <w:top w:val="double" w:color="auto" w:sz="4" w:space="0"/>
              <w:left w:val="single" w:color="auto" w:sz="4" w:space="0"/>
              <w:bottom w:val="single" w:color="000000" w:sz="4" w:space="0"/>
              <w:right w:val="single" w:color="auto" w:sz="4" w:space="0"/>
            </w:tcBorders>
            <w:shd w:val="clear" w:color="auto" w:fill="auto"/>
            <w:vAlign w:val="center"/>
          </w:tcPr>
          <w:p w14:paraId="69E9DFF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临时拦挡</w:t>
            </w:r>
          </w:p>
        </w:tc>
        <w:tc>
          <w:tcPr>
            <w:tcW w:w="993" w:type="dxa"/>
            <w:vMerge w:val="restart"/>
            <w:tcBorders>
              <w:top w:val="double" w:color="auto" w:sz="4" w:space="0"/>
              <w:left w:val="single" w:color="auto" w:sz="4" w:space="0"/>
              <w:bottom w:val="single" w:color="000000" w:sz="4" w:space="0"/>
              <w:right w:val="single" w:color="auto" w:sz="4" w:space="0"/>
            </w:tcBorders>
            <w:shd w:val="clear" w:color="auto" w:fill="auto"/>
            <w:vAlign w:val="center"/>
          </w:tcPr>
          <w:p w14:paraId="77C231B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708" w:type="dxa"/>
            <w:tcBorders>
              <w:top w:val="double" w:color="auto" w:sz="4" w:space="0"/>
              <w:left w:val="nil"/>
              <w:bottom w:val="single" w:color="auto" w:sz="4" w:space="0"/>
              <w:right w:val="single" w:color="auto" w:sz="4" w:space="0"/>
            </w:tcBorders>
            <w:shd w:val="clear" w:color="auto" w:fill="auto"/>
            <w:vAlign w:val="center"/>
          </w:tcPr>
          <w:p w14:paraId="6A34E1F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2977" w:type="dxa"/>
            <w:tcBorders>
              <w:top w:val="double" w:color="auto" w:sz="4" w:space="0"/>
              <w:left w:val="nil"/>
              <w:bottom w:val="single" w:color="auto" w:sz="4" w:space="0"/>
              <w:right w:val="single" w:color="auto" w:sz="4" w:space="0"/>
            </w:tcBorders>
            <w:shd w:val="clear" w:color="auto" w:fill="auto"/>
            <w:vAlign w:val="center"/>
          </w:tcPr>
          <w:p w14:paraId="2CDAD99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未实施</w:t>
            </w:r>
          </w:p>
        </w:tc>
        <w:tc>
          <w:tcPr>
            <w:tcW w:w="2126" w:type="dxa"/>
            <w:tcBorders>
              <w:top w:val="double" w:color="auto" w:sz="4" w:space="0"/>
              <w:left w:val="nil"/>
              <w:bottom w:val="single" w:color="auto" w:sz="4" w:space="0"/>
              <w:right w:val="single" w:color="auto" w:sz="4" w:space="0"/>
            </w:tcBorders>
            <w:shd w:val="clear" w:color="auto" w:fill="auto"/>
            <w:vAlign w:val="center"/>
          </w:tcPr>
          <w:p w14:paraId="52388A1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127" w:type="dxa"/>
            <w:tcBorders>
              <w:top w:val="double" w:color="auto" w:sz="4" w:space="0"/>
              <w:left w:val="nil"/>
              <w:bottom w:val="single" w:color="auto" w:sz="4" w:space="0"/>
              <w:right w:val="single" w:color="auto" w:sz="4" w:space="0"/>
            </w:tcBorders>
            <w:shd w:val="clear" w:color="auto" w:fill="auto"/>
            <w:vAlign w:val="center"/>
          </w:tcPr>
          <w:p w14:paraId="16505FF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本区已建成，未实施该措施</w:t>
            </w:r>
          </w:p>
        </w:tc>
      </w:tr>
      <w:tr w14:paraId="3BFCFF01">
        <w:tblPrEx>
          <w:tblCellMar>
            <w:top w:w="0" w:type="dxa"/>
            <w:left w:w="108" w:type="dxa"/>
            <w:bottom w:w="0" w:type="dxa"/>
            <w:right w:w="108" w:type="dxa"/>
          </w:tblCellMar>
        </w:tblPrEx>
        <w:trPr>
          <w:trHeight w:val="369" w:hRule="atLeast"/>
        </w:trPr>
        <w:tc>
          <w:tcPr>
            <w:tcW w:w="657" w:type="dxa"/>
            <w:vMerge w:val="continue"/>
            <w:tcBorders>
              <w:top w:val="nil"/>
              <w:left w:val="single" w:color="auto" w:sz="4" w:space="0"/>
              <w:bottom w:val="single" w:color="000000" w:sz="4" w:space="0"/>
              <w:right w:val="single" w:color="auto" w:sz="4" w:space="0"/>
            </w:tcBorders>
            <w:vAlign w:val="center"/>
          </w:tcPr>
          <w:p w14:paraId="3D5DA9C2">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619" w:type="dxa"/>
            <w:vMerge w:val="continue"/>
            <w:tcBorders>
              <w:top w:val="nil"/>
              <w:left w:val="single" w:color="auto" w:sz="4" w:space="0"/>
              <w:bottom w:val="single" w:color="000000" w:sz="4" w:space="0"/>
              <w:right w:val="single" w:color="auto" w:sz="4" w:space="0"/>
            </w:tcBorders>
            <w:vAlign w:val="center"/>
          </w:tcPr>
          <w:p w14:paraId="432D1A97">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993" w:type="dxa"/>
            <w:vMerge w:val="continue"/>
            <w:tcBorders>
              <w:top w:val="nil"/>
              <w:left w:val="single" w:color="auto" w:sz="4" w:space="0"/>
              <w:bottom w:val="single" w:color="000000" w:sz="4" w:space="0"/>
              <w:right w:val="single" w:color="auto" w:sz="4" w:space="0"/>
            </w:tcBorders>
            <w:vAlign w:val="center"/>
          </w:tcPr>
          <w:p w14:paraId="78147D6B">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708" w:type="dxa"/>
            <w:tcBorders>
              <w:top w:val="nil"/>
              <w:left w:val="nil"/>
              <w:bottom w:val="single" w:color="auto" w:sz="4" w:space="0"/>
              <w:right w:val="single" w:color="auto" w:sz="4" w:space="0"/>
            </w:tcBorders>
            <w:shd w:val="clear" w:color="auto" w:fill="auto"/>
            <w:vAlign w:val="center"/>
          </w:tcPr>
          <w:p w14:paraId="00404D4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未建成</w:t>
            </w:r>
          </w:p>
        </w:tc>
        <w:tc>
          <w:tcPr>
            <w:tcW w:w="2977" w:type="dxa"/>
            <w:tcBorders>
              <w:top w:val="nil"/>
              <w:left w:val="nil"/>
              <w:bottom w:val="single" w:color="auto" w:sz="4" w:space="0"/>
              <w:right w:val="single" w:color="auto" w:sz="4" w:space="0"/>
            </w:tcBorders>
            <w:shd w:val="clear" w:color="auto" w:fill="auto"/>
            <w:vAlign w:val="center"/>
          </w:tcPr>
          <w:p w14:paraId="18AFCB3F">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施工场地的边坡下侧、土石方中转场及表土堆放场等周边</w:t>
            </w:r>
          </w:p>
        </w:tc>
        <w:tc>
          <w:tcPr>
            <w:tcW w:w="2126" w:type="dxa"/>
            <w:tcBorders>
              <w:top w:val="nil"/>
              <w:left w:val="nil"/>
              <w:bottom w:val="single" w:color="auto" w:sz="4" w:space="0"/>
              <w:right w:val="single" w:color="auto" w:sz="4" w:space="0"/>
            </w:tcBorders>
            <w:shd w:val="clear" w:color="auto" w:fill="auto"/>
            <w:vAlign w:val="center"/>
          </w:tcPr>
          <w:p w14:paraId="11CB0DA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应根据堆土的规模、地面坡度、降雨等情况分析确定，遵循就地取材、经济合理、施工便捷、实用有效等原则</w:t>
            </w:r>
          </w:p>
        </w:tc>
        <w:tc>
          <w:tcPr>
            <w:tcW w:w="1127" w:type="dxa"/>
            <w:tcBorders>
              <w:top w:val="nil"/>
              <w:left w:val="nil"/>
              <w:bottom w:val="single" w:color="auto" w:sz="4" w:space="0"/>
              <w:right w:val="single" w:color="auto" w:sz="4" w:space="0"/>
            </w:tcBorders>
            <w:shd w:val="clear" w:color="auto" w:fill="auto"/>
            <w:vAlign w:val="center"/>
          </w:tcPr>
          <w:p w14:paraId="4A65D57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32FB0266">
        <w:tblPrEx>
          <w:tblCellMar>
            <w:top w:w="0" w:type="dxa"/>
            <w:left w:w="108" w:type="dxa"/>
            <w:bottom w:w="0" w:type="dxa"/>
            <w:right w:w="108" w:type="dxa"/>
          </w:tblCellMar>
        </w:tblPrEx>
        <w:trPr>
          <w:trHeight w:val="898" w:hRule="atLeast"/>
        </w:trPr>
        <w:tc>
          <w:tcPr>
            <w:tcW w:w="657" w:type="dxa"/>
            <w:vMerge w:val="continue"/>
            <w:tcBorders>
              <w:top w:val="nil"/>
              <w:left w:val="single" w:color="auto" w:sz="4" w:space="0"/>
              <w:bottom w:val="single" w:color="000000" w:sz="4" w:space="0"/>
              <w:right w:val="single" w:color="auto" w:sz="4" w:space="0"/>
            </w:tcBorders>
            <w:vAlign w:val="center"/>
          </w:tcPr>
          <w:p w14:paraId="01372A52">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619" w:type="dxa"/>
            <w:vMerge w:val="continue"/>
            <w:tcBorders>
              <w:top w:val="nil"/>
              <w:left w:val="single" w:color="auto" w:sz="4" w:space="0"/>
              <w:bottom w:val="single" w:color="000000" w:sz="4" w:space="0"/>
              <w:right w:val="single" w:color="auto" w:sz="4" w:space="0"/>
            </w:tcBorders>
            <w:vAlign w:val="center"/>
          </w:tcPr>
          <w:p w14:paraId="7661DF47">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993" w:type="dxa"/>
            <w:tcBorders>
              <w:top w:val="nil"/>
              <w:left w:val="single" w:color="auto" w:sz="4" w:space="0"/>
              <w:bottom w:val="single" w:color="000000" w:sz="4" w:space="0"/>
              <w:right w:val="single" w:color="auto" w:sz="4" w:space="0"/>
            </w:tcBorders>
            <w:shd w:val="clear" w:color="auto" w:fill="auto"/>
            <w:vAlign w:val="center"/>
          </w:tcPr>
          <w:p w14:paraId="1BE344F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708" w:type="dxa"/>
            <w:tcBorders>
              <w:top w:val="nil"/>
              <w:left w:val="nil"/>
              <w:bottom w:val="single" w:color="auto" w:sz="4" w:space="0"/>
              <w:right w:val="single" w:color="auto" w:sz="4" w:space="0"/>
            </w:tcBorders>
            <w:shd w:val="clear" w:color="auto" w:fill="auto"/>
            <w:vAlign w:val="center"/>
          </w:tcPr>
          <w:p w14:paraId="0132E0C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2977" w:type="dxa"/>
            <w:tcBorders>
              <w:top w:val="nil"/>
              <w:left w:val="nil"/>
              <w:bottom w:val="single" w:color="auto" w:sz="4" w:space="0"/>
              <w:right w:val="single" w:color="auto" w:sz="4" w:space="0"/>
            </w:tcBorders>
            <w:shd w:val="clear" w:color="auto" w:fill="auto"/>
            <w:vAlign w:val="center"/>
          </w:tcPr>
          <w:p w14:paraId="0236445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未实施</w:t>
            </w:r>
          </w:p>
        </w:tc>
        <w:tc>
          <w:tcPr>
            <w:tcW w:w="2126" w:type="dxa"/>
            <w:tcBorders>
              <w:top w:val="nil"/>
              <w:left w:val="nil"/>
              <w:bottom w:val="single" w:color="auto" w:sz="4" w:space="0"/>
              <w:right w:val="single" w:color="auto" w:sz="4" w:space="0"/>
            </w:tcBorders>
            <w:shd w:val="clear" w:color="auto" w:fill="auto"/>
            <w:vAlign w:val="center"/>
          </w:tcPr>
          <w:p w14:paraId="2B63555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127" w:type="dxa"/>
            <w:tcBorders>
              <w:top w:val="nil"/>
              <w:left w:val="nil"/>
              <w:bottom w:val="single" w:color="auto" w:sz="4" w:space="0"/>
              <w:right w:val="single" w:color="auto" w:sz="4" w:space="0"/>
            </w:tcBorders>
            <w:shd w:val="clear" w:color="auto" w:fill="auto"/>
            <w:vAlign w:val="center"/>
          </w:tcPr>
          <w:p w14:paraId="3EF5BB4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本区已建成，未实施该措施</w:t>
            </w:r>
          </w:p>
        </w:tc>
      </w:tr>
      <w:tr w14:paraId="148E83E9">
        <w:tblPrEx>
          <w:tblCellMar>
            <w:top w:w="0" w:type="dxa"/>
            <w:left w:w="108" w:type="dxa"/>
            <w:bottom w:w="0" w:type="dxa"/>
            <w:right w:w="108" w:type="dxa"/>
          </w:tblCellMar>
        </w:tblPrEx>
        <w:trPr>
          <w:trHeight w:val="369" w:hRule="atLeast"/>
        </w:trPr>
        <w:tc>
          <w:tcPr>
            <w:tcW w:w="657" w:type="dxa"/>
            <w:vMerge w:val="continue"/>
            <w:tcBorders>
              <w:top w:val="nil"/>
              <w:left w:val="single" w:color="auto" w:sz="4" w:space="0"/>
              <w:bottom w:val="single" w:color="000000" w:sz="4" w:space="0"/>
              <w:right w:val="single" w:color="auto" w:sz="4" w:space="0"/>
            </w:tcBorders>
            <w:vAlign w:val="center"/>
          </w:tcPr>
          <w:p w14:paraId="32A6D293">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619" w:type="dxa"/>
            <w:vMerge w:val="restart"/>
            <w:tcBorders>
              <w:top w:val="nil"/>
              <w:left w:val="single" w:color="auto" w:sz="4" w:space="0"/>
              <w:bottom w:val="single" w:color="000000" w:sz="4" w:space="0"/>
              <w:right w:val="single" w:color="auto" w:sz="4" w:space="0"/>
            </w:tcBorders>
            <w:shd w:val="clear" w:color="auto" w:fill="auto"/>
            <w:vAlign w:val="center"/>
          </w:tcPr>
          <w:p w14:paraId="07F4EC9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临时苫盖</w:t>
            </w:r>
          </w:p>
        </w:tc>
        <w:tc>
          <w:tcPr>
            <w:tcW w:w="993" w:type="dxa"/>
            <w:vMerge w:val="restart"/>
            <w:tcBorders>
              <w:top w:val="nil"/>
              <w:left w:val="single" w:color="auto" w:sz="4" w:space="0"/>
              <w:bottom w:val="single" w:color="000000" w:sz="4" w:space="0"/>
              <w:right w:val="single" w:color="auto" w:sz="4" w:space="0"/>
            </w:tcBorders>
            <w:shd w:val="clear" w:color="auto" w:fill="auto"/>
            <w:vAlign w:val="center"/>
          </w:tcPr>
          <w:p w14:paraId="5F111F8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708" w:type="dxa"/>
            <w:tcBorders>
              <w:top w:val="nil"/>
              <w:left w:val="nil"/>
              <w:bottom w:val="single" w:color="auto" w:sz="4" w:space="0"/>
              <w:right w:val="single" w:color="auto" w:sz="4" w:space="0"/>
            </w:tcBorders>
            <w:shd w:val="clear" w:color="auto" w:fill="auto"/>
            <w:vAlign w:val="center"/>
          </w:tcPr>
          <w:p w14:paraId="7EBEB03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2977" w:type="dxa"/>
            <w:tcBorders>
              <w:top w:val="nil"/>
              <w:left w:val="nil"/>
              <w:bottom w:val="single" w:color="auto" w:sz="4" w:space="0"/>
              <w:right w:val="single" w:color="auto" w:sz="4" w:space="0"/>
            </w:tcBorders>
            <w:shd w:val="clear" w:color="auto" w:fill="auto"/>
            <w:vAlign w:val="center"/>
          </w:tcPr>
          <w:p w14:paraId="025B3D2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各种裸露地表、建筑物基础开挖土方及管沟沟槽开挖土方等临时堆土，建筑用砂石料等松散物质的运输过程</w:t>
            </w:r>
          </w:p>
        </w:tc>
        <w:tc>
          <w:tcPr>
            <w:tcW w:w="2126" w:type="dxa"/>
            <w:tcBorders>
              <w:top w:val="nil"/>
              <w:left w:val="nil"/>
              <w:bottom w:val="single" w:color="auto" w:sz="4" w:space="0"/>
              <w:right w:val="single" w:color="auto" w:sz="4" w:space="0"/>
            </w:tcBorders>
            <w:shd w:val="clear" w:color="auto" w:fill="auto"/>
            <w:vAlign w:val="center"/>
          </w:tcPr>
          <w:p w14:paraId="1681506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覆盖时注意压牢，避免覆盖物被风吹走</w:t>
            </w:r>
          </w:p>
        </w:tc>
        <w:tc>
          <w:tcPr>
            <w:tcW w:w="1127" w:type="dxa"/>
            <w:tcBorders>
              <w:top w:val="nil"/>
              <w:left w:val="nil"/>
              <w:bottom w:val="single" w:color="auto" w:sz="4" w:space="0"/>
              <w:right w:val="single" w:color="auto" w:sz="4" w:space="0"/>
            </w:tcBorders>
            <w:shd w:val="clear" w:color="auto" w:fill="auto"/>
            <w:vAlign w:val="center"/>
          </w:tcPr>
          <w:p w14:paraId="407A24F1">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0EEDB673">
        <w:tblPrEx>
          <w:tblCellMar>
            <w:top w:w="0" w:type="dxa"/>
            <w:left w:w="108" w:type="dxa"/>
            <w:bottom w:w="0" w:type="dxa"/>
            <w:right w:w="108" w:type="dxa"/>
          </w:tblCellMar>
        </w:tblPrEx>
        <w:trPr>
          <w:trHeight w:val="369" w:hRule="atLeast"/>
        </w:trPr>
        <w:tc>
          <w:tcPr>
            <w:tcW w:w="657" w:type="dxa"/>
            <w:vMerge w:val="continue"/>
            <w:tcBorders>
              <w:top w:val="nil"/>
              <w:left w:val="single" w:color="auto" w:sz="4" w:space="0"/>
              <w:bottom w:val="single" w:color="000000" w:sz="4" w:space="0"/>
              <w:right w:val="single" w:color="auto" w:sz="4" w:space="0"/>
            </w:tcBorders>
            <w:vAlign w:val="center"/>
          </w:tcPr>
          <w:p w14:paraId="40A6EE7B">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619" w:type="dxa"/>
            <w:vMerge w:val="continue"/>
            <w:tcBorders>
              <w:top w:val="nil"/>
              <w:left w:val="single" w:color="auto" w:sz="4" w:space="0"/>
              <w:bottom w:val="single" w:color="000000" w:sz="4" w:space="0"/>
              <w:right w:val="single" w:color="auto" w:sz="4" w:space="0"/>
            </w:tcBorders>
            <w:vAlign w:val="center"/>
          </w:tcPr>
          <w:p w14:paraId="0EB7B918">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993" w:type="dxa"/>
            <w:vMerge w:val="continue"/>
            <w:tcBorders>
              <w:top w:val="nil"/>
              <w:left w:val="single" w:color="auto" w:sz="4" w:space="0"/>
              <w:bottom w:val="single" w:color="000000" w:sz="4" w:space="0"/>
              <w:right w:val="single" w:color="auto" w:sz="4" w:space="0"/>
            </w:tcBorders>
            <w:vAlign w:val="center"/>
          </w:tcPr>
          <w:p w14:paraId="602BEA6D">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708" w:type="dxa"/>
            <w:tcBorders>
              <w:top w:val="nil"/>
              <w:left w:val="nil"/>
              <w:bottom w:val="single" w:color="auto" w:sz="4" w:space="0"/>
              <w:right w:val="single" w:color="auto" w:sz="4" w:space="0"/>
            </w:tcBorders>
            <w:shd w:val="clear" w:color="auto" w:fill="auto"/>
            <w:vAlign w:val="center"/>
          </w:tcPr>
          <w:p w14:paraId="0EED307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未建成</w:t>
            </w:r>
          </w:p>
        </w:tc>
        <w:tc>
          <w:tcPr>
            <w:tcW w:w="2977" w:type="dxa"/>
            <w:tcBorders>
              <w:top w:val="nil"/>
              <w:left w:val="nil"/>
              <w:bottom w:val="single" w:color="auto" w:sz="4" w:space="0"/>
              <w:right w:val="single" w:color="auto" w:sz="4" w:space="0"/>
            </w:tcBorders>
            <w:shd w:val="clear" w:color="auto" w:fill="auto"/>
            <w:vAlign w:val="center"/>
          </w:tcPr>
          <w:p w14:paraId="24CF374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各种裸露地表、建筑物基础开挖土方及管沟沟槽开挖土方等临时堆土，建筑用砂石料等松散物质的运输过程</w:t>
            </w:r>
          </w:p>
        </w:tc>
        <w:tc>
          <w:tcPr>
            <w:tcW w:w="2126" w:type="dxa"/>
            <w:tcBorders>
              <w:top w:val="nil"/>
              <w:left w:val="nil"/>
              <w:bottom w:val="single" w:color="auto" w:sz="4" w:space="0"/>
              <w:right w:val="single" w:color="auto" w:sz="4" w:space="0"/>
            </w:tcBorders>
            <w:shd w:val="clear" w:color="auto" w:fill="auto"/>
            <w:vAlign w:val="center"/>
          </w:tcPr>
          <w:p w14:paraId="3921891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覆盖时注意压牢，避免覆盖物被风吹走</w:t>
            </w:r>
          </w:p>
        </w:tc>
        <w:tc>
          <w:tcPr>
            <w:tcW w:w="1127" w:type="dxa"/>
            <w:tcBorders>
              <w:top w:val="nil"/>
              <w:left w:val="nil"/>
              <w:bottom w:val="single" w:color="auto" w:sz="4" w:space="0"/>
              <w:right w:val="single" w:color="auto" w:sz="4" w:space="0"/>
            </w:tcBorders>
            <w:shd w:val="clear" w:color="auto" w:fill="auto"/>
            <w:vAlign w:val="center"/>
          </w:tcPr>
          <w:p w14:paraId="7472BC87">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7F2A42DE">
        <w:tblPrEx>
          <w:tblCellMar>
            <w:top w:w="0" w:type="dxa"/>
            <w:left w:w="108" w:type="dxa"/>
            <w:bottom w:w="0" w:type="dxa"/>
            <w:right w:w="108" w:type="dxa"/>
          </w:tblCellMar>
        </w:tblPrEx>
        <w:trPr>
          <w:trHeight w:val="369" w:hRule="atLeast"/>
        </w:trPr>
        <w:tc>
          <w:tcPr>
            <w:tcW w:w="657" w:type="dxa"/>
            <w:vMerge w:val="continue"/>
            <w:tcBorders>
              <w:top w:val="nil"/>
              <w:left w:val="single" w:color="auto" w:sz="4" w:space="0"/>
              <w:bottom w:val="single" w:color="000000" w:sz="4" w:space="0"/>
              <w:right w:val="single" w:color="auto" w:sz="4" w:space="0"/>
            </w:tcBorders>
            <w:vAlign w:val="center"/>
          </w:tcPr>
          <w:p w14:paraId="65C69551">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619" w:type="dxa"/>
            <w:vMerge w:val="continue"/>
            <w:tcBorders>
              <w:top w:val="nil"/>
              <w:left w:val="single" w:color="auto" w:sz="4" w:space="0"/>
              <w:bottom w:val="single" w:color="000000" w:sz="4" w:space="0"/>
              <w:right w:val="single" w:color="auto" w:sz="4" w:space="0"/>
            </w:tcBorders>
            <w:vAlign w:val="center"/>
          </w:tcPr>
          <w:p w14:paraId="4D5DE1F8">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993" w:type="dxa"/>
            <w:tcBorders>
              <w:top w:val="nil"/>
              <w:left w:val="single" w:color="auto" w:sz="4" w:space="0"/>
              <w:bottom w:val="single" w:color="000000" w:sz="4" w:space="0"/>
              <w:right w:val="single" w:color="auto" w:sz="4" w:space="0"/>
            </w:tcBorders>
            <w:shd w:val="clear" w:color="auto" w:fill="auto"/>
            <w:vAlign w:val="center"/>
          </w:tcPr>
          <w:p w14:paraId="66540F0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708" w:type="dxa"/>
            <w:tcBorders>
              <w:top w:val="nil"/>
              <w:left w:val="nil"/>
              <w:bottom w:val="single" w:color="auto" w:sz="4" w:space="0"/>
              <w:right w:val="single" w:color="auto" w:sz="4" w:space="0"/>
            </w:tcBorders>
            <w:shd w:val="clear" w:color="auto" w:fill="auto"/>
            <w:vAlign w:val="center"/>
          </w:tcPr>
          <w:p w14:paraId="63B3139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2977" w:type="dxa"/>
            <w:tcBorders>
              <w:top w:val="nil"/>
              <w:left w:val="nil"/>
              <w:bottom w:val="single" w:color="auto" w:sz="4" w:space="0"/>
              <w:right w:val="single" w:color="auto" w:sz="4" w:space="0"/>
            </w:tcBorders>
            <w:shd w:val="clear" w:color="auto" w:fill="auto"/>
            <w:vAlign w:val="center"/>
          </w:tcPr>
          <w:p w14:paraId="7025FC4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各种裸露地表、建筑物基础开挖土方及管沟沟槽开挖土方等临时堆土，建筑用砂石料等松散物质的运输过程</w:t>
            </w:r>
          </w:p>
        </w:tc>
        <w:tc>
          <w:tcPr>
            <w:tcW w:w="2126" w:type="dxa"/>
            <w:tcBorders>
              <w:top w:val="nil"/>
              <w:left w:val="nil"/>
              <w:bottom w:val="single" w:color="auto" w:sz="4" w:space="0"/>
              <w:right w:val="single" w:color="auto" w:sz="4" w:space="0"/>
            </w:tcBorders>
            <w:shd w:val="clear" w:color="auto" w:fill="auto"/>
            <w:vAlign w:val="center"/>
          </w:tcPr>
          <w:p w14:paraId="59825C0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覆盖时注意压牢，避免覆盖物被风吹走</w:t>
            </w:r>
          </w:p>
        </w:tc>
        <w:tc>
          <w:tcPr>
            <w:tcW w:w="1127" w:type="dxa"/>
            <w:tcBorders>
              <w:top w:val="nil"/>
              <w:left w:val="nil"/>
              <w:bottom w:val="single" w:color="auto" w:sz="4" w:space="0"/>
              <w:right w:val="single" w:color="auto" w:sz="4" w:space="0"/>
            </w:tcBorders>
            <w:shd w:val="clear" w:color="auto" w:fill="auto"/>
            <w:vAlign w:val="center"/>
          </w:tcPr>
          <w:p w14:paraId="653BA01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　</w:t>
            </w:r>
          </w:p>
        </w:tc>
      </w:tr>
      <w:tr w14:paraId="37A53BC8">
        <w:tblPrEx>
          <w:tblCellMar>
            <w:top w:w="0" w:type="dxa"/>
            <w:left w:w="108" w:type="dxa"/>
            <w:bottom w:w="0" w:type="dxa"/>
            <w:right w:w="108" w:type="dxa"/>
          </w:tblCellMar>
        </w:tblPrEx>
        <w:trPr>
          <w:trHeight w:val="369" w:hRule="atLeast"/>
        </w:trPr>
        <w:tc>
          <w:tcPr>
            <w:tcW w:w="657" w:type="dxa"/>
            <w:vMerge w:val="continue"/>
            <w:tcBorders>
              <w:top w:val="nil"/>
              <w:left w:val="single" w:color="auto" w:sz="4" w:space="0"/>
              <w:bottom w:val="single" w:color="000000" w:sz="4" w:space="0"/>
              <w:right w:val="single" w:color="auto" w:sz="4" w:space="0"/>
            </w:tcBorders>
            <w:vAlign w:val="center"/>
          </w:tcPr>
          <w:p w14:paraId="4C7D0515">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619" w:type="dxa"/>
            <w:vMerge w:val="restart"/>
            <w:tcBorders>
              <w:top w:val="nil"/>
              <w:left w:val="single" w:color="auto" w:sz="4" w:space="0"/>
              <w:bottom w:val="single" w:color="000000" w:sz="4" w:space="0"/>
              <w:right w:val="single" w:color="auto" w:sz="4" w:space="0"/>
            </w:tcBorders>
            <w:shd w:val="clear" w:color="auto" w:fill="auto"/>
            <w:vAlign w:val="center"/>
          </w:tcPr>
          <w:p w14:paraId="4F6B4C1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临时排水沟、沉沙池</w:t>
            </w:r>
          </w:p>
        </w:tc>
        <w:tc>
          <w:tcPr>
            <w:tcW w:w="993" w:type="dxa"/>
            <w:vMerge w:val="restart"/>
            <w:tcBorders>
              <w:top w:val="nil"/>
              <w:left w:val="single" w:color="auto" w:sz="4" w:space="0"/>
              <w:bottom w:val="single" w:color="000000" w:sz="4" w:space="0"/>
              <w:right w:val="single" w:color="auto" w:sz="4" w:space="0"/>
            </w:tcBorders>
            <w:shd w:val="clear" w:color="auto" w:fill="auto"/>
            <w:vAlign w:val="center"/>
          </w:tcPr>
          <w:p w14:paraId="4047D23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708" w:type="dxa"/>
            <w:tcBorders>
              <w:top w:val="nil"/>
              <w:left w:val="nil"/>
              <w:bottom w:val="single" w:color="auto" w:sz="4" w:space="0"/>
              <w:right w:val="single" w:color="auto" w:sz="4" w:space="0"/>
            </w:tcBorders>
            <w:shd w:val="clear" w:color="auto" w:fill="auto"/>
            <w:vAlign w:val="center"/>
          </w:tcPr>
          <w:p w14:paraId="594AD24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2977" w:type="dxa"/>
            <w:tcBorders>
              <w:top w:val="nil"/>
              <w:left w:val="nil"/>
              <w:bottom w:val="single" w:color="auto" w:sz="4" w:space="0"/>
              <w:right w:val="single" w:color="auto" w:sz="4" w:space="0"/>
            </w:tcBorders>
            <w:shd w:val="clear" w:color="auto" w:fill="auto"/>
            <w:vAlign w:val="center"/>
          </w:tcPr>
          <w:p w14:paraId="2D1D3548">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未实施</w:t>
            </w:r>
          </w:p>
        </w:tc>
        <w:tc>
          <w:tcPr>
            <w:tcW w:w="2126" w:type="dxa"/>
            <w:tcBorders>
              <w:top w:val="nil"/>
              <w:left w:val="nil"/>
              <w:bottom w:val="single" w:color="auto" w:sz="4" w:space="0"/>
              <w:right w:val="single" w:color="auto" w:sz="4" w:space="0"/>
            </w:tcBorders>
            <w:shd w:val="clear" w:color="auto" w:fill="auto"/>
            <w:vAlign w:val="center"/>
          </w:tcPr>
          <w:p w14:paraId="754A0F0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127" w:type="dxa"/>
            <w:tcBorders>
              <w:top w:val="nil"/>
              <w:left w:val="nil"/>
              <w:bottom w:val="single" w:color="auto" w:sz="4" w:space="0"/>
              <w:right w:val="single" w:color="auto" w:sz="4" w:space="0"/>
            </w:tcBorders>
            <w:shd w:val="clear" w:color="auto" w:fill="auto"/>
            <w:vAlign w:val="center"/>
          </w:tcPr>
          <w:p w14:paraId="53C8D86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本区已建成，未实施该措施</w:t>
            </w:r>
          </w:p>
        </w:tc>
      </w:tr>
      <w:tr w14:paraId="783763BD">
        <w:tblPrEx>
          <w:tblCellMar>
            <w:top w:w="0" w:type="dxa"/>
            <w:left w:w="108" w:type="dxa"/>
            <w:bottom w:w="0" w:type="dxa"/>
            <w:right w:w="108" w:type="dxa"/>
          </w:tblCellMar>
        </w:tblPrEx>
        <w:trPr>
          <w:trHeight w:val="369" w:hRule="atLeast"/>
        </w:trPr>
        <w:tc>
          <w:tcPr>
            <w:tcW w:w="657" w:type="dxa"/>
            <w:vMerge w:val="continue"/>
            <w:tcBorders>
              <w:top w:val="nil"/>
              <w:left w:val="single" w:color="auto" w:sz="4" w:space="0"/>
              <w:bottom w:val="single" w:color="000000" w:sz="4" w:space="0"/>
              <w:right w:val="single" w:color="auto" w:sz="4" w:space="0"/>
            </w:tcBorders>
            <w:vAlign w:val="center"/>
          </w:tcPr>
          <w:p w14:paraId="52858FE6">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619" w:type="dxa"/>
            <w:vMerge w:val="continue"/>
            <w:tcBorders>
              <w:top w:val="nil"/>
              <w:left w:val="single" w:color="auto" w:sz="4" w:space="0"/>
              <w:bottom w:val="single" w:color="000000" w:sz="4" w:space="0"/>
              <w:right w:val="single" w:color="auto" w:sz="4" w:space="0"/>
            </w:tcBorders>
            <w:vAlign w:val="center"/>
          </w:tcPr>
          <w:p w14:paraId="5DC4BE53">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993" w:type="dxa"/>
            <w:vMerge w:val="continue"/>
            <w:tcBorders>
              <w:top w:val="nil"/>
              <w:left w:val="single" w:color="auto" w:sz="4" w:space="0"/>
              <w:bottom w:val="single" w:color="000000" w:sz="4" w:space="0"/>
              <w:right w:val="single" w:color="auto" w:sz="4" w:space="0"/>
            </w:tcBorders>
            <w:vAlign w:val="center"/>
          </w:tcPr>
          <w:p w14:paraId="46DE292F">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708" w:type="dxa"/>
            <w:tcBorders>
              <w:top w:val="nil"/>
              <w:left w:val="nil"/>
              <w:bottom w:val="single" w:color="auto" w:sz="4" w:space="0"/>
              <w:right w:val="single" w:color="auto" w:sz="4" w:space="0"/>
            </w:tcBorders>
            <w:shd w:val="clear" w:color="auto" w:fill="auto"/>
            <w:vAlign w:val="center"/>
          </w:tcPr>
          <w:p w14:paraId="2A7AD09A">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未建成</w:t>
            </w:r>
          </w:p>
        </w:tc>
        <w:tc>
          <w:tcPr>
            <w:tcW w:w="2977" w:type="dxa"/>
            <w:tcBorders>
              <w:top w:val="nil"/>
              <w:left w:val="nil"/>
              <w:bottom w:val="single" w:color="auto" w:sz="4" w:space="0"/>
              <w:right w:val="single" w:color="auto" w:sz="4" w:space="0"/>
            </w:tcBorders>
            <w:shd w:val="clear" w:color="auto" w:fill="auto"/>
            <w:vAlign w:val="center"/>
          </w:tcPr>
          <w:p w14:paraId="09102904">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土石方中转场及表土堆放场周边</w:t>
            </w:r>
          </w:p>
        </w:tc>
        <w:tc>
          <w:tcPr>
            <w:tcW w:w="2126" w:type="dxa"/>
            <w:tcBorders>
              <w:top w:val="nil"/>
              <w:left w:val="nil"/>
              <w:bottom w:val="single" w:color="auto" w:sz="4" w:space="0"/>
              <w:right w:val="single" w:color="auto" w:sz="4" w:space="0"/>
            </w:tcBorders>
            <w:shd w:val="clear" w:color="auto" w:fill="auto"/>
            <w:vAlign w:val="center"/>
          </w:tcPr>
          <w:p w14:paraId="027F838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沉沙池宽取1m-2m，长取2m-4m，深取1.5m-2m</w:t>
            </w:r>
          </w:p>
        </w:tc>
        <w:tc>
          <w:tcPr>
            <w:tcW w:w="1127" w:type="dxa"/>
            <w:tcBorders>
              <w:top w:val="nil"/>
              <w:left w:val="nil"/>
              <w:bottom w:val="single" w:color="auto" w:sz="4" w:space="0"/>
              <w:right w:val="single" w:color="auto" w:sz="4" w:space="0"/>
            </w:tcBorders>
            <w:shd w:val="clear" w:color="auto" w:fill="auto"/>
            <w:vAlign w:val="center"/>
          </w:tcPr>
          <w:p w14:paraId="231B4BE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r>
      <w:tr w14:paraId="2F1451AF">
        <w:tblPrEx>
          <w:tblCellMar>
            <w:top w:w="0" w:type="dxa"/>
            <w:left w:w="108" w:type="dxa"/>
            <w:bottom w:w="0" w:type="dxa"/>
            <w:right w:w="108" w:type="dxa"/>
          </w:tblCellMar>
        </w:tblPrEx>
        <w:trPr>
          <w:trHeight w:val="369" w:hRule="atLeast"/>
        </w:trPr>
        <w:tc>
          <w:tcPr>
            <w:tcW w:w="657" w:type="dxa"/>
            <w:vMerge w:val="continue"/>
            <w:tcBorders>
              <w:top w:val="nil"/>
              <w:left w:val="single" w:color="auto" w:sz="4" w:space="0"/>
              <w:bottom w:val="single" w:color="000000" w:sz="4" w:space="0"/>
              <w:right w:val="single" w:color="auto" w:sz="4" w:space="0"/>
            </w:tcBorders>
            <w:vAlign w:val="center"/>
          </w:tcPr>
          <w:p w14:paraId="0AC3E671">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619" w:type="dxa"/>
            <w:vMerge w:val="continue"/>
            <w:tcBorders>
              <w:top w:val="nil"/>
              <w:left w:val="single" w:color="auto" w:sz="4" w:space="0"/>
              <w:bottom w:val="single" w:color="000000" w:sz="4" w:space="0"/>
              <w:right w:val="single" w:color="auto" w:sz="4" w:space="0"/>
            </w:tcBorders>
            <w:vAlign w:val="center"/>
          </w:tcPr>
          <w:p w14:paraId="5B82925B">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993" w:type="dxa"/>
            <w:tcBorders>
              <w:top w:val="nil"/>
              <w:left w:val="single" w:color="auto" w:sz="4" w:space="0"/>
              <w:bottom w:val="single" w:color="000000" w:sz="4" w:space="0"/>
              <w:right w:val="single" w:color="auto" w:sz="4" w:space="0"/>
            </w:tcBorders>
            <w:shd w:val="clear" w:color="auto" w:fill="auto"/>
            <w:vAlign w:val="center"/>
          </w:tcPr>
          <w:p w14:paraId="5238324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708" w:type="dxa"/>
            <w:tcBorders>
              <w:top w:val="nil"/>
              <w:left w:val="nil"/>
              <w:bottom w:val="single" w:color="auto" w:sz="4" w:space="0"/>
              <w:right w:val="single" w:color="auto" w:sz="4" w:space="0"/>
            </w:tcBorders>
            <w:shd w:val="clear" w:color="auto" w:fill="auto"/>
            <w:vAlign w:val="center"/>
          </w:tcPr>
          <w:p w14:paraId="636100C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2977" w:type="dxa"/>
            <w:tcBorders>
              <w:top w:val="nil"/>
              <w:left w:val="nil"/>
              <w:bottom w:val="single" w:color="auto" w:sz="4" w:space="0"/>
              <w:right w:val="single" w:color="auto" w:sz="4" w:space="0"/>
            </w:tcBorders>
            <w:shd w:val="clear" w:color="auto" w:fill="auto"/>
            <w:vAlign w:val="center"/>
          </w:tcPr>
          <w:p w14:paraId="0A839C5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未实施</w:t>
            </w:r>
          </w:p>
        </w:tc>
        <w:tc>
          <w:tcPr>
            <w:tcW w:w="2126" w:type="dxa"/>
            <w:tcBorders>
              <w:top w:val="nil"/>
              <w:left w:val="nil"/>
              <w:bottom w:val="single" w:color="auto" w:sz="4" w:space="0"/>
              <w:right w:val="single" w:color="auto" w:sz="4" w:space="0"/>
            </w:tcBorders>
            <w:shd w:val="clear" w:color="auto" w:fill="auto"/>
            <w:vAlign w:val="center"/>
          </w:tcPr>
          <w:p w14:paraId="6ADCF55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127" w:type="dxa"/>
            <w:tcBorders>
              <w:top w:val="nil"/>
              <w:left w:val="nil"/>
              <w:bottom w:val="single" w:color="auto" w:sz="4" w:space="0"/>
              <w:right w:val="single" w:color="auto" w:sz="4" w:space="0"/>
            </w:tcBorders>
            <w:shd w:val="clear" w:color="auto" w:fill="auto"/>
            <w:vAlign w:val="center"/>
          </w:tcPr>
          <w:p w14:paraId="79DA0691">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本区域已建成，未实施该措施</w:t>
            </w:r>
          </w:p>
        </w:tc>
      </w:tr>
      <w:tr w14:paraId="115B3EB0">
        <w:tblPrEx>
          <w:tblCellMar>
            <w:top w:w="0" w:type="dxa"/>
            <w:left w:w="108" w:type="dxa"/>
            <w:bottom w:w="0" w:type="dxa"/>
            <w:right w:w="108" w:type="dxa"/>
          </w:tblCellMar>
        </w:tblPrEx>
        <w:trPr>
          <w:trHeight w:val="369" w:hRule="atLeast"/>
        </w:trPr>
        <w:tc>
          <w:tcPr>
            <w:tcW w:w="657" w:type="dxa"/>
            <w:vMerge w:val="continue"/>
            <w:tcBorders>
              <w:top w:val="nil"/>
              <w:left w:val="single" w:color="auto" w:sz="4" w:space="0"/>
              <w:bottom w:val="single" w:color="000000" w:sz="4" w:space="0"/>
              <w:right w:val="single" w:color="auto" w:sz="4" w:space="0"/>
            </w:tcBorders>
            <w:vAlign w:val="center"/>
          </w:tcPr>
          <w:p w14:paraId="514D0871">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619" w:type="dxa"/>
            <w:vMerge w:val="restart"/>
            <w:tcBorders>
              <w:top w:val="nil"/>
              <w:left w:val="single" w:color="auto" w:sz="4" w:space="0"/>
              <w:bottom w:val="single" w:color="000000" w:sz="4" w:space="0"/>
              <w:right w:val="single" w:color="auto" w:sz="4" w:space="0"/>
            </w:tcBorders>
            <w:shd w:val="clear" w:color="auto" w:fill="auto"/>
            <w:vAlign w:val="center"/>
          </w:tcPr>
          <w:p w14:paraId="1403B9C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临时撒草</w:t>
            </w:r>
          </w:p>
        </w:tc>
        <w:tc>
          <w:tcPr>
            <w:tcW w:w="993" w:type="dxa"/>
            <w:vMerge w:val="restart"/>
            <w:tcBorders>
              <w:top w:val="nil"/>
              <w:left w:val="single" w:color="auto" w:sz="4" w:space="0"/>
              <w:bottom w:val="single" w:color="000000" w:sz="4" w:space="0"/>
              <w:right w:val="single" w:color="auto" w:sz="4" w:space="0"/>
            </w:tcBorders>
            <w:shd w:val="clear" w:color="auto" w:fill="auto"/>
            <w:vAlign w:val="center"/>
          </w:tcPr>
          <w:p w14:paraId="21C752A9">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地块1（金山产业园北区）</w:t>
            </w:r>
          </w:p>
        </w:tc>
        <w:tc>
          <w:tcPr>
            <w:tcW w:w="708" w:type="dxa"/>
            <w:tcBorders>
              <w:top w:val="nil"/>
              <w:left w:val="nil"/>
              <w:bottom w:val="single" w:color="auto" w:sz="4" w:space="0"/>
              <w:right w:val="single" w:color="auto" w:sz="4" w:space="0"/>
            </w:tcBorders>
            <w:shd w:val="clear" w:color="auto" w:fill="auto"/>
            <w:vAlign w:val="center"/>
          </w:tcPr>
          <w:p w14:paraId="2DB1C9E2">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2977" w:type="dxa"/>
            <w:tcBorders>
              <w:top w:val="nil"/>
              <w:left w:val="nil"/>
              <w:bottom w:val="single" w:color="auto" w:sz="4" w:space="0"/>
              <w:right w:val="single" w:color="auto" w:sz="4" w:space="0"/>
            </w:tcBorders>
            <w:shd w:val="clear" w:color="auto" w:fill="auto"/>
            <w:vAlign w:val="center"/>
          </w:tcPr>
          <w:p w14:paraId="2112F0A0">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未实施</w:t>
            </w:r>
          </w:p>
        </w:tc>
        <w:tc>
          <w:tcPr>
            <w:tcW w:w="2126" w:type="dxa"/>
            <w:tcBorders>
              <w:top w:val="nil"/>
              <w:left w:val="nil"/>
              <w:bottom w:val="single" w:color="auto" w:sz="4" w:space="0"/>
              <w:right w:val="single" w:color="auto" w:sz="4" w:space="0"/>
            </w:tcBorders>
            <w:shd w:val="clear" w:color="auto" w:fill="auto"/>
            <w:vAlign w:val="center"/>
          </w:tcPr>
          <w:p w14:paraId="14F5916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127" w:type="dxa"/>
            <w:tcBorders>
              <w:top w:val="nil"/>
              <w:left w:val="nil"/>
              <w:bottom w:val="single" w:color="auto" w:sz="4" w:space="0"/>
              <w:right w:val="single" w:color="auto" w:sz="4" w:space="0"/>
            </w:tcBorders>
            <w:shd w:val="clear" w:color="auto" w:fill="auto"/>
            <w:vAlign w:val="center"/>
          </w:tcPr>
          <w:p w14:paraId="46558D7F">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本区域已建成，未实施该措施</w:t>
            </w:r>
          </w:p>
        </w:tc>
      </w:tr>
      <w:tr w14:paraId="14781B9F">
        <w:tblPrEx>
          <w:tblCellMar>
            <w:top w:w="0" w:type="dxa"/>
            <w:left w:w="108" w:type="dxa"/>
            <w:bottom w:w="0" w:type="dxa"/>
            <w:right w:w="108" w:type="dxa"/>
          </w:tblCellMar>
        </w:tblPrEx>
        <w:trPr>
          <w:trHeight w:val="369" w:hRule="atLeast"/>
        </w:trPr>
        <w:tc>
          <w:tcPr>
            <w:tcW w:w="657" w:type="dxa"/>
            <w:vMerge w:val="continue"/>
            <w:tcBorders>
              <w:top w:val="nil"/>
              <w:left w:val="single" w:color="auto" w:sz="4" w:space="0"/>
              <w:bottom w:val="single" w:color="000000" w:sz="4" w:space="0"/>
              <w:right w:val="single" w:color="auto" w:sz="4" w:space="0"/>
            </w:tcBorders>
            <w:vAlign w:val="center"/>
          </w:tcPr>
          <w:p w14:paraId="0D502547">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619" w:type="dxa"/>
            <w:vMerge w:val="continue"/>
            <w:tcBorders>
              <w:top w:val="nil"/>
              <w:left w:val="single" w:color="auto" w:sz="4" w:space="0"/>
              <w:bottom w:val="single" w:color="000000" w:sz="4" w:space="0"/>
              <w:right w:val="single" w:color="auto" w:sz="4" w:space="0"/>
            </w:tcBorders>
            <w:vAlign w:val="center"/>
          </w:tcPr>
          <w:p w14:paraId="66FF5C1A">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993" w:type="dxa"/>
            <w:vMerge w:val="continue"/>
            <w:tcBorders>
              <w:top w:val="nil"/>
              <w:left w:val="single" w:color="auto" w:sz="4" w:space="0"/>
              <w:bottom w:val="single" w:color="000000" w:sz="4" w:space="0"/>
              <w:right w:val="single" w:color="auto" w:sz="4" w:space="0"/>
            </w:tcBorders>
            <w:vAlign w:val="center"/>
          </w:tcPr>
          <w:p w14:paraId="7D903897">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708" w:type="dxa"/>
            <w:tcBorders>
              <w:top w:val="nil"/>
              <w:left w:val="nil"/>
              <w:bottom w:val="single" w:color="auto" w:sz="4" w:space="0"/>
              <w:right w:val="single" w:color="auto" w:sz="4" w:space="0"/>
            </w:tcBorders>
            <w:shd w:val="clear" w:color="auto" w:fill="auto"/>
            <w:vAlign w:val="center"/>
          </w:tcPr>
          <w:p w14:paraId="0AF02125">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未建成</w:t>
            </w:r>
          </w:p>
        </w:tc>
        <w:tc>
          <w:tcPr>
            <w:tcW w:w="2977" w:type="dxa"/>
            <w:tcBorders>
              <w:top w:val="nil"/>
              <w:left w:val="nil"/>
              <w:bottom w:val="single" w:color="auto" w:sz="4" w:space="0"/>
              <w:right w:val="single" w:color="auto" w:sz="4" w:space="0"/>
            </w:tcBorders>
            <w:shd w:val="clear" w:color="auto" w:fill="auto"/>
            <w:vAlign w:val="center"/>
          </w:tcPr>
          <w:p w14:paraId="2F32B1B9">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功能区内土石方中转场及表土堆放场及其他裸露区</w:t>
            </w:r>
          </w:p>
        </w:tc>
        <w:tc>
          <w:tcPr>
            <w:tcW w:w="2126" w:type="dxa"/>
            <w:tcBorders>
              <w:top w:val="nil"/>
              <w:left w:val="nil"/>
              <w:bottom w:val="single" w:color="auto" w:sz="4" w:space="0"/>
              <w:right w:val="single" w:color="auto" w:sz="4" w:space="0"/>
            </w:tcBorders>
            <w:shd w:val="clear" w:color="auto" w:fill="auto"/>
            <w:vAlign w:val="center"/>
          </w:tcPr>
          <w:p w14:paraId="480BA54F">
            <w:pPr>
              <w:spacing w:line="240" w:lineRule="auto"/>
              <w:ind w:firstLine="0" w:firstLineChars="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草籽采用撒播方式，品种选取草本物种，以“适地适草”，生长迅速为原则</w:t>
            </w:r>
          </w:p>
        </w:tc>
        <w:tc>
          <w:tcPr>
            <w:tcW w:w="1127" w:type="dxa"/>
            <w:tcBorders>
              <w:top w:val="nil"/>
              <w:left w:val="nil"/>
              <w:bottom w:val="single" w:color="auto" w:sz="4" w:space="0"/>
              <w:right w:val="single" w:color="auto" w:sz="4" w:space="0"/>
            </w:tcBorders>
            <w:shd w:val="clear" w:color="auto" w:fill="auto"/>
            <w:vAlign w:val="center"/>
          </w:tcPr>
          <w:p w14:paraId="63A7DA66">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裸露超过1个生长季</w:t>
            </w:r>
          </w:p>
        </w:tc>
      </w:tr>
      <w:tr w14:paraId="3294AC5B">
        <w:tblPrEx>
          <w:tblCellMar>
            <w:top w:w="0" w:type="dxa"/>
            <w:left w:w="108" w:type="dxa"/>
            <w:bottom w:w="0" w:type="dxa"/>
            <w:right w:w="108" w:type="dxa"/>
          </w:tblCellMar>
        </w:tblPrEx>
        <w:trPr>
          <w:trHeight w:val="369" w:hRule="atLeast"/>
        </w:trPr>
        <w:tc>
          <w:tcPr>
            <w:tcW w:w="657" w:type="dxa"/>
            <w:vMerge w:val="continue"/>
            <w:tcBorders>
              <w:top w:val="nil"/>
              <w:left w:val="single" w:color="auto" w:sz="4" w:space="0"/>
              <w:bottom w:val="single" w:color="000000" w:sz="4" w:space="0"/>
              <w:right w:val="single" w:color="auto" w:sz="4" w:space="0"/>
            </w:tcBorders>
            <w:vAlign w:val="center"/>
          </w:tcPr>
          <w:p w14:paraId="3C59E176">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619" w:type="dxa"/>
            <w:vMerge w:val="continue"/>
            <w:tcBorders>
              <w:top w:val="nil"/>
              <w:left w:val="single" w:color="auto" w:sz="4" w:space="0"/>
              <w:bottom w:val="single" w:color="000000" w:sz="4" w:space="0"/>
              <w:right w:val="single" w:color="auto" w:sz="4" w:space="0"/>
            </w:tcBorders>
            <w:vAlign w:val="center"/>
          </w:tcPr>
          <w:p w14:paraId="0E28B730">
            <w:pPr>
              <w:spacing w:line="240" w:lineRule="auto"/>
              <w:ind w:firstLine="0" w:firstLineChars="0"/>
              <w:jc w:val="left"/>
              <w:rPr>
                <w:rFonts w:cs="Times New Roman"/>
                <w:color w:val="000000" w:themeColor="text1"/>
                <w:sz w:val="21"/>
                <w:szCs w:val="21"/>
                <w14:textFill>
                  <w14:solidFill>
                    <w14:schemeClr w14:val="tx1"/>
                  </w14:solidFill>
                </w14:textFill>
              </w:rPr>
            </w:pPr>
          </w:p>
        </w:tc>
        <w:tc>
          <w:tcPr>
            <w:tcW w:w="993" w:type="dxa"/>
            <w:tcBorders>
              <w:top w:val="nil"/>
              <w:left w:val="single" w:color="auto" w:sz="4" w:space="0"/>
              <w:bottom w:val="single" w:color="000000" w:sz="4" w:space="0"/>
              <w:right w:val="single" w:color="auto" w:sz="4" w:space="0"/>
            </w:tcBorders>
            <w:shd w:val="clear" w:color="auto" w:fill="auto"/>
            <w:vAlign w:val="center"/>
          </w:tcPr>
          <w:p w14:paraId="01A3C63C">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地块2（下湿壕片区）</w:t>
            </w:r>
          </w:p>
        </w:tc>
        <w:tc>
          <w:tcPr>
            <w:tcW w:w="708" w:type="dxa"/>
            <w:tcBorders>
              <w:top w:val="nil"/>
              <w:left w:val="nil"/>
              <w:bottom w:val="single" w:color="auto" w:sz="4" w:space="0"/>
              <w:right w:val="single" w:color="auto" w:sz="4" w:space="0"/>
            </w:tcBorders>
            <w:shd w:val="clear" w:color="auto" w:fill="auto"/>
            <w:vAlign w:val="center"/>
          </w:tcPr>
          <w:p w14:paraId="7483358E">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已建成</w:t>
            </w:r>
          </w:p>
        </w:tc>
        <w:tc>
          <w:tcPr>
            <w:tcW w:w="2977" w:type="dxa"/>
            <w:tcBorders>
              <w:top w:val="nil"/>
              <w:left w:val="nil"/>
              <w:bottom w:val="single" w:color="auto" w:sz="4" w:space="0"/>
              <w:right w:val="single" w:color="auto" w:sz="4" w:space="0"/>
            </w:tcBorders>
            <w:shd w:val="clear" w:color="auto" w:fill="auto"/>
            <w:vAlign w:val="center"/>
          </w:tcPr>
          <w:p w14:paraId="24934787">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未实施</w:t>
            </w:r>
          </w:p>
        </w:tc>
        <w:tc>
          <w:tcPr>
            <w:tcW w:w="2126" w:type="dxa"/>
            <w:tcBorders>
              <w:top w:val="nil"/>
              <w:left w:val="nil"/>
              <w:bottom w:val="single" w:color="auto" w:sz="4" w:space="0"/>
              <w:right w:val="single" w:color="auto" w:sz="4" w:space="0"/>
            </w:tcBorders>
            <w:shd w:val="clear" w:color="auto" w:fill="auto"/>
            <w:vAlign w:val="center"/>
          </w:tcPr>
          <w:p w14:paraId="581B5B73">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c>
          <w:tcPr>
            <w:tcW w:w="1127" w:type="dxa"/>
            <w:tcBorders>
              <w:top w:val="nil"/>
              <w:left w:val="nil"/>
              <w:bottom w:val="single" w:color="auto" w:sz="4" w:space="0"/>
              <w:right w:val="single" w:color="auto" w:sz="4" w:space="0"/>
            </w:tcBorders>
            <w:shd w:val="clear" w:color="auto" w:fill="auto"/>
            <w:vAlign w:val="center"/>
          </w:tcPr>
          <w:p w14:paraId="1526D86B">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本区域已建成，未实施该措施</w:t>
            </w:r>
          </w:p>
        </w:tc>
      </w:tr>
    </w:tbl>
    <w:p w14:paraId="25D84499">
      <w:pPr>
        <w:pStyle w:val="4"/>
        <w:spacing w:before="120" w:after="120"/>
      </w:pPr>
      <w:r>
        <w:t>土石方中转场和表土堆存场临时措施布设</w:t>
      </w:r>
    </w:p>
    <w:p w14:paraId="717B5AFF">
      <w:pPr>
        <w:pStyle w:val="5"/>
        <w:rPr>
          <w:color w:val="000000" w:themeColor="text1"/>
          <w14:textFill>
            <w14:solidFill>
              <w14:schemeClr w14:val="tx1"/>
            </w14:solidFill>
          </w14:textFill>
        </w:rPr>
      </w:pPr>
      <w:bookmarkStart w:id="456" w:name="5.4.5.1临时排水"/>
      <w:bookmarkEnd w:id="456"/>
      <w:r>
        <w:rPr>
          <w:color w:val="000000" w:themeColor="text1"/>
          <w14:textFill>
            <w14:solidFill>
              <w14:schemeClr w14:val="tx1"/>
            </w14:solidFill>
          </w14:textFill>
        </w:rPr>
        <w:t>临时排水</w:t>
      </w:r>
    </w:p>
    <w:p w14:paraId="72007905">
      <w:pPr>
        <w:pStyle w:val="66"/>
      </w:pPr>
      <w:r>
        <w:t>(1)适用范围</w:t>
      </w:r>
    </w:p>
    <w:p w14:paraId="5C488471">
      <w:pPr>
        <w:pStyle w:val="66"/>
      </w:pPr>
      <w:r>
        <w:t>在土石方中转场周围或者其他有降雨汇流的区域应设置土质临时排水沟。临时排水沟能有效地减少场内水土流失，在临时排水沟汇水排出功能区前设置临时沉沙池，进行缓流、沉沙，减少对周围环境的不利影响。</w:t>
      </w:r>
    </w:p>
    <w:p w14:paraId="7CF8DDB2">
      <w:pPr>
        <w:pStyle w:val="66"/>
      </w:pPr>
      <w:r>
        <w:t>(2)设计要点</w:t>
      </w:r>
    </w:p>
    <w:p w14:paraId="2D1858F2">
      <w:pPr>
        <w:pStyle w:val="66"/>
      </w:pPr>
      <w:r>
        <w:t>临时排水沟和临时沉沙池主要是为了减少降雨对土石方中转场造成的水土流失，考虑到园区气象及投入成本等因素，临时排水沟和临时沉沙池采用机械配合人工的施工方式，临时排水沟尺寸一般考虑梯形断面，底宽0.3m，沟深0.3m，边坡1：1。沉沙池宽取1m-2m，长取2m-4m，深取1.5m-2m。</w:t>
      </w:r>
    </w:p>
    <w:p w14:paraId="0C36968E">
      <w:pPr>
        <w:pStyle w:val="5"/>
        <w:rPr>
          <w:color w:val="000000" w:themeColor="text1"/>
          <w14:textFill>
            <w14:solidFill>
              <w14:schemeClr w14:val="tx1"/>
            </w14:solidFill>
          </w14:textFill>
        </w:rPr>
      </w:pPr>
      <w:bookmarkStart w:id="457" w:name="5.4.5.2临时拦挡"/>
      <w:bookmarkEnd w:id="457"/>
      <w:r>
        <w:rPr>
          <w:color w:val="000000" w:themeColor="text1"/>
          <w14:textFill>
            <w14:solidFill>
              <w14:schemeClr w14:val="tx1"/>
            </w14:solidFill>
          </w14:textFill>
        </w:rPr>
        <w:t>临时拦挡</w:t>
      </w:r>
    </w:p>
    <w:p w14:paraId="2E5A24B0">
      <w:pPr>
        <w:pStyle w:val="66"/>
      </w:pPr>
      <w:r>
        <w:t>(1)适用范围</w:t>
      </w:r>
    </w:p>
    <w:p w14:paraId="0EC448E5">
      <w:pPr>
        <w:pStyle w:val="66"/>
      </w:pPr>
      <w:r>
        <w:t>产业园未建设区域施工时，临时拦挡主要修建于施工场地的边坡下侧、土方中转场和表土堆存场等周边，其形式包括土袋围挡、土埂拦挡及彩钢板拦挡等。</w:t>
      </w:r>
    </w:p>
    <w:p w14:paraId="0B6515D6">
      <w:pPr>
        <w:pStyle w:val="66"/>
      </w:pPr>
      <w:r>
        <w:t>（2）设计要点</w:t>
      </w:r>
    </w:p>
    <w:p w14:paraId="10E08182">
      <w:pPr>
        <w:pStyle w:val="66"/>
      </w:pPr>
      <w:r>
        <w:t>应满足《生产建设项目水土保持技术标准》（GB50433-2018）、《水土保持工程设计规范》（GB51018-2014）的相关要求，临时拦挡的形式及规模应根据堆土的规模、地面坡度、降雨等情况分析确定，遵循就地取材、经济合理、施工便捷、实用有效等原则。</w:t>
      </w:r>
    </w:p>
    <w:p w14:paraId="111C5942">
      <w:pPr>
        <w:pStyle w:val="5"/>
        <w:rPr>
          <w:color w:val="000000" w:themeColor="text1"/>
          <w14:textFill>
            <w14:solidFill>
              <w14:schemeClr w14:val="tx1"/>
            </w14:solidFill>
          </w14:textFill>
        </w:rPr>
      </w:pPr>
      <w:bookmarkStart w:id="458" w:name="5.4.5.3临时苫盖"/>
      <w:bookmarkEnd w:id="458"/>
      <w:r>
        <w:rPr>
          <w:color w:val="000000" w:themeColor="text1"/>
          <w14:textFill>
            <w14:solidFill>
              <w14:schemeClr w14:val="tx1"/>
            </w14:solidFill>
          </w14:textFill>
        </w:rPr>
        <w:t>临时苫盖</w:t>
      </w:r>
    </w:p>
    <w:p w14:paraId="6AB7DE4D">
      <w:pPr>
        <w:pStyle w:val="66"/>
      </w:pPr>
      <w:r>
        <w:t>临时苫盖措施主要用于风力侵蚀区域的土石方中转场，主要是针对风蚀及扬尘危害所采取的苫盖。根据不同的使用材料，可分为草袋苫盖、砾石苫盖、苫布苫盖、防尘网苫盖、塑料布苫盖等，拟采用防尘网进行临时苫盖。</w:t>
      </w:r>
    </w:p>
    <w:p w14:paraId="2317DAA2">
      <w:pPr>
        <w:pStyle w:val="66"/>
      </w:pPr>
      <w:r>
        <w:t>（1）适用范围</w:t>
      </w:r>
    </w:p>
    <w:p w14:paraId="14BC8889">
      <w:pPr>
        <w:pStyle w:val="66"/>
      </w:pPr>
      <w:r>
        <w:t>施工中土石方中转场的裸露地表，以及土石方转运的运输过程，均应采取临时苫盖措施。</w:t>
      </w:r>
    </w:p>
    <w:p w14:paraId="377AB4DC">
      <w:pPr>
        <w:pStyle w:val="66"/>
      </w:pPr>
      <w:r>
        <w:t>（2）使用材料</w:t>
      </w:r>
    </w:p>
    <w:p w14:paraId="3CFA6436">
      <w:pPr>
        <w:pStyle w:val="66"/>
      </w:pPr>
      <w:r>
        <w:t>有草袋、砾石、苫布、防尘网、塑料布等。</w:t>
      </w:r>
    </w:p>
    <w:p w14:paraId="66CBEA7B">
      <w:pPr>
        <w:pStyle w:val="66"/>
      </w:pPr>
      <w:r>
        <w:t>（3）设计要点</w:t>
      </w:r>
    </w:p>
    <w:p w14:paraId="524B413F">
      <w:pPr>
        <w:pStyle w:val="66"/>
      </w:pPr>
      <w:r>
        <w:t>裸露地表及土石方运输过程等，可采用土工布、塑料布，防尘网等覆盖，覆盖时注意压牢，避免覆盖物被风吹走。在投资估算重要考虑材料的重复利用和折旧率，以及苫盖材料人工费中应当包含安装与拆除两个环节。</w:t>
      </w:r>
    </w:p>
    <w:p w14:paraId="551D0CAC">
      <w:pPr>
        <w:pStyle w:val="5"/>
        <w:rPr>
          <w:color w:val="000000" w:themeColor="text1"/>
          <w14:textFill>
            <w14:solidFill>
              <w14:schemeClr w14:val="tx1"/>
            </w14:solidFill>
          </w14:textFill>
        </w:rPr>
      </w:pPr>
      <w:bookmarkStart w:id="459" w:name="5.4.5.4土石方中转场边坡及坡顶种草防护"/>
      <w:bookmarkEnd w:id="459"/>
      <w:r>
        <w:rPr>
          <w:color w:val="000000" w:themeColor="text1"/>
          <w14:textFill>
            <w14:solidFill>
              <w14:schemeClr w14:val="tx1"/>
            </w14:solidFill>
          </w14:textFill>
        </w:rPr>
        <w:t>土方中转场</w:t>
      </w:r>
      <w:r>
        <w:rPr>
          <w:rFonts w:hint="eastAsia"/>
          <w:color w:val="000000" w:themeColor="text1"/>
          <w14:textFill>
            <w14:solidFill>
              <w14:schemeClr w14:val="tx1"/>
            </w14:solidFill>
          </w14:textFill>
        </w:rPr>
        <w:t>和表土堆存场</w:t>
      </w:r>
      <w:r>
        <w:rPr>
          <w:color w:val="000000" w:themeColor="text1"/>
          <w14:textFill>
            <w14:solidFill>
              <w14:schemeClr w14:val="tx1"/>
            </w14:solidFill>
          </w14:textFill>
        </w:rPr>
        <w:t>边坡及坡顶种草防护</w:t>
      </w:r>
    </w:p>
    <w:p w14:paraId="557D72B2">
      <w:pPr>
        <w:pStyle w:val="66"/>
      </w:pPr>
      <w:r>
        <w:t>对裸露时间超过一个生长季节的</w:t>
      </w:r>
      <w:bookmarkStart w:id="460" w:name="_Hlk152172392"/>
      <w:r>
        <w:rPr>
          <w:rFonts w:hint="eastAsia"/>
        </w:rPr>
        <w:t>土方中转场和表土堆存场</w:t>
      </w:r>
      <w:bookmarkEnd w:id="460"/>
      <w:r>
        <w:t>，应采取临时绿化防护措施。临时绿化防护措施设计时要充分考虑地形条件、生产工艺、防护要求等，要在满足防护需要的同时，尽可能降低防护成本。</w:t>
      </w:r>
    </w:p>
    <w:p w14:paraId="45CBBB2E">
      <w:pPr>
        <w:pStyle w:val="66"/>
      </w:pPr>
      <w:r>
        <w:t>在条件合适的地区，对堆存时间较长的</w:t>
      </w:r>
      <w:r>
        <w:rPr>
          <w:rFonts w:hint="eastAsia"/>
        </w:rPr>
        <w:t>土方中转场和表土堆存场</w:t>
      </w:r>
      <w:r>
        <w:t>可采取临时撒播草籽的方式，既防止水土流失、美化区域环境，又可有效保存土壤中的有机养分，以达到后期利用的目的。</w:t>
      </w:r>
    </w:p>
    <w:p w14:paraId="37EBBC94">
      <w:pPr>
        <w:pStyle w:val="66"/>
      </w:pPr>
      <w:r>
        <w:t>（1）适用范围</w:t>
      </w:r>
    </w:p>
    <w:p w14:paraId="08AE74F3">
      <w:pPr>
        <w:pStyle w:val="66"/>
      </w:pPr>
      <w:r>
        <w:t>主要适用于裸露时间超过一个生长季节的</w:t>
      </w:r>
      <w:r>
        <w:rPr>
          <w:rFonts w:hint="eastAsia"/>
        </w:rPr>
        <w:t>土方中转场和表土堆存场</w:t>
      </w:r>
      <w:r>
        <w:t>。</w:t>
      </w:r>
    </w:p>
    <w:p w14:paraId="4412A4AE">
      <w:pPr>
        <w:pStyle w:val="66"/>
      </w:pPr>
      <w:r>
        <w:t>（2）设计要点</w:t>
      </w:r>
    </w:p>
    <w:p w14:paraId="0CB176B2">
      <w:pPr>
        <w:pStyle w:val="66"/>
      </w:pPr>
      <w:r>
        <w:rPr>
          <w:rFonts w:hint="eastAsia" w:ascii="宋体" w:hAnsi="宋体" w:eastAsia="宋体" w:cs="宋体"/>
        </w:rPr>
        <w:t>①</w:t>
      </w:r>
      <w:r>
        <w:t>草籽采用撒播方式，品种选取草本物种，以“适地适草”，生长迅速为原则，推荐草本有小麦、糜子、红豆草、披碱草等。</w:t>
      </w:r>
    </w:p>
    <w:p w14:paraId="0C3E0F0B">
      <w:pPr>
        <w:pStyle w:val="66"/>
      </w:pPr>
      <w:r>
        <w:rPr>
          <w:rFonts w:hint="eastAsia" w:ascii="宋体" w:hAnsi="宋体" w:eastAsia="宋体" w:cs="宋体"/>
        </w:rPr>
        <w:t>②</w:t>
      </w:r>
      <w:r>
        <w:t>种草区域应采用全面整地，使其地形符合设计要求。机械不到的地段采用人工进行细致平整。</w:t>
      </w:r>
    </w:p>
    <w:p w14:paraId="48A16C0E">
      <w:pPr>
        <w:pStyle w:val="66"/>
      </w:pPr>
      <w:r>
        <w:rPr>
          <w:rFonts w:hint="eastAsia" w:ascii="宋体" w:hAnsi="宋体" w:eastAsia="宋体" w:cs="宋体"/>
        </w:rPr>
        <w:t>③</w:t>
      </w:r>
      <w:r>
        <w:t>临时绿化防护措施施工期应选择在雨季或者雨季即将来临之前。</w:t>
      </w:r>
    </w:p>
    <w:p w14:paraId="1B171EDC">
      <w:pPr>
        <w:pStyle w:val="66"/>
      </w:pPr>
      <w:r>
        <w:rPr>
          <w:rFonts w:hint="eastAsia" w:ascii="宋体" w:hAnsi="宋体" w:eastAsia="宋体" w:cs="宋体"/>
        </w:rPr>
        <w:t>④</w:t>
      </w:r>
      <w:r>
        <w:t>撒播前，对撒播种草区域进行松土；撒播后要适当洒水，以保证土壤湿度，为草籽正常生长创造良好条件。</w:t>
      </w:r>
    </w:p>
    <w:p w14:paraId="27DC36F1">
      <w:pPr>
        <w:pStyle w:val="66"/>
      </w:pPr>
      <w:r>
        <w:rPr>
          <w:rFonts w:hint="eastAsia" w:ascii="宋体" w:hAnsi="宋体" w:eastAsia="宋体" w:cs="宋体"/>
        </w:rPr>
        <w:t>⑤</w:t>
      </w:r>
      <w:r>
        <w:t>撒播：播种以撒播为主，选择人工撒播，播撒均匀。播种选择在无风雨的天气播种。</w:t>
      </w:r>
    </w:p>
    <w:p w14:paraId="3C3178DE">
      <w:pPr>
        <w:pStyle w:val="66"/>
      </w:pPr>
      <w:r>
        <w:rPr>
          <w:rFonts w:hint="eastAsia" w:ascii="宋体" w:hAnsi="宋体" w:eastAsia="宋体" w:cs="宋体"/>
        </w:rPr>
        <w:t>⑥</w:t>
      </w:r>
      <w:r>
        <w:t>镇压、覆盖：播种后用草耙将草种耙入表土2.0～5.0cm，并用镇压机具轻轻镇压，然后做覆盖处理。</w:t>
      </w:r>
    </w:p>
    <w:p w14:paraId="0B763E92">
      <w:pPr>
        <w:pStyle w:val="3"/>
        <w:spacing w:before="120" w:after="120"/>
      </w:pPr>
      <w:bookmarkStart w:id="461" w:name="5.5水土保持措施组织实施"/>
      <w:bookmarkEnd w:id="461"/>
      <w:bookmarkStart w:id="462" w:name="_Toc152535486"/>
      <w:r>
        <w:t>水土保持措施组织实施</w:t>
      </w:r>
      <w:bookmarkEnd w:id="462"/>
    </w:p>
    <w:p w14:paraId="2AB97771">
      <w:pPr>
        <w:pStyle w:val="4"/>
        <w:spacing w:before="120" w:after="120"/>
      </w:pPr>
      <w:bookmarkStart w:id="463" w:name="5.5.1设计原则"/>
      <w:bookmarkEnd w:id="463"/>
      <w:r>
        <w:t>设计原则</w:t>
      </w:r>
    </w:p>
    <w:p w14:paraId="34D8EC1D">
      <w:pPr>
        <w:pStyle w:val="66"/>
      </w:pPr>
      <w:r>
        <w:t>与包头金山经济开发区各功能区块相配合、协调，在不影响开发区基础设施及入驻项目施工的前提下，尽可能利用开发区基础设施及入驻项目创造的水、电、交通等施工条件，减少施工辅助设施工程量。</w:t>
      </w:r>
    </w:p>
    <w:p w14:paraId="01BB714E">
      <w:pPr>
        <w:pStyle w:val="66"/>
      </w:pPr>
      <w:r>
        <w:t>按照“三同时”的原则，水土保持措施实施进度与开发区建设进度相适应，及时防治新增水土流失。</w:t>
      </w:r>
    </w:p>
    <w:p w14:paraId="51C67D15">
      <w:pPr>
        <w:pStyle w:val="66"/>
      </w:pPr>
      <w:r>
        <w:t>施工进度安排坚持“保护优先，先挡后弃、及时跟进”的原则，堆土场采取苫盖拦挡措施，待工程施工区施工完毕后，按原占地类型及时进行恢复，植物措施在整地的基础上尽快实施。</w:t>
      </w:r>
    </w:p>
    <w:p w14:paraId="551FCBB3">
      <w:pPr>
        <w:pStyle w:val="4"/>
        <w:spacing w:before="120" w:after="120"/>
      </w:pPr>
      <w:bookmarkStart w:id="464" w:name="5.5.2施工条件"/>
      <w:bookmarkEnd w:id="464"/>
      <w:r>
        <w:t>施工条件</w:t>
      </w:r>
    </w:p>
    <w:p w14:paraId="16721F83">
      <w:pPr>
        <w:pStyle w:val="66"/>
      </w:pPr>
      <w:r>
        <w:t>水土保持措施施工条件与包头金山经济开发区各功能区块相配合、协调，在不影响园区基础设施及入驻项目施工的前提下，尽可能利用园区基础设施及入驻项目创造的水、电、交通等施工条件，减少施工辅助设施工程量。</w:t>
      </w:r>
    </w:p>
    <w:p w14:paraId="214E43C1">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（1）施工交通</w:t>
      </w:r>
    </w:p>
    <w:p w14:paraId="64EC1F8C">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包头金山经济开发区所在区域运输条件较好，施工道路依托包头金山经济开发区区域内道路系统，能够满足水土保持工程施工要求。</w:t>
      </w:r>
    </w:p>
    <w:p w14:paraId="35920081">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（2）施工用水</w:t>
      </w:r>
    </w:p>
    <w:p w14:paraId="52FFF96A">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施工用电利用包头金山经济开发区内电力设施；施工用水从市政自来水管网就近接入。</w:t>
      </w:r>
    </w:p>
    <w:p w14:paraId="6AF7087C">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（3）施工场地</w:t>
      </w:r>
    </w:p>
    <w:p w14:paraId="5FB60C67">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水土保持工程施工材料仓储利用包头金山经济开发区内基础设施或入驻项目的材料仓库及施工场地，施工队伍根据包头金山经济开发区区域建设总体情况尽可能永临结合，必要时布设施工生产生活区。</w:t>
      </w:r>
    </w:p>
    <w:p w14:paraId="192CA189">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（4）材料及苗木、种子来源</w:t>
      </w:r>
    </w:p>
    <w:p w14:paraId="03C186CB">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水土保持工程所需的砂石料等就近采购，砂石料场的水土流失防治责任均由料场业主承担。所需苗木、种子均在保证质量前提下，原则上就近在当地采购。</w:t>
      </w:r>
    </w:p>
    <w:p w14:paraId="0EA84DF1">
      <w:pPr>
        <w:pStyle w:val="4"/>
        <w:spacing w:before="120" w:after="120"/>
      </w:pPr>
      <w:bookmarkStart w:id="465" w:name="5.5.3施工方法"/>
      <w:bookmarkEnd w:id="465"/>
      <w:r>
        <w:t>施工方法</w:t>
      </w:r>
    </w:p>
    <w:p w14:paraId="66598B4B">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包头金山经济开发区水土保持措施主要包括工程措施、植物措施和临时措施。工程措施主要包括土地整治、表土剥离、表土回覆、节水灌溉；植物措施包括植树和种草；临时措施包括临时排水、临时拦挡、临时苫盖、临时绿化防护措施。主要施工方法如下：</w:t>
      </w:r>
    </w:p>
    <w:p w14:paraId="258CC34C">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（1）土地整治施工</w:t>
      </w:r>
    </w:p>
    <w:p w14:paraId="645CE413">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包头金山经济开发区土地整治施工是指单项工程施工结束后，对本期建设扰动的施工迹地及时进行清理，清除地表垃圾，进行坑洼回填，主要采用75KW推土机平整土地表面，范围较窄的区域可采用人工平整，平整后的场地可布置植物措施。</w:t>
      </w:r>
    </w:p>
    <w:p w14:paraId="50D04EC1">
      <w:pPr>
        <w:pStyle w:val="66"/>
      </w:pPr>
      <w:r>
        <w:t>（2）表土剥离与回覆施工</w:t>
      </w:r>
    </w:p>
    <w:p w14:paraId="4DA24252">
      <w:pPr>
        <w:pStyle w:val="66"/>
      </w:pPr>
      <w:r>
        <w:t>为了合理地利用表土资源，工业场地平整前，对占地范围内的部分地表（可剥离表土）进行表层土的剥离，表土剥离施工应在熟悉设计文件的基础上，进行现场调查、统计、核实施工范围内的障碍物及一切需拆迁的附着物（如地下电缆、光缆、管线等），并与相关部门及时联系解决。然后进行施工测量工作，放样出清表段的逐桩边桩，并沿边线洒石灰线，同时全面复测纵横断面高程。根据施工段的工程量的实际情况、土地类型及剥离表土厚度，选择合适的施工机械（人工配合挖掘机、推土机）施工形式并去除较大的残根、石块，采用以推土机、装载机等施工机械为主、人工为辅的施工形式，对地表以下一定深度范围内耕植土进行挖除，由自卸卡车运输至表土堆放场等堆放点集中堆放，并采取临时防护措施，用于园区后期入驻企业绿化区域覆土。</w:t>
      </w:r>
    </w:p>
    <w:p w14:paraId="2D4ECF7F">
      <w:pPr>
        <w:pStyle w:val="66"/>
      </w:pPr>
      <w:r>
        <w:t>（3）节水灌溉施工</w:t>
      </w:r>
    </w:p>
    <w:p w14:paraId="59064A5A">
      <w:pPr>
        <w:pStyle w:val="66"/>
      </w:pPr>
      <w:r>
        <w:t>节水灌溉管网采用人工开挖沟槽，沟槽坡度须符合设计标准。灌溉管网设时要将插口顺水流方向，承口逆水流方向。接口时，先将承口的内壁清理干净，并在承口内壁及插口橡胶圈上涂润滑剂，然后将承插口端的中心轴线对齐。橡胶圈应放置在管道插口第二至第三根肋之间的槽内，接口时，要注意橡胶圈是否到位。</w:t>
      </w:r>
    </w:p>
    <w:p w14:paraId="2557785C">
      <w:pPr>
        <w:pStyle w:val="66"/>
      </w:pPr>
      <w:r>
        <w:t>一般到位时，插口与承口接触会发生碰撞的声音。</w:t>
      </w:r>
    </w:p>
    <w:p w14:paraId="4F88182D">
      <w:pPr>
        <w:pStyle w:val="66"/>
      </w:pPr>
      <w:r>
        <w:t>安装时不得带动已安装好的管节，务求做到相连管节对准中心，标高符合要求，管节垫实稳定，承口与插口的间隙小于规范要求，拉力放松时管节无回弹情况，若不合格则重排。</w:t>
      </w:r>
    </w:p>
    <w:p w14:paraId="17D7359A">
      <w:pPr>
        <w:pStyle w:val="66"/>
      </w:pPr>
      <w:r>
        <w:t>（4）透水（植草）砖施工</w:t>
      </w:r>
    </w:p>
    <w:p w14:paraId="5F892372">
      <w:pPr>
        <w:pStyle w:val="66"/>
      </w:pPr>
      <w:r>
        <w:t>首先进行施工放线，规划出施工范围及高程。场地整平：随开挖随人工按标高桩挂线找平，30cm以下人工找平。找平之后，使用小型压路机再次整平。分层铺筑砂石：铺筑砂石的每层厚度，一般为15cm~20cm，不宜超过30cm，分层厚度可用样桩控制。视不同条件，可选用夯实或压实的方法。大面积的砂石垫层，铺筑厚度可达35cm，宜采用6t~10t的压路机碾压。透水(植草)砖铺装：铺设时在方格网已定好的四角挂线，并每m一道，铺设方格网四周的透水(植草)砖。四周透水(植草)砖铺设后，以透水(植草)砖的横向为铺设放线，每</w:t>
      </w:r>
      <w:r>
        <w:rPr>
          <w:rFonts w:hint="eastAsia"/>
        </w:rPr>
        <w:t>米</w:t>
      </w:r>
      <w:r>
        <w:t>一道线，挂在纵向透水(植草)砖位置，分仓铺设。透水(植草)砖在铺装前，需润湿，但表面不得有水分。细石混凝土摊铺的虚铺厚度比设计要求高1cm，由于细石混凝土的粘结性有限（浆液少），在细石混凝土摊铺后，透水(植草)砖底部蘸水泥浆，在透水(植草)砖的两侧缝位置，插上5mm的塑料恰，直接用橡皮锤轻轻锤击透水(植草)砖，使其两角与砖缝对其，面层与挂线平。完成24h后洒水养护，养护2~3天，期间不得扰动已铺装的透水(植草)砖，撒细、中砂扫缝，扫缝砂必须是干砂，含泥量在1%以下。需要多次扫缝，每次扫完后，随即洒水，确保使砂能灌满缝隙，直到洒水后砂子不再下沉为止。</w:t>
      </w:r>
    </w:p>
    <w:p w14:paraId="65CA6DBF">
      <w:pPr>
        <w:pStyle w:val="66"/>
      </w:pPr>
      <w:r>
        <w:t>（5）蓄水池施工</w:t>
      </w:r>
    </w:p>
    <w:p w14:paraId="4F702807">
      <w:pPr>
        <w:pStyle w:val="66"/>
      </w:pPr>
      <w:r>
        <w:t>定位测量→土方开挖→垫层施工→蓄水池池壁及底板施工→蓄水池池壁、顶板及支柱施工→土方回填。施工流水段流程：水池底板钢筋绑扎→水池池壁、支柱竖向钢筋绑扎及预埋套管安装→水池池壁及底板模板安装→支柱底部柱脚模板安装→水池底板砼浇筑→水池池壁、支柱钢筋绑扎及预埋套管安装→水池池壁、支柱模板安装→顶板模板安装→顶板钢筋绑扎及预埋套管安装→池壁及顶板混凝土浇筑→养护→模板拆除→覆土。</w:t>
      </w:r>
    </w:p>
    <w:p w14:paraId="729C17AF">
      <w:pPr>
        <w:pStyle w:val="66"/>
      </w:pPr>
      <w:r>
        <w:t>（6）植树施工</w:t>
      </w:r>
    </w:p>
    <w:p w14:paraId="0CB8952A">
      <w:pPr>
        <w:pStyle w:val="66"/>
      </w:pPr>
      <w:r>
        <w:rPr>
          <w:rFonts w:hint="eastAsia" w:ascii="宋体" w:hAnsi="宋体" w:eastAsia="宋体" w:cs="宋体"/>
        </w:rPr>
        <w:t>①</w:t>
      </w:r>
      <w:r>
        <w:t>放线、打号：严格按照绿化工程施工图纸的布局要求，用测量仪器进行定点测量、放线，标出种植地段、位置及种植图案的轮廓。</w:t>
      </w:r>
    </w:p>
    <w:p w14:paraId="6BB8C5FE">
      <w:pPr>
        <w:pStyle w:val="66"/>
      </w:pPr>
      <w:r>
        <w:rPr>
          <w:rFonts w:hint="eastAsia" w:ascii="宋体" w:hAnsi="宋体" w:eastAsia="宋体" w:cs="宋体"/>
        </w:rPr>
        <w:t>②</w:t>
      </w:r>
      <w:r>
        <w:t>整地：穴状整地，乔木0.8m×0.8m、1.0m×1.0m，灌木0.4m×0.4m、0.6m×0.6m，（穴径×穴深）。</w:t>
      </w:r>
    </w:p>
    <w:p w14:paraId="64013358">
      <w:pPr>
        <w:pStyle w:val="66"/>
      </w:pPr>
      <w:r>
        <w:t>乔木栽植穴应比土球直径或比根系展开的范围大约40.0cm；或比放在合理深度的根部土球或根系底部深20.0cm，穴壁垂直，底部水平。</w:t>
      </w:r>
    </w:p>
    <w:p w14:paraId="0E52358A">
      <w:pPr>
        <w:pStyle w:val="66"/>
      </w:pPr>
      <w:r>
        <w:t>灌木栽植穴应比土球直径或比根系展开的范围大约30.0cm；栽植穴应有足够的深度，灌木土球或根系底部距穴底至少有15.0cm。</w:t>
      </w:r>
    </w:p>
    <w:p w14:paraId="42827CAB">
      <w:pPr>
        <w:pStyle w:val="66"/>
      </w:pPr>
      <w:r>
        <w:rPr>
          <w:rFonts w:hint="eastAsia" w:ascii="宋体" w:hAnsi="宋体" w:eastAsia="宋体" w:cs="宋体"/>
        </w:rPr>
        <w:t>③</w:t>
      </w:r>
      <w:r>
        <w:t>造林：春季或秋季，所用绿化苗木选择树形好、抗性强、无病害，根系完整的优质壮苗，常绿树种移植时带土坨。在坑穴底部铺10.0cm厩肥，深栽实埋，栽后及时灌水。栽植时将树苗扶正、栽直、踩实、灌水、再覆虚土，以利保墒。</w:t>
      </w:r>
    </w:p>
    <w:p w14:paraId="2DF15949">
      <w:pPr>
        <w:pStyle w:val="66"/>
      </w:pPr>
      <w:r>
        <w:rPr>
          <w:rFonts w:hint="eastAsia" w:ascii="宋体" w:hAnsi="宋体" w:eastAsia="宋体" w:cs="宋体"/>
        </w:rPr>
        <w:t>④</w:t>
      </w:r>
      <w:r>
        <w:t>苗木栽植：栽植进行挂线作业，做到“高低一线，左右一线”，栽植技术做到规范化。栽植时先将苗木放入穴中，理好根系，使其均匀舒展，不窝根，更不能上翘，外露，同时注意保持深度。适当深栽，超出原土2.0～3.0cm，然后分层覆土，做到“三埋两踩一提”，把肥沃的湿润土壤填于根际，提根并分层踏实。踏实后穴面可再覆一层虚土，或盖上塑料薄膜、植物茎干、碎石等，以减少土壤水分蒸发。种植宜选择在无风的阴天或多云的天气。栽植带大土球的苗木时，除防止散坨外，应去掉不宜穿透的容器，或将土球上部的麻（草）袋割开并除去，其技术与裸根栽植基本相同，覆土时应填实土坨与土壤之间的空隙。及时发现倾斜苗和根部覆盖不严苗，进行扶正和培土。植苗前检查树坑规格，然后浇灌底水，待水全部渗透后方可种植。种植后须立即浇灌定植水，定植水浇足浇透，待水全部渗下后及时覆土或封埂。及时浇水4～5天后再浇第二遍水，10天之内要浇第三遍水，干旱无雨季节，要增加浇水的次数。每次浇水后，发现土壤出现裂缝或洞穴后，及时覆土夯实。</w:t>
      </w:r>
    </w:p>
    <w:p w14:paraId="709343B7">
      <w:pPr>
        <w:pStyle w:val="66"/>
        <w:numPr>
          <w:ilvl w:val="0"/>
          <w:numId w:val="4"/>
        </w:numPr>
        <w:ind w:firstLineChars="0"/>
      </w:pPr>
      <w:r>
        <w:t>将施工过程中的各种垃圾进行及时清理，保持施工场地整洁。</w:t>
      </w:r>
    </w:p>
    <w:p w14:paraId="41F9BB2B">
      <w:pPr>
        <w:pStyle w:val="66"/>
      </w:pPr>
      <w:r>
        <w:t>（7）撒播灌木籽、草籽施工</w:t>
      </w:r>
    </w:p>
    <w:p w14:paraId="5353E711">
      <w:pPr>
        <w:pStyle w:val="66"/>
      </w:pPr>
      <w:r>
        <w:t>撒播灌木籽、草籽严格按杂物清运、场地平整、浇水、坪床、撒播、镇压覆盖、浇水、清理现场等施工工序进行施工，完工后交付管护。</w:t>
      </w:r>
    </w:p>
    <w:p w14:paraId="63EC833C">
      <w:pPr>
        <w:pStyle w:val="66"/>
      </w:pPr>
      <w:r>
        <w:rPr>
          <w:rFonts w:hint="eastAsia" w:ascii="宋体" w:hAnsi="宋体" w:eastAsia="宋体" w:cs="宋体"/>
        </w:rPr>
        <w:t>①</w:t>
      </w:r>
      <w:r>
        <w:t>杂物清运：对场地进行细致的清理，除去所有不利于植物生长的元素，如不能破碎的土块，大于25.0mm的砾石、树根、树桩和其它垃圾等用铁耙清理干净。</w:t>
      </w:r>
    </w:p>
    <w:p w14:paraId="12702898">
      <w:pPr>
        <w:pStyle w:val="66"/>
      </w:pPr>
      <w:r>
        <w:rPr>
          <w:rFonts w:hint="eastAsia" w:ascii="宋体" w:hAnsi="宋体" w:eastAsia="宋体" w:cs="宋体"/>
        </w:rPr>
        <w:t>②</w:t>
      </w:r>
      <w:r>
        <w:t>场地平整：种草区域应采用全面整地，并采用机械耙耱，使其地形符合设计要求。机械不到的地段采用人工进行细致平整。</w:t>
      </w:r>
    </w:p>
    <w:p w14:paraId="651F34DB">
      <w:pPr>
        <w:pStyle w:val="66"/>
      </w:pPr>
      <w:r>
        <w:rPr>
          <w:rFonts w:hint="eastAsia" w:ascii="宋体" w:hAnsi="宋体" w:eastAsia="宋体" w:cs="宋体"/>
        </w:rPr>
        <w:t>③</w:t>
      </w:r>
      <w:r>
        <w:t>浇水：在坪床前对植草地段浇一次透水，对草种发芽非常有利。</w:t>
      </w:r>
    </w:p>
    <w:p w14:paraId="17C0A73F">
      <w:pPr>
        <w:pStyle w:val="66"/>
      </w:pPr>
      <w:r>
        <w:rPr>
          <w:rFonts w:hint="eastAsia" w:ascii="宋体" w:hAnsi="宋体" w:eastAsia="宋体" w:cs="宋体"/>
        </w:rPr>
        <w:t>④</w:t>
      </w:r>
      <w:r>
        <w:t>撒播：播种以撒播为主，选择人工撒播，播撒均匀。播种选择在无风雨的天气播种。</w:t>
      </w:r>
    </w:p>
    <w:p w14:paraId="74200B89">
      <w:pPr>
        <w:pStyle w:val="66"/>
      </w:pPr>
      <w:r>
        <w:rPr>
          <w:rFonts w:hint="eastAsia" w:ascii="宋体" w:hAnsi="宋体" w:eastAsia="宋体" w:cs="宋体"/>
        </w:rPr>
        <w:t>⑤</w:t>
      </w:r>
      <w:r>
        <w:t>镇压、覆盖：播种后用草耙将草种耙入表土2.0～5.0cm，并用镇压机具轻轻镇压，然后做覆盖处理。</w:t>
      </w:r>
    </w:p>
    <w:p w14:paraId="35970CA9">
      <w:pPr>
        <w:pStyle w:val="66"/>
      </w:pPr>
      <w:r>
        <w:t>（8）临时措施施工</w:t>
      </w:r>
    </w:p>
    <w:p w14:paraId="7FCF22BA">
      <w:pPr>
        <w:pStyle w:val="66"/>
      </w:pPr>
      <w:r>
        <w:t>本园区临时措施包括临时拦挡、临时苫盖、临时排水、临时绿化防护措施等。彩钢板拦挡主要对施工区域周边进行拦挡，采用人工方法进行安装。防尘网苫盖应避开大风，平铺后，周边用砖头或块石压实，避免吹飞。临时排水沟一般采用人工开挖沟槽的方法，规模较大时采用人工配合机械开挖，开挖的土石方就近堆放并平整。临时沉沙池尺寸较小，可采用人工开挖，开挖的土石方就近堆放并平整。临时绿化防护主要是在临时堆土场表面、坡面等裸露区域，采用人工撒播，并覆薄层表土。</w:t>
      </w:r>
    </w:p>
    <w:p w14:paraId="7FFBB689">
      <w:pPr>
        <w:pStyle w:val="4"/>
        <w:spacing w:before="120" w:after="120"/>
      </w:pPr>
      <w:bookmarkStart w:id="466" w:name="5.5.4水土保持措施进度安排"/>
      <w:bookmarkEnd w:id="466"/>
      <w:r>
        <w:t>水土保持措施进度安排</w:t>
      </w:r>
    </w:p>
    <w:p w14:paraId="6286B906">
      <w:pPr>
        <w:pStyle w:val="66"/>
      </w:pPr>
      <w:r>
        <w:t>（1）进度安排原则</w:t>
      </w:r>
    </w:p>
    <w:p w14:paraId="03BDE581">
      <w:pPr>
        <w:pStyle w:val="66"/>
      </w:pPr>
      <w:r>
        <w:t>1）按照“三同时”的原则，水土保持措施实施进度与园区规划建设进度相适应，及时防治新增水土流失。</w:t>
      </w:r>
    </w:p>
    <w:p w14:paraId="15C603BD">
      <w:pPr>
        <w:pStyle w:val="66"/>
      </w:pPr>
      <w:r>
        <w:t>2）拦挡措施应符合“先拦后弃”的原则。</w:t>
      </w:r>
    </w:p>
    <w:p w14:paraId="0F2D0321">
      <w:pPr>
        <w:pStyle w:val="66"/>
      </w:pPr>
      <w:r>
        <w:t>3）临时占地区域使用完毕后需及时拆除并进行场地清理整治。</w:t>
      </w:r>
    </w:p>
    <w:p w14:paraId="5EB7762D">
      <w:pPr>
        <w:pStyle w:val="66"/>
      </w:pPr>
      <w:r>
        <w:t>4）植物措施应根据季节安排，在具备条件后尽快实施。</w:t>
      </w:r>
    </w:p>
    <w:p w14:paraId="1C485AF2">
      <w:pPr>
        <w:pStyle w:val="66"/>
      </w:pPr>
      <w:r>
        <w:t>5）实施进度安排要做到与园区基础设施及入驻项目建设进度匹配。</w:t>
      </w:r>
    </w:p>
    <w:p w14:paraId="2345B854">
      <w:pPr>
        <w:pStyle w:val="66"/>
      </w:pPr>
      <w:r>
        <w:t>（2）实施进度安排</w:t>
      </w:r>
    </w:p>
    <w:p w14:paraId="1A3EEF3F">
      <w:pPr>
        <w:pStyle w:val="66"/>
      </w:pPr>
      <w:r>
        <w:t>水土保持措施应当与包头金山经济开发区基础设施及入驻项目同时设计、同时施工、同时投产使用，各项水土保持防治措施与园区建设同步进行的制度，根据园区基础设施及入驻项目施工进度，确定完成全部防治工程的期限和年度安排。具体安排时，首先要安排产生水土流失重点地段的防治措施。拦挡措施和排水设施等措施在工程建设开工前布设，为使工程建设造成的水土流失得到有效的遏制，合理地安排水土保持措施施工进度，要求水土保持措施的实施与园区基础设施及入驻项目建设同时进行，施工计划与进度，以尽量减少工程建设期及自然恢复期水土流失为主要目标，考虑气温、气候、季节等自然因素，制定园区水土保持措施的实施进度计划。</w:t>
      </w:r>
    </w:p>
    <w:p w14:paraId="786162CC">
      <w:pPr>
        <w:pStyle w:val="66"/>
      </w:pPr>
      <w:r>
        <w:t>具体而言，对于包头金山经济开发区基础设施及入驻项目，其水土保持设施要与包头金山经济开发区基础设施及入驻项目同步建设；对于开挖面及临时堆土的防护工程，应在主体结构工程开工之前，先期完成；植物措施随包头金山经济开发区基础设施及入驻项目进展分区、分期实施。</w:t>
      </w:r>
    </w:p>
    <w:p w14:paraId="067282DF">
      <w:pPr>
        <w:pStyle w:val="4"/>
        <w:spacing w:before="120" w:after="120"/>
      </w:pPr>
      <w:bookmarkStart w:id="467" w:name="5.5.5水土保持措施管理维护"/>
      <w:bookmarkEnd w:id="467"/>
      <w:r>
        <w:t>水土保持措施管理维护</w:t>
      </w:r>
    </w:p>
    <w:p w14:paraId="6A0E8A03">
      <w:pPr>
        <w:pStyle w:val="66"/>
      </w:pPr>
      <w:r>
        <w:t>各项工程施工完成后，应加强后期的管护，及时对水保措施损坏部分进行修复、加固；对林草措施进行抚育，适时浇水追肥；对倒伏的灌木应及时扶正，对退化的林草措施应及时补植和更新，使其水土保持工程不断增强，以保证其水土保持功能的发挥。园区后续建设项目开工建设如有对已建水土保持措施破坏或损坏时，应尽快对原有永久措施进行修复，并达到水土保持防护效果。</w:t>
      </w:r>
    </w:p>
    <w:p w14:paraId="7490ADAC">
      <w:pPr>
        <w:pStyle w:val="44"/>
        <w:rPr>
          <w:color w:val="000000" w:themeColor="text1"/>
          <w:lang w:eastAsia="zh-CN"/>
          <w14:textFill>
            <w14:solidFill>
              <w14:schemeClr w14:val="tx1"/>
            </w14:solidFill>
          </w14:textFill>
        </w:rPr>
      </w:pPr>
    </w:p>
    <w:p w14:paraId="576302A6">
      <w:pPr>
        <w:pStyle w:val="44"/>
        <w:rPr>
          <w:color w:val="000000" w:themeColor="text1"/>
          <w:lang w:eastAsia="zh-CN"/>
          <w14:textFill>
            <w14:solidFill>
              <w14:schemeClr w14:val="tx1"/>
            </w14:solidFill>
          </w14:textFill>
        </w:rPr>
      </w:pPr>
    </w:p>
    <w:p w14:paraId="4FBA6E43">
      <w:pPr>
        <w:pStyle w:val="44"/>
        <w:rPr>
          <w:color w:val="000000" w:themeColor="text1"/>
          <w:lang w:eastAsia="zh-CN"/>
          <w14:textFill>
            <w14:solidFill>
              <w14:schemeClr w14:val="tx1"/>
            </w14:solidFill>
          </w14:textFill>
        </w:rPr>
        <w:sectPr>
          <w:headerReference r:id="rId77" w:type="default"/>
          <w:footerReference r:id="rId78" w:type="default"/>
          <w:pgSz w:w="11906" w:h="16838"/>
          <w:pgMar w:top="1418" w:right="1418" w:bottom="1418" w:left="1418" w:header="850" w:footer="850" w:gutter="0"/>
          <w:cols w:space="720" w:num="1"/>
          <w:docGrid w:linePitch="326" w:charSpace="0"/>
        </w:sectPr>
      </w:pPr>
    </w:p>
    <w:bookmarkEnd w:id="447"/>
    <w:bookmarkEnd w:id="448"/>
    <w:bookmarkEnd w:id="449"/>
    <w:bookmarkEnd w:id="450"/>
    <w:p w14:paraId="532E5BFB">
      <w:pPr>
        <w:pStyle w:val="2"/>
        <w:rPr>
          <w:color w:val="000000" w:themeColor="text1"/>
          <w14:textFill>
            <w14:solidFill>
              <w14:schemeClr w14:val="tx1"/>
            </w14:solidFill>
          </w14:textFill>
        </w:rPr>
      </w:pPr>
      <w:bookmarkStart w:id="468" w:name="_Toc4863494"/>
      <w:bookmarkEnd w:id="468"/>
      <w:bookmarkStart w:id="469" w:name="_Toc4863492"/>
      <w:bookmarkEnd w:id="469"/>
      <w:bookmarkStart w:id="470" w:name="_Toc4863491"/>
      <w:bookmarkEnd w:id="470"/>
      <w:bookmarkStart w:id="471" w:name="_Toc4863493"/>
      <w:bookmarkEnd w:id="471"/>
      <w:bookmarkStart w:id="472" w:name="_Toc88833991"/>
      <w:bookmarkStart w:id="473" w:name="_Toc55920622"/>
      <w:bookmarkStart w:id="474" w:name="_Toc85444620"/>
      <w:bookmarkStart w:id="475" w:name="_Toc177673446"/>
      <w:bookmarkStart w:id="476" w:name="_Toc85444462"/>
      <w:bookmarkStart w:id="477" w:name="_Toc5480402"/>
      <w:bookmarkStart w:id="478" w:name="_Toc88821230"/>
      <w:bookmarkStart w:id="479" w:name="_Toc184972978"/>
      <w:bookmarkStart w:id="480" w:name="_Toc85444738"/>
      <w:bookmarkStart w:id="481" w:name="_Toc152535487"/>
      <w:bookmarkStart w:id="482" w:name="_Toc185297781"/>
      <w:bookmarkStart w:id="483" w:name="_Toc177388979"/>
      <w:bookmarkStart w:id="484" w:name="_Toc173829382"/>
      <w:bookmarkStart w:id="485" w:name="_Toc177552525"/>
      <w:bookmarkStart w:id="486" w:name="_Toc174270591"/>
      <w:r>
        <w:rPr>
          <w:color w:val="000000" w:themeColor="text1"/>
          <w14:textFill>
            <w14:solidFill>
              <w14:schemeClr w14:val="tx1"/>
            </w14:solidFill>
          </w14:textFill>
        </w:rPr>
        <w:t>水土保持监测</w:t>
      </w:r>
      <w:bookmarkEnd w:id="472"/>
      <w:bookmarkEnd w:id="473"/>
      <w:bookmarkEnd w:id="474"/>
      <w:bookmarkEnd w:id="475"/>
      <w:bookmarkEnd w:id="476"/>
      <w:bookmarkEnd w:id="477"/>
      <w:bookmarkEnd w:id="478"/>
      <w:bookmarkEnd w:id="479"/>
      <w:bookmarkEnd w:id="480"/>
      <w:bookmarkEnd w:id="481"/>
      <w:bookmarkEnd w:id="482"/>
      <w:bookmarkStart w:id="487" w:name="_Toc177673447"/>
    </w:p>
    <w:bookmarkEnd w:id="487"/>
    <w:p w14:paraId="1354B725">
      <w:pPr>
        <w:pStyle w:val="3"/>
        <w:spacing w:before="120" w:after="120"/>
      </w:pPr>
      <w:bookmarkStart w:id="488" w:name="_Toc5480403"/>
      <w:bookmarkStart w:id="489" w:name="_Toc88833992"/>
      <w:bookmarkStart w:id="490" w:name="_Toc85444463"/>
      <w:bookmarkStart w:id="491" w:name="_Toc85444621"/>
      <w:bookmarkStart w:id="492" w:name="_Toc85444739"/>
      <w:bookmarkStart w:id="493" w:name="_Toc152535488"/>
      <w:bookmarkStart w:id="494" w:name="_Toc88821231"/>
      <w:bookmarkStart w:id="495" w:name="_Toc55920623"/>
      <w:r>
        <w:t>监测范围及时段</w:t>
      </w:r>
      <w:bookmarkEnd w:id="488"/>
      <w:bookmarkEnd w:id="489"/>
      <w:bookmarkEnd w:id="490"/>
      <w:bookmarkEnd w:id="491"/>
      <w:bookmarkEnd w:id="492"/>
      <w:bookmarkEnd w:id="493"/>
      <w:bookmarkEnd w:id="494"/>
      <w:bookmarkEnd w:id="495"/>
    </w:p>
    <w:p w14:paraId="41A54CB8">
      <w:pPr>
        <w:pStyle w:val="4"/>
        <w:spacing w:before="120" w:after="120"/>
      </w:pPr>
      <w:bookmarkStart w:id="496" w:name="_Toc85444622"/>
      <w:bookmarkStart w:id="497" w:name="_Toc177673448"/>
      <w:bookmarkStart w:id="498" w:name="_Toc185297783"/>
      <w:bookmarkStart w:id="499" w:name="_Toc184972980"/>
      <w:r>
        <w:t>监测范围</w:t>
      </w:r>
      <w:bookmarkEnd w:id="496"/>
    </w:p>
    <w:p w14:paraId="391F45E0">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按照《生产建设项目水土保持监测规程（试行）》，水土保持监测范围为水土流失防治责任范围，根据本项目特点及水土流失防治分区结果，监测分区分为地块1（金山产业园北区）和</w:t>
      </w:r>
      <w:r>
        <w:rPr>
          <w:rFonts w:hint="eastAsia" w:cs="Times New Roman"/>
          <w:color w:val="000000" w:themeColor="text1"/>
          <w14:textFill>
            <w14:solidFill>
              <w14:schemeClr w14:val="tx1"/>
            </w14:solidFill>
          </w14:textFill>
        </w:rPr>
        <w:t>地块2（</w:t>
      </w:r>
      <w:r>
        <w:rPr>
          <w:rFonts w:cs="Times New Roman"/>
          <w:color w:val="000000" w:themeColor="text1"/>
          <w14:textFill>
            <w14:solidFill>
              <w14:schemeClr w14:val="tx1"/>
            </w14:solidFill>
          </w14:textFill>
        </w:rPr>
        <w:t>下湿壕</w:t>
      </w:r>
      <w:r>
        <w:rPr>
          <w:rFonts w:hint="eastAsia" w:cs="Times New Roman"/>
          <w:color w:val="000000" w:themeColor="text1"/>
          <w14:textFill>
            <w14:solidFill>
              <w14:schemeClr w14:val="tx1"/>
            </w14:solidFill>
          </w14:textFill>
        </w:rPr>
        <w:t>片</w:t>
      </w:r>
      <w:r>
        <w:rPr>
          <w:rFonts w:cs="Times New Roman"/>
          <w:color w:val="000000" w:themeColor="text1"/>
          <w14:textFill>
            <w14:solidFill>
              <w14:schemeClr w14:val="tx1"/>
            </w14:solidFill>
          </w14:textFill>
        </w:rPr>
        <w:t>区</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两个一级分区。其中，地块1（金山产业园北区）又分为公共管理与公共服务用地、商业服务业用地、工矿用地、交通运输用地、公用设施用地、绿地与开敞空间用地6个二级分区，</w:t>
      </w:r>
      <w:r>
        <w:rPr>
          <w:rFonts w:hint="eastAsia" w:cs="Times New Roman"/>
          <w:color w:val="000000" w:themeColor="text1"/>
          <w14:textFill>
            <w14:solidFill>
              <w14:schemeClr w14:val="tx1"/>
            </w14:solidFill>
          </w14:textFill>
        </w:rPr>
        <w:t>地块2（</w:t>
      </w:r>
      <w:r>
        <w:rPr>
          <w:rFonts w:cs="Times New Roman"/>
          <w:color w:val="000000" w:themeColor="text1"/>
          <w14:textFill>
            <w14:solidFill>
              <w14:schemeClr w14:val="tx1"/>
            </w14:solidFill>
          </w14:textFill>
        </w:rPr>
        <w:t>下湿壕</w:t>
      </w:r>
      <w:r>
        <w:rPr>
          <w:rFonts w:hint="eastAsia" w:cs="Times New Roman"/>
          <w:color w:val="000000" w:themeColor="text1"/>
          <w14:textFill>
            <w14:solidFill>
              <w14:schemeClr w14:val="tx1"/>
            </w14:solidFill>
          </w14:textFill>
        </w:rPr>
        <w:t>片</w:t>
      </w:r>
      <w:r>
        <w:rPr>
          <w:rFonts w:cs="Times New Roman"/>
          <w:color w:val="000000" w:themeColor="text1"/>
          <w14:textFill>
            <w14:solidFill>
              <w14:schemeClr w14:val="tx1"/>
            </w14:solidFill>
          </w14:textFill>
        </w:rPr>
        <w:t>区</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分为工矿用地、交通运输用地、绿地与开敞空间用地和陆地水域4个二级分区。园区水土保持监测面积共计1267.72hm²。目前，园区内已完成水保监测项目有</w:t>
      </w:r>
      <w:r>
        <w:rPr>
          <w:rFonts w:hint="eastAsia" w:cs="Times New Roman"/>
          <w:color w:val="000000" w:themeColor="text1"/>
          <w14:textFill>
            <w14:solidFill>
              <w14:schemeClr w14:val="tx1"/>
            </w14:solidFill>
          </w14:textFill>
        </w:rPr>
        <w:t>6</w:t>
      </w:r>
      <w:r>
        <w:rPr>
          <w:rFonts w:cs="Times New Roman"/>
          <w:color w:val="000000" w:themeColor="text1"/>
          <w14:textFill>
            <w14:solidFill>
              <w14:schemeClr w14:val="tx1"/>
            </w14:solidFill>
          </w14:textFill>
        </w:rPr>
        <w:t>个，完成监测范围169.38hm²，并已通过水土保持设施竣工验收，监测项目情况见表1-8。</w:t>
      </w:r>
    </w:p>
    <w:p w14:paraId="590B89F7">
      <w:pPr>
        <w:pStyle w:val="4"/>
        <w:spacing w:before="120" w:after="120"/>
      </w:pPr>
      <w:bookmarkStart w:id="500" w:name="_Toc85444623"/>
      <w:r>
        <w:t>监测时段</w:t>
      </w:r>
      <w:bookmarkEnd w:id="500"/>
    </w:p>
    <w:p w14:paraId="10B4FE38">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w:t>
      </w:r>
      <w:bookmarkStart w:id="501" w:name="_Hlk85785741"/>
      <w:r>
        <w:rPr>
          <w:rFonts w:cs="Times New Roman"/>
          <w:color w:val="000000" w:themeColor="text1"/>
          <w14:textFill>
            <w14:solidFill>
              <w14:schemeClr w14:val="tx1"/>
            </w14:solidFill>
          </w14:textFill>
        </w:rPr>
        <w:t>《包头金山工业园区总体规划（2023—2035）》工作进度安排，园区监测时段为规划期（2023年-2035年）。</w:t>
      </w:r>
      <w:bookmarkEnd w:id="501"/>
      <w:bookmarkStart w:id="502" w:name="_Toc85444740"/>
      <w:bookmarkStart w:id="503" w:name="_Toc55920624"/>
      <w:bookmarkStart w:id="504" w:name="_Toc88821232"/>
      <w:bookmarkStart w:id="505" w:name="_Toc85444624"/>
      <w:bookmarkStart w:id="506" w:name="_Toc88833993"/>
      <w:bookmarkStart w:id="507" w:name="_Toc5480404"/>
      <w:bookmarkStart w:id="508" w:name="_Toc85444464"/>
    </w:p>
    <w:p w14:paraId="142E31A5">
      <w:pPr>
        <w:pStyle w:val="3"/>
        <w:spacing w:before="120" w:after="120"/>
      </w:pPr>
      <w:bookmarkStart w:id="509" w:name="_Toc152535489"/>
      <w:r>
        <w:t>监测内容及方法</w:t>
      </w:r>
      <w:bookmarkEnd w:id="502"/>
      <w:bookmarkEnd w:id="503"/>
      <w:bookmarkEnd w:id="504"/>
      <w:bookmarkEnd w:id="505"/>
      <w:bookmarkEnd w:id="506"/>
      <w:bookmarkEnd w:id="507"/>
      <w:bookmarkEnd w:id="508"/>
      <w:bookmarkEnd w:id="509"/>
    </w:p>
    <w:p w14:paraId="77799216">
      <w:pPr>
        <w:pStyle w:val="4"/>
        <w:spacing w:before="120" w:after="120"/>
      </w:pPr>
      <w:bookmarkStart w:id="510" w:name="_Toc85444625"/>
      <w:r>
        <w:t>监测内容</w:t>
      </w:r>
      <w:bookmarkEnd w:id="510"/>
    </w:p>
    <w:p w14:paraId="6B02C1C7">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依据《区域水土流失动态监测技术规定》、《水利部办公厅关于进一步加强生产建设项目水土保持监测工作的通知》（办水保〔2020〕161号）、《生产建设项目水土保持监测与评价标准》（GB/T51240-2018）的要求，结本项工程的实际情况确定不同监测时段的监测内容。</w:t>
      </w:r>
      <w:r>
        <w:rPr>
          <w:rFonts w:hint="eastAsia" w:ascii="Times New Roman" w:hAnsi="Times New Roman" w:eastAsia="仿宋_GB2312"/>
          <w:color w:val="000000" w:themeColor="text1"/>
          <w14:textFill>
            <w14:solidFill>
              <w14:schemeClr w14:val="tx1"/>
            </w14:solidFill>
          </w14:textFill>
        </w:rPr>
        <w:t>生产建设项目水土保持监测的内容主要包括项目施工全过程各阶段扰动土地情况、水土流失状况、防治成效及水土流失危害等方面。其中：</w:t>
      </w:r>
    </w:p>
    <w:p w14:paraId="72235D7B">
      <w:pPr>
        <w:pStyle w:val="12"/>
        <w:ind w:firstLine="480"/>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w:t>在扰动土地方面，应重点监测实际发生的永久和临时占地、扰动地表植被面积、永久和临时弃渣量及变化情况等;</w:t>
      </w:r>
    </w:p>
    <w:p w14:paraId="30AE6502">
      <w:pPr>
        <w:pStyle w:val="12"/>
        <w:ind w:firstLine="480"/>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w:t>在水土流失状况方面，应重点监测实际造成的水土流失面积分布、土壤流失量及变化情况等;</w:t>
      </w:r>
    </w:p>
    <w:p w14:paraId="75DEE20C">
      <w:pPr>
        <w:pStyle w:val="12"/>
        <w:ind w:firstLine="480"/>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w:t>在水土流失防治成效方面，应重点监测实际采取水保持工程、植物和临时措施的位置、数量，以及实施水保持措施前后的防治效果对比情况等;</w:t>
      </w:r>
    </w:p>
    <w:p w14:paraId="21D17501">
      <w:pPr>
        <w:pStyle w:val="12"/>
        <w:ind w:firstLine="480"/>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w:t>在水土流失危害方面，应重点监测水土流失对主体工程、周边重要设施等造成的影响及危害等。</w:t>
      </w:r>
    </w:p>
    <w:p w14:paraId="02423A27">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具体监测内容与方法详见表6-1。</w:t>
      </w:r>
    </w:p>
    <w:p w14:paraId="6A43289C">
      <w:pPr>
        <w:pStyle w:val="44"/>
        <w:rPr>
          <w:color w:val="000000" w:themeColor="text1"/>
          <w:spacing w:val="-10"/>
          <w:lang w:eastAsia="zh-CN"/>
          <w14:textFill>
            <w14:solidFill>
              <w14:schemeClr w14:val="tx1"/>
            </w14:solidFill>
          </w14:textFill>
        </w:rPr>
      </w:pPr>
      <w:r>
        <w:rPr>
          <w:color w:val="000000" w:themeColor="text1"/>
          <w:lang w:eastAsia="zh-CN"/>
          <w14:textFill>
            <w14:solidFill>
              <w14:schemeClr w14:val="tx1"/>
            </w14:solidFill>
          </w14:textFill>
        </w:rPr>
        <w:t>表6-</w:t>
      </w:r>
      <w:r>
        <w:rPr>
          <w:color w:val="000000" w:themeColor="text1"/>
          <w:spacing w:val="-12"/>
          <w:lang w:eastAsia="zh-CN"/>
          <w14:textFill>
            <w14:solidFill>
              <w14:schemeClr w14:val="tx1"/>
            </w14:solidFill>
          </w14:textFill>
        </w:rPr>
        <w:t>1</w:t>
      </w:r>
      <w:r>
        <w:rPr>
          <w:color w:val="000000" w:themeColor="text1"/>
          <w:lang w:eastAsia="zh-CN"/>
          <w14:textFill>
            <w14:solidFill>
              <w14:schemeClr w14:val="tx1"/>
            </w14:solidFill>
          </w14:textFill>
        </w:rPr>
        <w:t xml:space="preserve">                                  水土保持监测内容与方</w:t>
      </w:r>
      <w:r>
        <w:rPr>
          <w:color w:val="000000" w:themeColor="text1"/>
          <w:spacing w:val="-10"/>
          <w:lang w:eastAsia="zh-CN"/>
          <w14:textFill>
            <w14:solidFill>
              <w14:schemeClr w14:val="tx1"/>
            </w14:solidFill>
          </w14:textFill>
        </w:rPr>
        <w:t>法</w:t>
      </w:r>
    </w:p>
    <w:tbl>
      <w:tblPr>
        <w:tblStyle w:val="14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190"/>
        <w:gridCol w:w="1205"/>
        <w:gridCol w:w="1422"/>
        <w:gridCol w:w="3584"/>
        <w:gridCol w:w="1689"/>
      </w:tblGrid>
      <w:tr w14:paraId="115B48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0" w:type="auto"/>
            <w:tcBorders>
              <w:bottom w:val="double" w:color="auto" w:sz="4" w:space="0"/>
            </w:tcBorders>
            <w:vAlign w:val="center"/>
          </w:tcPr>
          <w:p w14:paraId="393211F5">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4"/>
                <w:sz w:val="21"/>
                <w:szCs w:val="21"/>
                <w:lang w:eastAsia="en-US"/>
                <w14:textFill>
                  <w14:solidFill>
                    <w14:schemeClr w14:val="tx1"/>
                  </w14:solidFill>
                </w14:textFill>
              </w:rPr>
              <w:t>监测期</w:t>
            </w:r>
          </w:p>
        </w:tc>
        <w:tc>
          <w:tcPr>
            <w:tcW w:w="0" w:type="auto"/>
            <w:tcBorders>
              <w:bottom w:val="double" w:color="auto" w:sz="4" w:space="0"/>
            </w:tcBorders>
            <w:vAlign w:val="center"/>
          </w:tcPr>
          <w:p w14:paraId="68D60287">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监测内容</w:t>
            </w:r>
          </w:p>
        </w:tc>
        <w:tc>
          <w:tcPr>
            <w:tcW w:w="0" w:type="auto"/>
            <w:tcBorders>
              <w:bottom w:val="double" w:color="auto" w:sz="4" w:space="0"/>
            </w:tcBorders>
            <w:vAlign w:val="center"/>
          </w:tcPr>
          <w:p w14:paraId="14FA72AD">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监测要素</w:t>
            </w:r>
          </w:p>
        </w:tc>
        <w:tc>
          <w:tcPr>
            <w:tcW w:w="3584" w:type="dxa"/>
            <w:tcBorders>
              <w:bottom w:val="double" w:color="auto" w:sz="4" w:space="0"/>
            </w:tcBorders>
            <w:vAlign w:val="center"/>
          </w:tcPr>
          <w:p w14:paraId="66ECE7EE">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监测指标</w:t>
            </w:r>
          </w:p>
        </w:tc>
        <w:tc>
          <w:tcPr>
            <w:tcW w:w="1689" w:type="dxa"/>
            <w:tcBorders>
              <w:bottom w:val="double" w:color="auto" w:sz="4" w:space="0"/>
            </w:tcBorders>
            <w:vAlign w:val="center"/>
          </w:tcPr>
          <w:p w14:paraId="71254384">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6"/>
                <w:sz w:val="21"/>
                <w:szCs w:val="21"/>
                <w:lang w:eastAsia="en-US"/>
                <w14:textFill>
                  <w14:solidFill>
                    <w14:schemeClr w14:val="tx1"/>
                  </w14:solidFill>
                </w14:textFill>
              </w:rPr>
              <w:t>监测</w:t>
            </w:r>
            <w:r>
              <w:rPr>
                <w:rFonts w:ascii="Times New Roman" w:hAnsi="Times New Roman" w:eastAsia="仿宋_GB2312" w:cs="Times New Roman"/>
                <w:color w:val="000000" w:themeColor="text1"/>
                <w:spacing w:val="-5"/>
                <w:sz w:val="21"/>
                <w:szCs w:val="21"/>
                <w:lang w:eastAsia="en-US"/>
                <w14:textFill>
                  <w14:solidFill>
                    <w14:schemeClr w14:val="tx1"/>
                  </w14:solidFill>
                </w14:textFill>
              </w:rPr>
              <w:t>方法</w:t>
            </w:r>
          </w:p>
        </w:tc>
      </w:tr>
      <w:tr w14:paraId="341F98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0" w:type="auto"/>
            <w:vMerge w:val="restart"/>
            <w:tcBorders>
              <w:top w:val="double" w:color="auto" w:sz="4" w:space="0"/>
            </w:tcBorders>
            <w:vAlign w:val="center"/>
          </w:tcPr>
          <w:p w14:paraId="2856E40B">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4"/>
                <w:sz w:val="21"/>
                <w:szCs w:val="21"/>
                <w:lang w:eastAsia="en-US"/>
                <w14:textFill>
                  <w14:solidFill>
                    <w14:schemeClr w14:val="tx1"/>
                  </w14:solidFill>
                </w14:textFill>
              </w:rPr>
              <w:t>规划期</w:t>
            </w:r>
            <w:r>
              <w:rPr>
                <w:rFonts w:ascii="Times New Roman" w:hAnsi="Times New Roman" w:eastAsia="仿宋_GB2312" w:cs="Times New Roman"/>
                <w:color w:val="000000" w:themeColor="text1"/>
                <w:spacing w:val="-2"/>
                <w:sz w:val="21"/>
                <w:szCs w:val="21"/>
                <w:lang w:eastAsia="en-US"/>
                <w14:textFill>
                  <w14:solidFill>
                    <w14:schemeClr w14:val="tx1"/>
                  </w14:solidFill>
                </w14:textFill>
              </w:rPr>
              <w:t>（2023-2</w:t>
            </w:r>
            <w:r>
              <w:rPr>
                <w:rFonts w:ascii="Times New Roman" w:hAnsi="Times New Roman" w:eastAsia="仿宋_GB2312" w:cs="Times New Roman"/>
                <w:color w:val="000000" w:themeColor="text1"/>
                <w:spacing w:val="-4"/>
                <w:sz w:val="21"/>
                <w:szCs w:val="21"/>
                <w:lang w:eastAsia="en-US"/>
                <w14:textFill>
                  <w14:solidFill>
                    <w14:schemeClr w14:val="tx1"/>
                  </w14:solidFill>
                </w14:textFill>
              </w:rPr>
              <w:t>035）</w:t>
            </w:r>
          </w:p>
        </w:tc>
        <w:tc>
          <w:tcPr>
            <w:tcW w:w="0" w:type="auto"/>
            <w:vMerge w:val="restart"/>
            <w:tcBorders>
              <w:top w:val="double" w:color="auto" w:sz="4" w:space="0"/>
            </w:tcBorders>
            <w:vAlign w:val="center"/>
          </w:tcPr>
          <w:p w14:paraId="6BEFC473">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4"/>
                <w:sz w:val="21"/>
                <w:szCs w:val="21"/>
                <w:lang w:eastAsia="en-US"/>
                <w14:textFill>
                  <w14:solidFill>
                    <w14:schemeClr w14:val="tx1"/>
                  </w14:solidFill>
                </w14:textFill>
              </w:rPr>
              <w:t>水土流失背景值</w:t>
            </w:r>
          </w:p>
        </w:tc>
        <w:tc>
          <w:tcPr>
            <w:tcW w:w="0" w:type="auto"/>
            <w:tcBorders>
              <w:top w:val="double" w:color="auto" w:sz="4" w:space="0"/>
            </w:tcBorders>
            <w:vAlign w:val="center"/>
          </w:tcPr>
          <w:p w14:paraId="111D24DA">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地理位置</w:t>
            </w:r>
          </w:p>
        </w:tc>
        <w:tc>
          <w:tcPr>
            <w:tcW w:w="3584" w:type="dxa"/>
            <w:tcBorders>
              <w:top w:val="double" w:color="auto" w:sz="4" w:space="0"/>
            </w:tcBorders>
            <w:vAlign w:val="center"/>
          </w:tcPr>
          <w:p w14:paraId="4E70F1F7">
            <w:pPr>
              <w:pStyle w:val="142"/>
              <w:adjustRightInd w:val="0"/>
              <w:snapToGrid w:val="0"/>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行政区划位置、地理坐标</w:t>
            </w:r>
          </w:p>
        </w:tc>
        <w:tc>
          <w:tcPr>
            <w:tcW w:w="1689" w:type="dxa"/>
            <w:vMerge w:val="restart"/>
            <w:tcBorders>
              <w:top w:val="double" w:color="auto" w:sz="4" w:space="0"/>
            </w:tcBorders>
            <w:vAlign w:val="center"/>
          </w:tcPr>
          <w:p w14:paraId="0BBFDB86">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调查监测、</w:t>
            </w:r>
            <w:r>
              <w:rPr>
                <w:rFonts w:ascii="Times New Roman" w:hAnsi="Times New Roman" w:eastAsia="仿宋_GB2312" w:cs="Times New Roman"/>
                <w:color w:val="000000" w:themeColor="text1"/>
                <w:spacing w:val="-4"/>
                <w:sz w:val="21"/>
                <w:szCs w:val="21"/>
                <w:lang w:eastAsia="en-US"/>
                <w14:textFill>
                  <w14:solidFill>
                    <w14:schemeClr w14:val="tx1"/>
                  </w14:solidFill>
                </w14:textFill>
              </w:rPr>
              <w:t>无人机</w:t>
            </w:r>
          </w:p>
        </w:tc>
      </w:tr>
      <w:tr w14:paraId="4CC4AC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0" w:type="auto"/>
            <w:vMerge w:val="continue"/>
            <w:tcBorders>
              <w:top w:val="nil"/>
            </w:tcBorders>
            <w:vAlign w:val="center"/>
          </w:tcPr>
          <w:p w14:paraId="185CAEAE">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0" w:type="auto"/>
            <w:vMerge w:val="continue"/>
            <w:tcBorders>
              <w:top w:val="nil"/>
            </w:tcBorders>
            <w:vAlign w:val="center"/>
          </w:tcPr>
          <w:p w14:paraId="1FFF0B38">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0" w:type="auto"/>
            <w:vAlign w:val="center"/>
          </w:tcPr>
          <w:p w14:paraId="617590E3">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地形地貌</w:t>
            </w:r>
          </w:p>
        </w:tc>
        <w:tc>
          <w:tcPr>
            <w:tcW w:w="3584" w:type="dxa"/>
            <w:vAlign w:val="center"/>
          </w:tcPr>
          <w:p w14:paraId="1A53FDC4">
            <w:pPr>
              <w:pStyle w:val="142"/>
              <w:adjustRightInd w:val="0"/>
              <w:snapToGrid w:val="0"/>
              <w:jc w:val="left"/>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地貌类型、微地貌组成、地面坡度、地面高程</w:t>
            </w:r>
          </w:p>
        </w:tc>
        <w:tc>
          <w:tcPr>
            <w:tcW w:w="1689" w:type="dxa"/>
            <w:vMerge w:val="continue"/>
            <w:tcBorders>
              <w:top w:val="nil"/>
            </w:tcBorders>
            <w:vAlign w:val="center"/>
          </w:tcPr>
          <w:p w14:paraId="780CE5C3">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r>
      <w:tr w14:paraId="57624B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0" w:type="auto"/>
            <w:vMerge w:val="continue"/>
            <w:tcBorders>
              <w:top w:val="nil"/>
            </w:tcBorders>
            <w:vAlign w:val="center"/>
          </w:tcPr>
          <w:p w14:paraId="52318986">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Merge w:val="continue"/>
            <w:tcBorders>
              <w:top w:val="nil"/>
            </w:tcBorders>
            <w:vAlign w:val="center"/>
          </w:tcPr>
          <w:p w14:paraId="1A70985E">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Align w:val="center"/>
          </w:tcPr>
          <w:p w14:paraId="1BF37120">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气候因子</w:t>
            </w:r>
          </w:p>
        </w:tc>
        <w:tc>
          <w:tcPr>
            <w:tcW w:w="3584" w:type="dxa"/>
            <w:vAlign w:val="center"/>
          </w:tcPr>
          <w:p w14:paraId="08FE50CF">
            <w:pPr>
              <w:pStyle w:val="142"/>
              <w:adjustRightInd w:val="0"/>
              <w:snapToGrid w:val="0"/>
              <w:jc w:val="left"/>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2"/>
                <w:sz w:val="21"/>
                <w:szCs w:val="21"/>
                <w:lang w:eastAsia="zh-CN"/>
                <w14:textFill>
                  <w14:solidFill>
                    <w14:schemeClr w14:val="tx1"/>
                  </w14:solidFill>
                </w14:textFill>
              </w:rPr>
              <w:t>气候类型、降水量及变化极值、气温、风速、日照、温度、沙尘、蒸发量、主导风向等</w:t>
            </w:r>
          </w:p>
        </w:tc>
        <w:tc>
          <w:tcPr>
            <w:tcW w:w="1689" w:type="dxa"/>
            <w:vMerge w:val="continue"/>
            <w:tcBorders>
              <w:top w:val="nil"/>
            </w:tcBorders>
            <w:vAlign w:val="center"/>
          </w:tcPr>
          <w:p w14:paraId="708713F3">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r>
      <w:tr w14:paraId="71DA25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0" w:type="auto"/>
            <w:vMerge w:val="continue"/>
            <w:tcBorders>
              <w:top w:val="nil"/>
            </w:tcBorders>
            <w:vAlign w:val="center"/>
          </w:tcPr>
          <w:p w14:paraId="723CADB0">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Merge w:val="continue"/>
            <w:tcBorders>
              <w:top w:val="nil"/>
            </w:tcBorders>
            <w:vAlign w:val="center"/>
          </w:tcPr>
          <w:p w14:paraId="4B3FE74A">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Align w:val="center"/>
          </w:tcPr>
          <w:p w14:paraId="36B30711">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水文</w:t>
            </w:r>
          </w:p>
        </w:tc>
        <w:tc>
          <w:tcPr>
            <w:tcW w:w="3584" w:type="dxa"/>
            <w:vAlign w:val="center"/>
          </w:tcPr>
          <w:p w14:paraId="23A37587">
            <w:pPr>
              <w:pStyle w:val="142"/>
              <w:adjustRightInd w:val="0"/>
              <w:snapToGrid w:val="0"/>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主要河流、沟壑及其水量、最高洪水位</w:t>
            </w:r>
          </w:p>
        </w:tc>
        <w:tc>
          <w:tcPr>
            <w:tcW w:w="1689" w:type="dxa"/>
            <w:vMerge w:val="continue"/>
            <w:tcBorders>
              <w:top w:val="nil"/>
            </w:tcBorders>
            <w:vAlign w:val="center"/>
          </w:tcPr>
          <w:p w14:paraId="0C188DD6">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r>
      <w:tr w14:paraId="1984BC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0" w:type="auto"/>
            <w:vMerge w:val="continue"/>
            <w:tcBorders>
              <w:top w:val="nil"/>
            </w:tcBorders>
            <w:vAlign w:val="center"/>
          </w:tcPr>
          <w:p w14:paraId="37722A03">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Merge w:val="continue"/>
            <w:tcBorders>
              <w:top w:val="nil"/>
            </w:tcBorders>
            <w:vAlign w:val="center"/>
          </w:tcPr>
          <w:p w14:paraId="0759BD23">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Align w:val="center"/>
          </w:tcPr>
          <w:p w14:paraId="166383D1">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植被</w:t>
            </w:r>
          </w:p>
        </w:tc>
        <w:tc>
          <w:tcPr>
            <w:tcW w:w="3584" w:type="dxa"/>
            <w:vAlign w:val="center"/>
          </w:tcPr>
          <w:p w14:paraId="59427517">
            <w:pPr>
              <w:pStyle w:val="142"/>
              <w:adjustRightInd w:val="0"/>
              <w:snapToGrid w:val="0"/>
              <w:jc w:val="left"/>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植被类型区、植被类型、植物种类组成林草覆盖率</w:t>
            </w:r>
          </w:p>
        </w:tc>
        <w:tc>
          <w:tcPr>
            <w:tcW w:w="1689" w:type="dxa"/>
            <w:vMerge w:val="continue"/>
            <w:tcBorders>
              <w:top w:val="nil"/>
            </w:tcBorders>
            <w:vAlign w:val="center"/>
          </w:tcPr>
          <w:p w14:paraId="3487F813">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r>
      <w:tr w14:paraId="73F342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0" w:type="auto"/>
            <w:vMerge w:val="continue"/>
            <w:tcBorders>
              <w:top w:val="nil"/>
            </w:tcBorders>
            <w:vAlign w:val="center"/>
          </w:tcPr>
          <w:p w14:paraId="714257B3">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Merge w:val="continue"/>
            <w:tcBorders>
              <w:top w:val="nil"/>
            </w:tcBorders>
            <w:vAlign w:val="center"/>
          </w:tcPr>
          <w:p w14:paraId="74EA9229">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Align w:val="center"/>
          </w:tcPr>
          <w:p w14:paraId="1C0958A5">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土壤</w:t>
            </w:r>
          </w:p>
        </w:tc>
        <w:tc>
          <w:tcPr>
            <w:tcW w:w="3584" w:type="dxa"/>
            <w:vAlign w:val="center"/>
          </w:tcPr>
          <w:p w14:paraId="6068A5C4">
            <w:pPr>
              <w:pStyle w:val="142"/>
              <w:adjustRightInd w:val="0"/>
              <w:snapToGrid w:val="0"/>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2"/>
                <w:sz w:val="21"/>
                <w:szCs w:val="21"/>
                <w:lang w:eastAsia="zh-CN"/>
                <w14:textFill>
                  <w14:solidFill>
                    <w14:schemeClr w14:val="tx1"/>
                  </w14:solidFill>
                </w14:textFill>
              </w:rPr>
              <w:t>土壤类型与面积、土层厚度、有机质含量、土壤抗蚀</w:t>
            </w:r>
            <w:r>
              <w:rPr>
                <w:rFonts w:ascii="Times New Roman" w:hAnsi="Times New Roman" w:eastAsia="仿宋_GB2312" w:cs="Times New Roman"/>
                <w:color w:val="000000" w:themeColor="text1"/>
                <w:spacing w:val="-10"/>
                <w:sz w:val="21"/>
                <w:szCs w:val="21"/>
                <w:lang w:eastAsia="zh-CN"/>
                <w14:textFill>
                  <w14:solidFill>
                    <w14:schemeClr w14:val="tx1"/>
                  </w14:solidFill>
                </w14:textFill>
              </w:rPr>
              <w:t>性</w:t>
            </w:r>
          </w:p>
        </w:tc>
        <w:tc>
          <w:tcPr>
            <w:tcW w:w="1689" w:type="dxa"/>
            <w:vMerge w:val="continue"/>
            <w:tcBorders>
              <w:top w:val="nil"/>
            </w:tcBorders>
            <w:vAlign w:val="center"/>
          </w:tcPr>
          <w:p w14:paraId="5A8176B1">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r>
      <w:tr w14:paraId="7968C9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0" w:type="auto"/>
            <w:vMerge w:val="continue"/>
            <w:tcBorders>
              <w:top w:val="nil"/>
            </w:tcBorders>
            <w:vAlign w:val="center"/>
          </w:tcPr>
          <w:p w14:paraId="3144D8C3">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Merge w:val="continue"/>
            <w:tcBorders>
              <w:top w:val="nil"/>
            </w:tcBorders>
            <w:vAlign w:val="center"/>
          </w:tcPr>
          <w:p w14:paraId="08A0EA89">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Align w:val="center"/>
          </w:tcPr>
          <w:p w14:paraId="67398B34">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土地利用</w:t>
            </w:r>
          </w:p>
        </w:tc>
        <w:tc>
          <w:tcPr>
            <w:tcW w:w="3584" w:type="dxa"/>
            <w:vAlign w:val="center"/>
          </w:tcPr>
          <w:p w14:paraId="6965422E">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林草地面积</w:t>
            </w:r>
          </w:p>
        </w:tc>
        <w:tc>
          <w:tcPr>
            <w:tcW w:w="1689" w:type="dxa"/>
            <w:vMerge w:val="continue"/>
            <w:tcBorders>
              <w:top w:val="nil"/>
            </w:tcBorders>
            <w:vAlign w:val="center"/>
          </w:tcPr>
          <w:p w14:paraId="1A112A31">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r>
      <w:tr w14:paraId="5CE9DB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0" w:type="auto"/>
            <w:vMerge w:val="continue"/>
            <w:tcBorders>
              <w:top w:val="nil"/>
            </w:tcBorders>
            <w:vAlign w:val="center"/>
          </w:tcPr>
          <w:p w14:paraId="4203EDD9">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0" w:type="auto"/>
            <w:vMerge w:val="continue"/>
            <w:tcBorders>
              <w:top w:val="nil"/>
            </w:tcBorders>
            <w:vAlign w:val="center"/>
          </w:tcPr>
          <w:p w14:paraId="7E86E23E">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0" w:type="auto"/>
            <w:vAlign w:val="center"/>
          </w:tcPr>
          <w:p w14:paraId="72030FCA">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水土流失状况</w:t>
            </w:r>
          </w:p>
        </w:tc>
        <w:tc>
          <w:tcPr>
            <w:tcW w:w="3584" w:type="dxa"/>
            <w:vAlign w:val="center"/>
          </w:tcPr>
          <w:p w14:paraId="1CEB4D03">
            <w:pPr>
              <w:pStyle w:val="142"/>
              <w:adjustRightInd w:val="0"/>
              <w:snapToGrid w:val="0"/>
              <w:jc w:val="left"/>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2"/>
                <w:sz w:val="21"/>
                <w:szCs w:val="21"/>
                <w:lang w:eastAsia="zh-CN"/>
                <w14:textFill>
                  <w14:solidFill>
                    <w14:schemeClr w14:val="tx1"/>
                  </w14:solidFill>
                </w14:textFill>
              </w:rPr>
              <w:t>水土流失类型分布、水土流失类型区、水土流失强度</w:t>
            </w:r>
            <w:r>
              <w:rPr>
                <w:rFonts w:ascii="Times New Roman" w:hAnsi="Times New Roman" w:eastAsia="仿宋_GB2312" w:cs="Times New Roman"/>
                <w:color w:val="000000" w:themeColor="text1"/>
                <w:spacing w:val="-14"/>
                <w:sz w:val="21"/>
                <w:szCs w:val="21"/>
                <w:lang w:eastAsia="zh-CN"/>
                <w14:textFill>
                  <w14:solidFill>
                    <w14:schemeClr w14:val="tx1"/>
                  </w14:solidFill>
                </w14:textFill>
              </w:rPr>
              <w:t>分级及面积、平均土壤侵蚀模数、容许土壤侵蚀模数、</w:t>
            </w:r>
            <w:r>
              <w:rPr>
                <w:rFonts w:ascii="Times New Roman" w:hAnsi="Times New Roman" w:eastAsia="仿宋_GB2312" w:cs="Times New Roman"/>
                <w:color w:val="000000" w:themeColor="text1"/>
                <w:spacing w:val="-2"/>
                <w:sz w:val="21"/>
                <w:szCs w:val="21"/>
                <w:lang w:eastAsia="zh-CN"/>
                <w14:textFill>
                  <w14:solidFill>
                    <w14:schemeClr w14:val="tx1"/>
                  </w14:solidFill>
                </w14:textFill>
              </w:rPr>
              <w:t>水土流失重点防治区划分、水土流失灾害隐患</w:t>
            </w:r>
          </w:p>
        </w:tc>
        <w:tc>
          <w:tcPr>
            <w:tcW w:w="1689" w:type="dxa"/>
            <w:vMerge w:val="continue"/>
            <w:tcBorders>
              <w:top w:val="nil"/>
            </w:tcBorders>
            <w:vAlign w:val="center"/>
          </w:tcPr>
          <w:p w14:paraId="511F56FF">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r>
      <w:tr w14:paraId="123FE7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0" w:type="auto"/>
            <w:vMerge w:val="continue"/>
            <w:tcBorders>
              <w:top w:val="nil"/>
            </w:tcBorders>
            <w:vAlign w:val="center"/>
          </w:tcPr>
          <w:p w14:paraId="154D7DD2">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Merge w:val="continue"/>
            <w:tcBorders>
              <w:top w:val="nil"/>
            </w:tcBorders>
            <w:vAlign w:val="center"/>
          </w:tcPr>
          <w:p w14:paraId="002BFFDF">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Align w:val="center"/>
          </w:tcPr>
          <w:p w14:paraId="7E2D87A4">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人为扰动</w:t>
            </w:r>
          </w:p>
        </w:tc>
        <w:tc>
          <w:tcPr>
            <w:tcW w:w="3584" w:type="dxa"/>
            <w:vAlign w:val="center"/>
          </w:tcPr>
          <w:p w14:paraId="40E23783">
            <w:pPr>
              <w:pStyle w:val="142"/>
              <w:adjustRightInd w:val="0"/>
              <w:snapToGrid w:val="0"/>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人为活动扰动地表方式及强度</w:t>
            </w:r>
          </w:p>
        </w:tc>
        <w:tc>
          <w:tcPr>
            <w:tcW w:w="1689" w:type="dxa"/>
            <w:vMerge w:val="continue"/>
            <w:tcBorders>
              <w:top w:val="nil"/>
            </w:tcBorders>
            <w:vAlign w:val="center"/>
          </w:tcPr>
          <w:p w14:paraId="651B3D7A">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r>
      <w:tr w14:paraId="6EE865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0" w:type="auto"/>
            <w:vMerge w:val="continue"/>
            <w:tcBorders>
              <w:top w:val="nil"/>
            </w:tcBorders>
            <w:vAlign w:val="center"/>
          </w:tcPr>
          <w:p w14:paraId="2DDF68E2">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Merge w:val="restart"/>
            <w:vAlign w:val="center"/>
          </w:tcPr>
          <w:p w14:paraId="6E17F5F7">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水土流失状况监测</w:t>
            </w:r>
          </w:p>
        </w:tc>
        <w:tc>
          <w:tcPr>
            <w:tcW w:w="0" w:type="auto"/>
            <w:vAlign w:val="center"/>
          </w:tcPr>
          <w:p w14:paraId="27D99E45">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园区建设进度</w:t>
            </w:r>
            <w:r>
              <w:rPr>
                <w:rFonts w:ascii="Times New Roman" w:hAnsi="Times New Roman" w:eastAsia="仿宋_GB2312" w:cs="Times New Roman"/>
                <w:color w:val="000000" w:themeColor="text1"/>
                <w:spacing w:val="-6"/>
                <w:sz w:val="21"/>
                <w:szCs w:val="21"/>
                <w:lang w:eastAsia="en-US"/>
                <w14:textFill>
                  <w14:solidFill>
                    <w14:schemeClr w14:val="tx1"/>
                  </w14:solidFill>
                </w14:textFill>
              </w:rPr>
              <w:t>情况</w:t>
            </w:r>
          </w:p>
        </w:tc>
        <w:tc>
          <w:tcPr>
            <w:tcW w:w="3584" w:type="dxa"/>
            <w:vAlign w:val="center"/>
          </w:tcPr>
          <w:p w14:paraId="3A9694F0">
            <w:pPr>
              <w:pStyle w:val="142"/>
              <w:adjustRightInd w:val="0"/>
              <w:snapToGrid w:val="0"/>
              <w:jc w:val="left"/>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2"/>
                <w:sz w:val="21"/>
                <w:szCs w:val="21"/>
                <w:lang w:eastAsia="zh-CN"/>
                <w14:textFill>
                  <w14:solidFill>
                    <w14:schemeClr w14:val="tx1"/>
                  </w14:solidFill>
                </w14:textFill>
              </w:rPr>
              <w:t>园区公共设施及基础设施等建设进度、建设区面积变化情况、施工造成水土流失可能发生的灾害隐患及造成的危害、水土保持措施实施，水土保持设计与管理</w:t>
            </w:r>
            <w:r>
              <w:rPr>
                <w:rFonts w:ascii="Times New Roman" w:hAnsi="Times New Roman" w:eastAsia="仿宋_GB2312" w:cs="Times New Roman"/>
                <w:color w:val="000000" w:themeColor="text1"/>
                <w:spacing w:val="-10"/>
                <w:sz w:val="21"/>
                <w:szCs w:val="21"/>
                <w:lang w:eastAsia="zh-CN"/>
                <w14:textFill>
                  <w14:solidFill>
                    <w14:schemeClr w14:val="tx1"/>
                  </w14:solidFill>
                </w14:textFill>
              </w:rPr>
              <w:t>等</w:t>
            </w:r>
          </w:p>
        </w:tc>
        <w:tc>
          <w:tcPr>
            <w:tcW w:w="1689" w:type="dxa"/>
            <w:vAlign w:val="center"/>
          </w:tcPr>
          <w:p w14:paraId="444A66CC">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调查监测、</w:t>
            </w:r>
            <w:r>
              <w:rPr>
                <w:rFonts w:ascii="Times New Roman" w:hAnsi="Times New Roman" w:eastAsia="仿宋_GB2312" w:cs="Times New Roman"/>
                <w:color w:val="000000" w:themeColor="text1"/>
                <w:spacing w:val="-4"/>
                <w:sz w:val="21"/>
                <w:szCs w:val="21"/>
                <w:lang w:eastAsia="en-US"/>
                <w14:textFill>
                  <w14:solidFill>
                    <w14:schemeClr w14:val="tx1"/>
                  </w14:solidFill>
                </w14:textFill>
              </w:rPr>
              <w:t>无人机</w:t>
            </w:r>
          </w:p>
        </w:tc>
      </w:tr>
      <w:tr w14:paraId="7ADD64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0" w:type="auto"/>
            <w:vMerge w:val="continue"/>
            <w:tcBorders>
              <w:top w:val="nil"/>
            </w:tcBorders>
            <w:vAlign w:val="center"/>
          </w:tcPr>
          <w:p w14:paraId="3B0A6EC9">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0" w:type="auto"/>
            <w:vMerge w:val="continue"/>
            <w:tcBorders>
              <w:top w:val="nil"/>
            </w:tcBorders>
            <w:vAlign w:val="center"/>
          </w:tcPr>
          <w:p w14:paraId="4CE4BC21">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0" w:type="auto"/>
            <w:vAlign w:val="center"/>
          </w:tcPr>
          <w:p w14:paraId="5E54B711">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扰动土地情况</w:t>
            </w:r>
          </w:p>
        </w:tc>
        <w:tc>
          <w:tcPr>
            <w:tcW w:w="3584" w:type="dxa"/>
            <w:vAlign w:val="center"/>
          </w:tcPr>
          <w:p w14:paraId="29A9B578">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扰动地表总面积</w:t>
            </w:r>
          </w:p>
        </w:tc>
        <w:tc>
          <w:tcPr>
            <w:tcW w:w="1689" w:type="dxa"/>
            <w:vMerge w:val="restart"/>
            <w:vAlign w:val="center"/>
          </w:tcPr>
          <w:p w14:paraId="4ED3FE90">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实地量测、</w:t>
            </w:r>
            <w:r>
              <w:rPr>
                <w:rFonts w:ascii="Times New Roman" w:hAnsi="Times New Roman" w:eastAsia="仿宋_GB2312" w:cs="Times New Roman"/>
                <w:color w:val="000000" w:themeColor="text1"/>
                <w:spacing w:val="-4"/>
                <w:sz w:val="21"/>
                <w:szCs w:val="21"/>
                <w:lang w:eastAsia="en-US"/>
                <w14:textFill>
                  <w14:solidFill>
                    <w14:schemeClr w14:val="tx1"/>
                  </w14:solidFill>
                </w14:textFill>
              </w:rPr>
              <w:t>无人机</w:t>
            </w:r>
          </w:p>
        </w:tc>
      </w:tr>
      <w:tr w14:paraId="744585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0" w:type="auto"/>
            <w:vMerge w:val="continue"/>
            <w:tcBorders>
              <w:top w:val="nil"/>
            </w:tcBorders>
            <w:vAlign w:val="center"/>
          </w:tcPr>
          <w:p w14:paraId="5D194198">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0" w:type="auto"/>
            <w:vMerge w:val="continue"/>
            <w:tcBorders>
              <w:top w:val="nil"/>
            </w:tcBorders>
            <w:vAlign w:val="center"/>
          </w:tcPr>
          <w:p w14:paraId="718E93F6">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0" w:type="auto"/>
            <w:vAlign w:val="center"/>
          </w:tcPr>
          <w:p w14:paraId="1CA57D79">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土石方综</w:t>
            </w:r>
            <w:r>
              <w:rPr>
                <w:rFonts w:ascii="Times New Roman" w:hAnsi="Times New Roman" w:eastAsia="仿宋_GB2312" w:cs="Times New Roman"/>
                <w:color w:val="000000" w:themeColor="text1"/>
                <w:spacing w:val="5"/>
                <w:position w:val="-1"/>
                <w:sz w:val="21"/>
                <w:szCs w:val="21"/>
                <w:lang w:eastAsia="zh-CN"/>
                <w14:textFill>
                  <w14:solidFill>
                    <w14:schemeClr w14:val="tx1"/>
                  </w14:solidFill>
                </w14:textFill>
              </w:rPr>
              <w:t>合</w:t>
            </w:r>
            <w:r>
              <w:rPr>
                <w:rFonts w:ascii="Times New Roman" w:hAnsi="Times New Roman" w:eastAsia="仿宋_GB2312" w:cs="Times New Roman"/>
                <w:color w:val="000000" w:themeColor="text1"/>
                <w:spacing w:val="-2"/>
                <w:sz w:val="21"/>
                <w:szCs w:val="21"/>
                <w:lang w:eastAsia="en-US"/>
                <w14:textFill>
                  <w14:solidFill>
                    <w14:schemeClr w14:val="tx1"/>
                  </w14:solidFill>
                </w14:textFill>
              </w:rPr>
              <w:t>利</w:t>
            </w:r>
            <w:r>
              <w:rPr>
                <w:rFonts w:ascii="Times New Roman" w:hAnsi="Times New Roman" w:eastAsia="仿宋_GB2312" w:cs="Times New Roman"/>
                <w:color w:val="000000" w:themeColor="text1"/>
                <w:spacing w:val="-4"/>
                <w:sz w:val="21"/>
                <w:szCs w:val="21"/>
                <w:lang w:eastAsia="en-US"/>
                <w14:textFill>
                  <w14:solidFill>
                    <w14:schemeClr w14:val="tx1"/>
                  </w14:solidFill>
                </w14:textFill>
              </w:rPr>
              <w:t>用情况</w:t>
            </w:r>
          </w:p>
        </w:tc>
        <w:tc>
          <w:tcPr>
            <w:tcW w:w="3584" w:type="dxa"/>
            <w:vAlign w:val="center"/>
          </w:tcPr>
          <w:p w14:paraId="3CB43F26">
            <w:pPr>
              <w:pStyle w:val="142"/>
              <w:adjustRightInd w:val="0"/>
              <w:snapToGrid w:val="0"/>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土石方开挖量、回填量、弃土（渣）</w:t>
            </w:r>
            <w:r>
              <w:rPr>
                <w:rFonts w:ascii="Times New Roman" w:hAnsi="Times New Roman" w:eastAsia="仿宋_GB2312" w:cs="Times New Roman"/>
                <w:color w:val="000000" w:themeColor="text1"/>
                <w:spacing w:val="-10"/>
                <w:sz w:val="21"/>
                <w:szCs w:val="21"/>
                <w:lang w:eastAsia="zh-CN"/>
                <w14:textFill>
                  <w14:solidFill>
                    <w14:schemeClr w14:val="tx1"/>
                  </w14:solidFill>
                </w14:textFill>
              </w:rPr>
              <w:t>量</w:t>
            </w:r>
          </w:p>
        </w:tc>
        <w:tc>
          <w:tcPr>
            <w:tcW w:w="1689" w:type="dxa"/>
            <w:vMerge w:val="continue"/>
            <w:tcBorders>
              <w:top w:val="nil"/>
            </w:tcBorders>
            <w:vAlign w:val="center"/>
          </w:tcPr>
          <w:p w14:paraId="28E870F7">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r>
      <w:tr w14:paraId="2160C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2" w:hRule="atLeast"/>
          <w:jc w:val="center"/>
        </w:trPr>
        <w:tc>
          <w:tcPr>
            <w:tcW w:w="0" w:type="auto"/>
            <w:vMerge w:val="continue"/>
            <w:tcBorders>
              <w:top w:val="nil"/>
            </w:tcBorders>
            <w:vAlign w:val="center"/>
          </w:tcPr>
          <w:p w14:paraId="47E4C6AA">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Merge w:val="continue"/>
            <w:tcBorders>
              <w:top w:val="nil"/>
            </w:tcBorders>
            <w:vAlign w:val="center"/>
          </w:tcPr>
          <w:p w14:paraId="159CA9C2">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Align w:val="center"/>
          </w:tcPr>
          <w:p w14:paraId="5ED8F04E">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表土剥离与利</w:t>
            </w:r>
            <w:r>
              <w:rPr>
                <w:rFonts w:ascii="Times New Roman" w:hAnsi="Times New Roman" w:eastAsia="仿宋_GB2312" w:cs="Times New Roman"/>
                <w:color w:val="000000" w:themeColor="text1"/>
                <w:spacing w:val="-4"/>
                <w:sz w:val="21"/>
                <w:szCs w:val="21"/>
                <w:lang w:eastAsia="en-US"/>
                <w14:textFill>
                  <w14:solidFill>
                    <w14:schemeClr w14:val="tx1"/>
                  </w14:solidFill>
                </w14:textFill>
              </w:rPr>
              <w:t>用情况</w:t>
            </w:r>
          </w:p>
        </w:tc>
        <w:tc>
          <w:tcPr>
            <w:tcW w:w="3584" w:type="dxa"/>
            <w:vAlign w:val="center"/>
          </w:tcPr>
          <w:p w14:paraId="153703FC">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表土剥离量、回覆量</w:t>
            </w:r>
          </w:p>
        </w:tc>
        <w:tc>
          <w:tcPr>
            <w:tcW w:w="1689" w:type="dxa"/>
            <w:vMerge w:val="continue"/>
            <w:tcBorders>
              <w:top w:val="nil"/>
            </w:tcBorders>
            <w:vAlign w:val="center"/>
          </w:tcPr>
          <w:p w14:paraId="18A777E6">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r>
      <w:tr w14:paraId="5763BA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0" w:type="auto"/>
            <w:vMerge w:val="continue"/>
            <w:tcBorders>
              <w:top w:val="nil"/>
            </w:tcBorders>
            <w:vAlign w:val="center"/>
          </w:tcPr>
          <w:p w14:paraId="7B7509C8">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0" w:type="auto"/>
            <w:vMerge w:val="continue"/>
            <w:tcBorders>
              <w:top w:val="nil"/>
            </w:tcBorders>
            <w:vAlign w:val="center"/>
          </w:tcPr>
          <w:p w14:paraId="3091DFC2">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0" w:type="auto"/>
            <w:vAlign w:val="center"/>
          </w:tcPr>
          <w:p w14:paraId="36CF4934">
            <w:pPr>
              <w:pStyle w:val="142"/>
              <w:adjustRightInd w:val="0"/>
              <w:snapToGrid w:val="0"/>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2"/>
                <w:sz w:val="21"/>
                <w:szCs w:val="21"/>
                <w:lang w:eastAsia="zh-CN"/>
                <w14:textFill>
                  <w14:solidFill>
                    <w14:schemeClr w14:val="tx1"/>
                  </w14:solidFill>
                </w14:textFill>
              </w:rPr>
              <w:t>临时堆土量与占地防护情况</w:t>
            </w:r>
          </w:p>
        </w:tc>
        <w:tc>
          <w:tcPr>
            <w:tcW w:w="3584" w:type="dxa"/>
            <w:vAlign w:val="center"/>
          </w:tcPr>
          <w:p w14:paraId="4A445BE4">
            <w:pPr>
              <w:pStyle w:val="142"/>
              <w:adjustRightInd w:val="0"/>
              <w:snapToGrid w:val="0"/>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临时堆土土方量、堆土占地面积</w:t>
            </w:r>
          </w:p>
        </w:tc>
        <w:tc>
          <w:tcPr>
            <w:tcW w:w="1689" w:type="dxa"/>
            <w:vMerge w:val="continue"/>
            <w:tcBorders>
              <w:top w:val="nil"/>
            </w:tcBorders>
            <w:vAlign w:val="center"/>
          </w:tcPr>
          <w:p w14:paraId="35A3CE25">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r>
      <w:tr w14:paraId="2F7D34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0" w:type="auto"/>
            <w:vMerge w:val="continue"/>
            <w:tcBorders>
              <w:top w:val="nil"/>
            </w:tcBorders>
            <w:vAlign w:val="center"/>
          </w:tcPr>
          <w:p w14:paraId="059AF7E1">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Merge w:val="continue"/>
            <w:tcBorders>
              <w:top w:val="nil"/>
            </w:tcBorders>
            <w:vAlign w:val="center"/>
          </w:tcPr>
          <w:p w14:paraId="3C223E6A">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Align w:val="center"/>
          </w:tcPr>
          <w:p w14:paraId="4158AA73">
            <w:pPr>
              <w:pStyle w:val="142"/>
              <w:adjustRightInd w:val="0"/>
              <w:snapToGrid w:val="0"/>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0"/>
                <w:sz w:val="21"/>
                <w:szCs w:val="21"/>
                <w:lang w:eastAsia="zh-CN"/>
                <w14:textFill>
                  <w14:solidFill>
                    <w14:schemeClr w14:val="tx1"/>
                  </w14:solidFill>
                </w14:textFill>
              </w:rPr>
              <w:t>弃土（石、渣）</w:t>
            </w:r>
            <w:r>
              <w:rPr>
                <w:rFonts w:ascii="Times New Roman" w:hAnsi="Times New Roman" w:eastAsia="仿宋_GB2312" w:cs="Times New Roman"/>
                <w:color w:val="000000" w:themeColor="text1"/>
                <w:spacing w:val="-2"/>
                <w:sz w:val="21"/>
                <w:szCs w:val="21"/>
                <w:lang w:eastAsia="zh-CN"/>
                <w14:textFill>
                  <w14:solidFill>
                    <w14:schemeClr w14:val="tx1"/>
                  </w14:solidFill>
                </w14:textFill>
              </w:rPr>
              <w:t>量与占地情况</w:t>
            </w:r>
          </w:p>
        </w:tc>
        <w:tc>
          <w:tcPr>
            <w:tcW w:w="3584" w:type="dxa"/>
            <w:vAlign w:val="center"/>
          </w:tcPr>
          <w:p w14:paraId="1947C237">
            <w:pPr>
              <w:pStyle w:val="142"/>
              <w:adjustRightInd w:val="0"/>
              <w:snapToGrid w:val="0"/>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弃土（石、渣）量、弃土（石、渣）</w:t>
            </w:r>
            <w:r>
              <w:rPr>
                <w:rFonts w:ascii="Times New Roman" w:hAnsi="Times New Roman" w:eastAsia="仿宋_GB2312" w:cs="Times New Roman"/>
                <w:color w:val="000000" w:themeColor="text1"/>
                <w:spacing w:val="-2"/>
                <w:sz w:val="21"/>
                <w:szCs w:val="21"/>
                <w:lang w:eastAsia="zh-CN"/>
                <w14:textFill>
                  <w14:solidFill>
                    <w14:schemeClr w14:val="tx1"/>
                  </w14:solidFill>
                </w14:textFill>
              </w:rPr>
              <w:t>堆土占地面积</w:t>
            </w:r>
          </w:p>
        </w:tc>
        <w:tc>
          <w:tcPr>
            <w:tcW w:w="1689" w:type="dxa"/>
            <w:vMerge w:val="continue"/>
            <w:tcBorders>
              <w:top w:val="nil"/>
            </w:tcBorders>
            <w:vAlign w:val="center"/>
          </w:tcPr>
          <w:p w14:paraId="6DDCE590">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r>
      <w:tr w14:paraId="068DC4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0" w:type="auto"/>
            <w:vMerge w:val="continue"/>
            <w:tcBorders>
              <w:top w:val="nil"/>
            </w:tcBorders>
            <w:vAlign w:val="center"/>
          </w:tcPr>
          <w:p w14:paraId="5B24DBE7">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Merge w:val="continue"/>
            <w:tcBorders>
              <w:top w:val="nil"/>
            </w:tcBorders>
            <w:vAlign w:val="center"/>
          </w:tcPr>
          <w:p w14:paraId="53BE0391">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Align w:val="center"/>
          </w:tcPr>
          <w:p w14:paraId="75C3B7A2">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水土流失量</w:t>
            </w:r>
          </w:p>
        </w:tc>
        <w:tc>
          <w:tcPr>
            <w:tcW w:w="3584" w:type="dxa"/>
            <w:vAlign w:val="center"/>
          </w:tcPr>
          <w:p w14:paraId="75C941AD">
            <w:pPr>
              <w:pStyle w:val="142"/>
              <w:adjustRightInd w:val="0"/>
              <w:snapToGrid w:val="0"/>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水土流失强度及流失量</w:t>
            </w:r>
          </w:p>
        </w:tc>
        <w:tc>
          <w:tcPr>
            <w:tcW w:w="1689" w:type="dxa"/>
            <w:vAlign w:val="center"/>
          </w:tcPr>
          <w:p w14:paraId="4D4F94FC">
            <w:pPr>
              <w:pStyle w:val="142"/>
              <w:adjustRightInd w:val="0"/>
              <w:snapToGrid w:val="0"/>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2"/>
                <w:sz w:val="21"/>
                <w:szCs w:val="21"/>
                <w:lang w:eastAsia="zh-CN"/>
                <w14:textFill>
                  <w14:solidFill>
                    <w14:schemeClr w14:val="tx1"/>
                  </w14:solidFill>
                </w14:textFill>
              </w:rPr>
              <w:t>调查监测、遥感监测、</w:t>
            </w:r>
            <w:r>
              <w:rPr>
                <w:rFonts w:ascii="Times New Roman" w:hAnsi="Times New Roman" w:eastAsia="仿宋_GB2312" w:cs="Times New Roman"/>
                <w:color w:val="000000" w:themeColor="text1"/>
                <w:spacing w:val="-4"/>
                <w:sz w:val="21"/>
                <w:szCs w:val="21"/>
                <w:lang w:eastAsia="zh-CN"/>
                <w14:textFill>
                  <w14:solidFill>
                    <w14:schemeClr w14:val="tx1"/>
                  </w14:solidFill>
                </w14:textFill>
              </w:rPr>
              <w:t>定位监测</w:t>
            </w:r>
          </w:p>
        </w:tc>
      </w:tr>
      <w:tr w14:paraId="140E1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3" w:hRule="atLeast"/>
          <w:jc w:val="center"/>
        </w:trPr>
        <w:tc>
          <w:tcPr>
            <w:tcW w:w="0" w:type="auto"/>
            <w:vMerge w:val="continue"/>
            <w:tcBorders>
              <w:top w:val="nil"/>
            </w:tcBorders>
            <w:vAlign w:val="center"/>
          </w:tcPr>
          <w:p w14:paraId="4482C05E">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Align w:val="center"/>
          </w:tcPr>
          <w:p w14:paraId="6361D506">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水土流失危害监测</w:t>
            </w:r>
          </w:p>
        </w:tc>
        <w:tc>
          <w:tcPr>
            <w:tcW w:w="0" w:type="auto"/>
            <w:vAlign w:val="center"/>
          </w:tcPr>
          <w:p w14:paraId="2814EF32">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对主体工程的</w:t>
            </w:r>
            <w:r>
              <w:rPr>
                <w:rFonts w:ascii="Times New Roman" w:hAnsi="Times New Roman" w:eastAsia="仿宋_GB2312" w:cs="Times New Roman"/>
                <w:color w:val="000000" w:themeColor="text1"/>
                <w:spacing w:val="-6"/>
                <w:sz w:val="21"/>
                <w:szCs w:val="21"/>
                <w:lang w:eastAsia="en-US"/>
                <w14:textFill>
                  <w14:solidFill>
                    <w14:schemeClr w14:val="tx1"/>
                  </w14:solidFill>
                </w14:textFill>
              </w:rPr>
              <w:t>影响</w:t>
            </w:r>
          </w:p>
        </w:tc>
        <w:tc>
          <w:tcPr>
            <w:tcW w:w="3584" w:type="dxa"/>
            <w:vAlign w:val="center"/>
          </w:tcPr>
          <w:p w14:paraId="796209A3">
            <w:pPr>
              <w:pStyle w:val="142"/>
              <w:adjustRightInd w:val="0"/>
              <w:snapToGrid w:val="0"/>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对主体工程安全、稳定、运营产生的负面影响</w:t>
            </w:r>
          </w:p>
        </w:tc>
        <w:tc>
          <w:tcPr>
            <w:tcW w:w="1689" w:type="dxa"/>
            <w:vMerge w:val="restart"/>
            <w:vAlign w:val="center"/>
          </w:tcPr>
          <w:p w14:paraId="32907E38">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调查监测、</w:t>
            </w:r>
            <w:r>
              <w:rPr>
                <w:rFonts w:ascii="Times New Roman" w:hAnsi="Times New Roman" w:eastAsia="仿宋_GB2312" w:cs="Times New Roman"/>
                <w:color w:val="000000" w:themeColor="text1"/>
                <w:spacing w:val="-4"/>
                <w:sz w:val="21"/>
                <w:szCs w:val="21"/>
                <w:lang w:eastAsia="en-US"/>
                <w14:textFill>
                  <w14:solidFill>
                    <w14:schemeClr w14:val="tx1"/>
                  </w14:solidFill>
                </w14:textFill>
              </w:rPr>
              <w:t>遥感监测</w:t>
            </w:r>
          </w:p>
        </w:tc>
      </w:tr>
      <w:tr w14:paraId="4B60C0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0" w:type="auto"/>
            <w:vMerge w:val="continue"/>
            <w:tcBorders>
              <w:top w:val="nil"/>
            </w:tcBorders>
            <w:vAlign w:val="center"/>
          </w:tcPr>
          <w:p w14:paraId="20692A9F">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0" w:type="auto"/>
            <w:vMerge w:val="restart"/>
            <w:vAlign w:val="center"/>
          </w:tcPr>
          <w:p w14:paraId="171A38CC">
            <w:pPr>
              <w:pStyle w:val="142"/>
              <w:adjustRightInd w:val="0"/>
              <w:snapToGrid w:val="0"/>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2"/>
                <w:sz w:val="21"/>
                <w:szCs w:val="21"/>
                <w:lang w:eastAsia="zh-CN"/>
                <w14:textFill>
                  <w14:solidFill>
                    <w14:schemeClr w14:val="tx1"/>
                  </w14:solidFill>
                </w14:textFill>
              </w:rPr>
              <w:t>水土保持措施实施情况及效果</w:t>
            </w:r>
          </w:p>
        </w:tc>
        <w:tc>
          <w:tcPr>
            <w:tcW w:w="0" w:type="auto"/>
            <w:vAlign w:val="center"/>
          </w:tcPr>
          <w:p w14:paraId="13A7D387">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工程措施</w:t>
            </w:r>
          </w:p>
        </w:tc>
        <w:tc>
          <w:tcPr>
            <w:tcW w:w="3584" w:type="dxa"/>
            <w:vAlign w:val="center"/>
          </w:tcPr>
          <w:p w14:paraId="04967500">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措施实施数量</w:t>
            </w:r>
          </w:p>
        </w:tc>
        <w:tc>
          <w:tcPr>
            <w:tcW w:w="1689" w:type="dxa"/>
            <w:vMerge w:val="continue"/>
            <w:tcBorders>
              <w:top w:val="nil"/>
            </w:tcBorders>
            <w:vAlign w:val="center"/>
          </w:tcPr>
          <w:p w14:paraId="5630FBDF">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r>
      <w:tr w14:paraId="75BC80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0" w:type="auto"/>
            <w:vMerge w:val="continue"/>
            <w:tcBorders>
              <w:top w:val="nil"/>
            </w:tcBorders>
            <w:vAlign w:val="center"/>
          </w:tcPr>
          <w:p w14:paraId="67C4E37A">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0" w:type="auto"/>
            <w:vMerge w:val="continue"/>
            <w:tcBorders>
              <w:top w:val="nil"/>
            </w:tcBorders>
            <w:vAlign w:val="center"/>
          </w:tcPr>
          <w:p w14:paraId="38AC2B90">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0" w:type="auto"/>
            <w:vAlign w:val="center"/>
          </w:tcPr>
          <w:p w14:paraId="02F3C6AC">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植物措施</w:t>
            </w:r>
          </w:p>
        </w:tc>
        <w:tc>
          <w:tcPr>
            <w:tcW w:w="3584" w:type="dxa"/>
            <w:vAlign w:val="center"/>
          </w:tcPr>
          <w:p w14:paraId="524D4EF1">
            <w:pPr>
              <w:pStyle w:val="142"/>
              <w:adjustRightInd w:val="0"/>
              <w:snapToGrid w:val="0"/>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完成植物措施的面积，成活率</w:t>
            </w:r>
          </w:p>
        </w:tc>
        <w:tc>
          <w:tcPr>
            <w:tcW w:w="1689" w:type="dxa"/>
            <w:vMerge w:val="continue"/>
            <w:tcBorders>
              <w:top w:val="nil"/>
            </w:tcBorders>
            <w:vAlign w:val="center"/>
          </w:tcPr>
          <w:p w14:paraId="598CF4A4">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r>
      <w:tr w14:paraId="0D8565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0" w:type="auto"/>
            <w:vMerge w:val="continue"/>
            <w:tcBorders>
              <w:top w:val="nil"/>
            </w:tcBorders>
            <w:vAlign w:val="center"/>
          </w:tcPr>
          <w:p w14:paraId="6E08A4BB">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Merge w:val="continue"/>
            <w:tcBorders>
              <w:top w:val="nil"/>
            </w:tcBorders>
            <w:vAlign w:val="center"/>
          </w:tcPr>
          <w:p w14:paraId="0FF7EDB5">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zh-CN"/>
                <w14:textFill>
                  <w14:solidFill>
                    <w14:schemeClr w14:val="tx1"/>
                  </w14:solidFill>
                </w14:textFill>
              </w:rPr>
            </w:pPr>
          </w:p>
        </w:tc>
        <w:tc>
          <w:tcPr>
            <w:tcW w:w="0" w:type="auto"/>
            <w:vAlign w:val="center"/>
          </w:tcPr>
          <w:p w14:paraId="38B24BCA">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临时措施</w:t>
            </w:r>
          </w:p>
        </w:tc>
        <w:tc>
          <w:tcPr>
            <w:tcW w:w="3584" w:type="dxa"/>
            <w:vAlign w:val="center"/>
          </w:tcPr>
          <w:p w14:paraId="6B4ADD46">
            <w:pPr>
              <w:pStyle w:val="142"/>
              <w:adjustRightInd w:val="0"/>
              <w:snapToGrid w:val="0"/>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措施实施数量</w:t>
            </w:r>
          </w:p>
        </w:tc>
        <w:tc>
          <w:tcPr>
            <w:tcW w:w="1689" w:type="dxa"/>
            <w:vMerge w:val="continue"/>
            <w:tcBorders>
              <w:top w:val="nil"/>
            </w:tcBorders>
            <w:vAlign w:val="center"/>
          </w:tcPr>
          <w:p w14:paraId="75BC4764">
            <w:pPr>
              <w:widowControl w:val="0"/>
              <w:autoSpaceDE w:val="0"/>
              <w:autoSpaceDN w:val="0"/>
              <w:adjustRightInd w:val="0"/>
              <w:snapToGrid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r>
    </w:tbl>
    <w:p w14:paraId="7EDF390D">
      <w:pPr>
        <w:pStyle w:val="4"/>
        <w:spacing w:before="120" w:after="120"/>
      </w:pPr>
      <w:bookmarkStart w:id="511" w:name="_Toc85444626"/>
      <w:r>
        <w:t>监测方法</w:t>
      </w:r>
      <w:bookmarkEnd w:id="511"/>
    </w:p>
    <w:p w14:paraId="754AAF17">
      <w:pPr>
        <w:pStyle w:val="12"/>
        <w:ind w:firstLine="480"/>
        <w:rPr>
          <w:rFonts w:ascii="Times New Roman" w:hAnsi="Times New Roman" w:eastAsia="仿宋_GB2312"/>
          <w:color w:val="000000" w:themeColor="text1"/>
          <w14:textFill>
            <w14:solidFill>
              <w14:schemeClr w14:val="tx1"/>
            </w14:solidFill>
          </w14:textFill>
        </w:rPr>
      </w:pPr>
      <w:bookmarkStart w:id="512" w:name="_Toc55920625"/>
      <w:bookmarkStart w:id="513" w:name="_Toc5480405"/>
      <w:bookmarkStart w:id="514" w:name="_Toc88833994"/>
      <w:bookmarkStart w:id="515" w:name="_Toc85444741"/>
      <w:bookmarkStart w:id="516" w:name="_Toc85444627"/>
      <w:bookmarkStart w:id="517" w:name="_Toc85444465"/>
      <w:bookmarkStart w:id="518" w:name="_Toc88821233"/>
      <w:bookmarkStart w:id="519" w:name="_Toc295919501"/>
      <w:r>
        <w:rPr>
          <w:rFonts w:ascii="Times New Roman" w:hAnsi="Times New Roman" w:eastAsia="仿宋_GB2312"/>
          <w:color w:val="000000" w:themeColor="text1"/>
          <w14:textFill>
            <w14:solidFill>
              <w14:schemeClr w14:val="tx1"/>
            </w14:solidFill>
          </w14:textFill>
        </w:rPr>
        <w:t>根据水土保持监测内容和监测重点的要求，结</w:t>
      </w:r>
      <w:r>
        <w:rPr>
          <w:rFonts w:ascii="Times New Roman" w:hAnsi="Times New Roman" w:eastAsia="仿宋_GB2312"/>
          <w:color w:val="000000" w:themeColor="text1"/>
          <w:spacing w:val="10"/>
          <w:position w:val="-2"/>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园区实际情况，监测方法包括定位监测、资料分析、现场调查监测、填图法、卫星遥感监测、无人机航拍监</w:t>
      </w:r>
      <w:r>
        <w:rPr>
          <w:rFonts w:ascii="Times New Roman" w:hAnsi="Times New Roman" w:eastAsia="仿宋_GB2312"/>
          <w:color w:val="000000" w:themeColor="text1"/>
          <w:spacing w:val="-2"/>
          <w14:textFill>
            <w14:solidFill>
              <w14:schemeClr w14:val="tx1"/>
            </w14:solidFill>
          </w14:textFill>
        </w:rPr>
        <w:t>测等方法。</w:t>
      </w:r>
    </w:p>
    <w:p w14:paraId="4316C494">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drawing>
          <wp:anchor distT="0" distB="0" distL="0" distR="0" simplePos="0" relativeHeight="251668480" behindDoc="1" locked="0" layoutInCell="1" allowOverlap="1">
            <wp:simplePos x="0" y="0"/>
            <wp:positionH relativeFrom="page">
              <wp:posOffset>2502535</wp:posOffset>
            </wp:positionH>
            <wp:positionV relativeFrom="paragraph">
              <wp:posOffset>318770</wp:posOffset>
            </wp:positionV>
            <wp:extent cx="142875" cy="149225"/>
            <wp:effectExtent l="0" t="0" r="0" b="0"/>
            <wp:wrapNone/>
            <wp:docPr id="905" name="Image 905"/>
            <wp:cNvGraphicFramePr/>
            <a:graphic xmlns:a="http://schemas.openxmlformats.org/drawingml/2006/main">
              <a:graphicData uri="http://schemas.openxmlformats.org/drawingml/2006/picture">
                <pic:pic xmlns:pic="http://schemas.openxmlformats.org/drawingml/2006/picture">
                  <pic:nvPicPr>
                    <pic:cNvPr id="905" name="Image 905"/>
                    <pic:cNvPicPr/>
                  </pic:nvPicPr>
                  <pic:blipFill>
                    <a:blip r:embed="rId101" cstate="email"/>
                    <a:stretch>
                      <a:fillRect/>
                    </a:stretch>
                  </pic:blipFill>
                  <pic:spPr>
                    <a:xfrm>
                      <a:off x="0" y="0"/>
                      <a:ext cx="142874" cy="149224"/>
                    </a:xfrm>
                    <a:prstGeom prst="rect">
                      <a:avLst/>
                    </a:prstGeom>
                  </pic:spPr>
                </pic:pic>
              </a:graphicData>
            </a:graphic>
          </wp:anchor>
        </w:drawing>
      </w:r>
      <w:r>
        <w:rPr>
          <w:rFonts w:ascii="Times New Roman" w:hAnsi="Times New Roman" w:eastAsia="仿宋_GB2312"/>
          <w:color w:val="000000" w:themeColor="text1"/>
          <w14:textFill>
            <w14:solidFill>
              <w14:schemeClr w14:val="tx1"/>
            </w14:solidFill>
          </w14:textFill>
        </w:rPr>
        <w:t>水土保持监测建议由园区管理机构开展的全区域、全过程，整体、宏观的监</w:t>
      </w:r>
      <w:r>
        <w:rPr>
          <w:rFonts w:ascii="Times New Roman" w:hAnsi="Times New Roman" w:eastAsia="仿宋_GB2312"/>
          <w:color w:val="000000" w:themeColor="text1"/>
          <w:spacing w:val="-1"/>
          <w14:textFill>
            <w14:solidFill>
              <w14:schemeClr w14:val="tx1"/>
            </w14:solidFill>
          </w14:textFill>
        </w:rPr>
        <w:t>测，掌握整个园区在个时段的扰动地表、损坏植被，水土流失状况，水土保持</w:t>
      </w:r>
      <w:r>
        <w:rPr>
          <w:rFonts w:ascii="Times New Roman" w:hAnsi="Times New Roman" w:eastAsia="仿宋_GB2312"/>
          <w:color w:val="000000" w:themeColor="text1"/>
          <w:spacing w:val="-5"/>
          <w14:textFill>
            <w14:solidFill>
              <w14:schemeClr w14:val="tx1"/>
            </w14:solidFill>
          </w14:textFill>
        </w:rPr>
        <w:t>措施实施情况及治理成效，主要通过高分遥感、无人机等方法开展及时、全面的</w:t>
      </w:r>
      <w:r>
        <w:rPr>
          <w:rFonts w:ascii="Times New Roman" w:hAnsi="Times New Roman" w:eastAsia="仿宋_GB2312"/>
          <w:color w:val="000000" w:themeColor="text1"/>
          <w:spacing w:val="-29"/>
          <w14:textFill>
            <w14:solidFill>
              <w14:schemeClr w14:val="tx1"/>
            </w14:solidFill>
          </w14:textFill>
        </w:rPr>
        <w:t>监测；再</w:t>
      </w:r>
      <w:r>
        <w:rPr>
          <w:rFonts w:ascii="Times New Roman" w:hAnsi="Times New Roman" w:eastAsia="仿宋_GB2312"/>
          <w:color w:val="000000" w:themeColor="text1"/>
          <w:spacing w:val="-2"/>
          <w14:textFill>
            <w14:solidFill>
              <w14:schemeClr w14:val="tx1"/>
            </w14:solidFill>
          </w14:textFill>
        </w:rPr>
        <w:t>在园区</w:t>
      </w:r>
      <w:r>
        <w:rPr>
          <w:rFonts w:ascii="Times New Roman" w:hAnsi="Times New Roman" w:eastAsia="仿宋_GB2312"/>
          <w:color w:val="000000" w:themeColor="text1"/>
          <w:spacing w:val="-13"/>
          <w14:textFill>
            <w14:solidFill>
              <w14:schemeClr w14:val="tx1"/>
            </w14:solidFill>
          </w14:textFill>
        </w:rPr>
        <w:t>裸露空地、集中排水地段和重点时段布设水土流失量定量监测点</w:t>
      </w:r>
      <w:r>
        <w:rPr>
          <w:rFonts w:ascii="Times New Roman" w:hAnsi="Times New Roman" w:eastAsia="仿宋_GB2312"/>
          <w:color w:val="000000" w:themeColor="text1"/>
          <w:spacing w:val="-2"/>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采取地面定位观测、调查巡查监测相结</w:t>
      </w:r>
      <w:r>
        <w:rPr>
          <w:rFonts w:ascii="Times New Roman" w:hAnsi="Times New Roman" w:eastAsia="仿宋_GB2312"/>
          <w:color w:val="000000" w:themeColor="text1"/>
          <w:spacing w:val="10"/>
          <w:position w:val="-2"/>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的方法，地面定位观测方法主要用于</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spacing w:val="-2"/>
          <w14:textFill>
            <w14:solidFill>
              <w14:schemeClr w14:val="tx1"/>
            </w14:solidFill>
          </w14:textFill>
        </w:rPr>
        <w:t>区</w:t>
      </w:r>
      <w:r>
        <w:rPr>
          <w:rFonts w:ascii="Times New Roman" w:hAnsi="Times New Roman" w:eastAsia="仿宋_GB2312"/>
          <w:color w:val="000000" w:themeColor="text1"/>
          <w:spacing w:val="-7"/>
          <w14:textFill>
            <w14:solidFill>
              <w14:schemeClr w14:val="tx1"/>
            </w14:solidFill>
          </w14:textFill>
        </w:rPr>
        <w:t>水土流失影响因子和水土流失量的监测，调查监测和场地巡查主要用于水土保</w:t>
      </w:r>
      <w:r>
        <w:rPr>
          <w:rFonts w:ascii="Times New Roman" w:hAnsi="Times New Roman" w:eastAsia="仿宋_GB2312"/>
          <w:color w:val="000000" w:themeColor="text1"/>
          <w:spacing w:val="-6"/>
          <w14:textFill>
            <w14:solidFill>
              <w14:schemeClr w14:val="tx1"/>
            </w14:solidFill>
          </w14:textFill>
        </w:rPr>
        <w:t>持生态环境变化监测和水土保持措施防治效果监测。</w:t>
      </w:r>
      <w:r>
        <w:rPr>
          <w:rFonts w:ascii="Times New Roman" w:hAnsi="Times New Roman" w:eastAsia="仿宋_GB2312"/>
          <w:color w:val="000000" w:themeColor="text1"/>
          <w:spacing w:val="-2"/>
          <w14:textFill>
            <w14:solidFill>
              <w14:schemeClr w14:val="tx1"/>
            </w14:solidFill>
          </w14:textFill>
        </w:rPr>
        <w:t>在园区集中排水地段和重点时段布设水土流失量定量监测点。因园区范围较大，监测工作中可利用无人机进行遥感监测。</w:t>
      </w:r>
    </w:p>
    <w:p w14:paraId="3DBC33FB">
      <w:pPr>
        <w:pStyle w:val="12"/>
        <w:ind w:firstLine="47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1"/>
          <w14:textFill>
            <w14:solidFill>
              <w14:schemeClr w14:val="tx1"/>
            </w14:solidFill>
          </w14:textFill>
        </w:rPr>
        <w:t>（1）卫星遥感及无人机监测</w:t>
      </w:r>
    </w:p>
    <w:p w14:paraId="3BA2AFB8">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根据实际需要按照固定频次更新遥感影像资料，通过遥感影像的更新，可以</w:t>
      </w:r>
      <w:r>
        <w:rPr>
          <w:rFonts w:ascii="Times New Roman" w:hAnsi="Times New Roman" w:eastAsia="仿宋_GB2312"/>
          <w:color w:val="000000" w:themeColor="text1"/>
          <w:spacing w:val="-2"/>
          <w14:textFill>
            <w14:solidFill>
              <w14:schemeClr w14:val="tx1"/>
            </w14:solidFill>
          </w14:textFill>
        </w:rPr>
        <w:t>动态监测以下几个方面的内容；</w:t>
      </w:r>
    </w:p>
    <w:p w14:paraId="414DEB8D">
      <w:pPr>
        <w:pStyle w:val="12"/>
        <w:numPr>
          <w:ilvl w:val="0"/>
          <w:numId w:val="5"/>
        </w:numPr>
        <w:ind w:firstLineChars="0"/>
        <w:rPr>
          <w:rFonts w:ascii="Times New Roman" w:hAnsi="Times New Roman" w:eastAsia="仿宋_GB2312"/>
          <w:color w:val="000000" w:themeColor="text1"/>
          <w:spacing w:val="-2"/>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背景流失情况动态监测</w:t>
      </w:r>
    </w:p>
    <w:p w14:paraId="183B0AD7">
      <w:pPr>
        <w:pStyle w:val="12"/>
        <w:ind w:left="476" w:firstLine="0" w:firstLineChars="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水土流失信息提取原理：</w:t>
      </w:r>
    </w:p>
    <w:p w14:paraId="017839BE">
      <w:pPr>
        <w:pStyle w:val="12"/>
        <w:ind w:firstLine="47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1"/>
          <w14:textFill>
            <w14:solidFill>
              <w14:schemeClr w14:val="tx1"/>
            </w14:solidFill>
          </w14:textFill>
        </w:rPr>
        <w:t>水土流失强度分级标准用土壤侵蚀模数表示，土壤侵蚀模数是指单位面积</w:t>
      </w:r>
      <w:r>
        <w:rPr>
          <w:rFonts w:ascii="Times New Roman" w:hAnsi="Times New Roman" w:eastAsia="仿宋_GB2312"/>
          <w:color w:val="000000" w:themeColor="text1"/>
          <w:spacing w:val="-2"/>
          <w14:textFill>
            <w14:solidFill>
              <w14:schemeClr w14:val="tx1"/>
            </w14:solidFill>
          </w14:textFill>
        </w:rPr>
        <w:t>（</w:t>
      </w:r>
      <w:r>
        <w:rPr>
          <w:rFonts w:ascii="Times New Roman" w:hAnsi="Times New Roman" w:eastAsia="仿宋_GB2312"/>
          <w:color w:val="000000" w:themeColor="text1"/>
          <w:spacing w:val="-10"/>
          <w14:textFill>
            <w14:solidFill>
              <w14:schemeClr w14:val="tx1"/>
            </w14:solidFill>
          </w14:textFill>
        </w:rPr>
        <w:t>每平方</w:t>
      </w:r>
      <w:r>
        <w:rPr>
          <w:rFonts w:ascii="Times New Roman" w:hAnsi="Times New Roman" w:eastAsia="仿宋_GB2312"/>
          <w:color w:val="000000" w:themeColor="text1"/>
          <w:spacing w:val="-2"/>
          <w14:textFill>
            <w14:solidFill>
              <w14:schemeClr w14:val="tx1"/>
            </w14:solidFill>
          </w14:textFill>
        </w:rPr>
        <w:t>km）</w:t>
      </w:r>
      <w:r>
        <w:rPr>
          <w:rFonts w:ascii="Times New Roman" w:hAnsi="Times New Roman" w:eastAsia="仿宋_GB2312"/>
          <w:color w:val="000000" w:themeColor="text1"/>
          <w:spacing w:val="-3"/>
          <w14:textFill>
            <w14:solidFill>
              <w14:schemeClr w14:val="tx1"/>
            </w14:solidFill>
          </w14:textFill>
        </w:rPr>
        <w:t>每年的水土流失量。</w:t>
      </w:r>
    </w:p>
    <w:p w14:paraId="64E870B3">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结</w:t>
      </w:r>
      <w:r>
        <w:rPr>
          <w:rFonts w:ascii="Times New Roman" w:hAnsi="Times New Roman" w:eastAsia="仿宋_GB2312"/>
          <w:color w:val="000000" w:themeColor="text1"/>
          <w:spacing w:val="10"/>
          <w:position w:val="-1"/>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实际情况和以往工作经验，以中华人民共和国行业标准《土壤侵蚀分类分级标准》（SL190-2007）作为水土流失强度信息的判定，基于中国土壤流失方</w:t>
      </w:r>
      <w:r>
        <w:rPr>
          <w:rFonts w:ascii="Times New Roman" w:hAnsi="Times New Roman" w:eastAsia="仿宋_GB2312"/>
          <w:color w:val="000000" w:themeColor="text1"/>
          <w:spacing w:val="-2"/>
          <w14:textFill>
            <w14:solidFill>
              <w14:schemeClr w14:val="tx1"/>
            </w14:solidFill>
          </w14:textFill>
        </w:rPr>
        <w:t>程（CSLE）计算模型，计算区域内土壤侵蚀模数，从而计算出水土流失量。</w:t>
      </w:r>
    </w:p>
    <w:p w14:paraId="047C0F3D">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2）水土流失动态监测</w:t>
      </w:r>
    </w:p>
    <w:p w14:paraId="5737D8C7">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通过无人机拍摄的遥感影像，结</w:t>
      </w:r>
      <w:r>
        <w:rPr>
          <w:rFonts w:ascii="Times New Roman" w:hAnsi="Times New Roman" w:eastAsia="仿宋_GB2312"/>
          <w:color w:val="000000" w:themeColor="text1"/>
          <w:spacing w:val="10"/>
          <w:position w:val="-2"/>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提取坡度、植被、土地利用等信息，通过</w:t>
      </w:r>
      <w:r>
        <w:rPr>
          <w:rFonts w:ascii="Times New Roman" w:hAnsi="Times New Roman" w:eastAsia="仿宋_GB2312"/>
          <w:color w:val="000000" w:themeColor="text1"/>
          <w:spacing w:val="-6"/>
          <w14:textFill>
            <w14:solidFill>
              <w14:schemeClr w14:val="tx1"/>
            </w14:solidFill>
          </w14:textFill>
        </w:rPr>
        <w:t>水土流失评价模型逐月动态地获取项目区水土流失情况，从而达到对施工区水土</w:t>
      </w:r>
      <w:r>
        <w:rPr>
          <w:rFonts w:ascii="Times New Roman" w:hAnsi="Times New Roman" w:eastAsia="仿宋_GB2312"/>
          <w:color w:val="000000" w:themeColor="text1"/>
          <w:spacing w:val="-2"/>
          <w14:textFill>
            <w14:solidFill>
              <w14:schemeClr w14:val="tx1"/>
            </w14:solidFill>
          </w14:textFill>
        </w:rPr>
        <w:t>流失动态监测的目的。</w:t>
      </w:r>
    </w:p>
    <w:p w14:paraId="52A926DE">
      <w:pPr>
        <w:pStyle w:val="12"/>
        <w:ind w:firstLine="478"/>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①</w:t>
      </w:r>
      <w:r>
        <w:rPr>
          <w:rFonts w:ascii="Times New Roman" w:hAnsi="Times New Roman" w:eastAsia="仿宋_GB2312"/>
          <w:color w:val="000000" w:themeColor="text1"/>
          <w:spacing w:val="-1"/>
          <w14:textFill>
            <w14:solidFill>
              <w14:schemeClr w14:val="tx1"/>
            </w14:solidFill>
          </w14:textFill>
        </w:rPr>
        <w:t>防治责任范围、扰动面积、堆土堆渣监测</w:t>
      </w:r>
    </w:p>
    <w:p w14:paraId="7746D3AA">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通过影像成果，结</w:t>
      </w:r>
      <w:r>
        <w:rPr>
          <w:rFonts w:ascii="Times New Roman" w:hAnsi="Times New Roman" w:eastAsia="仿宋_GB2312"/>
          <w:color w:val="000000" w:themeColor="text1"/>
          <w:spacing w:val="10"/>
          <w:position w:val="-1"/>
          <w14:textFill>
            <w14:solidFill>
              <w14:schemeClr w14:val="tx1"/>
            </w14:solidFill>
          </w14:textFill>
        </w:rPr>
        <w:t>合</w:t>
      </w:r>
      <w:r>
        <w:rPr>
          <w:rFonts w:ascii="Times New Roman" w:hAnsi="Times New Roman" w:eastAsia="仿宋_GB2312"/>
          <w:color w:val="000000" w:themeColor="text1"/>
          <w:spacing w:val="-2"/>
          <w14:textFill>
            <w14:solidFill>
              <w14:schemeClr w14:val="tx1"/>
            </w14:solidFill>
          </w14:textFill>
        </w:rPr>
        <w:t>项目区平面布置图，绘制项目</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spacing w:val="-2"/>
          <w14:textFill>
            <w14:solidFill>
              <w14:schemeClr w14:val="tx1"/>
            </w14:solidFill>
          </w14:textFill>
        </w:rPr>
        <w:t>分区边界线，精确计算</w:t>
      </w:r>
      <w:r>
        <w:rPr>
          <w:rFonts w:ascii="Times New Roman" w:hAnsi="Times New Roman" w:eastAsia="仿宋_GB2312"/>
          <w:color w:val="000000" w:themeColor="text1"/>
          <w14:textFill>
            <w14:solidFill>
              <w14:schemeClr w14:val="tx1"/>
            </w14:solidFill>
          </w14:textFill>
        </w:rPr>
        <w:t>分区扰动土地面积；利用卫星影像成果，通过解译标志，提取项目区</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14:textFill>
            <w14:solidFill>
              <w14:schemeClr w14:val="tx1"/>
            </w14:solidFill>
          </w14:textFill>
        </w:rPr>
        <w:t>划分单元</w:t>
      </w:r>
      <w:r>
        <w:rPr>
          <w:rFonts w:ascii="Times New Roman" w:hAnsi="Times New Roman" w:eastAsia="仿宋_GB2312"/>
          <w:color w:val="000000" w:themeColor="text1"/>
          <w:spacing w:val="-2"/>
          <w14:textFill>
            <w14:solidFill>
              <w14:schemeClr w14:val="tx1"/>
            </w14:solidFill>
          </w14:textFill>
        </w:rPr>
        <w:t>植被覆盖度以及土地利用信息，并分析</w:t>
      </w:r>
      <w:r>
        <w:rPr>
          <w:rFonts w:ascii="Times New Roman" w:hAnsi="Times New Roman" w:eastAsia="仿宋_GB2312"/>
          <w:color w:val="000000" w:themeColor="text1"/>
          <w14:textFill>
            <w14:solidFill>
              <w14:schemeClr w14:val="tx1"/>
            </w14:solidFill>
          </w14:textFill>
        </w:rPr>
        <w:t>DEM（数字高程模型）数据，获取坡度</w:t>
      </w:r>
      <w:r>
        <w:rPr>
          <w:rFonts w:ascii="Times New Roman" w:hAnsi="Times New Roman" w:eastAsia="仿宋_GB2312"/>
          <w:color w:val="000000" w:themeColor="text1"/>
          <w:spacing w:val="-2"/>
          <w14:textFill>
            <w14:solidFill>
              <w14:schemeClr w14:val="tx1"/>
            </w14:solidFill>
          </w14:textFill>
        </w:rPr>
        <w:t>信息，结</w:t>
      </w:r>
      <w:r>
        <w:rPr>
          <w:rFonts w:ascii="Times New Roman" w:hAnsi="Times New Roman" w:eastAsia="仿宋_GB2312"/>
          <w:color w:val="000000" w:themeColor="text1"/>
          <w:spacing w:val="10"/>
          <w:position w:val="-2"/>
          <w14:textFill>
            <w14:solidFill>
              <w14:schemeClr w14:val="tx1"/>
            </w14:solidFill>
          </w14:textFill>
        </w:rPr>
        <w:t>合</w:t>
      </w:r>
      <w:r>
        <w:rPr>
          <w:rFonts w:ascii="Times New Roman" w:hAnsi="Times New Roman" w:eastAsia="仿宋_GB2312"/>
          <w:color w:val="000000" w:themeColor="text1"/>
          <w:spacing w:val="-2"/>
          <w14:textFill>
            <w14:solidFill>
              <w14:schemeClr w14:val="tx1"/>
            </w14:solidFill>
          </w14:textFill>
        </w:rPr>
        <w:t>土壤侵蚀分类分级标准，判别</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spacing w:val="-2"/>
          <w14:textFill>
            <w14:solidFill>
              <w14:schemeClr w14:val="tx1"/>
            </w14:solidFill>
          </w14:textFill>
        </w:rPr>
        <w:t>划分单元的土壤侵蚀强度；通过对堆土堆渣场控制点进行空间插值，可以获得堆土堆渣场的</w:t>
      </w:r>
      <w:r>
        <w:rPr>
          <w:rFonts w:ascii="Times New Roman" w:hAnsi="Times New Roman" w:eastAsia="仿宋_GB2312"/>
          <w:color w:val="000000" w:themeColor="text1"/>
          <w14:textFill>
            <w14:solidFill>
              <w14:schemeClr w14:val="tx1"/>
            </w14:solidFill>
          </w14:textFill>
        </w:rPr>
        <w:t>DEM，通过与原地形的</w:t>
      </w:r>
      <w:r>
        <w:rPr>
          <w:rFonts w:ascii="Times New Roman" w:hAnsi="Times New Roman" w:eastAsia="仿宋_GB2312"/>
          <w:color w:val="000000" w:themeColor="text1"/>
          <w:spacing w:val="-2"/>
          <w14:textFill>
            <w14:solidFill>
              <w14:schemeClr w14:val="tx1"/>
            </w14:solidFill>
          </w14:textFill>
        </w:rPr>
        <w:t>对比分析，计算该项目施工期间的堆土堆渣量。</w:t>
      </w:r>
    </w:p>
    <w:p w14:paraId="5AC8E9F7">
      <w:pPr>
        <w:pStyle w:val="12"/>
        <w:ind w:firstLine="478"/>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②</w:t>
      </w:r>
      <w:r>
        <w:rPr>
          <w:rFonts w:ascii="Times New Roman" w:hAnsi="Times New Roman" w:eastAsia="仿宋_GB2312"/>
          <w:color w:val="000000" w:themeColor="text1"/>
          <w:spacing w:val="-1"/>
          <w14:textFill>
            <w14:solidFill>
              <w14:schemeClr w14:val="tx1"/>
            </w14:solidFill>
          </w14:textFill>
        </w:rPr>
        <w:t>水土保持措施实施情况监测</w:t>
      </w:r>
    </w:p>
    <w:p w14:paraId="3270E380">
      <w:pPr>
        <w:pStyle w:val="12"/>
        <w:ind w:firstLine="45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11"/>
          <w14:textFill>
            <w14:solidFill>
              <w14:schemeClr w14:val="tx1"/>
            </w14:solidFill>
          </w14:textFill>
        </w:rPr>
        <w:t>无人机航测是传统航空摄影测量手段的有力补充，具有机动灵活、高效快速、</w:t>
      </w:r>
      <w:r>
        <w:rPr>
          <w:rFonts w:ascii="Times New Roman" w:hAnsi="Times New Roman" w:eastAsia="仿宋_GB2312"/>
          <w:color w:val="000000" w:themeColor="text1"/>
          <w:spacing w:val="-2"/>
          <w14:textFill>
            <w14:solidFill>
              <w14:schemeClr w14:val="tx1"/>
            </w14:solidFill>
          </w14:textFill>
        </w:rPr>
        <w:t>精细准确、作业成本低、适用范围广、生产周期短等特点，在小区域和飞行困难</w:t>
      </w:r>
      <w:r>
        <w:rPr>
          <w:rFonts w:ascii="Times New Roman" w:hAnsi="Times New Roman" w:eastAsia="仿宋_GB2312"/>
          <w:color w:val="000000" w:themeColor="text1"/>
          <w:spacing w:val="-1"/>
          <w14:textFill>
            <w14:solidFill>
              <w14:schemeClr w14:val="tx1"/>
            </w14:solidFill>
          </w14:textFill>
        </w:rPr>
        <w:t>地区高分辨率影像快速获取方面具有明显优势。</w:t>
      </w:r>
    </w:p>
    <w:p w14:paraId="03F38AF7">
      <w:pPr>
        <w:pStyle w:val="12"/>
        <w:ind w:firstLine="46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8"/>
          <w14:textFill>
            <w14:solidFill>
              <w14:schemeClr w14:val="tx1"/>
            </w14:solidFill>
          </w14:textFill>
        </w:rPr>
        <w:t>通过高精度无人机航空遥感系统，在监测过程中实时动态掌握工程建设区扰</w:t>
      </w:r>
      <w:r>
        <w:rPr>
          <w:rFonts w:ascii="Times New Roman" w:hAnsi="Times New Roman" w:eastAsia="仿宋_GB2312"/>
          <w:color w:val="000000" w:themeColor="text1"/>
          <w14:textFill>
            <w14:solidFill>
              <w14:schemeClr w14:val="tx1"/>
            </w14:solidFill>
          </w14:textFill>
        </w:rPr>
        <w:t>动面积和地形变化情况</w:t>
      </w:r>
      <w:r>
        <w:rPr>
          <w:rFonts w:ascii="Times New Roman" w:hAnsi="Times New Roman" w:eastAsia="仿宋_GB2312"/>
          <w:color w:val="000000" w:themeColor="text1"/>
          <w:spacing w:val="-106"/>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可以更加</w:t>
      </w:r>
      <w:r>
        <w:rPr>
          <w:rFonts w:ascii="Times New Roman" w:hAnsi="Times New Roman" w:eastAsia="仿宋_GB2312"/>
          <w:color w:val="000000" w:themeColor="text1"/>
          <w:spacing w:val="10"/>
          <w:position w:val="-1"/>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理地规划监测线路</w:t>
      </w:r>
      <w:r>
        <w:rPr>
          <w:rFonts w:ascii="Times New Roman" w:hAnsi="Times New Roman" w:eastAsia="仿宋_GB2312"/>
          <w:color w:val="000000" w:themeColor="text1"/>
          <w:spacing w:val="-104"/>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更直观地掌握工程进度，</w:t>
      </w:r>
      <w:r>
        <w:rPr>
          <w:rFonts w:ascii="Times New Roman" w:hAnsi="Times New Roman" w:eastAsia="仿宋_GB2312"/>
          <w:color w:val="000000" w:themeColor="text1"/>
          <w:spacing w:val="-2"/>
          <w14:textFill>
            <w14:solidFill>
              <w14:schemeClr w14:val="tx1"/>
            </w14:solidFill>
          </w14:textFill>
        </w:rPr>
        <w:t>了解项目区植被恢复情况，监测工程水保措施的实施情况等。</w:t>
      </w:r>
    </w:p>
    <w:p w14:paraId="6FEA9F62">
      <w:pPr>
        <w:pStyle w:val="12"/>
        <w:ind w:firstLine="478"/>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③</w:t>
      </w:r>
      <w:r>
        <w:rPr>
          <w:rFonts w:ascii="Times New Roman" w:hAnsi="Times New Roman" w:eastAsia="仿宋_GB2312"/>
          <w:color w:val="000000" w:themeColor="text1"/>
          <w:spacing w:val="-1"/>
          <w14:textFill>
            <w14:solidFill>
              <w14:schemeClr w14:val="tx1"/>
            </w14:solidFill>
          </w14:textFill>
        </w:rPr>
        <w:t>水土保持措施、水土保持效益监测</w:t>
      </w:r>
    </w:p>
    <w:p w14:paraId="2D5F90B5">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通过影像成果，精确计算项目区工程、植物措施面积，建立地面解译标志，分析植被盖度，评估工程区周边水土流失强度并与施工前背景资料对比。</w:t>
      </w:r>
    </w:p>
    <w:p w14:paraId="14744D29">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结</w:t>
      </w:r>
      <w:r>
        <w:rPr>
          <w:rFonts w:ascii="Times New Roman" w:hAnsi="Times New Roman" w:eastAsia="仿宋_GB2312"/>
          <w:color w:val="000000" w:themeColor="text1"/>
          <w:spacing w:val="10"/>
          <w:position w:val="-1"/>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传统监测手段，分析上述监测结果，得出该项目扰动土地治理率、水土流失治理率、土壤流失控制比、植被恢复系数、林草植被覆盖率、拦渣率等综</w:t>
      </w:r>
      <w:r>
        <w:rPr>
          <w:rFonts w:ascii="Times New Roman" w:hAnsi="Times New Roman" w:eastAsia="仿宋_GB2312"/>
          <w:color w:val="000000" w:themeColor="text1"/>
          <w:spacing w:val="-1"/>
          <w:position w:val="-2"/>
          <w14:textFill>
            <w14:solidFill>
              <w14:schemeClr w14:val="tx1"/>
            </w14:solidFill>
          </w14:textFill>
        </w:rPr>
        <w:t>合</w:t>
      </w:r>
      <w:r>
        <w:rPr>
          <w:rFonts w:ascii="Times New Roman" w:hAnsi="Times New Roman" w:eastAsia="仿宋_GB2312"/>
          <w:color w:val="000000" w:themeColor="text1"/>
          <w:spacing w:val="-2"/>
          <w14:textFill>
            <w14:solidFill>
              <w14:schemeClr w14:val="tx1"/>
            </w14:solidFill>
          </w14:textFill>
        </w:rPr>
        <w:t>评价指标。</w:t>
      </w:r>
    </w:p>
    <w:p w14:paraId="31F40B3A">
      <w:pPr>
        <w:pStyle w:val="12"/>
        <w:ind w:firstLine="47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3"/>
          <w14:textFill>
            <w14:solidFill>
              <w14:schemeClr w14:val="tx1"/>
            </w14:solidFill>
          </w14:textFill>
        </w:rPr>
        <w:t>（2）定位监测</w:t>
      </w:r>
    </w:p>
    <w:p w14:paraId="51607AA4">
      <w:pPr>
        <w:pStyle w:val="12"/>
        <w:ind w:firstLine="47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1"/>
          <w14:textFill>
            <w14:solidFill>
              <w14:schemeClr w14:val="tx1"/>
            </w14:solidFill>
          </w14:textFill>
        </w:rPr>
        <w:t>对水土流失强度、水土流失总量变化等指标采取地面定位监测的方法。</w:t>
      </w:r>
    </w:p>
    <w:p w14:paraId="541C3F41">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选取监测点，布设监测断面和监测小区，定时观测和典型采样相结</w:t>
      </w:r>
      <w:r>
        <w:rPr>
          <w:rFonts w:ascii="Times New Roman" w:hAnsi="Times New Roman" w:eastAsia="仿宋_GB2312"/>
          <w:color w:val="000000" w:themeColor="text1"/>
          <w:spacing w:val="10"/>
          <w:position w:val="-1"/>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，获取</w:t>
      </w:r>
      <w:r>
        <w:rPr>
          <w:rFonts w:ascii="Times New Roman" w:hAnsi="Times New Roman" w:eastAsia="仿宋_GB2312"/>
          <w:color w:val="000000" w:themeColor="text1"/>
          <w:spacing w:val="-12"/>
          <w14:textFill>
            <w14:solidFill>
              <w14:schemeClr w14:val="tx1"/>
            </w14:solidFill>
          </w14:textFill>
        </w:rPr>
        <w:t>监测数据。用观测结果与同类型区平均土壤流失量及允许土壤流失量进行分析比</w:t>
      </w:r>
      <w:r>
        <w:rPr>
          <w:rFonts w:ascii="Times New Roman" w:hAnsi="Times New Roman" w:eastAsia="仿宋_GB2312"/>
          <w:color w:val="000000" w:themeColor="text1"/>
          <w14:textFill>
            <w14:solidFill>
              <w14:schemeClr w14:val="tx1"/>
            </w14:solidFill>
          </w14:textFill>
        </w:rPr>
        <w:t>较，验证水保持工程布局及采取措施的理性，针对其不足提出改进建议。</w:t>
      </w:r>
    </w:p>
    <w:p w14:paraId="1A1C779F">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I</w:t>
      </w:r>
      <w:r>
        <w:rPr>
          <w:rFonts w:ascii="Times New Roman" w:hAnsi="Times New Roman" w:eastAsia="仿宋_GB2312"/>
          <w:color w:val="000000" w:themeColor="text1"/>
          <w14:textFill>
            <w14:solidFill>
              <w14:schemeClr w14:val="tx1"/>
            </w14:solidFill>
          </w14:textFill>
        </w:rPr>
        <w:t>、水蚀监测</w:t>
      </w:r>
    </w:p>
    <w:p w14:paraId="682FE958">
      <w:pPr>
        <w:pStyle w:val="12"/>
        <w:ind w:firstLine="44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18"/>
          <w14:textFill>
            <w14:solidFill>
              <w14:schemeClr w14:val="tx1"/>
            </w14:solidFill>
          </w14:textFill>
        </w:rPr>
        <w:t>根据场地地形条件、工程施工特点、工期安排情况以及水土流失预测结果等，</w:t>
      </w:r>
      <w:r>
        <w:rPr>
          <w:rFonts w:ascii="Times New Roman" w:hAnsi="Times New Roman" w:eastAsia="仿宋_GB2312"/>
          <w:color w:val="000000" w:themeColor="text1"/>
          <w:spacing w:val="-2"/>
          <w14:textFill>
            <w14:solidFill>
              <w14:schemeClr w14:val="tx1"/>
            </w14:solidFill>
          </w14:textFill>
        </w:rPr>
        <w:t>水蚀主要发生在</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spacing w:val="-2"/>
          <w14:textFill>
            <w14:solidFill>
              <w14:schemeClr w14:val="tx1"/>
            </w14:solidFill>
          </w14:textFill>
        </w:rPr>
        <w:t>施工场地基础及施工扰动后的斜坡面</w:t>
      </w:r>
      <w:r>
        <w:rPr>
          <w:rFonts w:ascii="Times New Roman" w:hAnsi="Times New Roman" w:eastAsia="仿宋_GB2312"/>
          <w:color w:val="000000" w:themeColor="text1"/>
          <w:spacing w:val="-89"/>
          <w14:textFill>
            <w14:solidFill>
              <w14:schemeClr w14:val="tx1"/>
            </w14:solidFill>
          </w14:textFill>
        </w:rPr>
        <w:t>，</w:t>
      </w:r>
      <w:r>
        <w:rPr>
          <w:rFonts w:ascii="Times New Roman" w:hAnsi="Times New Roman" w:eastAsia="仿宋_GB2312"/>
          <w:color w:val="000000" w:themeColor="text1"/>
          <w:spacing w:val="-2"/>
          <w14:textFill>
            <w14:solidFill>
              <w14:schemeClr w14:val="tx1"/>
            </w14:solidFill>
          </w14:textFill>
        </w:rPr>
        <w:t>因此水蚀强度主要采用</w:t>
      </w:r>
      <w:r>
        <w:rPr>
          <w:rFonts w:ascii="Times New Roman" w:hAnsi="Times New Roman" w:eastAsia="仿宋_GB2312"/>
          <w:color w:val="000000" w:themeColor="text1"/>
          <w14:textFill>
            <w14:solidFill>
              <w14:schemeClr w14:val="tx1"/>
            </w14:solidFill>
          </w14:textFill>
        </w:rPr>
        <w:t>桩钉法（简易水土流失观测法）和侵蚀沟样方法相结</w:t>
      </w:r>
      <w:r>
        <w:rPr>
          <w:rFonts w:ascii="Times New Roman" w:hAnsi="Times New Roman" w:eastAsia="仿宋_GB2312"/>
          <w:color w:val="000000" w:themeColor="text1"/>
          <w:spacing w:val="10"/>
          <w:position w:val="-1"/>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进行监测。</w:t>
      </w:r>
    </w:p>
    <w:p w14:paraId="3DD4CB6D">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A</w:t>
      </w:r>
      <w:r>
        <w:rPr>
          <w:rFonts w:ascii="Times New Roman" w:hAnsi="Times New Roman" w:eastAsia="仿宋_GB2312"/>
          <w:color w:val="000000" w:themeColor="text1"/>
          <w14:textFill>
            <w14:solidFill>
              <w14:schemeClr w14:val="tx1"/>
            </w14:solidFill>
          </w14:textFill>
        </w:rPr>
        <w:t>、桩钉法</w:t>
      </w:r>
    </w:p>
    <w:p w14:paraId="2EF7F6C3">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在汛期选择侵蚀特征明显、地表环境相对稳定的坡面布设插钎小区，将直径0.5~1cm</w:t>
      </w:r>
      <w:r>
        <w:rPr>
          <w:rFonts w:ascii="Times New Roman" w:hAnsi="Times New Roman" w:eastAsia="仿宋_GB2312"/>
          <w:color w:val="000000" w:themeColor="text1"/>
          <w:spacing w:val="-10"/>
          <w14:textFill>
            <w14:solidFill>
              <w14:schemeClr w14:val="tx1"/>
            </w14:solidFill>
          </w14:textFill>
        </w:rPr>
        <w:t>、长</w:t>
      </w:r>
      <w:r>
        <w:rPr>
          <w:rFonts w:ascii="Times New Roman" w:hAnsi="Times New Roman" w:eastAsia="仿宋_GB2312"/>
          <w:color w:val="000000" w:themeColor="text1"/>
          <w14:textFill>
            <w14:solidFill>
              <w14:schemeClr w14:val="tx1"/>
            </w14:solidFill>
          </w14:textFill>
        </w:rPr>
        <w:t>50~100cm、类似钉子形状的钢钎，根据坡面面积，按一定距离分上</w:t>
      </w:r>
      <w:r>
        <w:rPr>
          <w:rFonts w:ascii="Times New Roman" w:hAnsi="Times New Roman" w:eastAsia="仿宋_GB2312"/>
          <w:color w:val="000000" w:themeColor="text1"/>
          <w:spacing w:val="-2"/>
          <w14:textFill>
            <w14:solidFill>
              <w14:schemeClr w14:val="tx1"/>
            </w14:solidFill>
          </w14:textFill>
        </w:rPr>
        <w:t>中下、左中右纵横</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spacing w:val="-2"/>
          <w14:textFill>
            <w14:solidFill>
              <w14:schemeClr w14:val="tx1"/>
            </w14:solidFill>
          </w14:textFill>
        </w:rPr>
        <w:t>3排、共9根布设。钢钎应沿铅垂方向打入坡面，钉帽与坡</w:t>
      </w:r>
      <w:r>
        <w:rPr>
          <w:rFonts w:ascii="Times New Roman" w:hAnsi="Times New Roman" w:eastAsia="仿宋_GB2312"/>
          <w:color w:val="000000" w:themeColor="text1"/>
          <w14:textFill>
            <w14:solidFill>
              <w14:schemeClr w14:val="tx1"/>
            </w14:solidFill>
          </w14:textFill>
        </w:rPr>
        <w:t>面齐平，并应在钉帽上涂上红漆，编号登记入册。坡面面积较大时，钢钎应适当加密。</w:t>
      </w:r>
    </w:p>
    <w:p w14:paraId="1DED9258">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每次大暴雨之后和汛期终了，观测钉帽距地面高度，计算土壤侵蚀厚度和总</w:t>
      </w:r>
      <w:r>
        <w:rPr>
          <w:rFonts w:ascii="Times New Roman" w:hAnsi="Times New Roman" w:eastAsia="仿宋_GB2312"/>
          <w:color w:val="000000" w:themeColor="text1"/>
          <w:spacing w:val="-2"/>
          <w14:textFill>
            <w14:solidFill>
              <w14:schemeClr w14:val="tx1"/>
            </w14:solidFill>
          </w14:textFill>
        </w:rPr>
        <w:t>土壤侵蚀量。计算公式采用：</w:t>
      </w:r>
    </w:p>
    <w:p w14:paraId="3BDD9686">
      <w:pPr>
        <w:pStyle w:val="12"/>
        <w:ind w:firstLine="500"/>
        <w:jc w:val="center"/>
        <w:rPr>
          <w:rFonts w:ascii="Times New Roman" w:hAnsi="Times New Roman" w:eastAsia="仿宋_GB2312"/>
          <w:i/>
          <w:color w:val="000000" w:themeColor="text1"/>
          <w:sz w:val="26"/>
          <w14:textFill>
            <w14:solidFill>
              <w14:schemeClr w14:val="tx1"/>
            </w14:solidFill>
          </w14:textFill>
        </w:rPr>
      </w:pPr>
      <w:r>
        <w:rPr>
          <w:rFonts w:ascii="Times New Roman" w:hAnsi="Times New Roman" w:eastAsia="仿宋_GB2312"/>
          <w:i/>
          <w:color w:val="000000" w:themeColor="text1"/>
          <w:sz w:val="25"/>
          <w14:textFill>
            <w14:solidFill>
              <w14:schemeClr w14:val="tx1"/>
            </w14:solidFill>
          </w14:textFill>
        </w:rPr>
        <w:t>A</w:t>
      </w:r>
      <w:r>
        <w:rPr>
          <w:rFonts w:ascii="Times New Roman" w:hAnsi="Times New Roman" w:eastAsia="仿宋_GB2312"/>
          <w:color w:val="000000" w:themeColor="text1"/>
          <w:sz w:val="25"/>
          <w14:textFill>
            <w14:solidFill>
              <w14:schemeClr w14:val="tx1"/>
            </w14:solidFill>
          </w14:textFill>
        </w:rPr>
        <w:t></w:t>
      </w:r>
      <w:r>
        <w:rPr>
          <w:rFonts w:ascii="Times New Roman" w:hAnsi="Times New Roman" w:eastAsia="仿宋_GB2312"/>
          <w:i/>
          <w:color w:val="000000" w:themeColor="text1"/>
          <w:sz w:val="25"/>
          <w14:textFill>
            <w14:solidFill>
              <w14:schemeClr w14:val="tx1"/>
            </w14:solidFill>
          </w14:textFill>
        </w:rPr>
        <w:t>ZS</w:t>
      </w:r>
      <w:r>
        <w:rPr>
          <w:rFonts w:ascii="Times New Roman" w:hAnsi="Times New Roman" w:eastAsia="仿宋_GB2312"/>
          <w:color w:val="000000" w:themeColor="text1"/>
          <w:spacing w:val="-2"/>
          <w:sz w:val="25"/>
          <w14:textFill>
            <w14:solidFill>
              <w14:schemeClr w14:val="tx1"/>
            </w14:solidFill>
          </w14:textFill>
        </w:rPr>
        <w:t>/1000cos</w:t>
      </w:r>
      <w:r>
        <w:rPr>
          <w:rFonts w:ascii="Times New Roman" w:hAnsi="Times New Roman" w:eastAsia="仿宋_GB2312"/>
          <w:i/>
          <w:color w:val="000000" w:themeColor="text1"/>
          <w:spacing w:val="-2"/>
          <w:sz w:val="26"/>
          <w14:textFill>
            <w14:solidFill>
              <w14:schemeClr w14:val="tx1"/>
            </w14:solidFill>
          </w14:textFill>
        </w:rPr>
        <w:t></w:t>
      </w:r>
    </w:p>
    <w:p w14:paraId="4003F4A6">
      <w:pPr>
        <w:pStyle w:val="12"/>
        <w:ind w:firstLine="50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13"/>
          <w14:textFill>
            <w14:solidFill>
              <w14:schemeClr w14:val="tx1"/>
            </w14:solidFill>
          </w14:textFill>
        </w:rPr>
        <w:t>式中</w:t>
      </w:r>
      <w:r>
        <w:rPr>
          <w:rFonts w:ascii="Times New Roman" w:hAnsi="Times New Roman" w:eastAsia="仿宋_GB2312"/>
          <w:color w:val="000000" w:themeColor="text1"/>
          <w14:textFill>
            <w14:solidFill>
              <w14:schemeClr w14:val="tx1"/>
            </w14:solidFill>
          </w14:textFill>
        </w:rPr>
        <w:t>A—土壤侵蚀量（m³）；</w:t>
      </w:r>
      <w:r>
        <w:rPr>
          <w:rFonts w:ascii="Times New Roman" w:hAnsi="Times New Roman" w:eastAsia="仿宋_GB2312"/>
          <w:color w:val="000000" w:themeColor="text1"/>
          <w:spacing w:val="-2"/>
          <w14:textFill>
            <w14:solidFill>
              <w14:schemeClr w14:val="tx1"/>
            </w14:solidFill>
          </w14:textFill>
        </w:rPr>
        <w:t>Z—侵蚀厚度（mm）；</w:t>
      </w:r>
    </w:p>
    <w:p w14:paraId="17A4BB60">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S—坡面面积（m²）；θ—斜坡坡度值。</w:t>
      </w:r>
    </w:p>
    <w:p w14:paraId="75AA5ABF">
      <w:pPr>
        <w:pStyle w:val="12"/>
        <w:ind w:firstLine="480"/>
        <w:rPr>
          <w:rFonts w:ascii="Times New Roman" w:hAnsi="Times New Roman" w:eastAsia="仿宋_GB2312"/>
          <w:color w:val="000000" w:themeColor="text1"/>
          <w:sz w:val="14"/>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mc:AlternateContent>
          <mc:Choice Requires="wps">
            <w:drawing>
              <wp:anchor distT="0" distB="0" distL="0" distR="0" simplePos="0" relativeHeight="251659264" behindDoc="0" locked="0" layoutInCell="1" allowOverlap="1">
                <wp:simplePos x="0" y="0"/>
                <wp:positionH relativeFrom="page">
                  <wp:posOffset>1307465</wp:posOffset>
                </wp:positionH>
                <wp:positionV relativeFrom="page">
                  <wp:posOffset>4314190</wp:posOffset>
                </wp:positionV>
                <wp:extent cx="328295" cy="130175"/>
                <wp:effectExtent l="0" t="0" r="0" b="0"/>
                <wp:wrapNone/>
                <wp:docPr id="923" name="Textbox 923"/>
                <wp:cNvGraphicFramePr/>
                <a:graphic xmlns:a="http://schemas.openxmlformats.org/drawingml/2006/main">
                  <a:graphicData uri="http://schemas.microsoft.com/office/word/2010/wordprocessingShape">
                    <wps:wsp>
                      <wps:cNvSpPr txBox="1"/>
                      <wps:spPr>
                        <a:xfrm rot="19493721">
                          <a:off x="0" y="0"/>
                          <a:ext cx="328295" cy="130175"/>
                        </a:xfrm>
                        <a:prstGeom prst="rect">
                          <a:avLst/>
                        </a:prstGeom>
                      </wps:spPr>
                      <wps:txbx>
                        <w:txbxContent>
                          <w:p w14:paraId="6B5C2C22">
                            <w:pPr>
                              <w:spacing w:line="205" w:lineRule="exact"/>
                              <w:ind w:firstLine="396"/>
                              <w:rPr>
                                <w:sz w:val="20"/>
                              </w:rPr>
                            </w:pPr>
                            <w:r>
                              <w:rPr>
                                <w:spacing w:val="-2"/>
                                <w:position w:val="1"/>
                                <w:sz w:val="20"/>
                              </w:rPr>
                              <w:t>10</w:t>
                            </w:r>
                            <w:r>
                              <w:rPr>
                                <w:spacing w:val="-2"/>
                                <w:sz w:val="20"/>
                              </w:rPr>
                              <w:t>0cm</w:t>
                            </w:r>
                          </w:p>
                        </w:txbxContent>
                      </wps:txbx>
                      <wps:bodyPr wrap="square" lIns="0" tIns="0" rIns="0" bIns="0" rtlCol="0">
                        <a:noAutofit/>
                      </wps:bodyPr>
                    </wps:wsp>
                  </a:graphicData>
                </a:graphic>
              </wp:anchor>
            </w:drawing>
          </mc:Choice>
          <mc:Fallback>
            <w:pict>
              <v:shape id="Textbox 923" o:spid="_x0000_s1026" o:spt="202" type="#_x0000_t202" style="position:absolute;left:0pt;margin-left:102.95pt;margin-top:339.7pt;height:10.25pt;width:25.85pt;mso-position-horizontal-relative:page;mso-position-vertical-relative:page;rotation:-2300618f;z-index:251659264;mso-width-relative:page;mso-height-relative:page;" filled="f" stroked="f" coordsize="21600,21600" o:gfxdata="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1WTW+2wAAAAsBAAAPAAAAAAAAAAEAIAAAACIAAABkcnMvZG93bnJl&#10;di54bWxQSwECFAAUAAAACACHTuJAuRWZoMEBAACGAwAADgAAAAAAAAABACAAAAAqAQAAZHJzL2Uy&#10;b0RvYy54bWxQSwUGAAAAAAYABgBZAQAAXQUAAAAA&#10;">
                <v:fill on="f" focussize="0,0"/>
                <v:stroke on="f"/>
                <v:imagedata o:title=""/>
                <o:lock v:ext="edit" aspectratio="f"/>
                <v:textbox inset="0mm,0mm,0mm,0mm">
                  <w:txbxContent>
                    <w:p w14:paraId="6B5C2C22">
                      <w:pPr>
                        <w:spacing w:line="205" w:lineRule="exact"/>
                        <w:ind w:firstLine="396"/>
                        <w:rPr>
                          <w:sz w:val="20"/>
                        </w:rPr>
                      </w:pPr>
                      <w:r>
                        <w:rPr>
                          <w:spacing w:val="-2"/>
                          <w:position w:val="1"/>
                          <w:sz w:val="20"/>
                        </w:rPr>
                        <w:t>10</w:t>
                      </w:r>
                      <w:r>
                        <w:rPr>
                          <w:spacing w:val="-2"/>
                          <w:sz w:val="20"/>
                        </w:rPr>
                        <w:t>0cm</w:t>
                      </w:r>
                    </w:p>
                  </w:txbxContent>
                </v:textbox>
              </v:shape>
            </w:pict>
          </mc:Fallback>
        </mc:AlternateContent>
      </w:r>
      <w:r>
        <w:rPr>
          <w:rFonts w:ascii="Times New Roman" w:hAnsi="Times New Roman" w:eastAsia="仿宋_GB2312"/>
          <w:color w:val="000000" w:themeColor="text1"/>
          <w14:textFill>
            <w14:solidFill>
              <w14:schemeClr w14:val="tx1"/>
            </w14:solidFill>
          </w14:textFill>
        </w:rPr>
        <w:drawing>
          <wp:inline distT="0" distB="0" distL="0" distR="0">
            <wp:extent cx="5657850" cy="2362835"/>
            <wp:effectExtent l="0" t="0" r="0" b="0"/>
            <wp:docPr id="72903910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039107" name="图片 1"/>
                    <pic:cNvPicPr>
                      <a:picLocks noChangeAspect="1"/>
                    </pic:cNvPicPr>
                  </pic:nvPicPr>
                  <pic:blipFill>
                    <a:blip r:embed="rId102" cstate="email"/>
                    <a:stretch>
                      <a:fillRect/>
                    </a:stretch>
                  </pic:blipFill>
                  <pic:spPr>
                    <a:xfrm>
                      <a:off x="0" y="0"/>
                      <a:ext cx="5657850" cy="2362835"/>
                    </a:xfrm>
                    <a:prstGeom prst="rect">
                      <a:avLst/>
                    </a:prstGeom>
                  </pic:spPr>
                </pic:pic>
              </a:graphicData>
            </a:graphic>
          </wp:inline>
        </w:drawing>
      </w:r>
    </w:p>
    <w:p w14:paraId="772F9B37">
      <w:pPr>
        <w:pStyle w:val="35"/>
        <w:rPr>
          <w:rFonts w:eastAsia="仿宋_GB2312" w:cs="Times New Roman"/>
          <w:color w:val="000000" w:themeColor="text1"/>
          <w:lang w:eastAsia="zh-CN"/>
          <w14:textFill>
            <w14:solidFill>
              <w14:schemeClr w14:val="tx1"/>
            </w14:solidFill>
          </w14:textFill>
        </w:rPr>
      </w:pPr>
      <w:r>
        <w:rPr>
          <w:rFonts w:eastAsia="仿宋_GB2312" w:cs="Times New Roman"/>
          <w:color w:val="000000" w:themeColor="text1"/>
          <w:lang w:eastAsia="zh-CN"/>
          <w14:textFill>
            <w14:solidFill>
              <w14:schemeClr w14:val="tx1"/>
            </w14:solidFill>
          </w14:textFill>
        </w:rPr>
        <w:t>图6-</w:t>
      </w:r>
      <w:r>
        <w:rPr>
          <w:rFonts w:eastAsia="仿宋_GB2312" w:cs="Times New Roman"/>
          <w:color w:val="000000" w:themeColor="text1"/>
          <w:spacing w:val="-12"/>
          <w:lang w:eastAsia="zh-CN"/>
          <w14:textFill>
            <w14:solidFill>
              <w14:schemeClr w14:val="tx1"/>
            </w14:solidFill>
          </w14:textFill>
        </w:rPr>
        <w:t>1</w:t>
      </w:r>
      <w:r>
        <w:rPr>
          <w:rFonts w:eastAsia="仿宋_GB2312" w:cs="Times New Roman"/>
          <w:color w:val="000000" w:themeColor="text1"/>
          <w:lang w:eastAsia="zh-CN"/>
          <w14:textFill>
            <w14:solidFill>
              <w14:schemeClr w14:val="tx1"/>
            </w14:solidFill>
          </w14:textFill>
        </w:rPr>
        <w:tab/>
      </w:r>
      <w:r>
        <w:rPr>
          <w:rFonts w:eastAsia="仿宋_GB2312" w:cs="Times New Roman"/>
          <w:color w:val="000000" w:themeColor="text1"/>
          <w:lang w:eastAsia="zh-CN"/>
          <w14:textFill>
            <w14:solidFill>
              <w14:schemeClr w14:val="tx1"/>
            </w14:solidFill>
          </w14:textFill>
        </w:rPr>
        <w:t>水蚀观测场布设示意</w:t>
      </w:r>
      <w:r>
        <w:rPr>
          <w:rFonts w:eastAsia="仿宋_GB2312" w:cs="Times New Roman"/>
          <w:color w:val="000000" w:themeColor="text1"/>
          <w:spacing w:val="-10"/>
          <w:lang w:eastAsia="zh-CN"/>
          <w14:textFill>
            <w14:solidFill>
              <w14:schemeClr w14:val="tx1"/>
            </w14:solidFill>
          </w14:textFill>
        </w:rPr>
        <w:t>图</w:t>
      </w:r>
    </w:p>
    <w:p w14:paraId="55F7CB2A">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B</w:t>
      </w:r>
      <w:r>
        <w:rPr>
          <w:rFonts w:ascii="Times New Roman" w:hAnsi="Times New Roman" w:eastAsia="仿宋_GB2312"/>
          <w:color w:val="000000" w:themeColor="text1"/>
          <w14:textFill>
            <w14:solidFill>
              <w14:schemeClr w14:val="tx1"/>
            </w14:solidFill>
          </w14:textFill>
        </w:rPr>
        <w:t>、侵蚀沟样方法</w:t>
      </w:r>
    </w:p>
    <w:p w14:paraId="0594764B">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对选择的具有代表性的堆土边坡，通过选定样方，测定样方内侵蚀沟的数量</w:t>
      </w:r>
      <w:r>
        <w:rPr>
          <w:rFonts w:ascii="Times New Roman" w:hAnsi="Times New Roman" w:eastAsia="仿宋_GB2312"/>
          <w:color w:val="000000" w:themeColor="text1"/>
          <w:spacing w:val="-3"/>
          <w14:textFill>
            <w14:solidFill>
              <w14:schemeClr w14:val="tx1"/>
            </w14:solidFill>
          </w14:textFill>
        </w:rPr>
        <w:t>和大小来确定侵蚀量。样方大小根据坡面情况确定，一般取</w:t>
      </w:r>
      <w:r>
        <w:rPr>
          <w:rFonts w:ascii="Times New Roman" w:hAnsi="Times New Roman" w:eastAsia="仿宋_GB2312"/>
          <w:color w:val="000000" w:themeColor="text1"/>
          <w14:textFill>
            <w14:solidFill>
              <w14:schemeClr w14:val="tx1"/>
            </w14:solidFill>
          </w14:textFill>
        </w:rPr>
        <w:t>5-10m宽的坡面，坡</w:t>
      </w:r>
      <w:r>
        <w:rPr>
          <w:rFonts w:ascii="Times New Roman" w:hAnsi="Times New Roman" w:eastAsia="仿宋_GB2312"/>
          <w:color w:val="000000" w:themeColor="text1"/>
          <w:spacing w:val="-13"/>
          <w14:textFill>
            <w14:solidFill>
              <w14:schemeClr w14:val="tx1"/>
            </w14:solidFill>
          </w14:textFill>
        </w:rPr>
        <w:t>面发生侵蚀沟按大</w:t>
      </w:r>
      <w:r>
        <w:rPr>
          <w:rFonts w:ascii="Times New Roman" w:hAnsi="Times New Roman" w:eastAsia="仿宋_GB2312"/>
          <w:color w:val="000000" w:themeColor="text1"/>
          <w14:textFill>
            <w14:solidFill>
              <w14:schemeClr w14:val="tx1"/>
            </w14:solidFill>
          </w14:textFill>
        </w:rPr>
        <w:t>（沟宽＞100cm）</w:t>
      </w:r>
      <w:r>
        <w:rPr>
          <w:rFonts w:ascii="Times New Roman" w:hAnsi="Times New Roman" w:eastAsia="仿宋_GB2312"/>
          <w:color w:val="000000" w:themeColor="text1"/>
          <w:spacing w:val="-50"/>
          <w14:textFill>
            <w14:solidFill>
              <w14:schemeClr w14:val="tx1"/>
            </w14:solidFill>
          </w14:textFill>
        </w:rPr>
        <w:t>、中沟</w:t>
      </w:r>
      <w:r>
        <w:rPr>
          <w:rFonts w:ascii="Times New Roman" w:hAnsi="Times New Roman" w:eastAsia="仿宋_GB2312"/>
          <w:color w:val="000000" w:themeColor="text1"/>
          <w14:textFill>
            <w14:solidFill>
              <w14:schemeClr w14:val="tx1"/>
            </w14:solidFill>
          </w14:textFill>
        </w:rPr>
        <w:t>（</w:t>
      </w:r>
      <w:r>
        <w:rPr>
          <w:rFonts w:ascii="Times New Roman" w:hAnsi="Times New Roman" w:eastAsia="仿宋_GB2312"/>
          <w:color w:val="000000" w:themeColor="text1"/>
          <w:spacing w:val="-23"/>
          <w14:textFill>
            <w14:solidFill>
              <w14:schemeClr w14:val="tx1"/>
            </w14:solidFill>
          </w14:textFill>
        </w:rPr>
        <w:t>沟宽</w:t>
      </w:r>
      <w:r>
        <w:rPr>
          <w:rFonts w:ascii="Times New Roman" w:hAnsi="Times New Roman" w:eastAsia="仿宋_GB2312"/>
          <w:color w:val="000000" w:themeColor="text1"/>
          <w14:textFill>
            <w14:solidFill>
              <w14:schemeClr w14:val="tx1"/>
            </w14:solidFill>
          </w14:textFill>
        </w:rPr>
        <w:t>30-100cm）</w:t>
      </w:r>
      <w:r>
        <w:rPr>
          <w:rFonts w:ascii="Times New Roman" w:hAnsi="Times New Roman" w:eastAsia="仿宋_GB2312"/>
          <w:color w:val="000000" w:themeColor="text1"/>
          <w:spacing w:val="-50"/>
          <w14:textFill>
            <w14:solidFill>
              <w14:schemeClr w14:val="tx1"/>
            </w14:solidFill>
          </w14:textFill>
        </w:rPr>
        <w:t>、小沟</w:t>
      </w:r>
      <w:r>
        <w:rPr>
          <w:rFonts w:ascii="Times New Roman" w:hAnsi="Times New Roman" w:eastAsia="仿宋_GB2312"/>
          <w:color w:val="000000" w:themeColor="text1"/>
          <w14:textFill>
            <w14:solidFill>
              <w14:schemeClr w14:val="tx1"/>
            </w14:solidFill>
          </w14:textFill>
        </w:rPr>
        <w:t>（沟宽＜30cm）</w:t>
      </w:r>
      <w:r>
        <w:rPr>
          <w:rFonts w:ascii="Times New Roman" w:hAnsi="Times New Roman" w:eastAsia="仿宋_GB2312"/>
          <w:color w:val="000000" w:themeColor="text1"/>
          <w:spacing w:val="-2"/>
          <w14:textFill>
            <w14:solidFill>
              <w14:schemeClr w14:val="tx1"/>
            </w14:solidFill>
          </w14:textFill>
        </w:rPr>
        <w:t>分三类统计。首先量测坡面形成初期的坡度、坡长、地面组成物质、容重等，并记录造成侵蚀沟的次降雨。在每次降雨或多次降雨后，每条沟测定沟长和上、中上、中、中下、下</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spacing w:val="-2"/>
          <w14:textFill>
            <w14:solidFill>
              <w14:schemeClr w14:val="tx1"/>
            </w14:solidFill>
          </w14:textFill>
        </w:rPr>
        <w:t>部位的沟顶宽、底宽、沟深，最终推算其流失量。</w:t>
      </w:r>
    </w:p>
    <w:p w14:paraId="6456FA4A">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C</w:t>
      </w:r>
      <w:r>
        <w:rPr>
          <w:rFonts w:ascii="Times New Roman" w:hAnsi="Times New Roman" w:eastAsia="仿宋_GB2312"/>
          <w:color w:val="000000" w:themeColor="text1"/>
          <w14:textFill>
            <w14:solidFill>
              <w14:schemeClr w14:val="tx1"/>
            </w14:solidFill>
          </w14:textFill>
        </w:rPr>
        <w:t>、径流小区法</w:t>
      </w:r>
    </w:p>
    <w:p w14:paraId="11D23585">
      <w:pPr>
        <w:pStyle w:val="12"/>
        <w:ind w:firstLine="480"/>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w:t>
      </w:r>
      <w:r>
        <w:rPr>
          <w:rFonts w:ascii="Times New Roman" w:hAnsi="Times New Roman" w:eastAsia="仿宋_GB2312"/>
          <w:color w:val="000000" w:themeColor="text1"/>
          <w14:textFill>
            <w14:solidFill>
              <w14:schemeClr w14:val="tx1"/>
            </w14:solidFill>
          </w14:textFill>
        </w:rPr>
        <w:t>标准小区应选择有代表性的坡面设置，坡面应保持原有的自然条件。土壤</w:t>
      </w:r>
      <w:r>
        <w:rPr>
          <w:rFonts w:ascii="Times New Roman" w:hAnsi="Times New Roman" w:eastAsia="仿宋_GB2312"/>
          <w:color w:val="000000" w:themeColor="text1"/>
          <w:spacing w:val="-3"/>
          <w14:textFill>
            <w14:solidFill>
              <w14:schemeClr w14:val="tx1"/>
            </w14:solidFill>
          </w14:textFill>
        </w:rPr>
        <w:t>剖面结构相同，土层厚度比较均匀，坡度比较均一。选取覆盖度在</w:t>
      </w:r>
      <w:r>
        <w:rPr>
          <w:rFonts w:ascii="Times New Roman" w:hAnsi="Times New Roman" w:eastAsia="仿宋_GB2312"/>
          <w:color w:val="000000" w:themeColor="text1"/>
          <w:spacing w:val="-2"/>
          <w14:textFill>
            <w14:solidFill>
              <w14:schemeClr w14:val="tx1"/>
            </w14:solidFill>
          </w14:textFill>
        </w:rPr>
        <w:t>5%以下、坡</w:t>
      </w:r>
      <w:r>
        <w:rPr>
          <w:rFonts w:ascii="Times New Roman" w:hAnsi="Times New Roman" w:eastAsia="仿宋_GB2312"/>
          <w:color w:val="000000" w:themeColor="text1"/>
          <w14:textFill>
            <w14:solidFill>
              <w14:schemeClr w14:val="tx1"/>
            </w14:solidFill>
          </w14:textFill>
        </w:rPr>
        <w:t>度5°或15°、宽5m，水平坡长20m，水平投影面积100m²的径流小区。</w:t>
      </w:r>
    </w:p>
    <w:p w14:paraId="25133C93">
      <w:pPr>
        <w:pStyle w:val="12"/>
        <w:ind w:firstLine="480"/>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②</w:t>
      </w:r>
      <w:r>
        <w:rPr>
          <w:rFonts w:ascii="Times New Roman" w:hAnsi="Times New Roman" w:eastAsia="仿宋_GB2312"/>
          <w:color w:val="000000" w:themeColor="text1"/>
          <w14:textFill>
            <w14:solidFill>
              <w14:schemeClr w14:val="tx1"/>
            </w14:solidFill>
          </w14:textFill>
        </w:rPr>
        <w:t>径流小区应有围梗、防护设施、集流设施等，同时应配备径流泥沙测验的</w:t>
      </w:r>
      <w:r>
        <w:rPr>
          <w:rFonts w:ascii="Times New Roman" w:hAnsi="Times New Roman" w:eastAsia="仿宋_GB2312"/>
          <w:color w:val="000000" w:themeColor="text1"/>
          <w:spacing w:val="-2"/>
          <w14:textFill>
            <w14:solidFill>
              <w14:schemeClr w14:val="tx1"/>
            </w14:solidFill>
          </w14:textFill>
        </w:rPr>
        <w:t>设施设备。</w:t>
      </w:r>
    </w:p>
    <w:p w14:paraId="44AC8641">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围埂为设置在径流小区边界（除下边界）处的隔离设施。围埂的建筑材料要求不吸水、不透水。围埂应互相连（搭）接紧密，高出地面10-30cm，埋入地下</w:t>
      </w:r>
      <w:r>
        <w:rPr>
          <w:rFonts w:ascii="Times New Roman" w:hAnsi="Times New Roman" w:eastAsia="仿宋_GB2312"/>
          <w:color w:val="000000" w:themeColor="text1"/>
          <w:spacing w:val="-2"/>
          <w14:textFill>
            <w14:solidFill>
              <w14:schemeClr w14:val="tx1"/>
            </w14:solidFill>
          </w14:textFill>
        </w:rPr>
        <w:t>20-30cm。上缘为楔形，内面垂直，外面为斜面，以防止围埂处的降雨因滴溅进人小区内部，影响观测精度。</w:t>
      </w:r>
    </w:p>
    <w:p w14:paraId="0EF3E2F2">
      <w:pPr>
        <w:pStyle w:val="12"/>
        <w:ind w:firstLine="46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8"/>
          <w14:textFill>
            <w14:solidFill>
              <w14:schemeClr w14:val="tx1"/>
            </w14:solidFill>
          </w14:textFill>
        </w:rPr>
        <w:t>防护设施包括保护带和截排水系统。保护带设置在每个径流小区的两侧和顶</w:t>
      </w:r>
      <w:r>
        <w:rPr>
          <w:rFonts w:ascii="Times New Roman" w:hAnsi="Times New Roman" w:eastAsia="仿宋_GB2312"/>
          <w:color w:val="000000" w:themeColor="text1"/>
          <w14:textFill>
            <w14:solidFill>
              <w14:schemeClr w14:val="tx1"/>
            </w14:solidFill>
          </w14:textFill>
        </w:rPr>
        <w:t>部，宽度为1-2m</w:t>
      </w:r>
      <w:r>
        <w:rPr>
          <w:rFonts w:ascii="Times New Roman" w:hAnsi="Times New Roman" w:eastAsia="仿宋_GB2312"/>
          <w:color w:val="000000" w:themeColor="text1"/>
          <w:spacing w:val="-1"/>
          <w14:textFill>
            <w14:solidFill>
              <w14:schemeClr w14:val="tx1"/>
            </w14:solidFill>
          </w14:textFill>
        </w:rPr>
        <w:t>。保护带内坡面条件与径流小区一致，也可以设置为步道。截</w:t>
      </w:r>
      <w:r>
        <w:rPr>
          <w:rFonts w:ascii="Times New Roman" w:hAnsi="Times New Roman" w:eastAsia="仿宋_GB2312"/>
          <w:color w:val="000000" w:themeColor="text1"/>
          <w:spacing w:val="-5"/>
          <w14:textFill>
            <w14:solidFill>
              <w14:schemeClr w14:val="tx1"/>
            </w14:solidFill>
          </w14:textFill>
        </w:rPr>
        <w:t>排水系统设置在受洪水威胁的径流小区上部和左右两侧，规格大小按</w:t>
      </w:r>
      <w:r>
        <w:rPr>
          <w:rFonts w:ascii="Times New Roman" w:hAnsi="Times New Roman" w:eastAsia="仿宋_GB2312"/>
          <w:color w:val="000000" w:themeColor="text1"/>
          <w14:textFill>
            <w14:solidFill>
              <w14:schemeClr w14:val="tx1"/>
            </w14:solidFill>
          </w14:textFill>
        </w:rPr>
        <w:t>50年一遇</w:t>
      </w:r>
      <w:r>
        <w:rPr>
          <w:rFonts w:ascii="Times New Roman" w:hAnsi="Times New Roman" w:eastAsia="仿宋_GB2312"/>
          <w:color w:val="000000" w:themeColor="text1"/>
          <w:spacing w:val="-2"/>
          <w14:textFill>
            <w14:solidFill>
              <w14:schemeClr w14:val="tx1"/>
            </w14:solidFill>
          </w14:textFill>
        </w:rPr>
        <w:t>暴雨设置。</w:t>
      </w:r>
    </w:p>
    <w:p w14:paraId="54605DB4">
      <w:pPr>
        <w:pStyle w:val="12"/>
        <w:ind w:firstLine="480"/>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③</w:t>
      </w:r>
      <w:r>
        <w:rPr>
          <w:rFonts w:ascii="Times New Roman" w:hAnsi="Times New Roman" w:eastAsia="仿宋_GB2312"/>
          <w:color w:val="000000" w:themeColor="text1"/>
          <w14:textFill>
            <w14:solidFill>
              <w14:schemeClr w14:val="tx1"/>
            </w14:solidFill>
          </w14:textFill>
        </w:rPr>
        <w:t>集流设施包括集流槽和导流管。集流槽设置在径流小区坡面下缘，垂直于径流流向，一般由混凝土或砌砖砂浆抹面制成，长度与小区宽度一致，宽度（槽</w:t>
      </w:r>
      <w:r>
        <w:rPr>
          <w:rFonts w:ascii="Times New Roman" w:hAnsi="Times New Roman" w:eastAsia="仿宋_GB2312"/>
          <w:color w:val="000000" w:themeColor="text1"/>
          <w:spacing w:val="-2"/>
          <w14:textFill>
            <w14:solidFill>
              <w14:schemeClr w14:val="tx1"/>
            </w14:solidFill>
          </w14:textFill>
        </w:rPr>
        <w:t>缘宽和槽身宽）20-30cm，槽缘应与小区坡底同高且水平，槽底由两端向中心倾</w:t>
      </w:r>
      <w:r>
        <w:rPr>
          <w:rFonts w:ascii="Times New Roman" w:hAnsi="Times New Roman" w:eastAsia="仿宋_GB2312"/>
          <w:color w:val="000000" w:themeColor="text1"/>
          <w14:textFill>
            <w14:solidFill>
              <w14:schemeClr w14:val="tx1"/>
            </w14:solidFill>
          </w14:textFill>
        </w:rPr>
        <w:t>斜，倾斜度以不产生泥沙沉积为准，顶部加设盖板，槽身表面光滑，应不拦截泥</w:t>
      </w:r>
      <w:r>
        <w:rPr>
          <w:rFonts w:ascii="Times New Roman" w:hAnsi="Times New Roman" w:eastAsia="仿宋_GB2312"/>
          <w:color w:val="000000" w:themeColor="text1"/>
          <w:spacing w:val="-6"/>
          <w14:textFill>
            <w14:solidFill>
              <w14:schemeClr w14:val="tx1"/>
            </w14:solidFill>
          </w14:textFill>
        </w:rPr>
        <w:t>沙。</w:t>
      </w:r>
    </w:p>
    <w:p w14:paraId="02A2621E">
      <w:pPr>
        <w:pStyle w:val="12"/>
        <w:ind w:firstLine="466"/>
        <w:rPr>
          <w:rFonts w:ascii="Times New Roman" w:hAnsi="Times New Roman" w:eastAsia="仿宋_GB2312"/>
          <w:color w:val="000000" w:themeColor="text1"/>
          <w:spacing w:val="-7"/>
          <w14:textFill>
            <w14:solidFill>
              <w14:schemeClr w14:val="tx1"/>
            </w14:solidFill>
          </w14:textFill>
        </w:rPr>
      </w:pPr>
      <w:r>
        <w:rPr>
          <w:rFonts w:ascii="Times New Roman" w:hAnsi="Times New Roman" w:eastAsia="仿宋_GB2312"/>
          <w:color w:val="000000" w:themeColor="text1"/>
          <w:spacing w:val="-7"/>
          <w14:textFill>
            <w14:solidFill>
              <w14:schemeClr w14:val="tx1"/>
            </w14:solidFill>
          </w14:textFill>
        </w:rPr>
        <w:t>导流管镶嵌在集流槽下游边缘中部的最低处，以输导集流槽收集的径流和泥沙。导流管一般为PVC管。导流管上部与集流槽无缝连接，不能漏水，下部通向测验设施（集流桶(池)或分流箱）或测验设备。导流管的直径应能够尽快排出集流槽中径流。</w:t>
      </w:r>
    </w:p>
    <w:p w14:paraId="071A50C5">
      <w:pPr>
        <w:pStyle w:val="12"/>
        <w:ind w:firstLine="478"/>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④</w:t>
      </w:r>
      <w:r>
        <w:rPr>
          <w:rFonts w:ascii="Times New Roman" w:hAnsi="Times New Roman" w:eastAsia="仿宋_GB2312"/>
          <w:color w:val="000000" w:themeColor="text1"/>
          <w:spacing w:val="-1"/>
          <w14:textFill>
            <w14:solidFill>
              <w14:schemeClr w14:val="tx1"/>
            </w14:solidFill>
          </w14:textFill>
        </w:rPr>
        <w:t>径流小区设施技术要求：</w:t>
      </w:r>
    </w:p>
    <w:p w14:paraId="1731B941">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精度与误差应符</w:t>
      </w:r>
      <w:r>
        <w:rPr>
          <w:rFonts w:ascii="Times New Roman" w:hAnsi="Times New Roman" w:eastAsia="仿宋_GB2312"/>
          <w:color w:val="000000" w:themeColor="text1"/>
          <w:spacing w:val="10"/>
          <w:position w:val="-1"/>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下列规定：径流小区面积误差±0.1%。集流桶（池）和分</w:t>
      </w:r>
      <w:r>
        <w:rPr>
          <w:rFonts w:ascii="Times New Roman" w:hAnsi="Times New Roman" w:eastAsia="仿宋_GB2312"/>
          <w:color w:val="000000" w:themeColor="text1"/>
          <w:spacing w:val="-2"/>
          <w14:textFill>
            <w14:solidFill>
              <w14:schemeClr w14:val="tx1"/>
            </w14:solidFill>
          </w14:textFill>
        </w:rPr>
        <w:t>流箱基座应稳定，水平误差±2mm，容积误差±1%。集流桶（池）内径流、泥沙测量误差±2mm。径流量、泥沙含量测量误差≤5%。</w:t>
      </w:r>
    </w:p>
    <w:p w14:paraId="2A5E5CE4">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整体结构应符</w:t>
      </w:r>
      <w:r>
        <w:rPr>
          <w:rFonts w:ascii="Times New Roman" w:hAnsi="Times New Roman" w:eastAsia="仿宋_GB2312"/>
          <w:color w:val="000000" w:themeColor="text1"/>
          <w:spacing w:val="10"/>
          <w:position w:val="-2"/>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下列规定：径流小区围埂、集流槽、导流管、分流箱和集流桶（池）等设施设备应按顺序严密衔接。径流小区周围10m范围内无6m以上的树</w:t>
      </w:r>
      <w:r>
        <w:rPr>
          <w:rFonts w:ascii="Times New Roman" w:hAnsi="Times New Roman" w:eastAsia="仿宋_GB2312"/>
          <w:color w:val="000000" w:themeColor="text1"/>
          <w:spacing w:val="-2"/>
          <w14:textFill>
            <w14:solidFill>
              <w14:schemeClr w14:val="tx1"/>
            </w14:solidFill>
          </w14:textFill>
        </w:rPr>
        <w:t>木和建筑物。</w:t>
      </w:r>
    </w:p>
    <w:p w14:paraId="4A730C6E">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集流桶（池）、分流箱等设施设备基础坚固，工作期不沉降，无破裂；集流</w:t>
      </w:r>
      <w:r>
        <w:rPr>
          <w:rFonts w:ascii="Times New Roman" w:hAnsi="Times New Roman" w:eastAsia="仿宋_GB2312"/>
          <w:color w:val="000000" w:themeColor="text1"/>
          <w:spacing w:val="-2"/>
          <w14:textFill>
            <w14:solidFill>
              <w14:schemeClr w14:val="tx1"/>
            </w14:solidFill>
          </w14:textFill>
        </w:rPr>
        <w:t>桶口一般用6mm或8mm</w:t>
      </w:r>
      <w:r>
        <w:rPr>
          <w:rFonts w:ascii="Times New Roman" w:hAnsi="Times New Roman" w:eastAsia="仿宋_GB2312"/>
          <w:color w:val="000000" w:themeColor="text1"/>
          <w:spacing w:val="-11"/>
          <w14:textFill>
            <w14:solidFill>
              <w14:schemeClr w14:val="tx1"/>
            </w14:solidFill>
          </w14:textFill>
        </w:rPr>
        <w:t>钢筋箍筋保证其不变形。围梗排列顺直平整，小区标牌明</w:t>
      </w:r>
      <w:r>
        <w:rPr>
          <w:rFonts w:ascii="Times New Roman" w:hAnsi="Times New Roman" w:eastAsia="仿宋_GB2312"/>
          <w:color w:val="000000" w:themeColor="text1"/>
          <w14:textFill>
            <w14:solidFill>
              <w14:schemeClr w14:val="tx1"/>
            </w14:solidFill>
          </w14:textFill>
        </w:rPr>
        <w:t>显，设备标号清晰准确，集流桶（池）内壁规整、平滑、清洁、无杂物残留，排</w:t>
      </w:r>
      <w:r>
        <w:rPr>
          <w:rFonts w:ascii="Times New Roman" w:hAnsi="Times New Roman" w:eastAsia="仿宋_GB2312"/>
          <w:color w:val="000000" w:themeColor="text1"/>
          <w:spacing w:val="-2"/>
          <w14:textFill>
            <w14:solidFill>
              <w14:schemeClr w14:val="tx1"/>
            </w14:solidFill>
          </w14:textFill>
        </w:rPr>
        <w:t>水阀开闭灵活，不漏水。径流小区的径流泥沙监测设施应按照</w:t>
      </w:r>
      <w:r>
        <w:rPr>
          <w:rFonts w:ascii="Times New Roman" w:hAnsi="Times New Roman" w:eastAsia="仿宋_GB2312"/>
          <w:color w:val="000000" w:themeColor="text1"/>
          <w14:textFill>
            <w14:solidFill>
              <w14:schemeClr w14:val="tx1"/>
            </w14:solidFill>
          </w14:textFill>
        </w:rPr>
        <w:t>50年一遇暴雨标</w:t>
      </w:r>
      <w:r>
        <w:rPr>
          <w:rFonts w:ascii="Times New Roman" w:hAnsi="Times New Roman" w:eastAsia="仿宋_GB2312"/>
          <w:color w:val="000000" w:themeColor="text1"/>
          <w:spacing w:val="-2"/>
          <w14:textFill>
            <w14:solidFill>
              <w14:schemeClr w14:val="tx1"/>
            </w14:solidFill>
          </w14:textFill>
        </w:rPr>
        <w:t>准设计。投入使用的</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spacing w:val="-2"/>
          <w14:textFill>
            <w14:solidFill>
              <w14:schemeClr w14:val="tx1"/>
            </w14:solidFill>
          </w14:textFill>
        </w:rPr>
        <w:t>类设备，应定期检定/校准，以保证观测精度。</w:t>
      </w:r>
    </w:p>
    <w:p w14:paraId="0A334AF1">
      <w:pPr>
        <w:pStyle w:val="12"/>
        <w:ind w:firstLine="476"/>
        <w:rPr>
          <w:rFonts w:ascii="Times New Roman" w:hAnsi="Times New Roman" w:eastAsia="仿宋_GB2312"/>
          <w:color w:val="000000" w:themeColor="text1"/>
          <w:spacing w:val="-2"/>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II、风蚀监测</w:t>
      </w:r>
    </w:p>
    <w:p w14:paraId="6E1744B0">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A、测钎法</w:t>
      </w:r>
    </w:p>
    <w:p w14:paraId="7F922607">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对风蚀强度主要采用测钎法测定，同时测定土壤含水量、土壤容重及林草植</w:t>
      </w:r>
      <w:r>
        <w:rPr>
          <w:rFonts w:ascii="Times New Roman" w:hAnsi="Times New Roman" w:eastAsia="仿宋_GB2312"/>
          <w:color w:val="000000" w:themeColor="text1"/>
          <w:spacing w:val="-2"/>
          <w14:textFill>
            <w14:solidFill>
              <w14:schemeClr w14:val="tx1"/>
            </w14:solidFill>
          </w14:textFill>
        </w:rPr>
        <w:t>被覆盖度等。</w:t>
      </w:r>
    </w:p>
    <w:p w14:paraId="75172EEC">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具体做法是在选定的每个监测点，沿主风方向每隔</w:t>
      </w:r>
      <w:r>
        <w:rPr>
          <w:rFonts w:ascii="Times New Roman" w:hAnsi="Times New Roman" w:eastAsia="仿宋_GB2312"/>
          <w:color w:val="000000" w:themeColor="text1"/>
          <w14:textFill>
            <w14:solidFill>
              <w14:schemeClr w14:val="tx1"/>
            </w14:solidFill>
          </w14:textFill>
        </w:rPr>
        <w:t>2.0m</w:t>
      </w:r>
      <w:r>
        <w:rPr>
          <w:rFonts w:ascii="Times New Roman" w:hAnsi="Times New Roman" w:eastAsia="仿宋_GB2312"/>
          <w:color w:val="000000" w:themeColor="text1"/>
          <w:spacing w:val="-10"/>
          <w14:textFill>
            <w14:solidFill>
              <w14:schemeClr w14:val="tx1"/>
            </w14:solidFill>
          </w14:textFill>
        </w:rPr>
        <w:t>布置</w:t>
      </w:r>
      <w:r>
        <w:rPr>
          <w:rFonts w:ascii="Times New Roman" w:hAnsi="Times New Roman" w:eastAsia="仿宋_GB2312"/>
          <w:color w:val="000000" w:themeColor="text1"/>
          <w14:textFill>
            <w14:solidFill>
              <w14:schemeClr w14:val="tx1"/>
            </w14:solidFill>
          </w14:textFill>
        </w:rPr>
        <w:t>1个测钎，每</w:t>
      </w:r>
      <w:r>
        <w:rPr>
          <w:rFonts w:ascii="Times New Roman" w:hAnsi="Times New Roman" w:eastAsia="仿宋_GB2312"/>
          <w:color w:val="000000" w:themeColor="text1"/>
          <w:spacing w:val="-10"/>
          <w14:textFill>
            <w14:solidFill>
              <w14:schemeClr w14:val="tx1"/>
            </w14:solidFill>
          </w14:textFill>
        </w:rPr>
        <w:t>组布置</w:t>
      </w:r>
      <w:r>
        <w:rPr>
          <w:rFonts w:ascii="Times New Roman" w:hAnsi="Times New Roman" w:eastAsia="仿宋_GB2312"/>
          <w:color w:val="000000" w:themeColor="text1"/>
          <w14:textFill>
            <w14:solidFill>
              <w14:schemeClr w14:val="tx1"/>
            </w14:solidFill>
          </w14:textFill>
        </w:rPr>
        <w:t>5</w:t>
      </w:r>
      <w:r>
        <w:rPr>
          <w:rFonts w:ascii="Times New Roman" w:hAnsi="Times New Roman" w:eastAsia="仿宋_GB2312"/>
          <w:color w:val="000000" w:themeColor="text1"/>
          <w:spacing w:val="-7"/>
          <w14:textFill>
            <w14:solidFill>
              <w14:schemeClr w14:val="tx1"/>
            </w14:solidFill>
          </w14:textFill>
        </w:rPr>
        <w:t>个测钎，共布设</w:t>
      </w:r>
      <w:r>
        <w:rPr>
          <w:rFonts w:ascii="Times New Roman" w:hAnsi="Times New Roman" w:eastAsia="仿宋_GB2312"/>
          <w:color w:val="000000" w:themeColor="text1"/>
          <w14:textFill>
            <w14:solidFill>
              <w14:schemeClr w14:val="tx1"/>
            </w14:solidFill>
          </w14:textFill>
        </w:rPr>
        <w:t>3</w:t>
      </w:r>
      <w:r>
        <w:rPr>
          <w:rFonts w:ascii="Times New Roman" w:hAnsi="Times New Roman" w:eastAsia="仿宋_GB2312"/>
          <w:color w:val="000000" w:themeColor="text1"/>
          <w:spacing w:val="-15"/>
          <w14:textFill>
            <w14:solidFill>
              <w14:schemeClr w14:val="tx1"/>
            </w14:solidFill>
          </w14:textFill>
        </w:rPr>
        <w:t>组</w:t>
      </w:r>
      <w:r>
        <w:rPr>
          <w:rFonts w:ascii="Times New Roman" w:hAnsi="Times New Roman" w:eastAsia="仿宋_GB2312"/>
          <w:color w:val="000000" w:themeColor="text1"/>
          <w14:textFill>
            <w14:solidFill>
              <w14:schemeClr w14:val="tx1"/>
            </w14:solidFill>
          </w14:textFill>
        </w:rPr>
        <w:t>15个（</w:t>
      </w:r>
      <w:r>
        <w:rPr>
          <w:rFonts w:ascii="Times New Roman" w:hAnsi="Times New Roman" w:eastAsia="仿宋_GB2312"/>
          <w:color w:val="000000" w:themeColor="text1"/>
          <w:spacing w:val="-6"/>
          <w14:textFill>
            <w14:solidFill>
              <w14:schemeClr w14:val="tx1"/>
            </w14:solidFill>
          </w14:textFill>
        </w:rPr>
        <w:t>测钎品字形布设，如图</w:t>
      </w:r>
      <w:r>
        <w:rPr>
          <w:rFonts w:ascii="Times New Roman" w:hAnsi="Times New Roman" w:eastAsia="仿宋_GB2312"/>
          <w:color w:val="000000" w:themeColor="text1"/>
          <w14:textFill>
            <w14:solidFill>
              <w14:schemeClr w14:val="tx1"/>
            </w14:solidFill>
          </w14:textFill>
        </w:rPr>
        <w:t>6-2），每半月量取</w:t>
      </w:r>
      <w:r>
        <w:rPr>
          <w:rFonts w:ascii="Times New Roman" w:hAnsi="Times New Roman" w:eastAsia="仿宋_GB2312"/>
          <w:color w:val="000000" w:themeColor="text1"/>
          <w:spacing w:val="-14"/>
          <w14:textFill>
            <w14:solidFill>
              <w14:schemeClr w14:val="tx1"/>
            </w14:solidFill>
          </w14:textFill>
        </w:rPr>
        <w:t>测钎顶部离地面的高度变化，并计算风蚀模数。风蚀观测场设置风速风向自记仪，</w:t>
      </w:r>
      <w:r>
        <w:rPr>
          <w:rFonts w:ascii="Times New Roman" w:hAnsi="Times New Roman" w:eastAsia="仿宋_GB2312"/>
          <w:color w:val="000000" w:themeColor="text1"/>
          <w14:textFill>
            <w14:solidFill>
              <w14:schemeClr w14:val="tx1"/>
            </w14:solidFill>
          </w14:textFill>
        </w:rPr>
        <w:t>记录每天的地面风速、大风出现的时间、频次，整理统计监测年内</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14:textFill>
            <w14:solidFill>
              <w14:schemeClr w14:val="tx1"/>
            </w14:solidFill>
          </w14:textFill>
        </w:rPr>
        <w:t>级起沙风的历时，同时收集气象站的平均起沙风速、大风日数、频次等。土壤含水量采用烘干称重法，土壤容重采用环刀法，与风蚀量观测同步进行。按以下公式计算风蚀</w:t>
      </w:r>
      <w:r>
        <w:rPr>
          <w:rFonts w:ascii="Times New Roman" w:hAnsi="Times New Roman" w:eastAsia="仿宋_GB2312"/>
          <w:color w:val="000000" w:themeColor="text1"/>
          <w:spacing w:val="-3"/>
          <w14:textFill>
            <w14:solidFill>
              <w14:schemeClr w14:val="tx1"/>
            </w14:solidFill>
          </w14:textFill>
        </w:rPr>
        <w:t>模数。</w:t>
      </w:r>
    </w:p>
    <w:p w14:paraId="2DDFCB5D">
      <w:pPr>
        <w:pStyle w:val="12"/>
        <w:ind w:firstLine="476"/>
        <w:jc w:val="center"/>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Ms=1000Dsr</w:t>
      </w:r>
    </w:p>
    <w:p w14:paraId="25689834">
      <w:pPr>
        <w:pStyle w:val="12"/>
        <w:ind w:firstLine="476"/>
        <w:rPr>
          <w:rFonts w:ascii="Times New Roman" w:hAnsi="Times New Roman" w:eastAsia="仿宋_GB2312"/>
          <w:color w:val="000000" w:themeColor="text1"/>
          <w:spacing w:val="-2"/>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其中：Ms—风蚀模数，t/km²·a；</w:t>
      </w:r>
    </w:p>
    <w:p w14:paraId="1681E5C3">
      <w:pPr>
        <w:pStyle w:val="12"/>
        <w:ind w:firstLine="476"/>
        <w:rPr>
          <w:rFonts w:ascii="Times New Roman" w:hAnsi="Times New Roman" w:eastAsia="仿宋_GB2312"/>
          <w:color w:val="000000" w:themeColor="text1"/>
          <w:spacing w:val="-2"/>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Ds—年平均侵蚀厚度，mm/a；</w:t>
      </w:r>
    </w:p>
    <w:p w14:paraId="23CFBC5E">
      <w:pPr>
        <w:pStyle w:val="12"/>
        <w:ind w:firstLine="480"/>
        <w:rPr>
          <w:rFonts w:ascii="Times New Roman" w:hAnsi="Times New Roman" w:eastAsia="仿宋_GB2312"/>
          <w:color w:val="000000" w:themeColor="text1"/>
          <w:sz w:val="20"/>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R—土壤容重，g/cm³。</w:t>
      </w:r>
    </w:p>
    <w:p w14:paraId="3F9D8248">
      <w:pPr>
        <w:pStyle w:val="12"/>
        <w:ind w:firstLine="0" w:firstLineChars="0"/>
        <w:rPr>
          <w:rFonts w:ascii="Times New Roman" w:hAnsi="Times New Roman" w:eastAsia="仿宋_GB2312"/>
          <w:color w:val="000000" w:themeColor="text1"/>
          <w:sz w:val="29"/>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drawing>
          <wp:inline distT="0" distB="0" distL="0" distR="0">
            <wp:extent cx="5657850" cy="1826260"/>
            <wp:effectExtent l="0" t="0" r="0" b="2540"/>
            <wp:docPr id="18330710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071051" name="图片 1"/>
                    <pic:cNvPicPr>
                      <a:picLocks noChangeAspect="1"/>
                    </pic:cNvPicPr>
                  </pic:nvPicPr>
                  <pic:blipFill>
                    <a:blip r:embed="rId103" cstate="email"/>
                    <a:stretch>
                      <a:fillRect/>
                    </a:stretch>
                  </pic:blipFill>
                  <pic:spPr>
                    <a:xfrm>
                      <a:off x="0" y="0"/>
                      <a:ext cx="5657850" cy="1826260"/>
                    </a:xfrm>
                    <a:prstGeom prst="rect">
                      <a:avLst/>
                    </a:prstGeom>
                  </pic:spPr>
                </pic:pic>
              </a:graphicData>
            </a:graphic>
          </wp:inline>
        </w:drawing>
      </w:r>
    </w:p>
    <w:p w14:paraId="6290BC79">
      <w:pPr>
        <w:pStyle w:val="35"/>
        <w:rPr>
          <w:rFonts w:eastAsia="仿宋_GB2312" w:cs="Times New Roman"/>
          <w:color w:val="000000" w:themeColor="text1"/>
          <w:lang w:eastAsia="zh-CN"/>
          <w14:textFill>
            <w14:solidFill>
              <w14:schemeClr w14:val="tx1"/>
            </w14:solidFill>
          </w14:textFill>
        </w:rPr>
      </w:pPr>
      <w:r>
        <w:rPr>
          <w:rFonts w:eastAsia="仿宋_GB2312" w:cs="Times New Roman"/>
          <w:color w:val="000000" w:themeColor="text1"/>
          <w14:textFill>
            <w14:solidFill>
              <w14:schemeClr w14:val="tx1"/>
            </w14:solidFill>
          </w14:textFill>
        </w:rPr>
        <mc:AlternateContent>
          <mc:Choice Requires="wps">
            <w:drawing>
              <wp:anchor distT="0" distB="0" distL="0" distR="0" simplePos="0" relativeHeight="251660288" behindDoc="0" locked="0" layoutInCell="1" allowOverlap="1">
                <wp:simplePos x="0" y="0"/>
                <wp:positionH relativeFrom="page">
                  <wp:posOffset>2319020</wp:posOffset>
                </wp:positionH>
                <wp:positionV relativeFrom="paragraph">
                  <wp:posOffset>-299085</wp:posOffset>
                </wp:positionV>
                <wp:extent cx="120650" cy="120650"/>
                <wp:effectExtent l="0" t="0" r="0" b="0"/>
                <wp:wrapNone/>
                <wp:docPr id="1065" name="Textbox 1065"/>
                <wp:cNvGraphicFramePr/>
                <a:graphic xmlns:a="http://schemas.openxmlformats.org/drawingml/2006/main">
                  <a:graphicData uri="http://schemas.microsoft.com/office/word/2010/wordprocessingShape">
                    <wps:wsp>
                      <wps:cNvSpPr txBox="1"/>
                      <wps:spPr>
                        <a:xfrm>
                          <a:off x="0" y="0"/>
                          <a:ext cx="120650" cy="120650"/>
                        </a:xfrm>
                        <a:prstGeom prst="rect">
                          <a:avLst/>
                        </a:prstGeom>
                      </wps:spPr>
                      <wps:txbx>
                        <w:txbxContent>
                          <w:p w14:paraId="10112D7C">
                            <w:pPr>
                              <w:spacing w:line="189" w:lineRule="exact"/>
                              <w:ind w:left="20" w:firstLine="295"/>
                              <w:rPr>
                                <w:sz w:val="15"/>
                              </w:rPr>
                            </w:pPr>
                            <w:r>
                              <w:rPr>
                                <w:w w:val="99"/>
                                <w:sz w:val="15"/>
                              </w:rPr>
                              <w:t>①</w:t>
                            </w:r>
                          </w:p>
                        </w:txbxContent>
                      </wps:txbx>
                      <wps:bodyPr vert="vert270" wrap="square" lIns="0" tIns="0" rIns="0" bIns="0" rtlCol="0">
                        <a:noAutofit/>
                      </wps:bodyPr>
                    </wps:wsp>
                  </a:graphicData>
                </a:graphic>
              </wp:anchor>
            </w:drawing>
          </mc:Choice>
          <mc:Fallback>
            <w:pict>
              <v:shape id="Textbox 1065" o:spid="_x0000_s1026" o:spt="202" type="#_x0000_t202" style="position:absolute;left:0pt;margin-left:182.6pt;margin-top:-23.55pt;height:9.5pt;width:9.5pt;mso-position-horizontal-relative:page;z-index:251660288;mso-width-relative:page;mso-height-relative:page;" filled="f" stroked="f" coordsize="21600,21600" o:gfxdata="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cEdi2AAAAAsBAAAPAAAAAAAAAAEAIAAAACIAAABkcnMvZG93bnJldi54bWxQSwECFAAUAAAA&#10;CACHTuJActddg7UBAACIAwAADgAAAAAAAAABACAAAAAnAQAAZHJzL2Uyb0RvYy54bWxQSwUGAAAA&#10;AAYABgBZAQAATgUAAAAA&#10;">
                <v:fill on="f" focussize="0,0"/>
                <v:stroke on="f"/>
                <v:imagedata o:title=""/>
                <o:lock v:ext="edit" aspectratio="f"/>
                <v:textbox inset="0mm,0mm,0mm,0mm" style="layout-flow:vertical;mso-layout-flow-alt:bottom-to-top;">
                  <w:txbxContent>
                    <w:p w14:paraId="10112D7C">
                      <w:pPr>
                        <w:spacing w:line="189" w:lineRule="exact"/>
                        <w:ind w:left="20" w:firstLine="295"/>
                        <w:rPr>
                          <w:sz w:val="15"/>
                        </w:rPr>
                      </w:pPr>
                      <w:r>
                        <w:rPr>
                          <w:w w:val="99"/>
                          <w:sz w:val="15"/>
                        </w:rPr>
                        <w:t>①</w:t>
                      </w:r>
                    </w:p>
                  </w:txbxContent>
                </v:textbox>
              </v:shape>
            </w:pict>
          </mc:Fallback>
        </mc:AlternateContent>
      </w:r>
      <w:r>
        <w:rPr>
          <w:rFonts w:eastAsia="仿宋_GB2312" w:cs="Times New Roman"/>
          <w:color w:val="000000" w:themeColor="text1"/>
          <w14:textFill>
            <w14:solidFill>
              <w14:schemeClr w14:val="tx1"/>
            </w14:solidFill>
          </w14:textFill>
        </w:rPr>
        <mc:AlternateContent>
          <mc:Choice Requires="wps">
            <w:drawing>
              <wp:anchor distT="0" distB="0" distL="0" distR="0" simplePos="0" relativeHeight="251661312" behindDoc="0" locked="0" layoutInCell="1" allowOverlap="1">
                <wp:simplePos x="0" y="0"/>
                <wp:positionH relativeFrom="page">
                  <wp:posOffset>2322830</wp:posOffset>
                </wp:positionH>
                <wp:positionV relativeFrom="paragraph">
                  <wp:posOffset>-565785</wp:posOffset>
                </wp:positionV>
                <wp:extent cx="120650" cy="120650"/>
                <wp:effectExtent l="0" t="0" r="0" b="0"/>
                <wp:wrapNone/>
                <wp:docPr id="1066" name="Textbox 1066"/>
                <wp:cNvGraphicFramePr/>
                <a:graphic xmlns:a="http://schemas.openxmlformats.org/drawingml/2006/main">
                  <a:graphicData uri="http://schemas.microsoft.com/office/word/2010/wordprocessingShape">
                    <wps:wsp>
                      <wps:cNvSpPr txBox="1"/>
                      <wps:spPr>
                        <a:xfrm>
                          <a:off x="0" y="0"/>
                          <a:ext cx="120650" cy="120650"/>
                        </a:xfrm>
                        <a:prstGeom prst="rect">
                          <a:avLst/>
                        </a:prstGeom>
                      </wps:spPr>
                      <wps:txbx>
                        <w:txbxContent>
                          <w:p w14:paraId="3D9ACC94">
                            <w:pPr>
                              <w:spacing w:line="189" w:lineRule="exact"/>
                              <w:ind w:left="20" w:firstLine="295"/>
                              <w:rPr>
                                <w:sz w:val="15"/>
                              </w:rPr>
                            </w:pPr>
                            <w:r>
                              <w:rPr>
                                <w:w w:val="99"/>
                                <w:sz w:val="15"/>
                              </w:rPr>
                              <w:t>②</w:t>
                            </w:r>
                          </w:p>
                        </w:txbxContent>
                      </wps:txbx>
                      <wps:bodyPr vert="vert270" wrap="square" lIns="0" tIns="0" rIns="0" bIns="0" rtlCol="0">
                        <a:noAutofit/>
                      </wps:bodyPr>
                    </wps:wsp>
                  </a:graphicData>
                </a:graphic>
              </wp:anchor>
            </w:drawing>
          </mc:Choice>
          <mc:Fallback>
            <w:pict>
              <v:shape id="Textbox 1066" o:spid="_x0000_s1026" o:spt="202" type="#_x0000_t202" style="position:absolute;left:0pt;margin-left:182.9pt;margin-top:-44.55pt;height:9.5pt;width:9.5pt;mso-position-horizontal-relative:page;z-index:251661312;mso-width-relative:page;mso-height-relative:page;" filled="f" stroked="f" coordsize="21600,21600" o:gfxdata="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wUXkf1wAAAAsBAAAPAAAAAAAAAAEAIAAAACIAAABkcnMvZG93bnJldi54bWxQSwECFAAUAAAA&#10;CACHTuJA4RaIvbYBAACIAwAADgAAAAAAAAABACAAAAAmAQAAZHJzL2Uyb0RvYy54bWxQSwUGAAAA&#10;AAYABgBZAQAATgUAAAAA&#10;">
                <v:fill on="f" focussize="0,0"/>
                <v:stroke on="f"/>
                <v:imagedata o:title=""/>
                <o:lock v:ext="edit" aspectratio="f"/>
                <v:textbox inset="0mm,0mm,0mm,0mm" style="layout-flow:vertical;mso-layout-flow-alt:bottom-to-top;">
                  <w:txbxContent>
                    <w:p w14:paraId="3D9ACC94">
                      <w:pPr>
                        <w:spacing w:line="189" w:lineRule="exact"/>
                        <w:ind w:left="20" w:firstLine="295"/>
                        <w:rPr>
                          <w:sz w:val="15"/>
                        </w:rPr>
                      </w:pPr>
                      <w:r>
                        <w:rPr>
                          <w:w w:val="99"/>
                          <w:sz w:val="15"/>
                        </w:rPr>
                        <w:t>②</w:t>
                      </w:r>
                    </w:p>
                  </w:txbxContent>
                </v:textbox>
              </v:shape>
            </w:pict>
          </mc:Fallback>
        </mc:AlternateContent>
      </w:r>
      <w:r>
        <w:rPr>
          <w:rFonts w:eastAsia="仿宋_GB2312" w:cs="Times New Roman"/>
          <w:color w:val="000000" w:themeColor="text1"/>
          <w14:textFill>
            <w14:solidFill>
              <w14:schemeClr w14:val="tx1"/>
            </w14:solidFill>
          </w14:textFill>
        </w:rPr>
        <mc:AlternateContent>
          <mc:Choice Requires="wps">
            <w:drawing>
              <wp:anchor distT="0" distB="0" distL="0" distR="0" simplePos="0" relativeHeight="251662336" behindDoc="0" locked="0" layoutInCell="1" allowOverlap="1">
                <wp:simplePos x="0" y="0"/>
                <wp:positionH relativeFrom="page">
                  <wp:posOffset>3667760</wp:posOffset>
                </wp:positionH>
                <wp:positionV relativeFrom="paragraph">
                  <wp:posOffset>-431165</wp:posOffset>
                </wp:positionV>
                <wp:extent cx="120650" cy="120650"/>
                <wp:effectExtent l="0" t="0" r="0" b="0"/>
                <wp:wrapNone/>
                <wp:docPr id="1067" name="Textbox 1067"/>
                <wp:cNvGraphicFramePr/>
                <a:graphic xmlns:a="http://schemas.openxmlformats.org/drawingml/2006/main">
                  <a:graphicData uri="http://schemas.microsoft.com/office/word/2010/wordprocessingShape">
                    <wps:wsp>
                      <wps:cNvSpPr txBox="1"/>
                      <wps:spPr>
                        <a:xfrm>
                          <a:off x="0" y="0"/>
                          <a:ext cx="120650" cy="120650"/>
                        </a:xfrm>
                        <a:prstGeom prst="rect">
                          <a:avLst/>
                        </a:prstGeom>
                      </wps:spPr>
                      <wps:txbx>
                        <w:txbxContent>
                          <w:p w14:paraId="2274C880">
                            <w:pPr>
                              <w:spacing w:line="189" w:lineRule="exact"/>
                              <w:ind w:left="20" w:firstLine="295"/>
                              <w:rPr>
                                <w:sz w:val="15"/>
                              </w:rPr>
                            </w:pPr>
                            <w:r>
                              <w:rPr>
                                <w:w w:val="99"/>
                                <w:sz w:val="15"/>
                              </w:rPr>
                              <w:t>①</w:t>
                            </w:r>
                          </w:p>
                        </w:txbxContent>
                      </wps:txbx>
                      <wps:bodyPr vert="vert270" wrap="square" lIns="0" tIns="0" rIns="0" bIns="0" rtlCol="0">
                        <a:noAutofit/>
                      </wps:bodyPr>
                    </wps:wsp>
                  </a:graphicData>
                </a:graphic>
              </wp:anchor>
            </w:drawing>
          </mc:Choice>
          <mc:Fallback>
            <w:pict>
              <v:shape id="Textbox 1067" o:spid="_x0000_s1026" o:spt="202" type="#_x0000_t202" style="position:absolute;left:0pt;margin-left:288.8pt;margin-top:-33.95pt;height:9.5pt;width:9.5pt;mso-position-horizontal-relative:page;z-index:251662336;mso-width-relative:page;mso-height-relative:page;" filled="f" stroked="f" coordsize="21600,21600" o:gfxdata="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F5oVjYAAAACwEAAA8AAAAAAAAAAQAgAAAAIgAAAGRycy9kb3ducmV2LnhtbFBLAQIUABQA&#10;AAAIAIdO4kCvq+setwEAAIgDAAAOAAAAAAAAAAEAIAAAACcBAABkcnMvZTJvRG9jLnhtbFBLBQYA&#10;AAAABgAGAFkBAABQBQAAAAA=&#10;">
                <v:fill on="f" focussize="0,0"/>
                <v:stroke on="f"/>
                <v:imagedata o:title=""/>
                <o:lock v:ext="edit" aspectratio="f"/>
                <v:textbox inset="0mm,0mm,0mm,0mm" style="layout-flow:vertical;mso-layout-flow-alt:bottom-to-top;">
                  <w:txbxContent>
                    <w:p w14:paraId="2274C880">
                      <w:pPr>
                        <w:spacing w:line="189" w:lineRule="exact"/>
                        <w:ind w:left="20" w:firstLine="295"/>
                        <w:rPr>
                          <w:sz w:val="15"/>
                        </w:rPr>
                      </w:pPr>
                      <w:r>
                        <w:rPr>
                          <w:w w:val="99"/>
                          <w:sz w:val="15"/>
                        </w:rPr>
                        <w:t>①</w:t>
                      </w:r>
                    </w:p>
                  </w:txbxContent>
                </v:textbox>
              </v:shape>
            </w:pict>
          </mc:Fallback>
        </mc:AlternateContent>
      </w:r>
      <w:r>
        <w:rPr>
          <w:rFonts w:eastAsia="仿宋_GB2312" w:cs="Times New Roman"/>
          <w:color w:val="000000" w:themeColor="text1"/>
          <w14:textFill>
            <w14:solidFill>
              <w14:schemeClr w14:val="tx1"/>
            </w14:solidFill>
          </w14:textFill>
        </w:rPr>
        <mc:AlternateContent>
          <mc:Choice Requires="wps">
            <w:drawing>
              <wp:anchor distT="0" distB="0" distL="0" distR="0" simplePos="0" relativeHeight="251663360" behindDoc="0" locked="0" layoutInCell="1" allowOverlap="1">
                <wp:simplePos x="0" y="0"/>
                <wp:positionH relativeFrom="page">
                  <wp:posOffset>3671570</wp:posOffset>
                </wp:positionH>
                <wp:positionV relativeFrom="paragraph">
                  <wp:posOffset>-697865</wp:posOffset>
                </wp:positionV>
                <wp:extent cx="120650" cy="120650"/>
                <wp:effectExtent l="0" t="0" r="0" b="0"/>
                <wp:wrapNone/>
                <wp:docPr id="1068" name="Textbox 1068"/>
                <wp:cNvGraphicFramePr/>
                <a:graphic xmlns:a="http://schemas.openxmlformats.org/drawingml/2006/main">
                  <a:graphicData uri="http://schemas.microsoft.com/office/word/2010/wordprocessingShape">
                    <wps:wsp>
                      <wps:cNvSpPr txBox="1"/>
                      <wps:spPr>
                        <a:xfrm>
                          <a:off x="0" y="0"/>
                          <a:ext cx="120650" cy="120650"/>
                        </a:xfrm>
                        <a:prstGeom prst="rect">
                          <a:avLst/>
                        </a:prstGeom>
                      </wps:spPr>
                      <wps:txbx>
                        <w:txbxContent>
                          <w:p w14:paraId="0E06E11D">
                            <w:pPr>
                              <w:spacing w:line="189" w:lineRule="exact"/>
                              <w:ind w:left="20" w:firstLine="295"/>
                              <w:rPr>
                                <w:sz w:val="15"/>
                              </w:rPr>
                            </w:pPr>
                            <w:r>
                              <w:rPr>
                                <w:w w:val="99"/>
                                <w:sz w:val="15"/>
                              </w:rPr>
                              <w:t>②</w:t>
                            </w:r>
                          </w:p>
                        </w:txbxContent>
                      </wps:txbx>
                      <wps:bodyPr vert="vert270" wrap="square" lIns="0" tIns="0" rIns="0" bIns="0" rtlCol="0">
                        <a:noAutofit/>
                      </wps:bodyPr>
                    </wps:wsp>
                  </a:graphicData>
                </a:graphic>
              </wp:anchor>
            </w:drawing>
          </mc:Choice>
          <mc:Fallback>
            <w:pict>
              <v:shape id="Textbox 1068" o:spid="_x0000_s1026" o:spt="202" type="#_x0000_t202" style="position:absolute;left:0pt;margin-left:289.1pt;margin-top:-54.95pt;height:9.5pt;width:9.5pt;mso-position-horizontal-relative:page;z-index:251663360;mso-width-relative:page;mso-height-relative:page;" filled="f" stroked="f" coordsize="21600,21600" o:gfxdata="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vXmWXZAAAADAEAAA8AAAAAAAAAAQAgAAAAIgAAAGRycy9kb3ducmV2LnhtbFBLAQIUABQA&#10;AAAIAIdO4kBwbGnbtgEAAIgDAAAOAAAAAAAAAAEAIAAAACgBAABkcnMvZTJvRG9jLnhtbFBLBQYA&#10;AAAABgAGAFkBAABQBQAAAAA=&#10;">
                <v:fill on="f" focussize="0,0"/>
                <v:stroke on="f"/>
                <v:imagedata o:title=""/>
                <o:lock v:ext="edit" aspectratio="f"/>
                <v:textbox inset="0mm,0mm,0mm,0mm" style="layout-flow:vertical;mso-layout-flow-alt:bottom-to-top;">
                  <w:txbxContent>
                    <w:p w14:paraId="0E06E11D">
                      <w:pPr>
                        <w:spacing w:line="189" w:lineRule="exact"/>
                        <w:ind w:left="20" w:firstLine="295"/>
                        <w:rPr>
                          <w:sz w:val="15"/>
                        </w:rPr>
                      </w:pPr>
                      <w:r>
                        <w:rPr>
                          <w:w w:val="99"/>
                          <w:sz w:val="15"/>
                        </w:rPr>
                        <w:t>②</w:t>
                      </w:r>
                    </w:p>
                  </w:txbxContent>
                </v:textbox>
              </v:shape>
            </w:pict>
          </mc:Fallback>
        </mc:AlternateContent>
      </w:r>
      <w:r>
        <w:rPr>
          <w:rFonts w:eastAsia="仿宋_GB2312" w:cs="Times New Roman"/>
          <w:color w:val="000000" w:themeColor="text1"/>
          <w14:textFill>
            <w14:solidFill>
              <w14:schemeClr w14:val="tx1"/>
            </w14:solidFill>
          </w14:textFill>
        </w:rPr>
        <mc:AlternateContent>
          <mc:Choice Requires="wps">
            <w:drawing>
              <wp:anchor distT="0" distB="0" distL="0" distR="0" simplePos="0" relativeHeight="251664384" behindDoc="0" locked="0" layoutInCell="1" allowOverlap="1">
                <wp:simplePos x="0" y="0"/>
                <wp:positionH relativeFrom="page">
                  <wp:posOffset>5017135</wp:posOffset>
                </wp:positionH>
                <wp:positionV relativeFrom="paragraph">
                  <wp:posOffset>-299085</wp:posOffset>
                </wp:positionV>
                <wp:extent cx="120650" cy="120650"/>
                <wp:effectExtent l="0" t="0" r="0" b="0"/>
                <wp:wrapNone/>
                <wp:docPr id="1069" name="Textbox 1069"/>
                <wp:cNvGraphicFramePr/>
                <a:graphic xmlns:a="http://schemas.openxmlformats.org/drawingml/2006/main">
                  <a:graphicData uri="http://schemas.microsoft.com/office/word/2010/wordprocessingShape">
                    <wps:wsp>
                      <wps:cNvSpPr txBox="1"/>
                      <wps:spPr>
                        <a:xfrm>
                          <a:off x="0" y="0"/>
                          <a:ext cx="120650" cy="120650"/>
                        </a:xfrm>
                        <a:prstGeom prst="rect">
                          <a:avLst/>
                        </a:prstGeom>
                      </wps:spPr>
                      <wps:txbx>
                        <w:txbxContent>
                          <w:p w14:paraId="1877837C">
                            <w:pPr>
                              <w:spacing w:line="189" w:lineRule="exact"/>
                              <w:ind w:left="20" w:firstLine="295"/>
                              <w:rPr>
                                <w:sz w:val="15"/>
                              </w:rPr>
                            </w:pPr>
                            <w:r>
                              <w:rPr>
                                <w:w w:val="99"/>
                                <w:sz w:val="15"/>
                              </w:rPr>
                              <w:t>①</w:t>
                            </w:r>
                          </w:p>
                        </w:txbxContent>
                      </wps:txbx>
                      <wps:bodyPr vert="vert270" wrap="square" lIns="0" tIns="0" rIns="0" bIns="0" rtlCol="0">
                        <a:noAutofit/>
                      </wps:bodyPr>
                    </wps:wsp>
                  </a:graphicData>
                </a:graphic>
              </wp:anchor>
            </w:drawing>
          </mc:Choice>
          <mc:Fallback>
            <w:pict>
              <v:shape id="Textbox 1069" o:spid="_x0000_s1026" o:spt="202" type="#_x0000_t202" style="position:absolute;left:0pt;margin-left:395.05pt;margin-top:-23.55pt;height:9.5pt;width:9.5pt;mso-position-horizontal-relative:page;z-index:251664384;mso-width-relative:page;mso-height-relative:page;" filled="f" stroked="f" coordsize="21600,21600" o:gfxdata="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rTj59gAAAALAQAADwAAAAAAAAABACAAAAAiAAAAZHJzL2Rvd25yZXYueG1sUEsBAhQAFAAA&#10;AAgAh07iQD7RCni2AQAAiAMAAA4AAAAAAAAAAQAgAAAAJwEAAGRycy9lMm9Eb2MueG1sUEsFBgAA&#10;AAAGAAYAWQEAAE8FAAAAAA==&#10;">
                <v:fill on="f" focussize="0,0"/>
                <v:stroke on="f"/>
                <v:imagedata o:title=""/>
                <o:lock v:ext="edit" aspectratio="f"/>
                <v:textbox inset="0mm,0mm,0mm,0mm" style="layout-flow:vertical;mso-layout-flow-alt:bottom-to-top;">
                  <w:txbxContent>
                    <w:p w14:paraId="1877837C">
                      <w:pPr>
                        <w:spacing w:line="189" w:lineRule="exact"/>
                        <w:ind w:left="20" w:firstLine="295"/>
                        <w:rPr>
                          <w:sz w:val="15"/>
                        </w:rPr>
                      </w:pPr>
                      <w:r>
                        <w:rPr>
                          <w:w w:val="99"/>
                          <w:sz w:val="15"/>
                        </w:rPr>
                        <w:t>①</w:t>
                      </w:r>
                    </w:p>
                  </w:txbxContent>
                </v:textbox>
              </v:shape>
            </w:pict>
          </mc:Fallback>
        </mc:AlternateContent>
      </w:r>
      <w:r>
        <w:rPr>
          <w:rFonts w:eastAsia="仿宋_GB2312" w:cs="Times New Roman"/>
          <w:color w:val="000000" w:themeColor="text1"/>
          <w14:textFill>
            <w14:solidFill>
              <w14:schemeClr w14:val="tx1"/>
            </w14:solidFill>
          </w14:textFill>
        </w:rPr>
        <mc:AlternateContent>
          <mc:Choice Requires="wps">
            <w:drawing>
              <wp:anchor distT="0" distB="0" distL="0" distR="0" simplePos="0" relativeHeight="251665408" behindDoc="0" locked="0" layoutInCell="1" allowOverlap="1">
                <wp:simplePos x="0" y="0"/>
                <wp:positionH relativeFrom="page">
                  <wp:posOffset>5020945</wp:posOffset>
                </wp:positionH>
                <wp:positionV relativeFrom="paragraph">
                  <wp:posOffset>-565785</wp:posOffset>
                </wp:positionV>
                <wp:extent cx="120650" cy="120650"/>
                <wp:effectExtent l="0" t="0" r="0" b="0"/>
                <wp:wrapNone/>
                <wp:docPr id="1070" name="Textbox 1070"/>
                <wp:cNvGraphicFramePr/>
                <a:graphic xmlns:a="http://schemas.openxmlformats.org/drawingml/2006/main">
                  <a:graphicData uri="http://schemas.microsoft.com/office/word/2010/wordprocessingShape">
                    <wps:wsp>
                      <wps:cNvSpPr txBox="1"/>
                      <wps:spPr>
                        <a:xfrm>
                          <a:off x="0" y="0"/>
                          <a:ext cx="120650" cy="120650"/>
                        </a:xfrm>
                        <a:prstGeom prst="rect">
                          <a:avLst/>
                        </a:prstGeom>
                      </wps:spPr>
                      <wps:txbx>
                        <w:txbxContent>
                          <w:p w14:paraId="4E7F95D2">
                            <w:pPr>
                              <w:spacing w:line="189" w:lineRule="exact"/>
                              <w:ind w:left="20" w:firstLine="295"/>
                              <w:rPr>
                                <w:sz w:val="15"/>
                              </w:rPr>
                            </w:pPr>
                            <w:r>
                              <w:rPr>
                                <w:w w:val="99"/>
                                <w:sz w:val="15"/>
                              </w:rPr>
                              <w:t>②</w:t>
                            </w:r>
                          </w:p>
                        </w:txbxContent>
                      </wps:txbx>
                      <wps:bodyPr vert="vert270" wrap="square" lIns="0" tIns="0" rIns="0" bIns="0" rtlCol="0">
                        <a:noAutofit/>
                      </wps:bodyPr>
                    </wps:wsp>
                  </a:graphicData>
                </a:graphic>
              </wp:anchor>
            </w:drawing>
          </mc:Choice>
          <mc:Fallback>
            <w:pict>
              <v:shape id="Textbox 1070" o:spid="_x0000_s1026" o:spt="202" type="#_x0000_t202" style="position:absolute;left:0pt;margin-left:395.35pt;margin-top:-44.55pt;height:9.5pt;width:9.5pt;mso-position-horizontal-relative:page;z-index:251665408;mso-width-relative:page;mso-height-relative:page;" filled="f" stroked="f" coordsize="21600,21600" o:gfxdata="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4xXP3XAAAACwEAAA8AAAAAAAAAAQAgAAAAIgAAAGRycy9kb3ducmV2LnhtbFBLAQIUABQAAAAI&#10;AIdO4kDtmuRRtQEAAIgDAAAOAAAAAAAAAAEAIAAAACYBAABkcnMvZTJvRG9jLnhtbFBLBQYAAAAA&#10;BgAGAFkBAABNBQAAAAA=&#10;">
                <v:fill on="f" focussize="0,0"/>
                <v:stroke on="f"/>
                <v:imagedata o:title=""/>
                <o:lock v:ext="edit" aspectratio="f"/>
                <v:textbox inset="0mm,0mm,0mm,0mm" style="layout-flow:vertical;mso-layout-flow-alt:bottom-to-top;">
                  <w:txbxContent>
                    <w:p w14:paraId="4E7F95D2">
                      <w:pPr>
                        <w:spacing w:line="189" w:lineRule="exact"/>
                        <w:ind w:left="20" w:firstLine="295"/>
                        <w:rPr>
                          <w:sz w:val="15"/>
                        </w:rPr>
                      </w:pPr>
                      <w:r>
                        <w:rPr>
                          <w:w w:val="99"/>
                          <w:sz w:val="15"/>
                        </w:rPr>
                        <w:t>②</w:t>
                      </w:r>
                    </w:p>
                  </w:txbxContent>
                </v:textbox>
              </v:shape>
            </w:pict>
          </mc:Fallback>
        </mc:AlternateContent>
      </w:r>
      <w:r>
        <w:rPr>
          <w:rFonts w:eastAsia="仿宋_GB2312" w:cs="Times New Roman"/>
          <w:color w:val="000000" w:themeColor="text1"/>
          <w14:textFill>
            <w14:solidFill>
              <w14:schemeClr w14:val="tx1"/>
            </w14:solidFill>
          </w14:textFill>
        </w:rPr>
        <mc:AlternateContent>
          <mc:Choice Requires="wps">
            <w:drawing>
              <wp:anchor distT="0" distB="0" distL="0" distR="0" simplePos="0" relativeHeight="251666432" behindDoc="0" locked="0" layoutInCell="1" allowOverlap="1">
                <wp:simplePos x="0" y="0"/>
                <wp:positionH relativeFrom="page">
                  <wp:posOffset>5728335</wp:posOffset>
                </wp:positionH>
                <wp:positionV relativeFrom="paragraph">
                  <wp:posOffset>-756920</wp:posOffset>
                </wp:positionV>
                <wp:extent cx="139700" cy="197485"/>
                <wp:effectExtent l="0" t="0" r="0" b="0"/>
                <wp:wrapNone/>
                <wp:docPr id="1071" name="Textbox 1071"/>
                <wp:cNvGraphicFramePr/>
                <a:graphic xmlns:a="http://schemas.openxmlformats.org/drawingml/2006/main">
                  <a:graphicData uri="http://schemas.microsoft.com/office/word/2010/wordprocessingShape">
                    <wps:wsp>
                      <wps:cNvSpPr txBox="1"/>
                      <wps:spPr>
                        <a:xfrm>
                          <a:off x="0" y="0"/>
                          <a:ext cx="139700" cy="197485"/>
                        </a:xfrm>
                        <a:prstGeom prst="rect">
                          <a:avLst/>
                        </a:prstGeom>
                      </wps:spPr>
                      <wps:txbx>
                        <w:txbxContent>
                          <w:p w14:paraId="485543A1">
                            <w:pPr>
                              <w:spacing w:line="220" w:lineRule="exact"/>
                              <w:ind w:left="20" w:firstLine="350"/>
                              <w:rPr>
                                <w:sz w:val="18"/>
                              </w:rPr>
                            </w:pPr>
                            <w:r>
                              <w:rPr>
                                <w:spacing w:val="-5"/>
                                <w:sz w:val="18"/>
                              </w:rPr>
                              <w:t>10m</w:t>
                            </w:r>
                          </w:p>
                        </w:txbxContent>
                      </wps:txbx>
                      <wps:bodyPr vert="vert270" wrap="square" lIns="0" tIns="0" rIns="0" bIns="0" rtlCol="0">
                        <a:noAutofit/>
                      </wps:bodyPr>
                    </wps:wsp>
                  </a:graphicData>
                </a:graphic>
              </wp:anchor>
            </w:drawing>
          </mc:Choice>
          <mc:Fallback>
            <w:pict>
              <v:shape id="Textbox 1071" o:spid="_x0000_s1026" o:spt="202" type="#_x0000_t202" style="position:absolute;left:0pt;margin-left:451.05pt;margin-top:-59.6pt;height:15.55pt;width:11pt;mso-position-horizontal-relative:page;z-index:251666432;mso-width-relative:page;mso-height-relative:page;" filled="f" stroked="f" coordsize="21600,21600" o:gfxdata="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2ZTWtgAAAAMAQAADwAAAAAAAAABACAAAAAiAAAAZHJzL2Rvd25yZXYueG1sUEsB&#10;AhQAFAAAAAgAh07iQGm8teK8AQAAiAMAAA4AAAAAAAAAAQAgAAAAJwEAAGRycy9lMm9Eb2MueG1s&#10;UEsFBgAAAAAGAAYAWQEAAFUFAAAAAA==&#10;">
                <v:fill on="f" focussize="0,0"/>
                <v:stroke on="f"/>
                <v:imagedata o:title=""/>
                <o:lock v:ext="edit" aspectratio="f"/>
                <v:textbox inset="0mm,0mm,0mm,0mm" style="layout-flow:vertical;mso-layout-flow-alt:bottom-to-top;">
                  <w:txbxContent>
                    <w:p w14:paraId="485543A1">
                      <w:pPr>
                        <w:spacing w:line="220" w:lineRule="exact"/>
                        <w:ind w:left="20" w:firstLine="350"/>
                        <w:rPr>
                          <w:sz w:val="18"/>
                        </w:rPr>
                      </w:pPr>
                      <w:r>
                        <w:rPr>
                          <w:spacing w:val="-5"/>
                          <w:sz w:val="18"/>
                        </w:rPr>
                        <w:t>10m</w:t>
                      </w:r>
                    </w:p>
                  </w:txbxContent>
                </v:textbox>
              </v:shape>
            </w:pict>
          </mc:Fallback>
        </mc:AlternateContent>
      </w:r>
      <w:r>
        <w:rPr>
          <w:rFonts w:eastAsia="仿宋_GB2312" w:cs="Times New Roman"/>
          <w:color w:val="000000" w:themeColor="text1"/>
          <w14:textFill>
            <w14:solidFill>
              <w14:schemeClr w14:val="tx1"/>
            </w14:solidFill>
          </w14:textFill>
        </w:rPr>
        <mc:AlternateContent>
          <mc:Choice Requires="wps">
            <w:drawing>
              <wp:anchor distT="0" distB="0" distL="0" distR="0" simplePos="0" relativeHeight="251667456" behindDoc="0" locked="0" layoutInCell="1" allowOverlap="1">
                <wp:simplePos x="0" y="0"/>
                <wp:positionH relativeFrom="page">
                  <wp:posOffset>6315710</wp:posOffset>
                </wp:positionH>
                <wp:positionV relativeFrom="paragraph">
                  <wp:posOffset>-802005</wp:posOffset>
                </wp:positionV>
                <wp:extent cx="120650" cy="454660"/>
                <wp:effectExtent l="0" t="0" r="0" b="0"/>
                <wp:wrapNone/>
                <wp:docPr id="1072" name="Textbox 1072"/>
                <wp:cNvGraphicFramePr/>
                <a:graphic xmlns:a="http://schemas.openxmlformats.org/drawingml/2006/main">
                  <a:graphicData uri="http://schemas.microsoft.com/office/word/2010/wordprocessingShape">
                    <wps:wsp>
                      <wps:cNvSpPr txBox="1"/>
                      <wps:spPr>
                        <a:xfrm>
                          <a:off x="0" y="0"/>
                          <a:ext cx="120650" cy="454659"/>
                        </a:xfrm>
                        <a:prstGeom prst="rect">
                          <a:avLst/>
                        </a:prstGeom>
                      </wps:spPr>
                      <wps:txbx>
                        <w:txbxContent>
                          <w:p w14:paraId="725EE824">
                            <w:pPr>
                              <w:spacing w:line="189" w:lineRule="exact"/>
                              <w:ind w:firstLine="0" w:firstLineChars="0"/>
                              <w:rPr>
                                <w:sz w:val="15"/>
                              </w:rPr>
                            </w:pPr>
                          </w:p>
                        </w:txbxContent>
                      </wps:txbx>
                      <wps:bodyPr vert="vert270" wrap="square" lIns="0" tIns="0" rIns="0" bIns="0" rtlCol="0">
                        <a:noAutofit/>
                      </wps:bodyPr>
                    </wps:wsp>
                  </a:graphicData>
                </a:graphic>
              </wp:anchor>
            </w:drawing>
          </mc:Choice>
          <mc:Fallback>
            <w:pict>
              <v:shape id="Textbox 1072" o:spid="_x0000_s1026" o:spt="202" type="#_x0000_t202" style="position:absolute;left:0pt;margin-left:497.3pt;margin-top:-63.15pt;height:35.8pt;width:9.5pt;mso-position-horizontal-relative:page;z-index:251667456;mso-width-relative:page;mso-height-relative:page;" filled="f" stroked="f" coordsize="21600,21600" o:gfxdata="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8KfkDZAAAADQEAAA8AAAAAAAAAAQAgAAAAIgAAAGRycy9kb3ducmV2LnhtbFBL&#10;AQIUABQAAAAIAIdO4kAUSbQpvAEAAIgDAAAOAAAAAAAAAAEAIAAAACgBAABkcnMvZTJvRG9jLnht&#10;bFBLBQYAAAAABgAGAFkBAABWBQAAAAA=&#10;">
                <v:fill on="f" focussize="0,0"/>
                <v:stroke on="f"/>
                <v:imagedata o:title=""/>
                <o:lock v:ext="edit" aspectratio="f"/>
                <v:textbox inset="0mm,0mm,0mm,0mm" style="layout-flow:vertical;mso-layout-flow-alt:bottom-to-top;">
                  <w:txbxContent>
                    <w:p w14:paraId="725EE824">
                      <w:pPr>
                        <w:spacing w:line="189" w:lineRule="exact"/>
                        <w:ind w:firstLine="0" w:firstLineChars="0"/>
                        <w:rPr>
                          <w:sz w:val="15"/>
                        </w:rPr>
                      </w:pPr>
                    </w:p>
                  </w:txbxContent>
                </v:textbox>
              </v:shape>
            </w:pict>
          </mc:Fallback>
        </mc:AlternateContent>
      </w:r>
      <w:r>
        <w:rPr>
          <w:rFonts w:eastAsia="仿宋_GB2312" w:cs="Times New Roman"/>
          <w:color w:val="000000" w:themeColor="text1"/>
          <w:lang w:eastAsia="zh-CN"/>
          <w14:textFill>
            <w14:solidFill>
              <w14:schemeClr w14:val="tx1"/>
            </w14:solidFill>
          </w14:textFill>
        </w:rPr>
        <w:t>图6-</w:t>
      </w:r>
      <w:r>
        <w:rPr>
          <w:rFonts w:eastAsia="仿宋_GB2312" w:cs="Times New Roman"/>
          <w:color w:val="000000" w:themeColor="text1"/>
          <w:spacing w:val="-12"/>
          <w:lang w:eastAsia="zh-CN"/>
          <w14:textFill>
            <w14:solidFill>
              <w14:schemeClr w14:val="tx1"/>
            </w14:solidFill>
          </w14:textFill>
        </w:rPr>
        <w:t>2</w:t>
      </w:r>
      <w:r>
        <w:rPr>
          <w:rFonts w:eastAsia="仿宋_GB2312" w:cs="Times New Roman"/>
          <w:color w:val="000000" w:themeColor="text1"/>
          <w:lang w:eastAsia="zh-CN"/>
          <w14:textFill>
            <w14:solidFill>
              <w14:schemeClr w14:val="tx1"/>
            </w14:solidFill>
          </w14:textFill>
        </w:rPr>
        <w:tab/>
      </w:r>
      <w:r>
        <w:rPr>
          <w:rFonts w:eastAsia="仿宋_GB2312" w:cs="Times New Roman"/>
          <w:color w:val="000000" w:themeColor="text1"/>
          <w:lang w:eastAsia="zh-CN"/>
          <w14:textFill>
            <w14:solidFill>
              <w14:schemeClr w14:val="tx1"/>
            </w14:solidFill>
          </w14:textFill>
        </w:rPr>
        <w:t>风蚀监测点布设示意</w:t>
      </w:r>
      <w:r>
        <w:rPr>
          <w:rFonts w:eastAsia="仿宋_GB2312" w:cs="Times New Roman"/>
          <w:color w:val="000000" w:themeColor="text1"/>
          <w:spacing w:val="-10"/>
          <w:lang w:eastAsia="zh-CN"/>
          <w14:textFill>
            <w14:solidFill>
              <w14:schemeClr w14:val="tx1"/>
            </w14:solidFill>
          </w14:textFill>
        </w:rPr>
        <w:t>图</w:t>
      </w:r>
    </w:p>
    <w:p w14:paraId="35F2B28E">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B</w:t>
      </w:r>
      <w:r>
        <w:rPr>
          <w:rFonts w:ascii="Times New Roman" w:hAnsi="Times New Roman" w:eastAsia="仿宋_GB2312"/>
          <w:color w:val="000000" w:themeColor="text1"/>
          <w14:textFill>
            <w14:solidFill>
              <w14:schemeClr w14:val="tx1"/>
            </w14:solidFill>
          </w14:textFill>
        </w:rPr>
        <w:t>、降尘缸法</w:t>
      </w:r>
    </w:p>
    <w:p w14:paraId="71EBF95E">
      <w:pPr>
        <w:pStyle w:val="12"/>
        <w:ind w:firstLine="47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5"/>
          <w14:textFill>
            <w14:solidFill>
              <w14:schemeClr w14:val="tx1"/>
            </w14:solidFill>
          </w14:textFill>
        </w:rPr>
        <w:t>降尘监测设施是指用来收集和测定监测区域某一时段内沙尘沉降量、沉降速</w:t>
      </w:r>
      <w:r>
        <w:rPr>
          <w:rFonts w:ascii="Times New Roman" w:hAnsi="Times New Roman" w:eastAsia="仿宋_GB2312"/>
          <w:color w:val="000000" w:themeColor="text1"/>
          <w:spacing w:val="-2"/>
          <w14:textFill>
            <w14:solidFill>
              <w14:schemeClr w14:val="tx1"/>
            </w14:solidFill>
          </w14:textFill>
        </w:rPr>
        <w:t>率、沉降物物理及化学成分的设施设备。</w:t>
      </w:r>
    </w:p>
    <w:p w14:paraId="44214463">
      <w:pPr>
        <w:pStyle w:val="12"/>
        <w:ind w:firstLine="480"/>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①</w:t>
      </w:r>
      <w:r>
        <w:rPr>
          <w:rFonts w:ascii="Times New Roman" w:hAnsi="Times New Roman" w:eastAsia="仿宋_GB2312"/>
          <w:color w:val="000000" w:themeColor="text1"/>
          <w14:textFill>
            <w14:solidFill>
              <w14:schemeClr w14:val="tx1"/>
            </w14:solidFill>
          </w14:textFill>
        </w:rPr>
        <w:t>降尘监测设施应</w:t>
      </w:r>
      <w:r>
        <w:rPr>
          <w:rFonts w:ascii="Times New Roman" w:hAnsi="Times New Roman" w:eastAsia="仿宋_GB2312"/>
          <w:color w:val="000000" w:themeColor="text1"/>
          <w:spacing w:val="10"/>
          <w14:textFill>
            <w14:solidFill>
              <w14:schemeClr w14:val="tx1"/>
            </w14:solidFill>
          </w14:textFill>
        </w:rPr>
        <w:t>符</w:t>
      </w:r>
      <w:r>
        <w:rPr>
          <w:rFonts w:ascii="Times New Roman" w:hAnsi="Times New Roman" w:eastAsia="仿宋_GB2312"/>
          <w:color w:val="000000" w:themeColor="text1"/>
          <w:spacing w:val="10"/>
          <w:position w:val="-2"/>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下列规定</w:t>
      </w:r>
      <w:r>
        <w:rPr>
          <w:rFonts w:ascii="Times New Roman" w:hAnsi="Times New Roman" w:eastAsia="仿宋_GB2312"/>
          <w:color w:val="000000" w:themeColor="text1"/>
          <w:spacing w:val="-10"/>
          <w14:textFill>
            <w14:solidFill>
              <w14:schemeClr w14:val="tx1"/>
            </w14:solidFill>
          </w14:textFill>
        </w:rPr>
        <w:t>：</w:t>
      </w:r>
    </w:p>
    <w:p w14:paraId="2593732D">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降尘观测场的地形地貌应具有代表性，四周应空旷开阔，无高大建筑物和树木。降尘收集设施应平台完整，规格一致。设施配置应按照《环境空气降尘的测</w:t>
      </w:r>
      <w:r>
        <w:rPr>
          <w:rFonts w:ascii="Times New Roman" w:hAnsi="Times New Roman" w:eastAsia="仿宋_GB2312"/>
          <w:color w:val="000000" w:themeColor="text1"/>
          <w:spacing w:val="-2"/>
          <w14:textFill>
            <w14:solidFill>
              <w14:schemeClr w14:val="tx1"/>
            </w14:solidFill>
          </w14:textFill>
        </w:rPr>
        <w:t>定重量法》（GB/T15265）相关规定执行。风向、风速监测设施，按照《地面气象观测规范》（GB/T35227—2017）的规定执行。</w:t>
      </w:r>
    </w:p>
    <w:p w14:paraId="0AE731A9">
      <w:pPr>
        <w:pStyle w:val="12"/>
        <w:ind w:firstLine="480"/>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②</w:t>
      </w:r>
      <w:r>
        <w:rPr>
          <w:rFonts w:ascii="Times New Roman" w:hAnsi="Times New Roman" w:eastAsia="仿宋_GB2312"/>
          <w:color w:val="000000" w:themeColor="text1"/>
          <w14:textFill>
            <w14:solidFill>
              <w14:schemeClr w14:val="tx1"/>
            </w14:solidFill>
          </w14:textFill>
        </w:rPr>
        <w:t>降尘监测设施配置应</w:t>
      </w:r>
      <w:r>
        <w:rPr>
          <w:rFonts w:ascii="Times New Roman" w:hAnsi="Times New Roman" w:eastAsia="仿宋_GB2312"/>
          <w:color w:val="000000" w:themeColor="text1"/>
          <w:spacing w:val="10"/>
          <w14:textFill>
            <w14:solidFill>
              <w14:schemeClr w14:val="tx1"/>
            </w14:solidFill>
          </w14:textFill>
        </w:rPr>
        <w:t>符</w:t>
      </w:r>
      <w:r>
        <w:rPr>
          <w:rFonts w:ascii="Times New Roman" w:hAnsi="Times New Roman" w:eastAsia="仿宋_GB2312"/>
          <w:color w:val="000000" w:themeColor="text1"/>
          <w:spacing w:val="10"/>
          <w:position w:val="-2"/>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下列规定</w:t>
      </w:r>
      <w:r>
        <w:rPr>
          <w:rFonts w:ascii="Times New Roman" w:hAnsi="Times New Roman" w:eastAsia="仿宋_GB2312"/>
          <w:color w:val="000000" w:themeColor="text1"/>
          <w:spacing w:val="-10"/>
          <w14:textFill>
            <w14:solidFill>
              <w14:schemeClr w14:val="tx1"/>
            </w14:solidFill>
          </w14:textFill>
        </w:rPr>
        <w:t>：</w:t>
      </w:r>
    </w:p>
    <w:p w14:paraId="2157E905">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生产建设项目降尘观测场面积不小于1000m²</w:t>
      </w:r>
      <w:r>
        <w:rPr>
          <w:rFonts w:ascii="Times New Roman" w:hAnsi="Times New Roman" w:eastAsia="仿宋_GB2312"/>
          <w:color w:val="000000" w:themeColor="text1"/>
          <w:spacing w:val="-18"/>
          <w14:textFill>
            <w14:solidFill>
              <w14:schemeClr w14:val="tx1"/>
            </w14:solidFill>
          </w14:textFill>
        </w:rPr>
        <w:t>。观测场应设置观测场标识</w:t>
      </w:r>
      <w:r>
        <w:rPr>
          <w:rFonts w:ascii="Times New Roman" w:hAnsi="Times New Roman" w:eastAsia="仿宋_GB2312"/>
          <w:color w:val="000000" w:themeColor="text1"/>
          <w14:textFill>
            <w14:solidFill>
              <w14:schemeClr w14:val="tx1"/>
            </w14:solidFill>
          </w14:textFill>
        </w:rPr>
        <w:t>（标</w:t>
      </w:r>
      <w:r>
        <w:rPr>
          <w:rFonts w:ascii="Times New Roman" w:hAnsi="Times New Roman" w:eastAsia="仿宋_GB2312"/>
          <w:color w:val="000000" w:themeColor="text1"/>
          <w:spacing w:val="-2"/>
          <w14:textFill>
            <w14:solidFill>
              <w14:schemeClr w14:val="tx1"/>
            </w14:solidFill>
          </w14:textFill>
        </w:rPr>
        <w:t>牌）及围栏等观测场的保护设施等。围栏不能影响通风。</w:t>
      </w:r>
    </w:p>
    <w:p w14:paraId="1EE1C1B1">
      <w:pPr>
        <w:pStyle w:val="12"/>
        <w:ind w:firstLine="478"/>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spacing w:val="-1"/>
          <w14:textFill>
            <w14:solidFill>
              <w14:schemeClr w14:val="tx1"/>
            </w14:solidFill>
          </w14:textFill>
        </w:rPr>
        <w:t>③</w:t>
      </w:r>
      <w:r>
        <w:rPr>
          <w:rFonts w:ascii="Times New Roman" w:hAnsi="Times New Roman" w:eastAsia="仿宋_GB2312"/>
          <w:color w:val="000000" w:themeColor="text1"/>
          <w:spacing w:val="-1"/>
          <w14:textFill>
            <w14:solidFill>
              <w14:schemeClr w14:val="tx1"/>
            </w14:solidFill>
          </w14:textFill>
        </w:rPr>
        <w:t>降尘监测设施主要包括集尘缸、集尘缸放置平台及其辅助设施。</w:t>
      </w:r>
    </w:p>
    <w:p w14:paraId="298ECF34">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集尘缸由收集缸、筛板和围环构成。集尘缸为内径300mm±1mm、高600mm、</w:t>
      </w:r>
      <w:r>
        <w:rPr>
          <w:rFonts w:ascii="Times New Roman" w:hAnsi="Times New Roman" w:eastAsia="仿宋_GB2312"/>
          <w:color w:val="000000" w:themeColor="text1"/>
          <w:spacing w:val="-2"/>
          <w14:textFill>
            <w14:solidFill>
              <w14:schemeClr w14:val="tx1"/>
            </w14:solidFill>
          </w14:textFill>
        </w:rPr>
        <w:t>缸底平整的圆柱体。每一个观测场内应设置不少于3个的降尘观测点，每1个降尘观测点的间距不小于50m。每一个降尘观测点应安置3个集尘缸，每1个集尘缸的间距应大于50cm</w:t>
      </w:r>
      <w:r>
        <w:rPr>
          <w:rFonts w:ascii="Times New Roman" w:hAnsi="Times New Roman" w:eastAsia="仿宋_GB2312"/>
          <w:color w:val="000000" w:themeColor="text1"/>
          <w:spacing w:val="-10"/>
          <w14:textFill>
            <w14:solidFill>
              <w14:schemeClr w14:val="tx1"/>
            </w14:solidFill>
          </w14:textFill>
        </w:rPr>
        <w:t>。</w:t>
      </w:r>
    </w:p>
    <w:p w14:paraId="1FC2D9BE">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集尘缸放置平台由顶板和支架构成。顶板为100cm×160cm的长方形平板。支</w:t>
      </w:r>
      <w:r>
        <w:rPr>
          <w:rFonts w:ascii="Times New Roman" w:hAnsi="Times New Roman" w:eastAsia="仿宋_GB2312"/>
          <w:color w:val="000000" w:themeColor="text1"/>
          <w:spacing w:val="-2"/>
          <w14:textFill>
            <w14:solidFill>
              <w14:schemeClr w14:val="tx1"/>
            </w14:solidFill>
          </w14:textFill>
        </w:rPr>
        <w:t>架为支持顶板的四脚架，垂直高2～12m，支架安置要保证顶板保持水平并稳定</w:t>
      </w:r>
      <w:r>
        <w:rPr>
          <w:rFonts w:ascii="Times New Roman" w:hAnsi="Times New Roman" w:eastAsia="仿宋_GB2312"/>
          <w:color w:val="000000" w:themeColor="text1"/>
          <w14:textFill>
            <w14:solidFill>
              <w14:schemeClr w14:val="tx1"/>
            </w14:solidFill>
          </w14:textFill>
        </w:rPr>
        <w:t>牢靠。</w:t>
      </w:r>
    </w:p>
    <w:p w14:paraId="1BF877B6">
      <w:pPr>
        <w:pStyle w:val="12"/>
        <w:ind w:firstLine="46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6"/>
          <w14:textFill>
            <w14:solidFill>
              <w14:schemeClr w14:val="tx1"/>
            </w14:solidFill>
          </w14:textFill>
        </w:rPr>
        <w:t>辅助设施设备为防止集尘缸和支架倾倒的固定设备。一般用一个卡箍固定集</w:t>
      </w:r>
      <w:r>
        <w:rPr>
          <w:rFonts w:ascii="Times New Roman" w:hAnsi="Times New Roman" w:eastAsia="仿宋_GB2312"/>
          <w:color w:val="000000" w:themeColor="text1"/>
          <w14:textFill>
            <w14:solidFill>
              <w14:schemeClr w14:val="tx1"/>
            </w14:solidFill>
          </w14:textFill>
        </w:rPr>
        <w:t>尘缸；支架一般用3～4根锚索拉紧固定；爬梯及护栏为供观测人员上下工作的设</w:t>
      </w:r>
      <w:r>
        <w:rPr>
          <w:rFonts w:ascii="Times New Roman" w:hAnsi="Times New Roman" w:eastAsia="仿宋_GB2312"/>
          <w:color w:val="000000" w:themeColor="text1"/>
          <w:spacing w:val="-2"/>
          <w14:textFill>
            <w14:solidFill>
              <w14:schemeClr w14:val="tx1"/>
            </w14:solidFill>
          </w14:textFill>
        </w:rPr>
        <w:t>施，可与支架连体，也可独立设置。</w:t>
      </w:r>
    </w:p>
    <w:p w14:paraId="05E902F2">
      <w:pPr>
        <w:pStyle w:val="12"/>
        <w:ind w:firstLine="480"/>
        <w:rPr>
          <w:rFonts w:ascii="Times New Roman" w:hAnsi="Times New Roman" w:eastAsia="仿宋_GB2312"/>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④</w:t>
      </w:r>
      <w:r>
        <w:rPr>
          <w:rFonts w:ascii="Times New Roman" w:hAnsi="Times New Roman" w:eastAsia="仿宋_GB2312"/>
          <w:color w:val="000000" w:themeColor="text1"/>
          <w14:textFill>
            <w14:solidFill>
              <w14:schemeClr w14:val="tx1"/>
            </w14:solidFill>
          </w14:textFill>
        </w:rPr>
        <w:t>降尘监测设施的技术要求应</w:t>
      </w:r>
      <w:r>
        <w:rPr>
          <w:rFonts w:ascii="Times New Roman" w:hAnsi="Times New Roman" w:eastAsia="仿宋_GB2312"/>
          <w:color w:val="000000" w:themeColor="text1"/>
          <w:spacing w:val="10"/>
          <w14:textFill>
            <w14:solidFill>
              <w14:schemeClr w14:val="tx1"/>
            </w14:solidFill>
          </w14:textFill>
        </w:rPr>
        <w:t>符</w:t>
      </w:r>
      <w:r>
        <w:rPr>
          <w:rFonts w:ascii="Times New Roman" w:hAnsi="Times New Roman" w:eastAsia="仿宋_GB2312"/>
          <w:color w:val="000000" w:themeColor="text1"/>
          <w:spacing w:val="10"/>
          <w:position w:val="-1"/>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下列规定</w:t>
      </w:r>
      <w:r>
        <w:rPr>
          <w:rFonts w:ascii="Times New Roman" w:hAnsi="Times New Roman" w:eastAsia="仿宋_GB2312"/>
          <w:color w:val="000000" w:themeColor="text1"/>
          <w:spacing w:val="-10"/>
          <w14:textFill>
            <w14:solidFill>
              <w14:schemeClr w14:val="tx1"/>
            </w14:solidFill>
          </w14:textFill>
        </w:rPr>
        <w:t>：</w:t>
      </w:r>
    </w:p>
    <w:p w14:paraId="3ADB9B6F">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一般降尘观测场应设在远离人、畜活动的空旷区，并有固定的标识（标牌</w:t>
      </w:r>
      <w:r>
        <w:rPr>
          <w:rFonts w:ascii="Times New Roman" w:hAnsi="Times New Roman" w:eastAsia="仿宋_GB2312"/>
          <w:color w:val="000000" w:themeColor="text1"/>
          <w:spacing w:val="-56"/>
          <w14:textFill>
            <w14:solidFill>
              <w14:schemeClr w14:val="tx1"/>
            </w14:solidFill>
          </w14:textFill>
        </w:rPr>
        <w:t>），</w:t>
      </w:r>
      <w:r>
        <w:rPr>
          <w:rFonts w:ascii="Times New Roman" w:hAnsi="Times New Roman" w:eastAsia="仿宋_GB2312"/>
          <w:color w:val="000000" w:themeColor="text1"/>
          <w:spacing w:val="-2"/>
          <w14:textFill>
            <w14:solidFill>
              <w14:schemeClr w14:val="tx1"/>
            </w14:solidFill>
          </w14:textFill>
        </w:rPr>
        <w:t>配有必要的生活和工作设施。</w:t>
      </w:r>
    </w:p>
    <w:p w14:paraId="6B281AF2">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集尘缸口圆环内径误差±1mm。集尘缸缸壁应垂直光滑，形状规则，口缘向外倾斜。支架要用油漆涂成蓝色或绿色，质地均匀。</w:t>
      </w:r>
    </w:p>
    <w:p w14:paraId="4935E875">
      <w:pPr>
        <w:pStyle w:val="12"/>
        <w:ind w:firstLine="476"/>
        <w:rPr>
          <w:rFonts w:ascii="Times New Roman" w:hAnsi="Times New Roman" w:eastAsia="仿宋_GB2312"/>
          <w:color w:val="000000" w:themeColor="text1"/>
          <w:spacing w:val="-2"/>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集尘缸材料以不影响缸内集尘物的化学分析为准，一般为玻璃或陶瓷材料；</w:t>
      </w:r>
      <w:r>
        <w:rPr>
          <w:rFonts w:ascii="Times New Roman" w:hAnsi="Times New Roman" w:eastAsia="仿宋_GB2312"/>
          <w:color w:val="000000" w:themeColor="text1"/>
          <w14:textFill>
            <w14:solidFill>
              <w14:schemeClr w14:val="tx1"/>
            </w14:solidFill>
          </w14:textFill>
        </w:rPr>
        <w:t>支架为角铁或不锈钢。集尘缸及支架质量牢靠并与拉索紧密配</w:t>
      </w:r>
      <w:r>
        <w:rPr>
          <w:rFonts w:ascii="Times New Roman" w:hAnsi="Times New Roman" w:eastAsia="仿宋_GB2312"/>
          <w:color w:val="000000" w:themeColor="text1"/>
          <w:spacing w:val="10"/>
          <w:position w:val="-1"/>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；集尘缸具有耐</w:t>
      </w:r>
      <w:r>
        <w:rPr>
          <w:rFonts w:ascii="Times New Roman" w:hAnsi="Times New Roman" w:eastAsia="仿宋_GB2312"/>
          <w:color w:val="000000" w:themeColor="text1"/>
          <w:spacing w:val="-2"/>
          <w14:textFill>
            <w14:solidFill>
              <w14:schemeClr w14:val="tx1"/>
            </w14:solidFill>
          </w14:textFill>
        </w:rPr>
        <w:t>-50～+50℃高低温的性能。</w:t>
      </w:r>
    </w:p>
    <w:p w14:paraId="199E8EF0">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C、集沙仪监测</w:t>
      </w:r>
    </w:p>
    <w:p w14:paraId="02537BD9">
      <w:pPr>
        <w:pStyle w:val="12"/>
        <w:ind w:firstLine="484"/>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阶梯式集沙仪采用钢质</w:t>
      </w:r>
      <w:r>
        <w:rPr>
          <w:rFonts w:ascii="Times New Roman" w:hAnsi="Times New Roman" w:eastAsia="仿宋_GB2312"/>
          <w:color w:val="000000" w:themeColor="text1"/>
          <w14:textFill>
            <w14:solidFill>
              <w14:schemeClr w14:val="tx1"/>
            </w14:solidFill>
          </w14:textFill>
        </w:rPr>
        <w:t>1</w:t>
      </w:r>
      <w:r>
        <w:rPr>
          <w:rFonts w:ascii="Times New Roman" w:hAnsi="Times New Roman" w:eastAsia="仿宋_GB2312"/>
          <w:color w:val="000000" w:themeColor="text1"/>
          <w:spacing w:val="4"/>
          <w14:textFill>
            <w14:solidFill>
              <w14:schemeClr w14:val="tx1"/>
            </w14:solidFill>
          </w14:textFill>
        </w:rPr>
        <w:t>0</w:t>
      </w:r>
      <w:r>
        <w:rPr>
          <w:rFonts w:ascii="Times New Roman" w:hAnsi="Times New Roman" w:eastAsia="仿宋_GB2312"/>
          <w:color w:val="000000" w:themeColor="text1"/>
          <w:spacing w:val="2"/>
          <w14:textFill>
            <w14:solidFill>
              <w14:schemeClr w14:val="tx1"/>
            </w14:solidFill>
          </w14:textFill>
        </w:rPr>
        <w:t>阶斜坡型支架，下部</w:t>
      </w:r>
      <w:r>
        <w:rPr>
          <w:rFonts w:ascii="Times New Roman" w:hAnsi="Times New Roman" w:eastAsia="仿宋_GB2312"/>
          <w:color w:val="000000" w:themeColor="text1"/>
          <w14:textFill>
            <w14:solidFill>
              <w14:schemeClr w14:val="tx1"/>
            </w14:solidFill>
          </w14:textFill>
        </w:rPr>
        <w:t>10</w:t>
      </w:r>
      <w:r>
        <w:rPr>
          <w:rFonts w:ascii="Times New Roman" w:hAnsi="Times New Roman" w:eastAsia="仿宋_GB2312"/>
          <w:color w:val="000000" w:themeColor="text1"/>
          <w:spacing w:val="-1"/>
          <w14:textFill>
            <w14:solidFill>
              <w14:schemeClr w14:val="tx1"/>
            </w14:solidFill>
          </w14:textFill>
        </w:rPr>
        <w:t>c</w:t>
      </w:r>
      <w:r>
        <w:rPr>
          <w:rFonts w:ascii="Times New Roman" w:hAnsi="Times New Roman" w:eastAsia="仿宋_GB2312"/>
          <w:color w:val="000000" w:themeColor="text1"/>
          <w:spacing w:val="5"/>
          <w14:textFill>
            <w14:solidFill>
              <w14:schemeClr w14:val="tx1"/>
            </w14:solidFill>
          </w14:textFill>
        </w:rPr>
        <w:t>m</w:t>
      </w:r>
      <w:r>
        <w:rPr>
          <w:rFonts w:ascii="Times New Roman" w:hAnsi="Times New Roman" w:eastAsia="仿宋_GB2312"/>
          <w:color w:val="000000" w:themeColor="text1"/>
          <w:spacing w:val="1"/>
          <w14:textFill>
            <w14:solidFill>
              <w14:schemeClr w14:val="tx1"/>
            </w14:solidFill>
          </w14:textFill>
        </w:rPr>
        <w:t>矩形椎体插入土中，每阶1个直径3</w:t>
      </w:r>
      <w:r>
        <w:rPr>
          <w:rFonts w:ascii="Times New Roman" w:hAnsi="Times New Roman" w:eastAsia="仿宋_GB2312"/>
          <w:color w:val="000000" w:themeColor="text1"/>
          <w:spacing w:val="-1"/>
          <w14:textFill>
            <w14:solidFill>
              <w14:schemeClr w14:val="tx1"/>
            </w14:solidFill>
          </w14:textFill>
        </w:rPr>
        <w:t>c</w:t>
      </w:r>
      <w:r>
        <w:rPr>
          <w:rFonts w:ascii="Times New Roman" w:hAnsi="Times New Roman" w:eastAsia="仿宋_GB2312"/>
          <w:color w:val="000000" w:themeColor="text1"/>
          <w14:textFill>
            <w14:solidFill>
              <w14:schemeClr w14:val="tx1"/>
            </w14:solidFill>
          </w14:textFill>
        </w:rPr>
        <w:t>m</w:t>
      </w:r>
      <w:r>
        <w:rPr>
          <w:rFonts w:ascii="Times New Roman" w:hAnsi="Times New Roman" w:eastAsia="仿宋_GB2312"/>
          <w:color w:val="000000" w:themeColor="text1"/>
          <w:spacing w:val="-5"/>
          <w14:textFill>
            <w14:solidFill>
              <w14:schemeClr w14:val="tx1"/>
            </w14:solidFill>
          </w14:textFill>
        </w:rPr>
        <w:t>的积沙管，逐阶相连。在选定的监测沟内，分别固定安装</w:t>
      </w:r>
      <w:r>
        <w:rPr>
          <w:rFonts w:ascii="Times New Roman" w:hAnsi="Times New Roman" w:eastAsia="仿宋_GB2312"/>
          <w:color w:val="000000" w:themeColor="text1"/>
          <w14:textFill>
            <w14:solidFill>
              <w14:schemeClr w14:val="tx1"/>
            </w14:solidFill>
          </w14:textFill>
        </w:rPr>
        <w:t>0</w:t>
      </w:r>
      <w:r>
        <w:rPr>
          <w:rFonts w:ascii="Times New Roman" w:hAnsi="Times New Roman" w:eastAsia="仿宋_GB2312"/>
          <w:color w:val="000000" w:themeColor="text1"/>
          <w:spacing w:val="-1"/>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20</w:t>
      </w:r>
      <w:r>
        <w:rPr>
          <w:rFonts w:ascii="Times New Roman" w:hAnsi="Times New Roman" w:eastAsia="仿宋_GB2312"/>
          <w:color w:val="000000" w:themeColor="text1"/>
          <w:spacing w:val="-1"/>
          <w14:textFill>
            <w14:solidFill>
              <w14:schemeClr w14:val="tx1"/>
            </w14:solidFill>
          </w14:textFill>
        </w:rPr>
        <w:t>c</w:t>
      </w:r>
      <w:r>
        <w:rPr>
          <w:rFonts w:ascii="Times New Roman" w:hAnsi="Times New Roman" w:eastAsia="仿宋_GB2312"/>
          <w:color w:val="000000" w:themeColor="text1"/>
          <w:spacing w:val="2"/>
          <w14:textFill>
            <w14:solidFill>
              <w14:schemeClr w14:val="tx1"/>
            </w14:solidFill>
          </w14:textFill>
        </w:rPr>
        <w:t>m</w:t>
      </w:r>
      <w:r>
        <w:rPr>
          <w:rFonts w:ascii="Times New Roman" w:hAnsi="Times New Roman" w:eastAsia="仿宋_GB2312"/>
          <w:color w:val="000000" w:themeColor="text1"/>
          <w:spacing w:val="-16"/>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20</w:t>
      </w:r>
      <w:r>
        <w:rPr>
          <w:rFonts w:ascii="Times New Roman" w:hAnsi="Times New Roman" w:eastAsia="仿宋_GB2312"/>
          <w:color w:val="000000" w:themeColor="text1"/>
          <w:spacing w:val="-1"/>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40</w:t>
      </w:r>
      <w:r>
        <w:rPr>
          <w:rFonts w:ascii="Times New Roman" w:hAnsi="Times New Roman" w:eastAsia="仿宋_GB2312"/>
          <w:color w:val="000000" w:themeColor="text1"/>
          <w:spacing w:val="-1"/>
          <w14:textFill>
            <w14:solidFill>
              <w14:schemeClr w14:val="tx1"/>
            </w14:solidFill>
          </w14:textFill>
        </w:rPr>
        <w:t>c</w:t>
      </w:r>
      <w:r>
        <w:rPr>
          <w:rFonts w:ascii="Times New Roman" w:hAnsi="Times New Roman" w:eastAsia="仿宋_GB2312"/>
          <w:color w:val="000000" w:themeColor="text1"/>
          <w:spacing w:val="2"/>
          <w14:textFill>
            <w14:solidFill>
              <w14:schemeClr w14:val="tx1"/>
            </w14:solidFill>
          </w14:textFill>
        </w:rPr>
        <w:t>m两</w:t>
      </w:r>
      <w:r>
        <w:rPr>
          <w:rFonts w:ascii="Times New Roman" w:hAnsi="Times New Roman" w:eastAsia="仿宋_GB2312"/>
          <w:color w:val="000000" w:themeColor="text1"/>
          <w:spacing w:val="4"/>
          <w14:textFill>
            <w14:solidFill>
              <w14:schemeClr w14:val="tx1"/>
            </w14:solidFill>
          </w14:textFill>
        </w:rPr>
        <w:t>个</w:t>
      </w:r>
      <w:r>
        <w:rPr>
          <w:rFonts w:ascii="Times New Roman" w:hAnsi="Times New Roman" w:eastAsia="仿宋_GB2312"/>
          <w:color w:val="000000" w:themeColor="text1"/>
          <w:spacing w:val="2"/>
          <w14:textFill>
            <w14:solidFill>
              <w14:schemeClr w14:val="tx1"/>
            </w14:solidFill>
          </w14:textFill>
        </w:rPr>
        <w:t>高度的</w:t>
      </w:r>
      <w:r>
        <w:rPr>
          <w:rFonts w:ascii="Times New Roman" w:hAnsi="Times New Roman" w:eastAsia="仿宋_GB2312"/>
          <w:color w:val="000000" w:themeColor="text1"/>
          <w:spacing w:val="4"/>
          <w14:textFill>
            <w14:solidFill>
              <w14:schemeClr w14:val="tx1"/>
            </w14:solidFill>
          </w14:textFill>
        </w:rPr>
        <w:t>阶</w:t>
      </w:r>
      <w:r>
        <w:rPr>
          <w:rFonts w:ascii="Times New Roman" w:hAnsi="Times New Roman" w:eastAsia="仿宋_GB2312"/>
          <w:color w:val="000000" w:themeColor="text1"/>
          <w:spacing w:val="2"/>
          <w14:textFill>
            <w14:solidFill>
              <w14:schemeClr w14:val="tx1"/>
            </w14:solidFill>
          </w14:textFill>
        </w:rPr>
        <w:t>梯式</w:t>
      </w:r>
      <w:r>
        <w:rPr>
          <w:rFonts w:ascii="Times New Roman" w:hAnsi="Times New Roman" w:eastAsia="仿宋_GB2312"/>
          <w:color w:val="000000" w:themeColor="text1"/>
          <w:spacing w:val="4"/>
          <w14:textFill>
            <w14:solidFill>
              <w14:schemeClr w14:val="tx1"/>
            </w14:solidFill>
          </w14:textFill>
        </w:rPr>
        <w:t>积</w:t>
      </w:r>
      <w:r>
        <w:rPr>
          <w:rFonts w:ascii="Times New Roman" w:hAnsi="Times New Roman" w:eastAsia="仿宋_GB2312"/>
          <w:color w:val="000000" w:themeColor="text1"/>
          <w:spacing w:val="2"/>
          <w14:textFill>
            <w14:solidFill>
              <w14:schemeClr w14:val="tx1"/>
            </w14:solidFill>
          </w14:textFill>
        </w:rPr>
        <w:t>沙</w:t>
      </w:r>
      <w:r>
        <w:rPr>
          <w:rFonts w:ascii="Times New Roman" w:hAnsi="Times New Roman" w:eastAsia="仿宋_GB2312"/>
          <w:color w:val="000000" w:themeColor="text1"/>
          <w:spacing w:val="7"/>
          <w14:textFill>
            <w14:solidFill>
              <w14:schemeClr w14:val="tx1"/>
            </w14:solidFill>
          </w14:textFill>
        </w:rPr>
        <w:t>仪</w:t>
      </w:r>
      <w:r>
        <w:rPr>
          <w:rFonts w:ascii="Times New Roman" w:hAnsi="Times New Roman" w:eastAsia="仿宋_GB2312"/>
          <w:color w:val="000000" w:themeColor="text1"/>
          <w:spacing w:val="7"/>
          <w:position w:val="-2"/>
          <w14:textFill>
            <w14:solidFill>
              <w14:schemeClr w14:val="tx1"/>
            </w14:solidFill>
          </w14:textFill>
        </w:rPr>
        <w:t>各</w:t>
      </w:r>
      <w:r>
        <w:rPr>
          <w:rFonts w:ascii="Times New Roman" w:hAnsi="Times New Roman" w:eastAsia="仿宋_GB2312"/>
          <w:color w:val="000000" w:themeColor="text1"/>
          <w:spacing w:val="4"/>
          <w14:textFill>
            <w14:solidFill>
              <w14:schemeClr w14:val="tx1"/>
            </w14:solidFill>
          </w14:textFill>
        </w:rPr>
        <w:t>两</w:t>
      </w:r>
      <w:r>
        <w:rPr>
          <w:rFonts w:ascii="Times New Roman" w:hAnsi="Times New Roman" w:eastAsia="仿宋_GB2312"/>
          <w:color w:val="000000" w:themeColor="text1"/>
          <w:spacing w:val="2"/>
          <w14:textFill>
            <w14:solidFill>
              <w14:schemeClr w14:val="tx1"/>
            </w14:solidFill>
          </w14:textFill>
        </w:rPr>
        <w:t>个</w:t>
      </w:r>
      <w:r>
        <w:rPr>
          <w:rFonts w:ascii="Times New Roman" w:hAnsi="Times New Roman" w:eastAsia="仿宋_GB2312"/>
          <w:color w:val="000000" w:themeColor="text1"/>
          <w:spacing w:val="4"/>
          <w14:textFill>
            <w14:solidFill>
              <w14:schemeClr w14:val="tx1"/>
            </w14:solidFill>
          </w14:textFill>
        </w:rPr>
        <w:t>(</w:t>
      </w:r>
      <w:r>
        <w:rPr>
          <w:rFonts w:ascii="Times New Roman" w:hAnsi="Times New Roman" w:eastAsia="仿宋_GB2312"/>
          <w:color w:val="000000" w:themeColor="text1"/>
          <w:spacing w:val="2"/>
          <w14:textFill>
            <w14:solidFill>
              <w14:schemeClr w14:val="tx1"/>
            </w14:solidFill>
          </w14:textFill>
        </w:rPr>
        <w:t>进</w:t>
      </w:r>
      <w:r>
        <w:rPr>
          <w:rFonts w:ascii="Times New Roman" w:hAnsi="Times New Roman" w:eastAsia="仿宋_GB2312"/>
          <w:color w:val="000000" w:themeColor="text1"/>
          <w:spacing w:val="4"/>
          <w14:textFill>
            <w14:solidFill>
              <w14:schemeClr w14:val="tx1"/>
            </w14:solidFill>
          </w14:textFill>
        </w:rPr>
        <w:t>行</w:t>
      </w:r>
      <w:r>
        <w:rPr>
          <w:rFonts w:ascii="Times New Roman" w:hAnsi="Times New Roman" w:eastAsia="仿宋_GB2312"/>
          <w:color w:val="000000" w:themeColor="text1"/>
          <w:spacing w:val="2"/>
          <w14:textFill>
            <w14:solidFill>
              <w14:schemeClr w14:val="tx1"/>
            </w14:solidFill>
          </w14:textFill>
        </w:rPr>
        <w:t>两次重</w:t>
      </w:r>
      <w:r>
        <w:rPr>
          <w:rFonts w:ascii="Times New Roman" w:hAnsi="Times New Roman" w:eastAsia="仿宋_GB2312"/>
          <w:color w:val="000000" w:themeColor="text1"/>
          <w:spacing w:val="4"/>
          <w14:textFill>
            <w14:solidFill>
              <w14:schemeClr w14:val="tx1"/>
            </w14:solidFill>
          </w14:textFill>
        </w:rPr>
        <w:t>复</w:t>
      </w:r>
      <w:r>
        <w:rPr>
          <w:rFonts w:ascii="Times New Roman" w:hAnsi="Times New Roman" w:eastAsia="仿宋_GB2312"/>
          <w:color w:val="000000" w:themeColor="text1"/>
          <w:spacing w:val="1"/>
          <w14:textFill>
            <w14:solidFill>
              <w14:schemeClr w14:val="tx1"/>
            </w14:solidFill>
          </w14:textFill>
        </w:rPr>
        <w:t>)</w:t>
      </w:r>
      <w:r>
        <w:rPr>
          <w:rFonts w:ascii="Times New Roman" w:hAnsi="Times New Roman" w:eastAsia="仿宋_GB2312"/>
          <w:color w:val="000000" w:themeColor="text1"/>
          <w:spacing w:val="2"/>
          <w14:textFill>
            <w14:solidFill>
              <w14:schemeClr w14:val="tx1"/>
            </w14:solidFill>
          </w14:textFill>
        </w:rPr>
        <w:t>，</w:t>
      </w:r>
      <w:r>
        <w:rPr>
          <w:rFonts w:ascii="Times New Roman" w:hAnsi="Times New Roman" w:eastAsia="仿宋_GB2312"/>
          <w:color w:val="000000" w:themeColor="text1"/>
          <w:spacing w:val="4"/>
          <w14:textFill>
            <w14:solidFill>
              <w14:schemeClr w14:val="tx1"/>
            </w14:solidFill>
          </w14:textFill>
        </w:rPr>
        <w:t>同</w:t>
      </w:r>
      <w:r>
        <w:rPr>
          <w:rFonts w:ascii="Times New Roman" w:hAnsi="Times New Roman" w:eastAsia="仿宋_GB2312"/>
          <w:color w:val="000000" w:themeColor="text1"/>
          <w:spacing w:val="2"/>
          <w14:textFill>
            <w14:solidFill>
              <w14:schemeClr w14:val="tx1"/>
            </w14:solidFill>
          </w14:textFill>
        </w:rPr>
        <w:t>时在相</w:t>
      </w:r>
      <w:r>
        <w:rPr>
          <w:rFonts w:ascii="Times New Roman" w:hAnsi="Times New Roman" w:eastAsia="仿宋_GB2312"/>
          <w:color w:val="000000" w:themeColor="text1"/>
          <w:spacing w:val="4"/>
          <w14:textFill>
            <w14:solidFill>
              <w14:schemeClr w14:val="tx1"/>
            </w14:solidFill>
          </w14:textFill>
        </w:rPr>
        <w:t>邻</w:t>
      </w:r>
      <w:r>
        <w:rPr>
          <w:rFonts w:ascii="Times New Roman" w:hAnsi="Times New Roman" w:eastAsia="仿宋_GB2312"/>
          <w:color w:val="000000" w:themeColor="text1"/>
          <w:spacing w:val="2"/>
          <w14:textFill>
            <w14:solidFill>
              <w14:schemeClr w14:val="tx1"/>
            </w14:solidFill>
          </w14:textFill>
        </w:rPr>
        <w:t>区内</w:t>
      </w:r>
      <w:r>
        <w:rPr>
          <w:rFonts w:ascii="Times New Roman" w:hAnsi="Times New Roman" w:eastAsia="仿宋_GB2312"/>
          <w:color w:val="000000" w:themeColor="text1"/>
          <w:spacing w:val="4"/>
          <w14:textFill>
            <w14:solidFill>
              <w14:schemeClr w14:val="tx1"/>
            </w14:solidFill>
          </w14:textFill>
        </w:rPr>
        <w:t>设</w:t>
      </w:r>
      <w:r>
        <w:rPr>
          <w:rFonts w:ascii="Times New Roman" w:hAnsi="Times New Roman" w:eastAsia="仿宋_GB2312"/>
          <w:color w:val="000000" w:themeColor="text1"/>
          <w14:textFill>
            <w14:solidFill>
              <w14:schemeClr w14:val="tx1"/>
            </w14:solidFill>
          </w14:textFill>
        </w:rPr>
        <w:t>置对照1</w:t>
      </w:r>
      <w:r>
        <w:rPr>
          <w:rFonts w:ascii="Times New Roman" w:hAnsi="Times New Roman" w:eastAsia="仿宋_GB2312"/>
          <w:color w:val="000000" w:themeColor="text1"/>
          <w:spacing w:val="-70"/>
          <w14:textFill>
            <w14:solidFill>
              <w14:schemeClr w14:val="tx1"/>
            </w14:solidFill>
          </w14:textFill>
        </w:rPr>
        <w:t>处</w:t>
      </w:r>
      <w:r>
        <w:rPr>
          <w:rFonts w:ascii="Times New Roman" w:hAnsi="Times New Roman" w:eastAsia="仿宋_GB2312"/>
          <w:color w:val="000000" w:themeColor="text1"/>
          <w:spacing w:val="-3"/>
          <w14:textFill>
            <w14:solidFill>
              <w14:schemeClr w14:val="tx1"/>
            </w14:solidFill>
          </w14:textFill>
        </w:rPr>
        <w:t>（</w:t>
      </w:r>
      <w:r>
        <w:rPr>
          <w:rFonts w:ascii="Times New Roman" w:hAnsi="Times New Roman" w:eastAsia="仿宋_GB2312"/>
          <w:color w:val="000000" w:themeColor="text1"/>
          <w:spacing w:val="-8"/>
          <w14:textFill>
            <w14:solidFill>
              <w14:schemeClr w14:val="tx1"/>
            </w14:solidFill>
          </w14:textFill>
        </w:rPr>
        <w:t>在达到起风沙速时，因气流搬运的沙量绝大部分在离地表</w:t>
      </w:r>
      <w:r>
        <w:rPr>
          <w:rFonts w:ascii="Times New Roman" w:hAnsi="Times New Roman" w:eastAsia="仿宋_GB2312"/>
          <w:color w:val="000000" w:themeColor="text1"/>
          <w14:textFill>
            <w14:solidFill>
              <w14:schemeClr w14:val="tx1"/>
            </w14:solidFill>
          </w14:textFill>
        </w:rPr>
        <w:t>30</w:t>
      </w:r>
      <w:r>
        <w:rPr>
          <w:rFonts w:ascii="Times New Roman" w:hAnsi="Times New Roman" w:eastAsia="仿宋_GB2312"/>
          <w:color w:val="000000" w:themeColor="text1"/>
          <w:spacing w:val="-1"/>
          <w14:textFill>
            <w14:solidFill>
              <w14:schemeClr w14:val="tx1"/>
            </w14:solidFill>
          </w14:textFill>
        </w:rPr>
        <w:t>c</w:t>
      </w:r>
      <w:r>
        <w:rPr>
          <w:rFonts w:ascii="Times New Roman" w:hAnsi="Times New Roman" w:eastAsia="仿宋_GB2312"/>
          <w:color w:val="000000" w:themeColor="text1"/>
          <w14:textFill>
            <w14:solidFill>
              <w14:schemeClr w14:val="tx1"/>
            </w14:solidFill>
          </w14:textFill>
        </w:rPr>
        <w:t>m高度内，所以误差较小</w:t>
      </w:r>
      <w:r>
        <w:rPr>
          <w:rFonts w:ascii="Times New Roman" w:hAnsi="Times New Roman" w:eastAsia="仿宋_GB2312"/>
          <w:color w:val="000000" w:themeColor="text1"/>
          <w:spacing w:val="-32"/>
          <w14:textFill>
            <w14:solidFill>
              <w14:schemeClr w14:val="tx1"/>
            </w14:solidFill>
          </w14:textFill>
        </w:rPr>
        <w:t>）</w:t>
      </w:r>
      <w:r>
        <w:rPr>
          <w:rFonts w:ascii="Times New Roman" w:hAnsi="Times New Roman" w:eastAsia="仿宋_GB2312"/>
          <w:color w:val="000000" w:themeColor="text1"/>
          <w:spacing w:val="-6"/>
          <w14:textFill>
            <w14:solidFill>
              <w14:schemeClr w14:val="tx1"/>
            </w14:solidFill>
          </w14:textFill>
        </w:rPr>
        <w:t>，集沙测量一次</w:t>
      </w:r>
      <w:r>
        <w:rPr>
          <w:rFonts w:ascii="Times New Roman" w:hAnsi="Times New Roman" w:eastAsia="仿宋_GB2312"/>
          <w:color w:val="000000" w:themeColor="text1"/>
          <w14:textFill>
            <w14:solidFill>
              <w14:schemeClr w14:val="tx1"/>
            </w14:solidFill>
          </w14:textFill>
        </w:rPr>
        <w:t>10</w:t>
      </w:r>
      <w:r>
        <w:rPr>
          <w:rFonts w:ascii="Times New Roman" w:hAnsi="Times New Roman" w:eastAsia="仿宋_GB2312"/>
          <w:color w:val="000000" w:themeColor="text1"/>
          <w:spacing w:val="-6"/>
          <w14:textFill>
            <w14:solidFill>
              <w14:schemeClr w14:val="tx1"/>
            </w14:solidFill>
          </w14:textFill>
        </w:rPr>
        <w:t>分钟。沙子从</w:t>
      </w:r>
      <w:r>
        <w:rPr>
          <w:rFonts w:ascii="Times New Roman" w:hAnsi="Times New Roman" w:eastAsia="仿宋_GB2312"/>
          <w:color w:val="000000" w:themeColor="text1"/>
          <w14:textFill>
            <w14:solidFill>
              <w14:schemeClr w14:val="tx1"/>
            </w14:solidFill>
          </w14:textFill>
        </w:rPr>
        <w:t>10个进沙孔分别进入安装在集沙仪量的塑料管进行收集测量，在风季</w:t>
      </w:r>
      <w:r>
        <w:rPr>
          <w:rFonts w:ascii="Times New Roman" w:hAnsi="Times New Roman" w:eastAsia="仿宋_GB2312"/>
          <w:color w:val="000000" w:themeColor="text1"/>
          <w:spacing w:val="-1"/>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3</w:t>
      </w:r>
      <w:r>
        <w:rPr>
          <w:rFonts w:ascii="Times New Roman" w:hAnsi="Times New Roman" w:eastAsia="仿宋_GB2312"/>
          <w:color w:val="000000" w:themeColor="text1"/>
          <w:spacing w:val="-1"/>
          <w14:textFill>
            <w14:solidFill>
              <w14:schemeClr w14:val="tx1"/>
            </w14:solidFill>
          </w14:textFill>
        </w:rPr>
        <w:t>-</w:t>
      </w:r>
      <w:r>
        <w:rPr>
          <w:rFonts w:ascii="Times New Roman" w:hAnsi="Times New Roman" w:eastAsia="仿宋_GB2312"/>
          <w:color w:val="000000" w:themeColor="text1"/>
          <w:spacing w:val="2"/>
          <w14:textFill>
            <w14:solidFill>
              <w14:schemeClr w14:val="tx1"/>
            </w14:solidFill>
          </w14:textFill>
        </w:rPr>
        <w:t>5</w:t>
      </w:r>
      <w:r>
        <w:rPr>
          <w:rFonts w:ascii="Times New Roman" w:hAnsi="Times New Roman" w:eastAsia="仿宋_GB2312"/>
          <w:color w:val="000000" w:themeColor="text1"/>
          <w14:textFill>
            <w14:solidFill>
              <w14:schemeClr w14:val="tx1"/>
            </w14:solidFill>
          </w14:textFill>
        </w:rPr>
        <w:t>月份</w:t>
      </w:r>
      <w:r>
        <w:rPr>
          <w:rFonts w:ascii="Times New Roman" w:hAnsi="Times New Roman" w:eastAsia="仿宋_GB2312"/>
          <w:color w:val="000000" w:themeColor="text1"/>
          <w:spacing w:val="-1"/>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每5天测定1</w:t>
      </w:r>
      <w:r>
        <w:rPr>
          <w:rFonts w:ascii="Times New Roman" w:hAnsi="Times New Roman" w:eastAsia="仿宋_GB2312"/>
          <w:color w:val="000000" w:themeColor="text1"/>
          <w:spacing w:val="-7"/>
          <w14:textFill>
            <w14:solidFill>
              <w14:schemeClr w14:val="tx1"/>
            </w14:solidFill>
          </w14:textFill>
        </w:rPr>
        <w:t>次。同时设置风标风速表测定相应的风速。</w:t>
      </w:r>
    </w:p>
    <w:p w14:paraId="63093D3B">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（3）调查巡查监测法</w:t>
      </w:r>
    </w:p>
    <w:p w14:paraId="05E34B09">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调查巡查监测是指定期采取全线路调查的方式，通过现场实地勘测，采用</w:t>
      </w:r>
      <w:r>
        <w:rPr>
          <w:rFonts w:ascii="Times New Roman" w:hAnsi="Times New Roman" w:eastAsia="仿宋_GB2312"/>
          <w:color w:val="000000" w:themeColor="text1"/>
          <w14:textFill>
            <w14:solidFill>
              <w14:schemeClr w14:val="tx1"/>
            </w14:solidFill>
          </w14:textFill>
        </w:rPr>
        <w:t>GPS定位仪结</w:t>
      </w:r>
      <w:r>
        <w:rPr>
          <w:rFonts w:ascii="Times New Roman" w:hAnsi="Times New Roman" w:eastAsia="仿宋_GB2312"/>
          <w:color w:val="000000" w:themeColor="text1"/>
          <w:spacing w:val="10"/>
          <w:position w:val="-2"/>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地形图、遥感影像图、照相机、标杆、尺子等工具，按标段测定</w:t>
      </w:r>
      <w:r>
        <w:rPr>
          <w:rFonts w:ascii="Times New Roman" w:hAnsi="Times New Roman" w:eastAsia="仿宋_GB2312"/>
          <w:color w:val="000000" w:themeColor="text1"/>
          <w:spacing w:val="-6"/>
          <w14:textFill>
            <w14:solidFill>
              <w14:schemeClr w14:val="tx1"/>
            </w14:solidFill>
          </w14:textFill>
        </w:rPr>
        <w:t>不同工程和标段的地表扰动类型和不同类型的面积。填表记录每个扰动类型区的</w:t>
      </w:r>
      <w:r>
        <w:rPr>
          <w:rFonts w:ascii="Times New Roman" w:hAnsi="Times New Roman" w:eastAsia="仿宋_GB2312"/>
          <w:color w:val="000000" w:themeColor="text1"/>
          <w14:textFill>
            <w14:solidFill>
              <w14:schemeClr w14:val="tx1"/>
            </w14:solidFill>
          </w14:textFill>
        </w:rPr>
        <w:t>基本特征（特别是堆渣和开挖面坡长、坡度、岩土类型）及水土保持措施（拦渣</w:t>
      </w:r>
      <w:r>
        <w:rPr>
          <w:rFonts w:ascii="Times New Roman" w:hAnsi="Times New Roman" w:eastAsia="仿宋_GB2312"/>
          <w:color w:val="000000" w:themeColor="text1"/>
          <w:spacing w:val="-2"/>
          <w14:textFill>
            <w14:solidFill>
              <w14:schemeClr w14:val="tx1"/>
            </w14:solidFill>
          </w14:textFill>
        </w:rPr>
        <w:t>工程、护坡工程、土地整治等）实施情况。</w:t>
      </w:r>
    </w:p>
    <w:p w14:paraId="336A59AC">
      <w:pPr>
        <w:pStyle w:val="12"/>
        <w:ind w:firstLine="47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1"/>
          <w14:textFill>
            <w14:solidFill>
              <w14:schemeClr w14:val="tx1"/>
            </w14:solidFill>
          </w14:textFill>
        </w:rPr>
        <w:t>1）影响水土流失的主要因子</w:t>
      </w:r>
    </w:p>
    <w:p w14:paraId="35D6A8E4">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主要包括降雨、地形、地貌、土壤、植被、水土保持设施数量和质量。通过实地调查，拍照记录并填写相关表格来获取相关信息。在进行背景流失观测时，可采用降雨模拟法或类似小区对比法进行观测记录。</w:t>
      </w:r>
    </w:p>
    <w:p w14:paraId="5DD81A61">
      <w:pPr>
        <w:pStyle w:val="12"/>
        <w:ind w:firstLine="47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1"/>
          <w14:textFill>
            <w14:solidFill>
              <w14:schemeClr w14:val="tx1"/>
            </w14:solidFill>
          </w14:textFill>
        </w:rPr>
        <w:t>2）园区基础设施及入驻项目建设进度和水土保持工程建设情况</w:t>
      </w:r>
    </w:p>
    <w:p w14:paraId="690BE15B">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主要包括</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spacing w:val="-2"/>
          <w14:textFill>
            <w14:solidFill>
              <w14:schemeClr w14:val="tx1"/>
            </w14:solidFill>
          </w14:textFill>
        </w:rPr>
        <w:t>工程涉及水土保持工程的建设进度</w:t>
      </w:r>
      <w:r>
        <w:rPr>
          <w:rFonts w:ascii="Times New Roman" w:hAnsi="Times New Roman" w:eastAsia="仿宋_GB2312"/>
          <w:color w:val="000000" w:themeColor="text1"/>
          <w:spacing w:val="-89"/>
          <w14:textFill>
            <w14:solidFill>
              <w14:schemeClr w14:val="tx1"/>
            </w14:solidFill>
          </w14:textFill>
        </w:rPr>
        <w:t>，</w:t>
      </w:r>
      <w:r>
        <w:rPr>
          <w:rFonts w:ascii="Times New Roman" w:hAnsi="Times New Roman" w:eastAsia="仿宋_GB2312"/>
          <w:color w:val="000000" w:themeColor="text1"/>
          <w:spacing w:val="-2"/>
          <w14:textFill>
            <w14:solidFill>
              <w14:schemeClr w14:val="tx1"/>
            </w14:solidFill>
          </w14:textFill>
        </w:rPr>
        <w:t>水土保持</w:t>
      </w:r>
      <w:r>
        <w:rPr>
          <w:rFonts w:ascii="Times New Roman" w:hAnsi="Times New Roman" w:eastAsia="仿宋_GB2312"/>
          <w:color w:val="000000" w:themeColor="text1"/>
          <w:spacing w:val="5"/>
          <w:position w:val="-2"/>
          <w14:textFill>
            <w14:solidFill>
              <w14:schemeClr w14:val="tx1"/>
            </w14:solidFill>
          </w14:textFill>
        </w:rPr>
        <w:t>各</w:t>
      </w:r>
      <w:r>
        <w:rPr>
          <w:rFonts w:ascii="Times New Roman" w:hAnsi="Times New Roman" w:eastAsia="仿宋_GB2312"/>
          <w:color w:val="000000" w:themeColor="text1"/>
          <w:spacing w:val="-2"/>
          <w14:textFill>
            <w14:solidFill>
              <w14:schemeClr w14:val="tx1"/>
            </w14:solidFill>
          </w14:textFill>
        </w:rPr>
        <w:t>项措施工程量及</w:t>
      </w:r>
      <w:r>
        <w:rPr>
          <w:rFonts w:ascii="Times New Roman" w:hAnsi="Times New Roman" w:eastAsia="仿宋_GB2312"/>
          <w:color w:val="000000" w:themeColor="text1"/>
          <w14:textFill>
            <w14:solidFill>
              <w14:schemeClr w14:val="tx1"/>
            </w14:solidFill>
          </w14:textFill>
        </w:rPr>
        <w:t>其实施进度。通过实地调查，走访施工、监理单位查阅相关施工资料，现场拍照</w:t>
      </w:r>
      <w:r>
        <w:rPr>
          <w:rFonts w:ascii="Times New Roman" w:hAnsi="Times New Roman" w:eastAsia="仿宋_GB2312"/>
          <w:color w:val="000000" w:themeColor="text1"/>
          <w:spacing w:val="-2"/>
          <w14:textFill>
            <w14:solidFill>
              <w14:schemeClr w14:val="tx1"/>
            </w14:solidFill>
          </w14:textFill>
        </w:rPr>
        <w:t>记录并填写相关表格来获取相关信息。</w:t>
      </w:r>
    </w:p>
    <w:p w14:paraId="618BA738">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3）水土流失量及其危害</w:t>
      </w:r>
    </w:p>
    <w:p w14:paraId="5634B5FD">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主要为水力侵蚀引起的面蚀、沟蚀、坍塌等及其对周边水域、农田、村庄等敏感点造成的危害。包括土石方挖填、临时堆放情况等。侵蚀量和侵蚀模数通过</w:t>
      </w:r>
      <w:r>
        <w:rPr>
          <w:rFonts w:ascii="Times New Roman" w:hAnsi="Times New Roman" w:eastAsia="仿宋_GB2312"/>
          <w:color w:val="000000" w:themeColor="text1"/>
          <w:position w:val="-2"/>
          <w14:textFill>
            <w14:solidFill>
              <w14:schemeClr w14:val="tx1"/>
            </w14:solidFill>
          </w14:textFill>
        </w:rPr>
        <w:t>各</w:t>
      </w:r>
      <w:r>
        <w:rPr>
          <w:rFonts w:ascii="Times New Roman" w:hAnsi="Times New Roman" w:eastAsia="仿宋_GB2312"/>
          <w:color w:val="000000" w:themeColor="text1"/>
          <w:spacing w:val="-2"/>
          <w14:textFill>
            <w14:solidFill>
              <w14:schemeClr w14:val="tx1"/>
            </w14:solidFill>
          </w14:textFill>
        </w:rPr>
        <w:t>侵蚀单元地面观测点实测，土石方量及堆放情况通过手持式</w:t>
      </w:r>
      <w:r>
        <w:rPr>
          <w:rFonts w:ascii="Times New Roman" w:hAnsi="Times New Roman" w:eastAsia="仿宋_GB2312"/>
          <w:color w:val="000000" w:themeColor="text1"/>
          <w14:textFill>
            <w14:solidFill>
              <w14:schemeClr w14:val="tx1"/>
            </w14:solidFill>
          </w14:textFill>
        </w:rPr>
        <w:t>GPS定位仪或者</w:t>
      </w:r>
      <w:r>
        <w:rPr>
          <w:rFonts w:ascii="Times New Roman" w:hAnsi="Times New Roman" w:eastAsia="仿宋_GB2312"/>
          <w:color w:val="000000" w:themeColor="text1"/>
          <w:spacing w:val="-2"/>
          <w14:textFill>
            <w14:solidFill>
              <w14:schemeClr w14:val="tx1"/>
            </w14:solidFill>
          </w14:textFill>
        </w:rPr>
        <w:t>全站仪实地量测。</w:t>
      </w:r>
    </w:p>
    <w:p w14:paraId="32AE29D5">
      <w:pPr>
        <w:pStyle w:val="12"/>
        <w:ind w:firstLine="47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1"/>
          <w14:textFill>
            <w14:solidFill>
              <w14:schemeClr w14:val="tx1"/>
            </w14:solidFill>
          </w14:textFill>
        </w:rPr>
        <w:t>4）工程建设扰动土地面积</w:t>
      </w:r>
    </w:p>
    <w:p w14:paraId="1303E20F">
      <w:pPr>
        <w:pStyle w:val="12"/>
        <w:ind w:firstLine="47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1"/>
          <w14:textFill>
            <w14:solidFill>
              <w14:schemeClr w14:val="tx1"/>
            </w14:solidFill>
          </w14:textFill>
        </w:rPr>
        <w:t>主要为扰动地表面积和类型。扰动面积监测采用手持式</w:t>
      </w:r>
      <w:r>
        <w:rPr>
          <w:rFonts w:ascii="Times New Roman" w:hAnsi="Times New Roman" w:eastAsia="仿宋_GB2312"/>
          <w:color w:val="000000" w:themeColor="text1"/>
          <w14:textFill>
            <w14:solidFill>
              <w14:schemeClr w14:val="tx1"/>
            </w14:solidFill>
          </w14:textFill>
        </w:rPr>
        <w:t>GPS定位仪或全站仪或结</w:t>
      </w:r>
      <w:r>
        <w:rPr>
          <w:rFonts w:ascii="Times New Roman" w:hAnsi="Times New Roman" w:eastAsia="仿宋_GB2312"/>
          <w:color w:val="000000" w:themeColor="text1"/>
          <w:spacing w:val="10"/>
          <w:position w:val="-2"/>
          <w14:textFill>
            <w14:solidFill>
              <w14:schemeClr w14:val="tx1"/>
            </w14:solidFill>
          </w14:textFill>
        </w:rPr>
        <w:t>合</w:t>
      </w:r>
      <w:r>
        <w:rPr>
          <w:rFonts w:ascii="Times New Roman" w:hAnsi="Times New Roman" w:eastAsia="仿宋_GB2312"/>
          <w:color w:val="000000" w:themeColor="text1"/>
          <w14:textFill>
            <w14:solidFill>
              <w14:schemeClr w14:val="tx1"/>
            </w14:solidFill>
          </w14:textFill>
        </w:rPr>
        <w:t>遥感监测进行</w:t>
      </w:r>
      <w:r>
        <w:rPr>
          <w:rFonts w:ascii="Times New Roman" w:hAnsi="Times New Roman" w:eastAsia="仿宋_GB2312"/>
          <w:color w:val="000000" w:themeColor="text1"/>
          <w:spacing w:val="-70"/>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首先对调查区按扰动类型进行分区</w:t>
      </w:r>
      <w:r>
        <w:rPr>
          <w:rFonts w:ascii="Times New Roman" w:hAnsi="Times New Roman" w:eastAsia="仿宋_GB2312"/>
          <w:color w:val="000000" w:themeColor="text1"/>
          <w:spacing w:val="-70"/>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如堆渣</w:t>
      </w:r>
      <w:r>
        <w:rPr>
          <w:rFonts w:ascii="Times New Roman" w:hAnsi="Times New Roman" w:eastAsia="仿宋_GB2312"/>
          <w:color w:val="000000" w:themeColor="text1"/>
          <w:spacing w:val="-70"/>
          <w14:textFill>
            <w14:solidFill>
              <w14:schemeClr w14:val="tx1"/>
            </w14:solidFill>
          </w14:textFill>
        </w:rPr>
        <w:t>、</w:t>
      </w:r>
      <w:r>
        <w:rPr>
          <w:rFonts w:ascii="Times New Roman" w:hAnsi="Times New Roman" w:eastAsia="仿宋_GB2312"/>
          <w:color w:val="000000" w:themeColor="text1"/>
          <w14:textFill>
            <w14:solidFill>
              <w14:schemeClr w14:val="tx1"/>
            </w14:solidFill>
          </w14:textFill>
        </w:rPr>
        <w:t>开挖面等，</w:t>
      </w:r>
      <w:r>
        <w:rPr>
          <w:rFonts w:ascii="Times New Roman" w:hAnsi="Times New Roman" w:eastAsia="仿宋_GB2312"/>
          <w:color w:val="000000" w:themeColor="text1"/>
          <w:spacing w:val="-2"/>
          <w14:textFill>
            <w14:solidFill>
              <w14:schemeClr w14:val="tx1"/>
            </w14:solidFill>
          </w14:textFill>
        </w:rPr>
        <w:t>同时记录调查点名称、工程名称、扰动类型和监测数据编号等。</w:t>
      </w:r>
    </w:p>
    <w:p w14:paraId="24B99A49">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便携式激光测距仪可测距测角测高，适用于监测取、堆土(渣)场的动态变化情况。在精度要求更高的情况下，可以使用精度较高的全站仪进行测量。</w:t>
      </w:r>
    </w:p>
    <w:p w14:paraId="5E245385">
      <w:pPr>
        <w:pStyle w:val="12"/>
        <w:ind w:firstLine="476"/>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2"/>
          <w14:textFill>
            <w14:solidFill>
              <w14:schemeClr w14:val="tx1"/>
            </w14:solidFill>
          </w14:textFill>
        </w:rPr>
        <w:t>5）水土流失防治效果</w:t>
      </w:r>
    </w:p>
    <w:p w14:paraId="1141A457">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对实施的拦挡措施的效果、控制水土流失、设施的完好率等进行监测，对实</w:t>
      </w:r>
      <w:r>
        <w:rPr>
          <w:rFonts w:ascii="Times New Roman" w:hAnsi="Times New Roman" w:eastAsia="仿宋_GB2312"/>
          <w:color w:val="000000" w:themeColor="text1"/>
          <w:spacing w:val="-2"/>
          <w14:textFill>
            <w14:solidFill>
              <w14:schemeClr w14:val="tx1"/>
            </w14:solidFill>
          </w14:textFill>
        </w:rPr>
        <w:t>施的植物措施的效果，包括林草植被覆盖、成活率情况进行监测。</w:t>
      </w:r>
    </w:p>
    <w:p w14:paraId="7CAA75C9">
      <w:pPr>
        <w:pStyle w:val="12"/>
        <w:ind w:firstLine="46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6"/>
          <w14:textFill>
            <w14:solidFill>
              <w14:schemeClr w14:val="tx1"/>
            </w14:solidFill>
          </w14:textFill>
        </w:rPr>
        <w:t>对工程措施和临时措施采取现场调查和查阅施工、监理记录的方式调查记录</w:t>
      </w:r>
      <w:r>
        <w:rPr>
          <w:rFonts w:ascii="Times New Roman" w:hAnsi="Times New Roman" w:eastAsia="仿宋_GB2312"/>
          <w:color w:val="000000" w:themeColor="text1"/>
          <w:spacing w:val="-2"/>
          <w14:textFill>
            <w14:solidFill>
              <w14:schemeClr w14:val="tx1"/>
            </w14:solidFill>
          </w14:textFill>
        </w:rPr>
        <w:t>并填写相关表格。对植物措施采取实地调查的方式调查防治效果。</w:t>
      </w:r>
    </w:p>
    <w:p w14:paraId="20A4F66D">
      <w:pPr>
        <w:pStyle w:val="3"/>
        <w:spacing w:before="120" w:after="120"/>
      </w:pPr>
      <w:bookmarkStart w:id="520" w:name="_Toc152535490"/>
      <w:r>
        <w:t>监测点位布设</w:t>
      </w:r>
      <w:bookmarkEnd w:id="512"/>
      <w:bookmarkEnd w:id="513"/>
      <w:r>
        <w:t>和频次</w:t>
      </w:r>
      <w:bookmarkEnd w:id="514"/>
      <w:bookmarkEnd w:id="515"/>
      <w:bookmarkEnd w:id="516"/>
      <w:bookmarkEnd w:id="517"/>
      <w:bookmarkEnd w:id="518"/>
      <w:bookmarkEnd w:id="520"/>
    </w:p>
    <w:p w14:paraId="6CAECCB8">
      <w:pPr>
        <w:pStyle w:val="4"/>
        <w:spacing w:before="120" w:after="120"/>
      </w:pPr>
      <w:bookmarkStart w:id="521" w:name="_Toc85444628"/>
      <w:r>
        <w:t>监测点位布设原则</w:t>
      </w:r>
      <w:bookmarkEnd w:id="521"/>
    </w:p>
    <w:bookmarkEnd w:id="519"/>
    <w:p w14:paraId="4DAB8ECE">
      <w:pPr>
        <w:pStyle w:val="12"/>
        <w:ind w:firstLine="480"/>
        <w:rPr>
          <w:rFonts w:ascii="Times New Roman" w:hAnsi="Times New Roman" w:eastAsia="仿宋_GB2312"/>
          <w:color w:val="000000" w:themeColor="text1"/>
          <w14:textFill>
            <w14:solidFill>
              <w14:schemeClr w14:val="tx1"/>
            </w14:solidFill>
          </w14:textFill>
        </w:rPr>
      </w:pPr>
      <w:bookmarkStart w:id="522" w:name="_Toc5480406"/>
      <w:r>
        <w:rPr>
          <w:rFonts w:ascii="Times New Roman" w:hAnsi="Times New Roman" w:eastAsia="仿宋_GB2312"/>
          <w:color w:val="000000" w:themeColor="text1"/>
          <w14:textFill>
            <w14:solidFill>
              <w14:schemeClr w14:val="tx1"/>
            </w14:solidFill>
          </w14:textFill>
        </w:rPr>
        <w:t>（1）采</w:t>
      </w:r>
      <w:r>
        <w:rPr>
          <w:rFonts w:ascii="Times New Roman" w:hAnsi="Times New Roman" w:eastAsia="仿宋_GB2312"/>
          <w:color w:val="000000" w:themeColor="text1"/>
          <w:spacing w:val="-1"/>
          <w14:textFill>
            <w14:solidFill>
              <w14:schemeClr w14:val="tx1"/>
            </w14:solidFill>
          </w14:textFill>
        </w:rPr>
        <w:t>用遥感监测对整个监测范围水土流失情况进行整体把控；</w:t>
      </w:r>
    </w:p>
    <w:p w14:paraId="147550E9">
      <w:pPr>
        <w:pStyle w:val="12"/>
        <w:ind w:firstLine="47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1"/>
          <w14:textFill>
            <w14:solidFill>
              <w14:schemeClr w14:val="tx1"/>
            </w14:solidFill>
          </w14:textFill>
        </w:rPr>
        <w:t>（2）采用样地调查、地面定位观测、重点部位巡查的方法与遥感监测相结合；</w:t>
      </w:r>
    </w:p>
    <w:p w14:paraId="1B2F1F8F">
      <w:pPr>
        <w:pStyle w:val="12"/>
        <w:ind w:firstLine="47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1"/>
          <w14:textFill>
            <w14:solidFill>
              <w14:schemeClr w14:val="tx1"/>
            </w14:solidFill>
          </w14:textFill>
        </w:rPr>
        <w:t>（3）重点监测园区项目施工区域、道路管网、土石方流向等主要易发生水</w:t>
      </w:r>
      <w:r>
        <w:rPr>
          <w:rFonts w:ascii="Times New Roman" w:hAnsi="Times New Roman" w:eastAsia="仿宋_GB2312"/>
          <w:color w:val="000000" w:themeColor="text1"/>
          <w:spacing w:val="-2"/>
          <w14:textFill>
            <w14:solidFill>
              <w14:schemeClr w14:val="tx1"/>
            </w14:solidFill>
          </w14:textFill>
        </w:rPr>
        <w:t>土流失危害的区域；</w:t>
      </w:r>
    </w:p>
    <w:p w14:paraId="62EF636C">
      <w:pPr>
        <w:pStyle w:val="12"/>
        <w:ind w:firstLine="478"/>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spacing w:val="-1"/>
          <w14:textFill>
            <w14:solidFill>
              <w14:schemeClr w14:val="tx1"/>
            </w14:solidFill>
          </w14:textFill>
        </w:rPr>
        <w:t>（4）通过监测范围区域巡查，查漏补缺，发现问题。</w:t>
      </w:r>
    </w:p>
    <w:p w14:paraId="489F8CC1">
      <w:pPr>
        <w:pStyle w:val="4"/>
        <w:spacing w:before="120" w:after="120"/>
      </w:pPr>
      <w:bookmarkStart w:id="523" w:name="6.3.2监测点位设置"/>
      <w:bookmarkEnd w:id="523"/>
      <w:r>
        <w:t>监测点位设置</w:t>
      </w:r>
    </w:p>
    <w:p w14:paraId="12AFDE75">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水土流失量监测点位</w:t>
      </w:r>
    </w:p>
    <w:p w14:paraId="04ED3E61">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布设监测点的主要目的是测算不同时期该地块的水土流失量，从而掌握整个项目的水土流失动态变化的情况，结合水土保持设施的建设情况，分析水土保持措施的防治效果。</w:t>
      </w:r>
    </w:p>
    <w:p w14:paraId="6A7ADC37">
      <w:pPr>
        <w:pStyle w:val="12"/>
        <w:ind w:firstLine="480"/>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w:t>土壤流失量监测点数量应按项目类型确定，每个监测分区应至少布设1个监测点，监测代表点的选择要保证监测点具有代表性，同时选择交通便利的场地布设。根据区域实际，共确定</w:t>
      </w:r>
      <w:r>
        <w:rPr>
          <w:rFonts w:ascii="Times New Roman" w:hAnsi="Times New Roman" w:eastAsia="仿宋_GB2312"/>
          <w:color w:val="000000" w:themeColor="text1"/>
          <w14:textFill>
            <w14:solidFill>
              <w14:schemeClr w14:val="tx1"/>
            </w14:solidFill>
          </w14:textFill>
        </w:rPr>
        <w:t>28</w:t>
      </w:r>
      <w:r>
        <w:rPr>
          <w:rFonts w:hint="eastAsia" w:ascii="Times New Roman" w:hAnsi="Times New Roman" w:eastAsia="仿宋_GB2312"/>
          <w:color w:val="000000" w:themeColor="text1"/>
          <w14:textFill>
            <w14:solidFill>
              <w14:schemeClr w14:val="tx1"/>
            </w14:solidFill>
          </w14:textFill>
        </w:rPr>
        <w:t>个监测点位</w:t>
      </w:r>
      <w:r>
        <w:rPr>
          <w:rFonts w:ascii="Times New Roman" w:hAnsi="Times New Roman" w:eastAsia="仿宋_GB2312"/>
          <w:color w:val="000000" w:themeColor="text1"/>
          <w14:textFill>
            <w14:solidFill>
              <w14:schemeClr w14:val="tx1"/>
            </w14:solidFill>
          </w14:textFill>
        </w:rPr>
        <w:t>。这些监测点的布置将有助于全面掌握产业园内各区域的水土流失情况，为有效的水土保持工作提供有力的数据支持。</w:t>
      </w:r>
    </w:p>
    <w:p w14:paraId="4C05EDAB">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监测点具体布置见表6-2及附图20。</w:t>
      </w:r>
    </w:p>
    <w:p w14:paraId="51B2435F">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表6-2                                      监测点位布设情况表</w:t>
      </w:r>
    </w:p>
    <w:tbl>
      <w:tblPr>
        <w:tblStyle w:val="27"/>
        <w:tblW w:w="0" w:type="auto"/>
        <w:tblInd w:w="0" w:type="dxa"/>
        <w:tblLayout w:type="autofit"/>
        <w:tblCellMar>
          <w:top w:w="0" w:type="dxa"/>
          <w:left w:w="108" w:type="dxa"/>
          <w:bottom w:w="0" w:type="dxa"/>
          <w:right w:w="108" w:type="dxa"/>
        </w:tblCellMar>
      </w:tblPr>
      <w:tblGrid>
        <w:gridCol w:w="1555"/>
        <w:gridCol w:w="1417"/>
        <w:gridCol w:w="1701"/>
        <w:gridCol w:w="1559"/>
        <w:gridCol w:w="993"/>
        <w:gridCol w:w="1835"/>
      </w:tblGrid>
      <w:tr w14:paraId="111A82B0">
        <w:tblPrEx>
          <w:tblCellMar>
            <w:top w:w="0" w:type="dxa"/>
            <w:left w:w="108" w:type="dxa"/>
            <w:bottom w:w="0" w:type="dxa"/>
            <w:right w:w="108" w:type="dxa"/>
          </w:tblCellMar>
        </w:tblPrEx>
        <w:trPr>
          <w:trHeight w:val="397" w:hRule="atLeast"/>
          <w:tblHeader/>
        </w:trPr>
        <w:tc>
          <w:tcPr>
            <w:tcW w:w="467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1DE31F1">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分区名称</w:t>
            </w:r>
          </w:p>
        </w:tc>
        <w:tc>
          <w:tcPr>
            <w:tcW w:w="1559" w:type="dxa"/>
            <w:tcBorders>
              <w:top w:val="single" w:color="auto" w:sz="4" w:space="0"/>
              <w:left w:val="nil"/>
              <w:bottom w:val="single" w:color="auto" w:sz="4" w:space="0"/>
              <w:right w:val="single" w:color="auto" w:sz="4" w:space="0"/>
            </w:tcBorders>
            <w:shd w:val="clear" w:color="auto" w:fill="auto"/>
            <w:vAlign w:val="center"/>
          </w:tcPr>
          <w:p w14:paraId="400C6215">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布设位置</w:t>
            </w:r>
          </w:p>
        </w:tc>
        <w:tc>
          <w:tcPr>
            <w:tcW w:w="993" w:type="dxa"/>
            <w:tcBorders>
              <w:top w:val="single" w:color="auto" w:sz="4" w:space="0"/>
              <w:left w:val="nil"/>
              <w:bottom w:val="single" w:color="auto" w:sz="4" w:space="0"/>
              <w:right w:val="single" w:color="auto" w:sz="4" w:space="0"/>
            </w:tcBorders>
            <w:shd w:val="clear" w:color="auto" w:fill="auto"/>
            <w:vAlign w:val="center"/>
          </w:tcPr>
          <w:p w14:paraId="7D7BF0D7">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点位类型</w:t>
            </w:r>
          </w:p>
        </w:tc>
        <w:tc>
          <w:tcPr>
            <w:tcW w:w="1835" w:type="dxa"/>
            <w:tcBorders>
              <w:top w:val="single" w:color="auto" w:sz="4" w:space="0"/>
              <w:left w:val="nil"/>
              <w:bottom w:val="single" w:color="auto" w:sz="4" w:space="0"/>
              <w:right w:val="single" w:color="auto" w:sz="4" w:space="0"/>
            </w:tcBorders>
            <w:shd w:val="clear" w:color="auto" w:fill="auto"/>
            <w:vAlign w:val="center"/>
          </w:tcPr>
          <w:p w14:paraId="3543EFA7">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点位个数</w:t>
            </w:r>
          </w:p>
        </w:tc>
      </w:tr>
      <w:tr w14:paraId="607811BA">
        <w:tblPrEx>
          <w:tblCellMar>
            <w:top w:w="0" w:type="dxa"/>
            <w:left w:w="108" w:type="dxa"/>
            <w:bottom w:w="0" w:type="dxa"/>
            <w:right w:w="108" w:type="dxa"/>
          </w:tblCellMar>
        </w:tblPrEx>
        <w:trPr>
          <w:trHeight w:val="397" w:hRule="atLeast"/>
        </w:trPr>
        <w:tc>
          <w:tcPr>
            <w:tcW w:w="1555" w:type="dxa"/>
            <w:vMerge w:val="restart"/>
            <w:tcBorders>
              <w:top w:val="nil"/>
              <w:left w:val="single" w:color="auto" w:sz="4" w:space="0"/>
              <w:bottom w:val="single" w:color="auto" w:sz="4" w:space="0"/>
              <w:right w:val="single" w:color="auto" w:sz="4" w:space="0"/>
            </w:tcBorders>
            <w:shd w:val="clear" w:color="auto" w:fill="auto"/>
            <w:vAlign w:val="center"/>
          </w:tcPr>
          <w:p w14:paraId="48492DEC">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包头金山经济开发区</w:t>
            </w: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14:paraId="535ECFD6">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地块1（金山产业园北区）</w:t>
            </w:r>
          </w:p>
        </w:tc>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1F63880F">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公共管理与公共服务用地</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14:paraId="1D82C05E">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机关团体用地</w:t>
            </w:r>
          </w:p>
        </w:tc>
        <w:tc>
          <w:tcPr>
            <w:tcW w:w="993" w:type="dxa"/>
            <w:tcBorders>
              <w:top w:val="nil"/>
              <w:left w:val="nil"/>
              <w:bottom w:val="single" w:color="auto" w:sz="4" w:space="0"/>
              <w:right w:val="single" w:color="auto" w:sz="4" w:space="0"/>
            </w:tcBorders>
            <w:shd w:val="clear" w:color="auto" w:fill="auto"/>
            <w:vAlign w:val="center"/>
          </w:tcPr>
          <w:p w14:paraId="54B515B4">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风蚀</w:t>
            </w:r>
          </w:p>
        </w:tc>
        <w:tc>
          <w:tcPr>
            <w:tcW w:w="1835" w:type="dxa"/>
            <w:tcBorders>
              <w:top w:val="nil"/>
              <w:left w:val="nil"/>
              <w:bottom w:val="single" w:color="auto" w:sz="4" w:space="0"/>
              <w:right w:val="single" w:color="auto" w:sz="4" w:space="0"/>
            </w:tcBorders>
            <w:shd w:val="clear" w:color="auto" w:fill="auto"/>
            <w:vAlign w:val="center"/>
          </w:tcPr>
          <w:p w14:paraId="74429429">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09E9A29A">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7E3E9C35">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6EED6513">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continue"/>
            <w:tcBorders>
              <w:top w:val="nil"/>
              <w:left w:val="single" w:color="auto" w:sz="4" w:space="0"/>
              <w:bottom w:val="single" w:color="auto" w:sz="4" w:space="0"/>
              <w:right w:val="single" w:color="auto" w:sz="4" w:space="0"/>
            </w:tcBorders>
            <w:vAlign w:val="center"/>
          </w:tcPr>
          <w:p w14:paraId="5BE871D3">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559" w:type="dxa"/>
            <w:vMerge w:val="continue"/>
            <w:tcBorders>
              <w:top w:val="nil"/>
              <w:left w:val="single" w:color="auto" w:sz="4" w:space="0"/>
              <w:bottom w:val="single" w:color="auto" w:sz="4" w:space="0"/>
              <w:right w:val="single" w:color="auto" w:sz="4" w:space="0"/>
            </w:tcBorders>
            <w:vAlign w:val="center"/>
          </w:tcPr>
          <w:p w14:paraId="7B1A883D">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shd w:val="clear" w:color="auto" w:fill="auto"/>
            <w:vAlign w:val="center"/>
          </w:tcPr>
          <w:p w14:paraId="6177B8C8">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水蚀</w:t>
            </w:r>
          </w:p>
        </w:tc>
        <w:tc>
          <w:tcPr>
            <w:tcW w:w="1835" w:type="dxa"/>
            <w:tcBorders>
              <w:top w:val="nil"/>
              <w:left w:val="nil"/>
              <w:bottom w:val="single" w:color="auto" w:sz="4" w:space="0"/>
              <w:right w:val="single" w:color="auto" w:sz="4" w:space="0"/>
            </w:tcBorders>
            <w:shd w:val="clear" w:color="auto" w:fill="auto"/>
            <w:vAlign w:val="center"/>
          </w:tcPr>
          <w:p w14:paraId="6023821C">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4B96CEB2">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25D1947F">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14C99440">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56BE196C">
            <w:pPr>
              <w:spacing w:line="240" w:lineRule="auto"/>
              <w:ind w:firstLine="0" w:firstLineChars="0"/>
              <w:jc w:val="center"/>
              <w:rPr>
                <w:rFonts w:ascii="仿宋_GB2312" w:hAnsi="宋体"/>
                <w:color w:val="000000" w:themeColor="text1"/>
                <w:sz w:val="21"/>
                <w:szCs w:val="21"/>
                <w14:textFill>
                  <w14:solidFill>
                    <w14:schemeClr w14:val="tx1"/>
                  </w14:solidFill>
                </w14:textFill>
              </w:rPr>
            </w:pPr>
            <w:r>
              <w:rPr>
                <w:rFonts w:hint="eastAsia" w:ascii="仿宋_GB2312" w:hAnsi="宋体"/>
                <w:color w:val="000000" w:themeColor="text1"/>
                <w:sz w:val="21"/>
                <w:szCs w:val="21"/>
                <w14:textFill>
                  <w14:solidFill>
                    <w14:schemeClr w14:val="tx1"/>
                  </w14:solidFill>
                </w14:textFill>
              </w:rPr>
              <w:t>商业服务业用地</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14:paraId="050CC0B7">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商业用地</w:t>
            </w:r>
          </w:p>
        </w:tc>
        <w:tc>
          <w:tcPr>
            <w:tcW w:w="993" w:type="dxa"/>
            <w:tcBorders>
              <w:top w:val="nil"/>
              <w:left w:val="nil"/>
              <w:bottom w:val="single" w:color="auto" w:sz="4" w:space="0"/>
              <w:right w:val="single" w:color="auto" w:sz="4" w:space="0"/>
            </w:tcBorders>
            <w:shd w:val="clear" w:color="auto" w:fill="auto"/>
            <w:vAlign w:val="center"/>
          </w:tcPr>
          <w:p w14:paraId="3C02F21D">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风蚀</w:t>
            </w:r>
          </w:p>
        </w:tc>
        <w:tc>
          <w:tcPr>
            <w:tcW w:w="1835" w:type="dxa"/>
            <w:tcBorders>
              <w:top w:val="nil"/>
              <w:left w:val="nil"/>
              <w:bottom w:val="single" w:color="auto" w:sz="4" w:space="0"/>
              <w:right w:val="single" w:color="auto" w:sz="4" w:space="0"/>
            </w:tcBorders>
            <w:shd w:val="clear" w:color="auto" w:fill="auto"/>
            <w:vAlign w:val="center"/>
          </w:tcPr>
          <w:p w14:paraId="5A73B2FF">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531B9EEE">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0FF67199">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10AACC8B">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continue"/>
            <w:tcBorders>
              <w:top w:val="nil"/>
              <w:left w:val="single" w:color="auto" w:sz="4" w:space="0"/>
              <w:bottom w:val="single" w:color="auto" w:sz="4" w:space="0"/>
              <w:right w:val="single" w:color="auto" w:sz="4" w:space="0"/>
            </w:tcBorders>
            <w:vAlign w:val="center"/>
          </w:tcPr>
          <w:p w14:paraId="66A0A51A">
            <w:pPr>
              <w:spacing w:line="240" w:lineRule="auto"/>
              <w:ind w:firstLine="0" w:firstLineChars="0"/>
              <w:jc w:val="left"/>
              <w:rPr>
                <w:rFonts w:ascii="仿宋_GB2312" w:hAnsi="宋体"/>
                <w:color w:val="000000" w:themeColor="text1"/>
                <w:sz w:val="21"/>
                <w:szCs w:val="21"/>
                <w14:textFill>
                  <w14:solidFill>
                    <w14:schemeClr w14:val="tx1"/>
                  </w14:solidFill>
                </w14:textFill>
              </w:rPr>
            </w:pPr>
          </w:p>
        </w:tc>
        <w:tc>
          <w:tcPr>
            <w:tcW w:w="1559" w:type="dxa"/>
            <w:vMerge w:val="continue"/>
            <w:tcBorders>
              <w:top w:val="nil"/>
              <w:left w:val="single" w:color="auto" w:sz="4" w:space="0"/>
              <w:bottom w:val="single" w:color="auto" w:sz="4" w:space="0"/>
              <w:right w:val="single" w:color="auto" w:sz="4" w:space="0"/>
            </w:tcBorders>
            <w:vAlign w:val="center"/>
          </w:tcPr>
          <w:p w14:paraId="08718AFA">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shd w:val="clear" w:color="auto" w:fill="auto"/>
            <w:vAlign w:val="center"/>
          </w:tcPr>
          <w:p w14:paraId="4D1CCC1A">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水蚀</w:t>
            </w:r>
          </w:p>
        </w:tc>
        <w:tc>
          <w:tcPr>
            <w:tcW w:w="1835" w:type="dxa"/>
            <w:tcBorders>
              <w:top w:val="nil"/>
              <w:left w:val="nil"/>
              <w:bottom w:val="single" w:color="auto" w:sz="4" w:space="0"/>
              <w:right w:val="single" w:color="auto" w:sz="4" w:space="0"/>
            </w:tcBorders>
            <w:shd w:val="clear" w:color="auto" w:fill="auto"/>
            <w:vAlign w:val="center"/>
          </w:tcPr>
          <w:p w14:paraId="277C518B">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66C60495">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0BD19F5C">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438ED7D0">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3CACF090">
            <w:pPr>
              <w:spacing w:line="240" w:lineRule="auto"/>
              <w:ind w:firstLine="0" w:firstLineChars="0"/>
              <w:jc w:val="center"/>
              <w:rPr>
                <w:rFonts w:ascii="仿宋_GB2312" w:hAnsi="宋体"/>
                <w:color w:val="000000" w:themeColor="text1"/>
                <w:sz w:val="21"/>
                <w:szCs w:val="21"/>
                <w14:textFill>
                  <w14:solidFill>
                    <w14:schemeClr w14:val="tx1"/>
                  </w14:solidFill>
                </w14:textFill>
              </w:rPr>
            </w:pPr>
            <w:r>
              <w:rPr>
                <w:rFonts w:hint="eastAsia" w:ascii="仿宋_GB2312" w:hAnsi="宋体"/>
                <w:color w:val="000000" w:themeColor="text1"/>
                <w:sz w:val="21"/>
                <w:szCs w:val="21"/>
                <w14:textFill>
                  <w14:solidFill>
                    <w14:schemeClr w14:val="tx1"/>
                  </w14:solidFill>
                </w14:textFill>
              </w:rPr>
              <w:t>工矿用地</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14:paraId="6E806D4D">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工业用地</w:t>
            </w:r>
          </w:p>
        </w:tc>
        <w:tc>
          <w:tcPr>
            <w:tcW w:w="993" w:type="dxa"/>
            <w:tcBorders>
              <w:top w:val="nil"/>
              <w:left w:val="nil"/>
              <w:bottom w:val="single" w:color="auto" w:sz="4" w:space="0"/>
              <w:right w:val="single" w:color="auto" w:sz="4" w:space="0"/>
            </w:tcBorders>
            <w:shd w:val="clear" w:color="auto" w:fill="auto"/>
            <w:vAlign w:val="center"/>
          </w:tcPr>
          <w:p w14:paraId="3F23246C">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风蚀</w:t>
            </w:r>
          </w:p>
        </w:tc>
        <w:tc>
          <w:tcPr>
            <w:tcW w:w="1835" w:type="dxa"/>
            <w:tcBorders>
              <w:top w:val="nil"/>
              <w:left w:val="nil"/>
              <w:bottom w:val="single" w:color="auto" w:sz="4" w:space="0"/>
              <w:right w:val="single" w:color="auto" w:sz="4" w:space="0"/>
            </w:tcBorders>
            <w:shd w:val="clear" w:color="auto" w:fill="auto"/>
            <w:vAlign w:val="center"/>
          </w:tcPr>
          <w:p w14:paraId="71171E56">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13</w:t>
            </w:r>
          </w:p>
        </w:tc>
      </w:tr>
      <w:tr w14:paraId="72DF842A">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6EC5A168">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2C9A47C8">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continue"/>
            <w:tcBorders>
              <w:top w:val="nil"/>
              <w:left w:val="single" w:color="auto" w:sz="4" w:space="0"/>
              <w:bottom w:val="single" w:color="auto" w:sz="4" w:space="0"/>
              <w:right w:val="single" w:color="auto" w:sz="4" w:space="0"/>
            </w:tcBorders>
            <w:vAlign w:val="center"/>
          </w:tcPr>
          <w:p w14:paraId="5A2386AF">
            <w:pPr>
              <w:spacing w:line="240" w:lineRule="auto"/>
              <w:ind w:firstLine="0" w:firstLineChars="0"/>
              <w:jc w:val="left"/>
              <w:rPr>
                <w:rFonts w:ascii="仿宋_GB2312" w:hAnsi="宋体"/>
                <w:color w:val="000000" w:themeColor="text1"/>
                <w:sz w:val="21"/>
                <w:szCs w:val="21"/>
                <w14:textFill>
                  <w14:solidFill>
                    <w14:schemeClr w14:val="tx1"/>
                  </w14:solidFill>
                </w14:textFill>
              </w:rPr>
            </w:pPr>
          </w:p>
        </w:tc>
        <w:tc>
          <w:tcPr>
            <w:tcW w:w="1559" w:type="dxa"/>
            <w:vMerge w:val="continue"/>
            <w:tcBorders>
              <w:top w:val="nil"/>
              <w:left w:val="single" w:color="auto" w:sz="4" w:space="0"/>
              <w:bottom w:val="single" w:color="auto" w:sz="4" w:space="0"/>
              <w:right w:val="single" w:color="auto" w:sz="4" w:space="0"/>
            </w:tcBorders>
            <w:vAlign w:val="center"/>
          </w:tcPr>
          <w:p w14:paraId="4A9BE830">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shd w:val="clear" w:color="auto" w:fill="auto"/>
            <w:vAlign w:val="center"/>
          </w:tcPr>
          <w:p w14:paraId="696F5F58">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水蚀</w:t>
            </w:r>
          </w:p>
        </w:tc>
        <w:tc>
          <w:tcPr>
            <w:tcW w:w="1835" w:type="dxa"/>
            <w:tcBorders>
              <w:top w:val="nil"/>
              <w:left w:val="nil"/>
              <w:bottom w:val="single" w:color="auto" w:sz="4" w:space="0"/>
              <w:right w:val="single" w:color="auto" w:sz="4" w:space="0"/>
            </w:tcBorders>
            <w:shd w:val="clear" w:color="auto" w:fill="auto"/>
            <w:vAlign w:val="center"/>
          </w:tcPr>
          <w:p w14:paraId="528B35A3">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13</w:t>
            </w:r>
          </w:p>
        </w:tc>
      </w:tr>
      <w:tr w14:paraId="0840FE9E">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45444B5E">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0E007B89">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329519BC">
            <w:pPr>
              <w:spacing w:line="240" w:lineRule="auto"/>
              <w:ind w:firstLine="0" w:firstLineChars="0"/>
              <w:jc w:val="center"/>
              <w:rPr>
                <w:rFonts w:ascii="仿宋_GB2312" w:hAnsi="宋体"/>
                <w:color w:val="000000" w:themeColor="text1"/>
                <w:sz w:val="21"/>
                <w:szCs w:val="21"/>
                <w14:textFill>
                  <w14:solidFill>
                    <w14:schemeClr w14:val="tx1"/>
                  </w14:solidFill>
                </w14:textFill>
              </w:rPr>
            </w:pPr>
            <w:r>
              <w:rPr>
                <w:rFonts w:hint="eastAsia" w:ascii="仿宋_GB2312" w:hAnsi="宋体"/>
                <w:color w:val="000000" w:themeColor="text1"/>
                <w:sz w:val="21"/>
                <w:szCs w:val="21"/>
                <w14:textFill>
                  <w14:solidFill>
                    <w14:schemeClr w14:val="tx1"/>
                  </w14:solidFill>
                </w14:textFill>
              </w:rPr>
              <w:t>交通运输用地</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14:paraId="2019602F">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城镇道路用地</w:t>
            </w:r>
          </w:p>
        </w:tc>
        <w:tc>
          <w:tcPr>
            <w:tcW w:w="993" w:type="dxa"/>
            <w:tcBorders>
              <w:top w:val="nil"/>
              <w:left w:val="nil"/>
              <w:bottom w:val="single" w:color="auto" w:sz="4" w:space="0"/>
              <w:right w:val="single" w:color="auto" w:sz="4" w:space="0"/>
            </w:tcBorders>
            <w:shd w:val="clear" w:color="auto" w:fill="auto"/>
            <w:vAlign w:val="center"/>
          </w:tcPr>
          <w:p w14:paraId="601B55F9">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风蚀</w:t>
            </w:r>
          </w:p>
        </w:tc>
        <w:tc>
          <w:tcPr>
            <w:tcW w:w="1835" w:type="dxa"/>
            <w:tcBorders>
              <w:top w:val="nil"/>
              <w:left w:val="nil"/>
              <w:bottom w:val="single" w:color="auto" w:sz="4" w:space="0"/>
              <w:right w:val="single" w:color="auto" w:sz="4" w:space="0"/>
            </w:tcBorders>
            <w:shd w:val="clear" w:color="auto" w:fill="auto"/>
            <w:vAlign w:val="center"/>
          </w:tcPr>
          <w:p w14:paraId="1D6BD8A3">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w:t>
            </w:r>
          </w:p>
        </w:tc>
      </w:tr>
      <w:tr w14:paraId="0D2326BE">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3BB0CEE7">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196558B8">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continue"/>
            <w:tcBorders>
              <w:top w:val="nil"/>
              <w:left w:val="single" w:color="auto" w:sz="4" w:space="0"/>
              <w:bottom w:val="single" w:color="auto" w:sz="4" w:space="0"/>
              <w:right w:val="single" w:color="auto" w:sz="4" w:space="0"/>
            </w:tcBorders>
            <w:vAlign w:val="center"/>
          </w:tcPr>
          <w:p w14:paraId="08CACB83">
            <w:pPr>
              <w:spacing w:line="240" w:lineRule="auto"/>
              <w:ind w:firstLine="0" w:firstLineChars="0"/>
              <w:jc w:val="left"/>
              <w:rPr>
                <w:rFonts w:ascii="仿宋_GB2312" w:hAnsi="宋体"/>
                <w:color w:val="000000" w:themeColor="text1"/>
                <w:sz w:val="21"/>
                <w:szCs w:val="21"/>
                <w14:textFill>
                  <w14:solidFill>
                    <w14:schemeClr w14:val="tx1"/>
                  </w14:solidFill>
                </w14:textFill>
              </w:rPr>
            </w:pPr>
          </w:p>
        </w:tc>
        <w:tc>
          <w:tcPr>
            <w:tcW w:w="1559" w:type="dxa"/>
            <w:vMerge w:val="continue"/>
            <w:tcBorders>
              <w:top w:val="nil"/>
              <w:left w:val="single" w:color="auto" w:sz="4" w:space="0"/>
              <w:bottom w:val="single" w:color="auto" w:sz="4" w:space="0"/>
              <w:right w:val="single" w:color="auto" w:sz="4" w:space="0"/>
            </w:tcBorders>
            <w:vAlign w:val="center"/>
          </w:tcPr>
          <w:p w14:paraId="6EE7EB4C">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shd w:val="clear" w:color="auto" w:fill="auto"/>
            <w:vAlign w:val="center"/>
          </w:tcPr>
          <w:p w14:paraId="6D133EEE">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水蚀</w:t>
            </w:r>
          </w:p>
        </w:tc>
        <w:tc>
          <w:tcPr>
            <w:tcW w:w="1835" w:type="dxa"/>
            <w:tcBorders>
              <w:top w:val="nil"/>
              <w:left w:val="nil"/>
              <w:bottom w:val="single" w:color="auto" w:sz="4" w:space="0"/>
              <w:right w:val="single" w:color="auto" w:sz="4" w:space="0"/>
            </w:tcBorders>
            <w:shd w:val="clear" w:color="auto" w:fill="auto"/>
            <w:vAlign w:val="center"/>
          </w:tcPr>
          <w:p w14:paraId="2D3773AD">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w:t>
            </w:r>
          </w:p>
        </w:tc>
      </w:tr>
      <w:tr w14:paraId="51D74725">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16C256F0">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46626A6B">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continue"/>
            <w:tcBorders>
              <w:top w:val="nil"/>
              <w:left w:val="single" w:color="auto" w:sz="4" w:space="0"/>
              <w:bottom w:val="single" w:color="auto" w:sz="4" w:space="0"/>
              <w:right w:val="single" w:color="auto" w:sz="4" w:space="0"/>
            </w:tcBorders>
            <w:vAlign w:val="center"/>
          </w:tcPr>
          <w:p w14:paraId="38A25ECA">
            <w:pPr>
              <w:spacing w:line="240" w:lineRule="auto"/>
              <w:ind w:firstLine="0" w:firstLineChars="0"/>
              <w:jc w:val="left"/>
              <w:rPr>
                <w:rFonts w:ascii="仿宋_GB2312" w:hAnsi="宋体"/>
                <w:color w:val="000000" w:themeColor="text1"/>
                <w:sz w:val="21"/>
                <w:szCs w:val="21"/>
                <w14:textFill>
                  <w14:solidFill>
                    <w14:schemeClr w14:val="tx1"/>
                  </w14:solidFill>
                </w14:textFill>
              </w:rPr>
            </w:pP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14:paraId="704CBAF1">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交通场站用地</w:t>
            </w:r>
          </w:p>
        </w:tc>
        <w:tc>
          <w:tcPr>
            <w:tcW w:w="993" w:type="dxa"/>
            <w:tcBorders>
              <w:top w:val="nil"/>
              <w:left w:val="nil"/>
              <w:bottom w:val="single" w:color="auto" w:sz="4" w:space="0"/>
              <w:right w:val="single" w:color="auto" w:sz="4" w:space="0"/>
            </w:tcBorders>
            <w:shd w:val="clear" w:color="auto" w:fill="auto"/>
            <w:vAlign w:val="center"/>
          </w:tcPr>
          <w:p w14:paraId="3243C9C4">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风蚀</w:t>
            </w:r>
          </w:p>
        </w:tc>
        <w:tc>
          <w:tcPr>
            <w:tcW w:w="1835" w:type="dxa"/>
            <w:tcBorders>
              <w:top w:val="nil"/>
              <w:left w:val="nil"/>
              <w:bottom w:val="single" w:color="auto" w:sz="4" w:space="0"/>
              <w:right w:val="single" w:color="auto" w:sz="4" w:space="0"/>
            </w:tcBorders>
            <w:shd w:val="clear" w:color="auto" w:fill="auto"/>
            <w:vAlign w:val="center"/>
          </w:tcPr>
          <w:p w14:paraId="312B1E40">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18E06244">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49058B3F">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7A33A795">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continue"/>
            <w:tcBorders>
              <w:top w:val="nil"/>
              <w:left w:val="single" w:color="auto" w:sz="4" w:space="0"/>
              <w:bottom w:val="single" w:color="auto" w:sz="4" w:space="0"/>
              <w:right w:val="single" w:color="auto" w:sz="4" w:space="0"/>
            </w:tcBorders>
            <w:vAlign w:val="center"/>
          </w:tcPr>
          <w:p w14:paraId="40257E94">
            <w:pPr>
              <w:spacing w:line="240" w:lineRule="auto"/>
              <w:ind w:firstLine="0" w:firstLineChars="0"/>
              <w:jc w:val="left"/>
              <w:rPr>
                <w:rFonts w:ascii="仿宋_GB2312" w:hAnsi="宋体"/>
                <w:color w:val="000000" w:themeColor="text1"/>
                <w:sz w:val="21"/>
                <w:szCs w:val="21"/>
                <w14:textFill>
                  <w14:solidFill>
                    <w14:schemeClr w14:val="tx1"/>
                  </w14:solidFill>
                </w14:textFill>
              </w:rPr>
            </w:pPr>
          </w:p>
        </w:tc>
        <w:tc>
          <w:tcPr>
            <w:tcW w:w="1559" w:type="dxa"/>
            <w:vMerge w:val="continue"/>
            <w:tcBorders>
              <w:top w:val="nil"/>
              <w:left w:val="single" w:color="auto" w:sz="4" w:space="0"/>
              <w:bottom w:val="single" w:color="auto" w:sz="4" w:space="0"/>
              <w:right w:val="single" w:color="auto" w:sz="4" w:space="0"/>
            </w:tcBorders>
            <w:vAlign w:val="center"/>
          </w:tcPr>
          <w:p w14:paraId="1224BD6B">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shd w:val="clear" w:color="auto" w:fill="auto"/>
            <w:vAlign w:val="center"/>
          </w:tcPr>
          <w:p w14:paraId="5BD254AF">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水蚀</w:t>
            </w:r>
          </w:p>
        </w:tc>
        <w:tc>
          <w:tcPr>
            <w:tcW w:w="1835" w:type="dxa"/>
            <w:tcBorders>
              <w:top w:val="nil"/>
              <w:left w:val="nil"/>
              <w:bottom w:val="single" w:color="auto" w:sz="4" w:space="0"/>
              <w:right w:val="single" w:color="auto" w:sz="4" w:space="0"/>
            </w:tcBorders>
            <w:shd w:val="clear" w:color="auto" w:fill="auto"/>
            <w:vAlign w:val="center"/>
          </w:tcPr>
          <w:p w14:paraId="7121CA51">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0EE05C6E">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231AA4DC">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2A90FF79">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38847A43">
            <w:pPr>
              <w:spacing w:line="240" w:lineRule="auto"/>
              <w:ind w:firstLine="0" w:firstLineChars="0"/>
              <w:jc w:val="center"/>
              <w:rPr>
                <w:rFonts w:ascii="仿宋_GB2312" w:hAnsi="宋体"/>
                <w:color w:val="000000" w:themeColor="text1"/>
                <w:sz w:val="21"/>
                <w:szCs w:val="21"/>
                <w14:textFill>
                  <w14:solidFill>
                    <w14:schemeClr w14:val="tx1"/>
                  </w14:solidFill>
                </w14:textFill>
              </w:rPr>
            </w:pPr>
            <w:r>
              <w:rPr>
                <w:rFonts w:hint="eastAsia" w:ascii="仿宋_GB2312" w:hAnsi="宋体"/>
                <w:color w:val="000000" w:themeColor="text1"/>
                <w:sz w:val="21"/>
                <w:szCs w:val="21"/>
                <w14:textFill>
                  <w14:solidFill>
                    <w14:schemeClr w14:val="tx1"/>
                  </w14:solidFill>
                </w14:textFill>
              </w:rPr>
              <w:t>公用设施用地</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14:paraId="01ABDB95">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排水用地</w:t>
            </w:r>
          </w:p>
        </w:tc>
        <w:tc>
          <w:tcPr>
            <w:tcW w:w="993" w:type="dxa"/>
            <w:tcBorders>
              <w:top w:val="nil"/>
              <w:left w:val="nil"/>
              <w:bottom w:val="single" w:color="auto" w:sz="4" w:space="0"/>
              <w:right w:val="single" w:color="auto" w:sz="4" w:space="0"/>
            </w:tcBorders>
            <w:shd w:val="clear" w:color="auto" w:fill="auto"/>
            <w:vAlign w:val="center"/>
          </w:tcPr>
          <w:p w14:paraId="18833C0C">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风蚀</w:t>
            </w:r>
          </w:p>
        </w:tc>
        <w:tc>
          <w:tcPr>
            <w:tcW w:w="1835" w:type="dxa"/>
            <w:tcBorders>
              <w:top w:val="nil"/>
              <w:left w:val="nil"/>
              <w:bottom w:val="single" w:color="auto" w:sz="4" w:space="0"/>
              <w:right w:val="single" w:color="auto" w:sz="4" w:space="0"/>
            </w:tcBorders>
            <w:shd w:val="clear" w:color="auto" w:fill="auto"/>
            <w:vAlign w:val="center"/>
          </w:tcPr>
          <w:p w14:paraId="5FFF05CD">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51CBE1ED">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0B683821">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735D194A">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continue"/>
            <w:tcBorders>
              <w:top w:val="nil"/>
              <w:left w:val="single" w:color="auto" w:sz="4" w:space="0"/>
              <w:bottom w:val="single" w:color="auto" w:sz="4" w:space="0"/>
              <w:right w:val="single" w:color="auto" w:sz="4" w:space="0"/>
            </w:tcBorders>
            <w:vAlign w:val="center"/>
          </w:tcPr>
          <w:p w14:paraId="1AC7BDDD">
            <w:pPr>
              <w:spacing w:line="240" w:lineRule="auto"/>
              <w:ind w:firstLine="0" w:firstLineChars="0"/>
              <w:jc w:val="left"/>
              <w:rPr>
                <w:rFonts w:ascii="仿宋_GB2312" w:hAnsi="宋体"/>
                <w:color w:val="000000" w:themeColor="text1"/>
                <w:sz w:val="21"/>
                <w:szCs w:val="21"/>
                <w14:textFill>
                  <w14:solidFill>
                    <w14:schemeClr w14:val="tx1"/>
                  </w14:solidFill>
                </w14:textFill>
              </w:rPr>
            </w:pPr>
          </w:p>
        </w:tc>
        <w:tc>
          <w:tcPr>
            <w:tcW w:w="1559" w:type="dxa"/>
            <w:vMerge w:val="continue"/>
            <w:tcBorders>
              <w:top w:val="nil"/>
              <w:left w:val="single" w:color="auto" w:sz="4" w:space="0"/>
              <w:bottom w:val="single" w:color="auto" w:sz="4" w:space="0"/>
              <w:right w:val="single" w:color="auto" w:sz="4" w:space="0"/>
            </w:tcBorders>
            <w:vAlign w:val="center"/>
          </w:tcPr>
          <w:p w14:paraId="4325D65D">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shd w:val="clear" w:color="auto" w:fill="auto"/>
            <w:vAlign w:val="center"/>
          </w:tcPr>
          <w:p w14:paraId="4C918423">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水蚀</w:t>
            </w:r>
          </w:p>
        </w:tc>
        <w:tc>
          <w:tcPr>
            <w:tcW w:w="1835" w:type="dxa"/>
            <w:tcBorders>
              <w:top w:val="nil"/>
              <w:left w:val="nil"/>
              <w:bottom w:val="single" w:color="auto" w:sz="4" w:space="0"/>
              <w:right w:val="single" w:color="auto" w:sz="4" w:space="0"/>
            </w:tcBorders>
            <w:shd w:val="clear" w:color="auto" w:fill="auto"/>
            <w:vAlign w:val="center"/>
          </w:tcPr>
          <w:p w14:paraId="2797464C">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22B35470">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3A8A1F07">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20390518">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continue"/>
            <w:tcBorders>
              <w:top w:val="nil"/>
              <w:left w:val="single" w:color="auto" w:sz="4" w:space="0"/>
              <w:bottom w:val="single" w:color="auto" w:sz="4" w:space="0"/>
              <w:right w:val="single" w:color="auto" w:sz="4" w:space="0"/>
            </w:tcBorders>
            <w:vAlign w:val="center"/>
          </w:tcPr>
          <w:p w14:paraId="66155923">
            <w:pPr>
              <w:spacing w:line="240" w:lineRule="auto"/>
              <w:ind w:firstLine="0" w:firstLineChars="0"/>
              <w:jc w:val="left"/>
              <w:rPr>
                <w:rFonts w:ascii="仿宋_GB2312" w:hAnsi="宋体"/>
                <w:color w:val="000000" w:themeColor="text1"/>
                <w:sz w:val="21"/>
                <w:szCs w:val="21"/>
                <w14:textFill>
                  <w14:solidFill>
                    <w14:schemeClr w14:val="tx1"/>
                  </w14:solidFill>
                </w14:textFill>
              </w:rPr>
            </w:pP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14:paraId="001F4FCD">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供电用地</w:t>
            </w:r>
          </w:p>
        </w:tc>
        <w:tc>
          <w:tcPr>
            <w:tcW w:w="993" w:type="dxa"/>
            <w:tcBorders>
              <w:top w:val="nil"/>
              <w:left w:val="nil"/>
              <w:bottom w:val="single" w:color="auto" w:sz="4" w:space="0"/>
              <w:right w:val="single" w:color="auto" w:sz="4" w:space="0"/>
            </w:tcBorders>
            <w:shd w:val="clear" w:color="auto" w:fill="auto"/>
            <w:vAlign w:val="center"/>
          </w:tcPr>
          <w:p w14:paraId="0FBC64A1">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风蚀</w:t>
            </w:r>
          </w:p>
        </w:tc>
        <w:tc>
          <w:tcPr>
            <w:tcW w:w="1835" w:type="dxa"/>
            <w:tcBorders>
              <w:top w:val="nil"/>
              <w:left w:val="nil"/>
              <w:bottom w:val="single" w:color="auto" w:sz="4" w:space="0"/>
              <w:right w:val="single" w:color="auto" w:sz="4" w:space="0"/>
            </w:tcBorders>
            <w:shd w:val="clear" w:color="auto" w:fill="auto"/>
            <w:vAlign w:val="center"/>
          </w:tcPr>
          <w:p w14:paraId="2CDB84DD">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4D237EAA">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3C3824D1">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0C0413A6">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continue"/>
            <w:tcBorders>
              <w:top w:val="nil"/>
              <w:left w:val="single" w:color="auto" w:sz="4" w:space="0"/>
              <w:bottom w:val="single" w:color="auto" w:sz="4" w:space="0"/>
              <w:right w:val="single" w:color="auto" w:sz="4" w:space="0"/>
            </w:tcBorders>
            <w:vAlign w:val="center"/>
          </w:tcPr>
          <w:p w14:paraId="23FED0D1">
            <w:pPr>
              <w:spacing w:line="240" w:lineRule="auto"/>
              <w:ind w:firstLine="0" w:firstLineChars="0"/>
              <w:jc w:val="left"/>
              <w:rPr>
                <w:rFonts w:ascii="仿宋_GB2312" w:hAnsi="宋体"/>
                <w:color w:val="000000" w:themeColor="text1"/>
                <w:sz w:val="21"/>
                <w:szCs w:val="21"/>
                <w14:textFill>
                  <w14:solidFill>
                    <w14:schemeClr w14:val="tx1"/>
                  </w14:solidFill>
                </w14:textFill>
              </w:rPr>
            </w:pPr>
          </w:p>
        </w:tc>
        <w:tc>
          <w:tcPr>
            <w:tcW w:w="1559" w:type="dxa"/>
            <w:vMerge w:val="continue"/>
            <w:tcBorders>
              <w:top w:val="nil"/>
              <w:left w:val="single" w:color="auto" w:sz="4" w:space="0"/>
              <w:bottom w:val="single" w:color="auto" w:sz="4" w:space="0"/>
              <w:right w:val="single" w:color="auto" w:sz="4" w:space="0"/>
            </w:tcBorders>
            <w:vAlign w:val="center"/>
          </w:tcPr>
          <w:p w14:paraId="49EB5466">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shd w:val="clear" w:color="auto" w:fill="auto"/>
            <w:vAlign w:val="center"/>
          </w:tcPr>
          <w:p w14:paraId="2F1F81C8">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水蚀</w:t>
            </w:r>
          </w:p>
        </w:tc>
        <w:tc>
          <w:tcPr>
            <w:tcW w:w="1835" w:type="dxa"/>
            <w:tcBorders>
              <w:top w:val="nil"/>
              <w:left w:val="nil"/>
              <w:bottom w:val="single" w:color="auto" w:sz="4" w:space="0"/>
              <w:right w:val="single" w:color="auto" w:sz="4" w:space="0"/>
            </w:tcBorders>
            <w:shd w:val="clear" w:color="auto" w:fill="auto"/>
            <w:vAlign w:val="center"/>
          </w:tcPr>
          <w:p w14:paraId="53FF9056">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51370CFD">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5C692BBB">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34266E7A">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continue"/>
            <w:tcBorders>
              <w:top w:val="nil"/>
              <w:left w:val="single" w:color="auto" w:sz="4" w:space="0"/>
              <w:bottom w:val="single" w:color="auto" w:sz="4" w:space="0"/>
              <w:right w:val="single" w:color="auto" w:sz="4" w:space="0"/>
            </w:tcBorders>
            <w:vAlign w:val="center"/>
          </w:tcPr>
          <w:p w14:paraId="7509B76D">
            <w:pPr>
              <w:spacing w:line="240" w:lineRule="auto"/>
              <w:ind w:firstLine="0" w:firstLineChars="0"/>
              <w:jc w:val="left"/>
              <w:rPr>
                <w:rFonts w:ascii="仿宋_GB2312" w:hAnsi="宋体"/>
                <w:color w:val="000000" w:themeColor="text1"/>
                <w:sz w:val="21"/>
                <w:szCs w:val="21"/>
                <w14:textFill>
                  <w14:solidFill>
                    <w14:schemeClr w14:val="tx1"/>
                  </w14:solidFill>
                </w14:textFill>
              </w:rPr>
            </w:pP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14:paraId="5910006E">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供燃气用地</w:t>
            </w:r>
          </w:p>
        </w:tc>
        <w:tc>
          <w:tcPr>
            <w:tcW w:w="993" w:type="dxa"/>
            <w:tcBorders>
              <w:top w:val="nil"/>
              <w:left w:val="nil"/>
              <w:bottom w:val="single" w:color="auto" w:sz="4" w:space="0"/>
              <w:right w:val="single" w:color="auto" w:sz="4" w:space="0"/>
            </w:tcBorders>
            <w:shd w:val="clear" w:color="auto" w:fill="auto"/>
            <w:vAlign w:val="center"/>
          </w:tcPr>
          <w:p w14:paraId="463A231E">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风蚀</w:t>
            </w:r>
          </w:p>
        </w:tc>
        <w:tc>
          <w:tcPr>
            <w:tcW w:w="1835" w:type="dxa"/>
            <w:tcBorders>
              <w:top w:val="nil"/>
              <w:left w:val="nil"/>
              <w:bottom w:val="single" w:color="auto" w:sz="4" w:space="0"/>
              <w:right w:val="single" w:color="auto" w:sz="4" w:space="0"/>
            </w:tcBorders>
            <w:shd w:val="clear" w:color="auto" w:fill="auto"/>
            <w:vAlign w:val="center"/>
          </w:tcPr>
          <w:p w14:paraId="7CECCF55">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594647EA">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1878BB66">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343196C5">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continue"/>
            <w:tcBorders>
              <w:top w:val="nil"/>
              <w:left w:val="single" w:color="auto" w:sz="4" w:space="0"/>
              <w:bottom w:val="single" w:color="auto" w:sz="4" w:space="0"/>
              <w:right w:val="single" w:color="auto" w:sz="4" w:space="0"/>
            </w:tcBorders>
            <w:vAlign w:val="center"/>
          </w:tcPr>
          <w:p w14:paraId="20D120C2">
            <w:pPr>
              <w:spacing w:line="240" w:lineRule="auto"/>
              <w:ind w:firstLine="0" w:firstLineChars="0"/>
              <w:jc w:val="left"/>
              <w:rPr>
                <w:rFonts w:ascii="仿宋_GB2312" w:hAnsi="宋体"/>
                <w:color w:val="000000" w:themeColor="text1"/>
                <w:sz w:val="21"/>
                <w:szCs w:val="21"/>
                <w14:textFill>
                  <w14:solidFill>
                    <w14:schemeClr w14:val="tx1"/>
                  </w14:solidFill>
                </w14:textFill>
              </w:rPr>
            </w:pPr>
          </w:p>
        </w:tc>
        <w:tc>
          <w:tcPr>
            <w:tcW w:w="1559" w:type="dxa"/>
            <w:vMerge w:val="continue"/>
            <w:tcBorders>
              <w:top w:val="nil"/>
              <w:left w:val="single" w:color="auto" w:sz="4" w:space="0"/>
              <w:bottom w:val="single" w:color="auto" w:sz="4" w:space="0"/>
              <w:right w:val="single" w:color="auto" w:sz="4" w:space="0"/>
            </w:tcBorders>
            <w:vAlign w:val="center"/>
          </w:tcPr>
          <w:p w14:paraId="4C2A0B43">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shd w:val="clear" w:color="auto" w:fill="auto"/>
            <w:vAlign w:val="center"/>
          </w:tcPr>
          <w:p w14:paraId="79FDE67D">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水蚀</w:t>
            </w:r>
          </w:p>
        </w:tc>
        <w:tc>
          <w:tcPr>
            <w:tcW w:w="1835" w:type="dxa"/>
            <w:tcBorders>
              <w:top w:val="nil"/>
              <w:left w:val="nil"/>
              <w:bottom w:val="single" w:color="auto" w:sz="4" w:space="0"/>
              <w:right w:val="single" w:color="auto" w:sz="4" w:space="0"/>
            </w:tcBorders>
            <w:shd w:val="clear" w:color="auto" w:fill="auto"/>
            <w:vAlign w:val="center"/>
          </w:tcPr>
          <w:p w14:paraId="7A13C116">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29AFF406">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3F3CD676">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1293B932">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continue"/>
            <w:tcBorders>
              <w:top w:val="nil"/>
              <w:left w:val="single" w:color="auto" w:sz="4" w:space="0"/>
              <w:bottom w:val="single" w:color="auto" w:sz="4" w:space="0"/>
              <w:right w:val="single" w:color="auto" w:sz="4" w:space="0"/>
            </w:tcBorders>
            <w:vAlign w:val="center"/>
          </w:tcPr>
          <w:p w14:paraId="5C7D467A">
            <w:pPr>
              <w:spacing w:line="240" w:lineRule="auto"/>
              <w:ind w:firstLine="0" w:firstLineChars="0"/>
              <w:jc w:val="left"/>
              <w:rPr>
                <w:rFonts w:ascii="仿宋_GB2312" w:hAnsi="宋体"/>
                <w:color w:val="000000" w:themeColor="text1"/>
                <w:sz w:val="21"/>
                <w:szCs w:val="21"/>
                <w14:textFill>
                  <w14:solidFill>
                    <w14:schemeClr w14:val="tx1"/>
                  </w14:solidFill>
                </w14:textFill>
              </w:rPr>
            </w:pP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14:paraId="33011E9F">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环卫用地</w:t>
            </w:r>
          </w:p>
        </w:tc>
        <w:tc>
          <w:tcPr>
            <w:tcW w:w="993" w:type="dxa"/>
            <w:tcBorders>
              <w:top w:val="nil"/>
              <w:left w:val="nil"/>
              <w:bottom w:val="single" w:color="auto" w:sz="4" w:space="0"/>
              <w:right w:val="single" w:color="auto" w:sz="4" w:space="0"/>
            </w:tcBorders>
            <w:shd w:val="clear" w:color="auto" w:fill="auto"/>
            <w:vAlign w:val="center"/>
          </w:tcPr>
          <w:p w14:paraId="28BB1AEC">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风蚀</w:t>
            </w:r>
          </w:p>
        </w:tc>
        <w:tc>
          <w:tcPr>
            <w:tcW w:w="1835" w:type="dxa"/>
            <w:tcBorders>
              <w:top w:val="nil"/>
              <w:left w:val="nil"/>
              <w:bottom w:val="single" w:color="auto" w:sz="4" w:space="0"/>
              <w:right w:val="single" w:color="auto" w:sz="4" w:space="0"/>
            </w:tcBorders>
            <w:shd w:val="clear" w:color="auto" w:fill="auto"/>
            <w:vAlign w:val="center"/>
          </w:tcPr>
          <w:p w14:paraId="70B1BDEB">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45718DC0">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30EC5E2A">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6AA73FAB">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continue"/>
            <w:tcBorders>
              <w:top w:val="nil"/>
              <w:left w:val="single" w:color="auto" w:sz="4" w:space="0"/>
              <w:bottom w:val="single" w:color="auto" w:sz="4" w:space="0"/>
              <w:right w:val="single" w:color="auto" w:sz="4" w:space="0"/>
            </w:tcBorders>
            <w:vAlign w:val="center"/>
          </w:tcPr>
          <w:p w14:paraId="1166122F">
            <w:pPr>
              <w:spacing w:line="240" w:lineRule="auto"/>
              <w:ind w:firstLine="0" w:firstLineChars="0"/>
              <w:jc w:val="left"/>
              <w:rPr>
                <w:rFonts w:ascii="仿宋_GB2312" w:hAnsi="宋体"/>
                <w:color w:val="000000" w:themeColor="text1"/>
                <w:sz w:val="21"/>
                <w:szCs w:val="21"/>
                <w14:textFill>
                  <w14:solidFill>
                    <w14:schemeClr w14:val="tx1"/>
                  </w14:solidFill>
                </w14:textFill>
              </w:rPr>
            </w:pPr>
          </w:p>
        </w:tc>
        <w:tc>
          <w:tcPr>
            <w:tcW w:w="1559" w:type="dxa"/>
            <w:vMerge w:val="continue"/>
            <w:tcBorders>
              <w:top w:val="nil"/>
              <w:left w:val="single" w:color="auto" w:sz="4" w:space="0"/>
              <w:bottom w:val="single" w:color="auto" w:sz="4" w:space="0"/>
              <w:right w:val="single" w:color="auto" w:sz="4" w:space="0"/>
            </w:tcBorders>
            <w:vAlign w:val="center"/>
          </w:tcPr>
          <w:p w14:paraId="32B80E91">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shd w:val="clear" w:color="auto" w:fill="auto"/>
            <w:vAlign w:val="center"/>
          </w:tcPr>
          <w:p w14:paraId="4FA7EEF2">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水蚀</w:t>
            </w:r>
          </w:p>
        </w:tc>
        <w:tc>
          <w:tcPr>
            <w:tcW w:w="1835" w:type="dxa"/>
            <w:tcBorders>
              <w:top w:val="nil"/>
              <w:left w:val="nil"/>
              <w:bottom w:val="single" w:color="auto" w:sz="4" w:space="0"/>
              <w:right w:val="single" w:color="auto" w:sz="4" w:space="0"/>
            </w:tcBorders>
            <w:shd w:val="clear" w:color="auto" w:fill="auto"/>
            <w:vAlign w:val="center"/>
          </w:tcPr>
          <w:p w14:paraId="1D72230E">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5F204290">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6BAC7908">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7F658F74">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continue"/>
            <w:tcBorders>
              <w:top w:val="nil"/>
              <w:left w:val="single" w:color="auto" w:sz="4" w:space="0"/>
              <w:bottom w:val="single" w:color="auto" w:sz="4" w:space="0"/>
              <w:right w:val="single" w:color="auto" w:sz="4" w:space="0"/>
            </w:tcBorders>
            <w:vAlign w:val="center"/>
          </w:tcPr>
          <w:p w14:paraId="59ABA6CC">
            <w:pPr>
              <w:spacing w:line="240" w:lineRule="auto"/>
              <w:ind w:firstLine="0" w:firstLineChars="0"/>
              <w:jc w:val="left"/>
              <w:rPr>
                <w:rFonts w:ascii="仿宋_GB2312" w:hAnsi="宋体"/>
                <w:color w:val="000000" w:themeColor="text1"/>
                <w:sz w:val="21"/>
                <w:szCs w:val="21"/>
                <w14:textFill>
                  <w14:solidFill>
                    <w14:schemeClr w14:val="tx1"/>
                  </w14:solidFill>
                </w14:textFill>
              </w:rPr>
            </w:pP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14:paraId="26303C6B">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消防用地</w:t>
            </w:r>
          </w:p>
        </w:tc>
        <w:tc>
          <w:tcPr>
            <w:tcW w:w="993" w:type="dxa"/>
            <w:tcBorders>
              <w:top w:val="nil"/>
              <w:left w:val="nil"/>
              <w:bottom w:val="single" w:color="auto" w:sz="4" w:space="0"/>
              <w:right w:val="single" w:color="auto" w:sz="4" w:space="0"/>
            </w:tcBorders>
            <w:shd w:val="clear" w:color="auto" w:fill="auto"/>
            <w:vAlign w:val="center"/>
          </w:tcPr>
          <w:p w14:paraId="6E445051">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风蚀</w:t>
            </w:r>
          </w:p>
        </w:tc>
        <w:tc>
          <w:tcPr>
            <w:tcW w:w="1835" w:type="dxa"/>
            <w:tcBorders>
              <w:top w:val="nil"/>
              <w:left w:val="nil"/>
              <w:bottom w:val="single" w:color="auto" w:sz="4" w:space="0"/>
              <w:right w:val="single" w:color="auto" w:sz="4" w:space="0"/>
            </w:tcBorders>
            <w:shd w:val="clear" w:color="auto" w:fill="auto"/>
            <w:vAlign w:val="center"/>
          </w:tcPr>
          <w:p w14:paraId="6C5BD9A3">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106045D6">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01E52593">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1207F7C9">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continue"/>
            <w:tcBorders>
              <w:top w:val="nil"/>
              <w:left w:val="single" w:color="auto" w:sz="4" w:space="0"/>
              <w:bottom w:val="single" w:color="auto" w:sz="4" w:space="0"/>
              <w:right w:val="single" w:color="auto" w:sz="4" w:space="0"/>
            </w:tcBorders>
            <w:vAlign w:val="center"/>
          </w:tcPr>
          <w:p w14:paraId="628CC3CC">
            <w:pPr>
              <w:spacing w:line="240" w:lineRule="auto"/>
              <w:ind w:firstLine="0" w:firstLineChars="0"/>
              <w:jc w:val="left"/>
              <w:rPr>
                <w:rFonts w:ascii="仿宋_GB2312" w:hAnsi="宋体"/>
                <w:color w:val="000000" w:themeColor="text1"/>
                <w:sz w:val="21"/>
                <w:szCs w:val="21"/>
                <w14:textFill>
                  <w14:solidFill>
                    <w14:schemeClr w14:val="tx1"/>
                  </w14:solidFill>
                </w14:textFill>
              </w:rPr>
            </w:pPr>
          </w:p>
        </w:tc>
        <w:tc>
          <w:tcPr>
            <w:tcW w:w="1559" w:type="dxa"/>
            <w:vMerge w:val="continue"/>
            <w:tcBorders>
              <w:top w:val="nil"/>
              <w:left w:val="single" w:color="auto" w:sz="4" w:space="0"/>
              <w:bottom w:val="single" w:color="auto" w:sz="4" w:space="0"/>
              <w:right w:val="single" w:color="auto" w:sz="4" w:space="0"/>
            </w:tcBorders>
            <w:vAlign w:val="center"/>
          </w:tcPr>
          <w:p w14:paraId="2F1F4A3B">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shd w:val="clear" w:color="auto" w:fill="auto"/>
            <w:vAlign w:val="center"/>
          </w:tcPr>
          <w:p w14:paraId="5DDBCB8F">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水蚀</w:t>
            </w:r>
          </w:p>
        </w:tc>
        <w:tc>
          <w:tcPr>
            <w:tcW w:w="1835" w:type="dxa"/>
            <w:tcBorders>
              <w:top w:val="nil"/>
              <w:left w:val="nil"/>
              <w:bottom w:val="single" w:color="auto" w:sz="4" w:space="0"/>
              <w:right w:val="single" w:color="auto" w:sz="4" w:space="0"/>
            </w:tcBorders>
            <w:shd w:val="clear" w:color="auto" w:fill="auto"/>
            <w:vAlign w:val="center"/>
          </w:tcPr>
          <w:p w14:paraId="414E69A5">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4BC7DECA">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6AFD5C53">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29E222AC">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40879467">
            <w:pPr>
              <w:spacing w:line="240" w:lineRule="auto"/>
              <w:ind w:firstLine="0" w:firstLineChars="0"/>
              <w:jc w:val="center"/>
              <w:rPr>
                <w:rFonts w:ascii="仿宋_GB2312" w:hAnsi="宋体"/>
                <w:color w:val="000000" w:themeColor="text1"/>
                <w:sz w:val="21"/>
                <w:szCs w:val="21"/>
                <w14:textFill>
                  <w14:solidFill>
                    <w14:schemeClr w14:val="tx1"/>
                  </w14:solidFill>
                </w14:textFill>
              </w:rPr>
            </w:pPr>
            <w:r>
              <w:rPr>
                <w:rFonts w:hint="eastAsia" w:ascii="仿宋_GB2312" w:hAnsi="宋体"/>
                <w:color w:val="000000" w:themeColor="text1"/>
                <w:sz w:val="21"/>
                <w:szCs w:val="21"/>
                <w14:textFill>
                  <w14:solidFill>
                    <w14:schemeClr w14:val="tx1"/>
                  </w14:solidFill>
                </w14:textFill>
              </w:rPr>
              <w:t>绿地与开敞空间用地</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14:paraId="5926C038">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防护绿地</w:t>
            </w:r>
          </w:p>
        </w:tc>
        <w:tc>
          <w:tcPr>
            <w:tcW w:w="993" w:type="dxa"/>
            <w:tcBorders>
              <w:top w:val="nil"/>
              <w:left w:val="nil"/>
              <w:bottom w:val="single" w:color="auto" w:sz="4" w:space="0"/>
              <w:right w:val="single" w:color="auto" w:sz="4" w:space="0"/>
            </w:tcBorders>
            <w:shd w:val="clear" w:color="auto" w:fill="auto"/>
            <w:vAlign w:val="center"/>
          </w:tcPr>
          <w:p w14:paraId="2E3BA8BB">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风蚀</w:t>
            </w:r>
          </w:p>
        </w:tc>
        <w:tc>
          <w:tcPr>
            <w:tcW w:w="1835" w:type="dxa"/>
            <w:tcBorders>
              <w:top w:val="nil"/>
              <w:left w:val="nil"/>
              <w:bottom w:val="single" w:color="auto" w:sz="4" w:space="0"/>
              <w:right w:val="single" w:color="auto" w:sz="4" w:space="0"/>
            </w:tcBorders>
            <w:shd w:val="clear" w:color="auto" w:fill="auto"/>
            <w:vAlign w:val="center"/>
          </w:tcPr>
          <w:p w14:paraId="054A9AE6">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52802959">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6E342BB2">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429E77CC">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continue"/>
            <w:tcBorders>
              <w:top w:val="nil"/>
              <w:left w:val="single" w:color="auto" w:sz="4" w:space="0"/>
              <w:bottom w:val="single" w:color="auto" w:sz="4" w:space="0"/>
              <w:right w:val="single" w:color="auto" w:sz="4" w:space="0"/>
            </w:tcBorders>
            <w:vAlign w:val="center"/>
          </w:tcPr>
          <w:p w14:paraId="597DC001">
            <w:pPr>
              <w:spacing w:line="240" w:lineRule="auto"/>
              <w:ind w:firstLine="0" w:firstLineChars="0"/>
              <w:jc w:val="left"/>
              <w:rPr>
                <w:rFonts w:ascii="仿宋_GB2312" w:hAnsi="宋体"/>
                <w:color w:val="000000" w:themeColor="text1"/>
                <w:sz w:val="21"/>
                <w:szCs w:val="21"/>
                <w14:textFill>
                  <w14:solidFill>
                    <w14:schemeClr w14:val="tx1"/>
                  </w14:solidFill>
                </w14:textFill>
              </w:rPr>
            </w:pPr>
          </w:p>
        </w:tc>
        <w:tc>
          <w:tcPr>
            <w:tcW w:w="1559" w:type="dxa"/>
            <w:vMerge w:val="continue"/>
            <w:tcBorders>
              <w:top w:val="nil"/>
              <w:left w:val="single" w:color="auto" w:sz="4" w:space="0"/>
              <w:bottom w:val="single" w:color="auto" w:sz="4" w:space="0"/>
              <w:right w:val="single" w:color="auto" w:sz="4" w:space="0"/>
            </w:tcBorders>
            <w:vAlign w:val="center"/>
          </w:tcPr>
          <w:p w14:paraId="6A0E630D">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shd w:val="clear" w:color="auto" w:fill="auto"/>
            <w:vAlign w:val="center"/>
          </w:tcPr>
          <w:p w14:paraId="6F0F36EF">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水蚀</w:t>
            </w:r>
          </w:p>
        </w:tc>
        <w:tc>
          <w:tcPr>
            <w:tcW w:w="1835" w:type="dxa"/>
            <w:tcBorders>
              <w:top w:val="nil"/>
              <w:left w:val="nil"/>
              <w:bottom w:val="single" w:color="auto" w:sz="4" w:space="0"/>
              <w:right w:val="single" w:color="auto" w:sz="4" w:space="0"/>
            </w:tcBorders>
            <w:shd w:val="clear" w:color="auto" w:fill="auto"/>
            <w:vAlign w:val="center"/>
          </w:tcPr>
          <w:p w14:paraId="1284E5A6">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601ECA10">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7212317A">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tcBorders>
              <w:top w:val="nil"/>
              <w:left w:val="nil"/>
              <w:bottom w:val="single" w:color="auto" w:sz="4" w:space="0"/>
              <w:right w:val="single" w:color="auto" w:sz="4" w:space="0"/>
            </w:tcBorders>
            <w:shd w:val="clear" w:color="auto" w:fill="auto"/>
            <w:vAlign w:val="center"/>
          </w:tcPr>
          <w:p w14:paraId="3F8B62AA">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小计</w:t>
            </w:r>
          </w:p>
        </w:tc>
        <w:tc>
          <w:tcPr>
            <w:tcW w:w="1701" w:type="dxa"/>
            <w:tcBorders>
              <w:top w:val="nil"/>
              <w:left w:val="nil"/>
              <w:bottom w:val="single" w:color="auto" w:sz="4" w:space="0"/>
              <w:right w:val="single" w:color="auto" w:sz="4" w:space="0"/>
            </w:tcBorders>
            <w:shd w:val="clear" w:color="auto" w:fill="auto"/>
            <w:vAlign w:val="center"/>
          </w:tcPr>
          <w:p w14:paraId="6D870340">
            <w:pPr>
              <w:spacing w:line="240" w:lineRule="auto"/>
              <w:ind w:firstLine="0" w:firstLineChars="0"/>
              <w:jc w:val="center"/>
              <w:rPr>
                <w:rFonts w:ascii="仿宋_GB2312" w:hAnsi="宋体"/>
                <w:color w:val="000000" w:themeColor="text1"/>
                <w:sz w:val="21"/>
                <w:szCs w:val="21"/>
                <w14:textFill>
                  <w14:solidFill>
                    <w14:schemeClr w14:val="tx1"/>
                  </w14:solidFill>
                </w14:textFill>
              </w:rPr>
            </w:pPr>
            <w:r>
              <w:rPr>
                <w:rFonts w:hint="eastAsia" w:ascii="仿宋_GB2312" w:hAnsi="宋体"/>
                <w:color w:val="000000" w:themeColor="text1"/>
                <w:sz w:val="21"/>
                <w:szCs w:val="21"/>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vAlign w:val="center"/>
          </w:tcPr>
          <w:p w14:paraId="4BC157E7">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w:t>
            </w:r>
          </w:p>
        </w:tc>
        <w:tc>
          <w:tcPr>
            <w:tcW w:w="993" w:type="dxa"/>
            <w:tcBorders>
              <w:top w:val="nil"/>
              <w:left w:val="nil"/>
              <w:bottom w:val="single" w:color="auto" w:sz="4" w:space="0"/>
              <w:right w:val="single" w:color="auto" w:sz="4" w:space="0"/>
            </w:tcBorders>
            <w:shd w:val="clear" w:color="auto" w:fill="auto"/>
            <w:vAlign w:val="center"/>
          </w:tcPr>
          <w:p w14:paraId="08D2ED66">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w:t>
            </w:r>
          </w:p>
        </w:tc>
        <w:tc>
          <w:tcPr>
            <w:tcW w:w="1835" w:type="dxa"/>
            <w:tcBorders>
              <w:top w:val="nil"/>
              <w:left w:val="nil"/>
              <w:bottom w:val="single" w:color="auto" w:sz="4" w:space="0"/>
              <w:right w:val="single" w:color="auto" w:sz="4" w:space="0"/>
            </w:tcBorders>
            <w:shd w:val="clear" w:color="auto" w:fill="auto"/>
            <w:vAlign w:val="center"/>
          </w:tcPr>
          <w:p w14:paraId="4B54D7AC">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28</w:t>
            </w:r>
          </w:p>
        </w:tc>
      </w:tr>
      <w:tr w14:paraId="1AAA3245">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67829CF9">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restart"/>
            <w:tcBorders>
              <w:top w:val="nil"/>
              <w:left w:val="single" w:color="auto" w:sz="4" w:space="0"/>
              <w:bottom w:val="single" w:color="auto" w:sz="4" w:space="0"/>
              <w:right w:val="single" w:color="auto" w:sz="4" w:space="0"/>
            </w:tcBorders>
            <w:shd w:val="clear" w:color="auto" w:fill="auto"/>
            <w:vAlign w:val="center"/>
          </w:tcPr>
          <w:p w14:paraId="50FE50C8">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地块2（下湿壕片区）</w:t>
            </w:r>
          </w:p>
        </w:tc>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11D766C0">
            <w:pPr>
              <w:spacing w:line="240" w:lineRule="auto"/>
              <w:ind w:firstLine="0" w:firstLineChars="0"/>
              <w:jc w:val="center"/>
              <w:rPr>
                <w:rFonts w:ascii="仿宋_GB2312" w:hAnsi="宋体"/>
                <w:color w:val="000000" w:themeColor="text1"/>
                <w:sz w:val="21"/>
                <w:szCs w:val="21"/>
                <w14:textFill>
                  <w14:solidFill>
                    <w14:schemeClr w14:val="tx1"/>
                  </w14:solidFill>
                </w14:textFill>
              </w:rPr>
            </w:pPr>
            <w:r>
              <w:rPr>
                <w:rFonts w:hint="eastAsia" w:ascii="仿宋_GB2312" w:hAnsi="宋体"/>
                <w:color w:val="000000" w:themeColor="text1"/>
                <w:sz w:val="21"/>
                <w:szCs w:val="21"/>
                <w14:textFill>
                  <w14:solidFill>
                    <w14:schemeClr w14:val="tx1"/>
                  </w14:solidFill>
                </w14:textFill>
              </w:rPr>
              <w:t>工矿用地</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14:paraId="3670CC9B">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工业用地</w:t>
            </w:r>
          </w:p>
        </w:tc>
        <w:tc>
          <w:tcPr>
            <w:tcW w:w="993" w:type="dxa"/>
            <w:tcBorders>
              <w:top w:val="nil"/>
              <w:left w:val="nil"/>
              <w:bottom w:val="single" w:color="auto" w:sz="4" w:space="0"/>
              <w:right w:val="single" w:color="auto" w:sz="4" w:space="0"/>
            </w:tcBorders>
            <w:shd w:val="clear" w:color="auto" w:fill="auto"/>
            <w:vAlign w:val="center"/>
          </w:tcPr>
          <w:p w14:paraId="0FBB27C5">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风蚀</w:t>
            </w:r>
          </w:p>
        </w:tc>
        <w:tc>
          <w:tcPr>
            <w:tcW w:w="1835" w:type="dxa"/>
            <w:tcBorders>
              <w:top w:val="nil"/>
              <w:left w:val="nil"/>
              <w:bottom w:val="single" w:color="auto" w:sz="4" w:space="0"/>
              <w:right w:val="single" w:color="auto" w:sz="4" w:space="0"/>
            </w:tcBorders>
            <w:shd w:val="clear" w:color="auto" w:fill="auto"/>
            <w:vAlign w:val="center"/>
          </w:tcPr>
          <w:p w14:paraId="61198A35">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5000E91C">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51F378BC">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3404524B">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continue"/>
            <w:tcBorders>
              <w:top w:val="nil"/>
              <w:left w:val="single" w:color="auto" w:sz="4" w:space="0"/>
              <w:bottom w:val="single" w:color="auto" w:sz="4" w:space="0"/>
              <w:right w:val="single" w:color="auto" w:sz="4" w:space="0"/>
            </w:tcBorders>
            <w:vAlign w:val="center"/>
          </w:tcPr>
          <w:p w14:paraId="2B05026F">
            <w:pPr>
              <w:spacing w:line="240" w:lineRule="auto"/>
              <w:ind w:firstLine="0" w:firstLineChars="0"/>
              <w:jc w:val="left"/>
              <w:rPr>
                <w:rFonts w:ascii="仿宋_GB2312" w:hAnsi="宋体"/>
                <w:color w:val="000000" w:themeColor="text1"/>
                <w:sz w:val="21"/>
                <w:szCs w:val="21"/>
                <w14:textFill>
                  <w14:solidFill>
                    <w14:schemeClr w14:val="tx1"/>
                  </w14:solidFill>
                </w14:textFill>
              </w:rPr>
            </w:pPr>
          </w:p>
        </w:tc>
        <w:tc>
          <w:tcPr>
            <w:tcW w:w="1559" w:type="dxa"/>
            <w:vMerge w:val="continue"/>
            <w:tcBorders>
              <w:top w:val="nil"/>
              <w:left w:val="single" w:color="auto" w:sz="4" w:space="0"/>
              <w:bottom w:val="single" w:color="auto" w:sz="4" w:space="0"/>
              <w:right w:val="single" w:color="auto" w:sz="4" w:space="0"/>
            </w:tcBorders>
            <w:vAlign w:val="center"/>
          </w:tcPr>
          <w:p w14:paraId="4A1BF486">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shd w:val="clear" w:color="auto" w:fill="auto"/>
            <w:vAlign w:val="center"/>
          </w:tcPr>
          <w:p w14:paraId="7ECA2CFC">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水蚀</w:t>
            </w:r>
          </w:p>
        </w:tc>
        <w:tc>
          <w:tcPr>
            <w:tcW w:w="1835" w:type="dxa"/>
            <w:tcBorders>
              <w:top w:val="nil"/>
              <w:left w:val="nil"/>
              <w:bottom w:val="single" w:color="auto" w:sz="4" w:space="0"/>
              <w:right w:val="single" w:color="auto" w:sz="4" w:space="0"/>
            </w:tcBorders>
            <w:shd w:val="clear" w:color="auto" w:fill="auto"/>
            <w:vAlign w:val="center"/>
          </w:tcPr>
          <w:p w14:paraId="061B9049">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2343C962">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2F932EE0">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531DDC35">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05BB6702">
            <w:pPr>
              <w:spacing w:line="240" w:lineRule="auto"/>
              <w:ind w:firstLine="0" w:firstLineChars="0"/>
              <w:jc w:val="center"/>
              <w:rPr>
                <w:rFonts w:ascii="仿宋_GB2312" w:hAnsi="宋体"/>
                <w:color w:val="000000" w:themeColor="text1"/>
                <w:sz w:val="21"/>
                <w:szCs w:val="21"/>
                <w14:textFill>
                  <w14:solidFill>
                    <w14:schemeClr w14:val="tx1"/>
                  </w14:solidFill>
                </w14:textFill>
              </w:rPr>
            </w:pPr>
            <w:r>
              <w:rPr>
                <w:rFonts w:hint="eastAsia" w:ascii="仿宋_GB2312" w:hAnsi="宋体"/>
                <w:color w:val="000000" w:themeColor="text1"/>
                <w:sz w:val="21"/>
                <w:szCs w:val="21"/>
                <w14:textFill>
                  <w14:solidFill>
                    <w14:schemeClr w14:val="tx1"/>
                  </w14:solidFill>
                </w14:textFill>
              </w:rPr>
              <w:t>交通运输用地</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14:paraId="0DE2B98A">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城镇道路用地</w:t>
            </w:r>
          </w:p>
        </w:tc>
        <w:tc>
          <w:tcPr>
            <w:tcW w:w="993" w:type="dxa"/>
            <w:tcBorders>
              <w:top w:val="nil"/>
              <w:left w:val="nil"/>
              <w:bottom w:val="single" w:color="auto" w:sz="4" w:space="0"/>
              <w:right w:val="single" w:color="auto" w:sz="4" w:space="0"/>
            </w:tcBorders>
            <w:shd w:val="clear" w:color="auto" w:fill="auto"/>
            <w:vAlign w:val="center"/>
          </w:tcPr>
          <w:p w14:paraId="4A112BD6">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风蚀</w:t>
            </w:r>
          </w:p>
        </w:tc>
        <w:tc>
          <w:tcPr>
            <w:tcW w:w="1835" w:type="dxa"/>
            <w:tcBorders>
              <w:top w:val="nil"/>
              <w:left w:val="nil"/>
              <w:bottom w:val="single" w:color="auto" w:sz="4" w:space="0"/>
              <w:right w:val="single" w:color="auto" w:sz="4" w:space="0"/>
            </w:tcBorders>
            <w:shd w:val="clear" w:color="auto" w:fill="auto"/>
            <w:vAlign w:val="center"/>
          </w:tcPr>
          <w:p w14:paraId="6ECE2AE3">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06ADB5BF">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0BF4AB9B">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70352C6D">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continue"/>
            <w:tcBorders>
              <w:top w:val="nil"/>
              <w:left w:val="single" w:color="auto" w:sz="4" w:space="0"/>
              <w:bottom w:val="single" w:color="auto" w:sz="4" w:space="0"/>
              <w:right w:val="single" w:color="auto" w:sz="4" w:space="0"/>
            </w:tcBorders>
            <w:vAlign w:val="center"/>
          </w:tcPr>
          <w:p w14:paraId="014560D1">
            <w:pPr>
              <w:spacing w:line="240" w:lineRule="auto"/>
              <w:ind w:firstLine="0" w:firstLineChars="0"/>
              <w:jc w:val="left"/>
              <w:rPr>
                <w:rFonts w:ascii="仿宋_GB2312" w:hAnsi="宋体"/>
                <w:color w:val="000000" w:themeColor="text1"/>
                <w:sz w:val="21"/>
                <w:szCs w:val="21"/>
                <w14:textFill>
                  <w14:solidFill>
                    <w14:schemeClr w14:val="tx1"/>
                  </w14:solidFill>
                </w14:textFill>
              </w:rPr>
            </w:pPr>
          </w:p>
        </w:tc>
        <w:tc>
          <w:tcPr>
            <w:tcW w:w="1559" w:type="dxa"/>
            <w:vMerge w:val="continue"/>
            <w:tcBorders>
              <w:top w:val="nil"/>
              <w:left w:val="single" w:color="auto" w:sz="4" w:space="0"/>
              <w:bottom w:val="single" w:color="auto" w:sz="4" w:space="0"/>
              <w:right w:val="single" w:color="auto" w:sz="4" w:space="0"/>
            </w:tcBorders>
            <w:vAlign w:val="center"/>
          </w:tcPr>
          <w:p w14:paraId="6E8E7DE7">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shd w:val="clear" w:color="auto" w:fill="auto"/>
            <w:vAlign w:val="center"/>
          </w:tcPr>
          <w:p w14:paraId="55CC3A31">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水蚀</w:t>
            </w:r>
          </w:p>
        </w:tc>
        <w:tc>
          <w:tcPr>
            <w:tcW w:w="1835" w:type="dxa"/>
            <w:tcBorders>
              <w:top w:val="nil"/>
              <w:left w:val="nil"/>
              <w:bottom w:val="single" w:color="auto" w:sz="4" w:space="0"/>
              <w:right w:val="single" w:color="auto" w:sz="4" w:space="0"/>
            </w:tcBorders>
            <w:shd w:val="clear" w:color="auto" w:fill="auto"/>
            <w:vAlign w:val="center"/>
          </w:tcPr>
          <w:p w14:paraId="1A3CA7A6">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4532A01A">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741F02B2">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33D15F5D">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503B8BAD">
            <w:pPr>
              <w:spacing w:line="240" w:lineRule="auto"/>
              <w:ind w:firstLine="0" w:firstLineChars="0"/>
              <w:jc w:val="center"/>
              <w:rPr>
                <w:rFonts w:ascii="仿宋_GB2312" w:hAnsi="宋体"/>
                <w:color w:val="000000" w:themeColor="text1"/>
                <w:sz w:val="21"/>
                <w:szCs w:val="21"/>
                <w14:textFill>
                  <w14:solidFill>
                    <w14:schemeClr w14:val="tx1"/>
                  </w14:solidFill>
                </w14:textFill>
              </w:rPr>
            </w:pPr>
            <w:r>
              <w:rPr>
                <w:rFonts w:hint="eastAsia" w:ascii="仿宋_GB2312" w:hAnsi="宋体"/>
                <w:color w:val="000000" w:themeColor="text1"/>
                <w:sz w:val="21"/>
                <w:szCs w:val="21"/>
                <w14:textFill>
                  <w14:solidFill>
                    <w14:schemeClr w14:val="tx1"/>
                  </w14:solidFill>
                </w14:textFill>
              </w:rPr>
              <w:t>绿地与开敞空间用地</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14:paraId="07D0E527">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防护绿地</w:t>
            </w:r>
          </w:p>
        </w:tc>
        <w:tc>
          <w:tcPr>
            <w:tcW w:w="993" w:type="dxa"/>
            <w:tcBorders>
              <w:top w:val="nil"/>
              <w:left w:val="nil"/>
              <w:bottom w:val="single" w:color="auto" w:sz="4" w:space="0"/>
              <w:right w:val="single" w:color="auto" w:sz="4" w:space="0"/>
            </w:tcBorders>
            <w:shd w:val="clear" w:color="auto" w:fill="auto"/>
            <w:vAlign w:val="center"/>
          </w:tcPr>
          <w:p w14:paraId="2766A58C">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风蚀</w:t>
            </w:r>
          </w:p>
        </w:tc>
        <w:tc>
          <w:tcPr>
            <w:tcW w:w="1835" w:type="dxa"/>
            <w:tcBorders>
              <w:top w:val="nil"/>
              <w:left w:val="nil"/>
              <w:bottom w:val="single" w:color="auto" w:sz="4" w:space="0"/>
              <w:right w:val="single" w:color="auto" w:sz="4" w:space="0"/>
            </w:tcBorders>
            <w:shd w:val="clear" w:color="auto" w:fill="auto"/>
            <w:vAlign w:val="center"/>
          </w:tcPr>
          <w:p w14:paraId="7C19C00C">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4FCC0BE6">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6A42CD41">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42E15831">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continue"/>
            <w:tcBorders>
              <w:top w:val="nil"/>
              <w:left w:val="single" w:color="auto" w:sz="4" w:space="0"/>
              <w:bottom w:val="single" w:color="auto" w:sz="4" w:space="0"/>
              <w:right w:val="single" w:color="auto" w:sz="4" w:space="0"/>
            </w:tcBorders>
            <w:vAlign w:val="center"/>
          </w:tcPr>
          <w:p w14:paraId="7E271C70">
            <w:pPr>
              <w:spacing w:line="240" w:lineRule="auto"/>
              <w:ind w:firstLine="0" w:firstLineChars="0"/>
              <w:jc w:val="left"/>
              <w:rPr>
                <w:rFonts w:ascii="仿宋_GB2312" w:hAnsi="宋体"/>
                <w:color w:val="000000" w:themeColor="text1"/>
                <w:sz w:val="21"/>
                <w:szCs w:val="21"/>
                <w14:textFill>
                  <w14:solidFill>
                    <w14:schemeClr w14:val="tx1"/>
                  </w14:solidFill>
                </w14:textFill>
              </w:rPr>
            </w:pPr>
          </w:p>
        </w:tc>
        <w:tc>
          <w:tcPr>
            <w:tcW w:w="1559" w:type="dxa"/>
            <w:vMerge w:val="continue"/>
            <w:tcBorders>
              <w:top w:val="nil"/>
              <w:left w:val="single" w:color="auto" w:sz="4" w:space="0"/>
              <w:bottom w:val="single" w:color="auto" w:sz="4" w:space="0"/>
              <w:right w:val="single" w:color="auto" w:sz="4" w:space="0"/>
            </w:tcBorders>
            <w:vAlign w:val="center"/>
          </w:tcPr>
          <w:p w14:paraId="7A874A64">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shd w:val="clear" w:color="auto" w:fill="auto"/>
            <w:vAlign w:val="center"/>
          </w:tcPr>
          <w:p w14:paraId="2344261B">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水蚀</w:t>
            </w:r>
          </w:p>
        </w:tc>
        <w:tc>
          <w:tcPr>
            <w:tcW w:w="1835" w:type="dxa"/>
            <w:tcBorders>
              <w:top w:val="nil"/>
              <w:left w:val="nil"/>
              <w:bottom w:val="single" w:color="auto" w:sz="4" w:space="0"/>
              <w:right w:val="single" w:color="auto" w:sz="4" w:space="0"/>
            </w:tcBorders>
            <w:shd w:val="clear" w:color="auto" w:fill="auto"/>
            <w:vAlign w:val="center"/>
          </w:tcPr>
          <w:p w14:paraId="6C2C397E">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668F2C48">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3BF5631A">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29D8C5B8">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5D555D36">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陆地水域</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14:paraId="7F5BCB2D">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陆地水域</w:t>
            </w:r>
          </w:p>
        </w:tc>
        <w:tc>
          <w:tcPr>
            <w:tcW w:w="993" w:type="dxa"/>
            <w:tcBorders>
              <w:top w:val="nil"/>
              <w:left w:val="nil"/>
              <w:bottom w:val="single" w:color="auto" w:sz="4" w:space="0"/>
              <w:right w:val="single" w:color="auto" w:sz="4" w:space="0"/>
            </w:tcBorders>
            <w:shd w:val="clear" w:color="auto" w:fill="auto"/>
            <w:vAlign w:val="center"/>
          </w:tcPr>
          <w:p w14:paraId="026CC873">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风蚀</w:t>
            </w:r>
          </w:p>
        </w:tc>
        <w:tc>
          <w:tcPr>
            <w:tcW w:w="1835" w:type="dxa"/>
            <w:tcBorders>
              <w:top w:val="nil"/>
              <w:left w:val="nil"/>
              <w:bottom w:val="single" w:color="auto" w:sz="4" w:space="0"/>
              <w:right w:val="single" w:color="auto" w:sz="4" w:space="0"/>
            </w:tcBorders>
            <w:shd w:val="clear" w:color="auto" w:fill="auto"/>
            <w:vAlign w:val="center"/>
          </w:tcPr>
          <w:p w14:paraId="3858DC4F">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7930C3B1">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68032C0E">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vMerge w:val="continue"/>
            <w:tcBorders>
              <w:top w:val="nil"/>
              <w:left w:val="single" w:color="auto" w:sz="4" w:space="0"/>
              <w:bottom w:val="single" w:color="auto" w:sz="4" w:space="0"/>
              <w:right w:val="single" w:color="auto" w:sz="4" w:space="0"/>
            </w:tcBorders>
            <w:vAlign w:val="center"/>
          </w:tcPr>
          <w:p w14:paraId="4AA83FB6">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701" w:type="dxa"/>
            <w:vMerge w:val="continue"/>
            <w:tcBorders>
              <w:top w:val="nil"/>
              <w:left w:val="single" w:color="auto" w:sz="4" w:space="0"/>
              <w:bottom w:val="single" w:color="auto" w:sz="4" w:space="0"/>
              <w:right w:val="single" w:color="auto" w:sz="4" w:space="0"/>
            </w:tcBorders>
            <w:vAlign w:val="center"/>
          </w:tcPr>
          <w:p w14:paraId="555F6009">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559" w:type="dxa"/>
            <w:vMerge w:val="continue"/>
            <w:tcBorders>
              <w:top w:val="nil"/>
              <w:left w:val="single" w:color="auto" w:sz="4" w:space="0"/>
              <w:bottom w:val="single" w:color="auto" w:sz="4" w:space="0"/>
              <w:right w:val="single" w:color="auto" w:sz="4" w:space="0"/>
            </w:tcBorders>
            <w:vAlign w:val="center"/>
          </w:tcPr>
          <w:p w14:paraId="79867C27">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shd w:val="clear" w:color="auto" w:fill="auto"/>
            <w:vAlign w:val="center"/>
          </w:tcPr>
          <w:p w14:paraId="67B6AFF9">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水蚀</w:t>
            </w:r>
          </w:p>
        </w:tc>
        <w:tc>
          <w:tcPr>
            <w:tcW w:w="1835" w:type="dxa"/>
            <w:tcBorders>
              <w:top w:val="nil"/>
              <w:left w:val="nil"/>
              <w:bottom w:val="single" w:color="auto" w:sz="4" w:space="0"/>
              <w:right w:val="single" w:color="auto" w:sz="4" w:space="0"/>
            </w:tcBorders>
            <w:shd w:val="clear" w:color="auto" w:fill="auto"/>
            <w:vAlign w:val="center"/>
          </w:tcPr>
          <w:p w14:paraId="71CB769D">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已建完不再布设</w:t>
            </w:r>
          </w:p>
        </w:tc>
      </w:tr>
      <w:tr w14:paraId="7E6DC12E">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04D7003D">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tcBorders>
              <w:top w:val="nil"/>
              <w:left w:val="nil"/>
              <w:bottom w:val="single" w:color="auto" w:sz="4" w:space="0"/>
              <w:right w:val="single" w:color="auto" w:sz="4" w:space="0"/>
            </w:tcBorders>
            <w:shd w:val="clear" w:color="auto" w:fill="auto"/>
            <w:vAlign w:val="center"/>
          </w:tcPr>
          <w:p w14:paraId="716076D8">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小计</w:t>
            </w:r>
          </w:p>
        </w:tc>
        <w:tc>
          <w:tcPr>
            <w:tcW w:w="1701" w:type="dxa"/>
            <w:tcBorders>
              <w:top w:val="nil"/>
              <w:left w:val="nil"/>
              <w:bottom w:val="single" w:color="auto" w:sz="4" w:space="0"/>
              <w:right w:val="single" w:color="auto" w:sz="4" w:space="0"/>
            </w:tcBorders>
            <w:shd w:val="clear" w:color="auto" w:fill="auto"/>
            <w:vAlign w:val="center"/>
          </w:tcPr>
          <w:p w14:paraId="790EDBD4">
            <w:pPr>
              <w:spacing w:line="240" w:lineRule="auto"/>
              <w:ind w:firstLine="0" w:firstLineChars="0"/>
              <w:jc w:val="center"/>
              <w:rPr>
                <w:rFonts w:eastAsia="宋体" w:cs="Times New Roman"/>
                <w:color w:val="000000" w:themeColor="text1"/>
                <w:sz w:val="21"/>
                <w:szCs w:val="21"/>
                <w14:textFill>
                  <w14:solidFill>
                    <w14:schemeClr w14:val="tx1"/>
                  </w14:solidFill>
                </w14:textFill>
              </w:rPr>
            </w:pPr>
            <w:r>
              <w:rPr>
                <w:rFonts w:eastAsia="宋体" w:cs="Times New Roman"/>
                <w:color w:val="000000" w:themeColor="text1"/>
                <w:sz w:val="21"/>
                <w:szCs w:val="21"/>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vAlign w:val="center"/>
          </w:tcPr>
          <w:p w14:paraId="3A5AE56D">
            <w:pPr>
              <w:spacing w:line="240" w:lineRule="auto"/>
              <w:ind w:firstLine="0" w:firstLineChars="0"/>
              <w:jc w:val="center"/>
              <w:rPr>
                <w:rFonts w:eastAsia="宋体" w:cs="Times New Roman"/>
                <w:color w:val="000000" w:themeColor="text1"/>
                <w:sz w:val="21"/>
                <w:szCs w:val="21"/>
                <w14:textFill>
                  <w14:solidFill>
                    <w14:schemeClr w14:val="tx1"/>
                  </w14:solidFill>
                </w14:textFill>
              </w:rPr>
            </w:pPr>
            <w:r>
              <w:rPr>
                <w:rFonts w:eastAsia="宋体" w:cs="Times New Roman"/>
                <w:color w:val="000000" w:themeColor="text1"/>
                <w:sz w:val="21"/>
                <w:szCs w:val="21"/>
                <w14:textFill>
                  <w14:solidFill>
                    <w14:schemeClr w14:val="tx1"/>
                  </w14:solidFill>
                </w14:textFill>
              </w:rPr>
              <w:t>　</w:t>
            </w:r>
          </w:p>
        </w:tc>
        <w:tc>
          <w:tcPr>
            <w:tcW w:w="993" w:type="dxa"/>
            <w:tcBorders>
              <w:top w:val="nil"/>
              <w:left w:val="nil"/>
              <w:bottom w:val="single" w:color="auto" w:sz="4" w:space="0"/>
              <w:right w:val="single" w:color="auto" w:sz="4" w:space="0"/>
            </w:tcBorders>
            <w:shd w:val="clear" w:color="auto" w:fill="auto"/>
            <w:vAlign w:val="center"/>
          </w:tcPr>
          <w:p w14:paraId="12862869">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w:t>
            </w:r>
          </w:p>
        </w:tc>
        <w:tc>
          <w:tcPr>
            <w:tcW w:w="1835" w:type="dxa"/>
            <w:tcBorders>
              <w:top w:val="nil"/>
              <w:left w:val="nil"/>
              <w:bottom w:val="single" w:color="auto" w:sz="4" w:space="0"/>
              <w:right w:val="single" w:color="auto" w:sz="4" w:space="0"/>
            </w:tcBorders>
            <w:shd w:val="clear" w:color="auto" w:fill="auto"/>
            <w:vAlign w:val="center"/>
          </w:tcPr>
          <w:p w14:paraId="4BB26091">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0</w:t>
            </w:r>
          </w:p>
        </w:tc>
      </w:tr>
      <w:tr w14:paraId="28EFDC21">
        <w:tblPrEx>
          <w:tblCellMar>
            <w:top w:w="0" w:type="dxa"/>
            <w:left w:w="108" w:type="dxa"/>
            <w:bottom w:w="0" w:type="dxa"/>
            <w:right w:w="108" w:type="dxa"/>
          </w:tblCellMar>
        </w:tblPrEx>
        <w:trPr>
          <w:trHeight w:val="397" w:hRule="atLeast"/>
        </w:trPr>
        <w:tc>
          <w:tcPr>
            <w:tcW w:w="1555" w:type="dxa"/>
            <w:vMerge w:val="continue"/>
            <w:tcBorders>
              <w:top w:val="nil"/>
              <w:left w:val="single" w:color="auto" w:sz="4" w:space="0"/>
              <w:bottom w:val="single" w:color="auto" w:sz="4" w:space="0"/>
              <w:right w:val="single" w:color="auto" w:sz="4" w:space="0"/>
            </w:tcBorders>
            <w:vAlign w:val="center"/>
          </w:tcPr>
          <w:p w14:paraId="773EAA96">
            <w:pPr>
              <w:spacing w:line="240" w:lineRule="auto"/>
              <w:ind w:firstLine="0" w:firstLineChars="0"/>
              <w:jc w:val="left"/>
              <w:rPr>
                <w:rFonts w:ascii="宋体" w:hAnsi="宋体" w:eastAsia="宋体"/>
                <w:color w:val="000000" w:themeColor="text1"/>
                <w:sz w:val="21"/>
                <w:szCs w:val="21"/>
                <w14:textFill>
                  <w14:solidFill>
                    <w14:schemeClr w14:val="tx1"/>
                  </w14:solidFill>
                </w14:textFill>
              </w:rPr>
            </w:pPr>
          </w:p>
        </w:tc>
        <w:tc>
          <w:tcPr>
            <w:tcW w:w="1417" w:type="dxa"/>
            <w:tcBorders>
              <w:top w:val="nil"/>
              <w:left w:val="nil"/>
              <w:bottom w:val="single" w:color="auto" w:sz="4" w:space="0"/>
              <w:right w:val="single" w:color="auto" w:sz="4" w:space="0"/>
            </w:tcBorders>
            <w:shd w:val="clear" w:color="auto" w:fill="auto"/>
            <w:vAlign w:val="center"/>
          </w:tcPr>
          <w:p w14:paraId="3641209C">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合计</w:t>
            </w:r>
          </w:p>
        </w:tc>
        <w:tc>
          <w:tcPr>
            <w:tcW w:w="1701" w:type="dxa"/>
            <w:tcBorders>
              <w:top w:val="nil"/>
              <w:left w:val="nil"/>
              <w:bottom w:val="single" w:color="auto" w:sz="4" w:space="0"/>
              <w:right w:val="single" w:color="auto" w:sz="4" w:space="0"/>
            </w:tcBorders>
            <w:shd w:val="clear" w:color="auto" w:fill="auto"/>
            <w:vAlign w:val="center"/>
          </w:tcPr>
          <w:p w14:paraId="6BAA9379">
            <w:pPr>
              <w:spacing w:line="240" w:lineRule="auto"/>
              <w:ind w:firstLine="0" w:firstLineChars="0"/>
              <w:jc w:val="center"/>
              <w:rPr>
                <w:rFonts w:eastAsia="宋体" w:cs="Times New Roman"/>
                <w:color w:val="000000" w:themeColor="text1"/>
                <w:sz w:val="21"/>
                <w:szCs w:val="21"/>
                <w14:textFill>
                  <w14:solidFill>
                    <w14:schemeClr w14:val="tx1"/>
                  </w14:solidFill>
                </w14:textFill>
              </w:rPr>
            </w:pPr>
            <w:r>
              <w:rPr>
                <w:rFonts w:eastAsia="宋体" w:cs="Times New Roman"/>
                <w:color w:val="000000" w:themeColor="text1"/>
                <w:sz w:val="21"/>
                <w:szCs w:val="21"/>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vAlign w:val="center"/>
          </w:tcPr>
          <w:p w14:paraId="784E419E">
            <w:pPr>
              <w:spacing w:line="240" w:lineRule="auto"/>
              <w:ind w:firstLine="0" w:firstLineChars="0"/>
              <w:jc w:val="center"/>
              <w:rPr>
                <w:rFonts w:eastAsia="宋体" w:cs="Times New Roman"/>
                <w:color w:val="000000" w:themeColor="text1"/>
                <w:sz w:val="21"/>
                <w:szCs w:val="21"/>
                <w14:textFill>
                  <w14:solidFill>
                    <w14:schemeClr w14:val="tx1"/>
                  </w14:solidFill>
                </w14:textFill>
              </w:rPr>
            </w:pPr>
            <w:r>
              <w:rPr>
                <w:rFonts w:eastAsia="宋体" w:cs="Times New Roman"/>
                <w:color w:val="000000" w:themeColor="text1"/>
                <w:sz w:val="21"/>
                <w:szCs w:val="21"/>
                <w14:textFill>
                  <w14:solidFill>
                    <w14:schemeClr w14:val="tx1"/>
                  </w14:solidFill>
                </w14:textFill>
              </w:rPr>
              <w:t>　</w:t>
            </w:r>
          </w:p>
        </w:tc>
        <w:tc>
          <w:tcPr>
            <w:tcW w:w="993" w:type="dxa"/>
            <w:tcBorders>
              <w:top w:val="nil"/>
              <w:left w:val="nil"/>
              <w:bottom w:val="single" w:color="auto" w:sz="4" w:space="0"/>
              <w:right w:val="single" w:color="auto" w:sz="4" w:space="0"/>
            </w:tcBorders>
            <w:shd w:val="clear" w:color="auto" w:fill="auto"/>
            <w:vAlign w:val="center"/>
          </w:tcPr>
          <w:p w14:paraId="5FEFD304">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w:t>
            </w:r>
          </w:p>
        </w:tc>
        <w:tc>
          <w:tcPr>
            <w:tcW w:w="1835" w:type="dxa"/>
            <w:tcBorders>
              <w:top w:val="nil"/>
              <w:left w:val="nil"/>
              <w:bottom w:val="single" w:color="auto" w:sz="4" w:space="0"/>
              <w:right w:val="single" w:color="auto" w:sz="4" w:space="0"/>
            </w:tcBorders>
            <w:shd w:val="clear" w:color="auto" w:fill="auto"/>
            <w:vAlign w:val="center"/>
          </w:tcPr>
          <w:p w14:paraId="580ABC54">
            <w:pPr>
              <w:spacing w:line="240" w:lineRule="auto"/>
              <w:ind w:firstLine="0" w:firstLineChars="0"/>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28</w:t>
            </w:r>
          </w:p>
        </w:tc>
      </w:tr>
    </w:tbl>
    <w:p w14:paraId="2428C5FE">
      <w:pPr>
        <w:pStyle w:val="5"/>
        <w:rPr>
          <w:color w:val="000000" w:themeColor="text1"/>
          <w14:textFill>
            <w14:solidFill>
              <w14:schemeClr w14:val="tx1"/>
            </w14:solidFill>
          </w14:textFill>
        </w:rPr>
      </w:pPr>
      <w:r>
        <w:rPr>
          <w:rFonts w:hint="eastAsia"/>
          <w:color w:val="000000" w:themeColor="text1"/>
          <w14:textFill>
            <w14:solidFill>
              <w14:schemeClr w14:val="tx1"/>
            </w14:solidFill>
          </w14:textFill>
        </w:rPr>
        <w:t>水土保持措施监测点位</w:t>
      </w:r>
    </w:p>
    <w:p w14:paraId="275B4AF6">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根据《水利部办公厅关于进一步加强生产建设项目水土保持监测工作的通知》（办水保〔2020〕161号），现场开展监测情况，以调查监测为主。根据项目具体情况布设工程措施监测点、植物措施监测点。</w:t>
      </w:r>
    </w:p>
    <w:p w14:paraId="56AFE3B6">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（1）植物措施监测点数量可根据抽样设计确定，每个有植物措施的监测分区至少布设1个监测点；</w:t>
      </w:r>
    </w:p>
    <w:p w14:paraId="666AAB71">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（2）工程措施监测点数量应综合分析工程特点合理确定，并应符合下列规定：大型开挖（填筑）等重点对象应至少布设1个工程措施监测点。</w:t>
      </w:r>
    </w:p>
    <w:p w14:paraId="3AAD19AB">
      <w:pPr>
        <w:pStyle w:val="4"/>
        <w:spacing w:before="120" w:after="120"/>
      </w:pPr>
      <w:bookmarkStart w:id="524" w:name="_Toc85444629"/>
      <w:r>
        <w:t>监测频次</w:t>
      </w:r>
      <w:bookmarkEnd w:id="524"/>
    </w:p>
    <w:p w14:paraId="7E216042">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（1）水土流失影响因素监测频次</w:t>
      </w:r>
    </w:p>
    <w:p w14:paraId="0FC9C15B">
      <w:pPr>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①</w:t>
      </w:r>
      <w:r>
        <w:rPr>
          <w:rFonts w:cs="Times New Roman"/>
          <w:color w:val="000000" w:themeColor="text1"/>
          <w14:textFill>
            <w14:solidFill>
              <w14:schemeClr w14:val="tx1"/>
            </w14:solidFill>
          </w14:textFill>
        </w:rPr>
        <w:t>降雨和风力等气象资料可通过附近的气象站、水文站收集，或设置相关设施设备观测，统计每月的降水量、平均风速和风向。日降水量超过25mm或1小时降水量超过8mm的降水应统计降水量和历时，风速大于5m/s时应统计风速、风向、出现的次数或频率。</w:t>
      </w:r>
    </w:p>
    <w:p w14:paraId="14B25325">
      <w:pPr>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②</w:t>
      </w:r>
      <w:r>
        <w:rPr>
          <w:rFonts w:cs="Times New Roman"/>
          <w:color w:val="000000" w:themeColor="text1"/>
          <w14:textFill>
            <w14:solidFill>
              <w14:schemeClr w14:val="tx1"/>
            </w14:solidFill>
          </w14:textFill>
        </w:rPr>
        <w:t>地形地貌状况采用实地调查和查阅资料等方法获取，整个监测期监测1次。</w:t>
      </w:r>
    </w:p>
    <w:p w14:paraId="77F88BA7">
      <w:pPr>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③</w:t>
      </w:r>
      <w:r>
        <w:rPr>
          <w:rFonts w:cs="Times New Roman"/>
          <w:color w:val="000000" w:themeColor="text1"/>
          <w14:textFill>
            <w14:solidFill>
              <w14:schemeClr w14:val="tx1"/>
            </w14:solidFill>
          </w14:textFill>
        </w:rPr>
        <w:t>地表组成物质应采用实地调查的方法获取。由于项目已经施工，所以在项目区周围监测1次。</w:t>
      </w:r>
    </w:p>
    <w:p w14:paraId="28D949C0">
      <w:pPr>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④</w:t>
      </w:r>
      <w:r>
        <w:rPr>
          <w:rFonts w:cs="Times New Roman"/>
          <w:color w:val="000000" w:themeColor="text1"/>
          <w14:textFill>
            <w14:solidFill>
              <w14:schemeClr w14:val="tx1"/>
            </w14:solidFill>
          </w14:textFill>
        </w:rPr>
        <w:t>植被状况采用实地调查的方法获取，主要确定植被类型和优势种。按植被类型选择3个有代表性的样地，测定草地盖度，取其计算平均值作为植被盖度。</w:t>
      </w:r>
    </w:p>
    <w:p w14:paraId="43EF8D94">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对于已开工项目，在监测时选择项目区周围植被进行监测，可采用针刺法、网格法和照相法测定。</w:t>
      </w:r>
    </w:p>
    <w:p w14:paraId="0ADEEC9C">
      <w:pPr>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⑤</w:t>
      </w:r>
      <w:r>
        <w:rPr>
          <w:rFonts w:cs="Times New Roman"/>
          <w:color w:val="000000" w:themeColor="text1"/>
          <w14:textFill>
            <w14:solidFill>
              <w14:schemeClr w14:val="tx1"/>
            </w14:solidFill>
          </w14:textFill>
        </w:rPr>
        <w:t>地表扰动情况及防治责任范围采用实地调查并结合查阅资料的方法进行监测。调查中，可采用实测法和遥感监测法。实测法采用GPS或其他设备量测；遥感监测法宜采用高分辨率遥感影像。监测每季度不应少于1次。</w:t>
      </w:r>
    </w:p>
    <w:p w14:paraId="389857F0">
      <w:pPr>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⑥</w:t>
      </w:r>
      <w:r>
        <w:rPr>
          <w:rFonts w:cs="Times New Roman"/>
          <w:color w:val="000000" w:themeColor="text1"/>
          <w14:textFill>
            <w14:solidFill>
              <w14:schemeClr w14:val="tx1"/>
            </w14:solidFill>
          </w14:textFill>
        </w:rPr>
        <w:t>土石方量应在查阅资料的基础上，以实地量测为主，监测临时堆土及占地面积。监测期内每月一次。</w:t>
      </w:r>
    </w:p>
    <w:p w14:paraId="7EDE0DE4">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（2）水土流失状况监测频次</w:t>
      </w:r>
    </w:p>
    <w:p w14:paraId="3CE225D4">
      <w:pPr>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①</w:t>
      </w:r>
      <w:r>
        <w:rPr>
          <w:rFonts w:cs="Times New Roman"/>
          <w:color w:val="000000" w:themeColor="text1"/>
          <w14:textFill>
            <w14:solidFill>
              <w14:schemeClr w14:val="tx1"/>
            </w14:solidFill>
          </w14:textFill>
        </w:rPr>
        <w:t>水土流失类型及形式应在综合分析相关资料的基础上，实地调查确定。每年不应少于1次。</w:t>
      </w:r>
    </w:p>
    <w:p w14:paraId="2280C740">
      <w:pPr>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②</w:t>
      </w:r>
      <w:r>
        <w:rPr>
          <w:rFonts w:cs="Times New Roman"/>
          <w:color w:val="000000" w:themeColor="text1"/>
          <w14:textFill>
            <w14:solidFill>
              <w14:schemeClr w14:val="tx1"/>
            </w14:solidFill>
          </w14:textFill>
        </w:rPr>
        <w:t>水土流失面积监测采用抽样调查法，每季度1次。</w:t>
      </w:r>
    </w:p>
    <w:p w14:paraId="6BDD7BC3">
      <w:pPr>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③</w:t>
      </w:r>
      <w:r>
        <w:rPr>
          <w:rFonts w:cs="Times New Roman"/>
          <w:color w:val="000000" w:themeColor="text1"/>
          <w14:textFill>
            <w14:solidFill>
              <w14:schemeClr w14:val="tx1"/>
            </w14:solidFill>
          </w14:textFill>
        </w:rPr>
        <w:t>土壤侵蚀强度应按照监测分区分别确定，施工准备期前和监测期末各1次，施工期每年不应少于1次。</w:t>
      </w:r>
    </w:p>
    <w:p w14:paraId="02DAD8C6">
      <w:pPr>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④</w:t>
      </w:r>
      <w:r>
        <w:rPr>
          <w:rFonts w:cs="Times New Roman"/>
          <w:color w:val="000000" w:themeColor="text1"/>
          <w14:textFill>
            <w14:solidFill>
              <w14:schemeClr w14:val="tx1"/>
            </w14:solidFill>
          </w14:textFill>
        </w:rPr>
        <w:t>重点区域和重点对象不同时段的土壤流失量应通过定位观测获得，在综合分析的基础上，项目建设过程中产生的土壤流失量依照《生产建设项目水土保持监测与评价标准》（GB/T51240-2018）规定进行计算。</w:t>
      </w:r>
    </w:p>
    <w:p w14:paraId="24A4A32C">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水蚀监测：水蚀监测安排在每年的6～9月进行，根据降雨情况确定监测频次，每次降雨结束后测量插钎高度，根据高度变化情况计算侵蚀强度，年内各次观测结果累计即为年侵蚀强度。</w:t>
      </w:r>
    </w:p>
    <w:p w14:paraId="7EFE4E16">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风蚀监测：风蚀在每年的11月～翌年5月，风季驻守监测，每15天监测一次，其它季节每月1次。遇到大风天气（风力&gt;17m/s）后加测1次。</w:t>
      </w:r>
    </w:p>
    <w:p w14:paraId="4305F4B6">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（3）水土流失危害监测频次</w:t>
      </w:r>
    </w:p>
    <w:p w14:paraId="6E993B24">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水土流失危害的面积采用实测法、遥感（无人机）监测法进行监测；水土流失危害的其他指标和危害程度可采用实地调查、量测和询问等方法进行监测。水土流失危害事件发生后1周内应完成监测工作。</w:t>
      </w:r>
    </w:p>
    <w:p w14:paraId="345C1451">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（4）水土保持措施监测频次</w:t>
      </w:r>
    </w:p>
    <w:p w14:paraId="79A0B7C3">
      <w:pPr>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①</w:t>
      </w:r>
      <w:r>
        <w:rPr>
          <w:rFonts w:cs="Times New Roman"/>
          <w:color w:val="000000" w:themeColor="text1"/>
          <w14:textFill>
            <w14:solidFill>
              <w14:schemeClr w14:val="tx1"/>
            </w14:solidFill>
          </w14:textFill>
        </w:rPr>
        <w:t>植物措施</w:t>
      </w:r>
    </w:p>
    <w:p w14:paraId="3D3ED214">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植物措施的实施情况及面积应在综合分析相关技术资料的基础上实地调查确定。应每季度调查1次。人工种草的保存率、生长状况及植被盖度宜采用抽样调查的方法确定。应每年在植被生长最茂盛的季节监测1次。</w:t>
      </w:r>
    </w:p>
    <w:p w14:paraId="5CCE737C">
      <w:pPr>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②</w:t>
      </w:r>
      <w:r>
        <w:rPr>
          <w:rFonts w:cs="Times New Roman"/>
          <w:color w:val="000000" w:themeColor="text1"/>
          <w14:textFill>
            <w14:solidFill>
              <w14:schemeClr w14:val="tx1"/>
            </w14:solidFill>
          </w14:textFill>
        </w:rPr>
        <w:t>工程措施</w:t>
      </w:r>
    </w:p>
    <w:p w14:paraId="69DD6074">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措施的数量、分布和运行状况应在查阅工程设计、监理、施工等资料的基础上，结合实地勘测与全面巡查确定；重点区域应每月监测1次，整体状况应每季度1次。</w:t>
      </w:r>
    </w:p>
    <w:p w14:paraId="79087E52">
      <w:pPr>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③</w:t>
      </w:r>
      <w:r>
        <w:rPr>
          <w:rFonts w:cs="Times New Roman"/>
          <w:color w:val="000000" w:themeColor="text1"/>
          <w14:textFill>
            <w14:solidFill>
              <w14:schemeClr w14:val="tx1"/>
            </w14:solidFill>
          </w14:textFill>
        </w:rPr>
        <w:t>临时措施可在查阅工程施工、监理等资料的基础上，实地调查，并拍摄照片或录像等影像资料。</w:t>
      </w:r>
    </w:p>
    <w:p w14:paraId="1DCA72A4">
      <w:pPr>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④</w:t>
      </w:r>
      <w:r>
        <w:rPr>
          <w:rFonts w:cs="Times New Roman"/>
          <w:color w:val="000000" w:themeColor="text1"/>
          <w14:textFill>
            <w14:solidFill>
              <w14:schemeClr w14:val="tx1"/>
            </w14:solidFill>
          </w14:textFill>
        </w:rPr>
        <w:t>上述各项措施实施情况可在查阅工程施工、监理等资料的基础上，结合调查询问与实地调查确定。应每季度统计1次。</w:t>
      </w:r>
    </w:p>
    <w:p w14:paraId="6448E3BE">
      <w:pPr>
        <w:ind w:firstLine="480"/>
        <w:rPr>
          <w:rFonts w:cs="Times New Roman"/>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⑤</w:t>
      </w:r>
      <w:r>
        <w:rPr>
          <w:rFonts w:cs="Times New Roman"/>
          <w:color w:val="000000" w:themeColor="text1"/>
          <w14:textFill>
            <w14:solidFill>
              <w14:schemeClr w14:val="tx1"/>
            </w14:solidFill>
          </w14:textFill>
        </w:rPr>
        <w:t>水土保持措施特别是造林种草等措施对园区基础设施及入驻项目安全建设和运行发挥的作用应以巡查为主，每年汛期前后及大风、暴雨后进行调查。</w:t>
      </w:r>
    </w:p>
    <w:p w14:paraId="6D2EA477">
      <w:pPr>
        <w:pStyle w:val="3"/>
        <w:spacing w:before="120" w:after="120"/>
        <w:rPr>
          <w:lang w:eastAsia="zh-CN"/>
        </w:rPr>
      </w:pPr>
      <w:bookmarkStart w:id="525" w:name="_Toc55920626"/>
      <w:bookmarkStart w:id="526" w:name="_Toc85444742"/>
      <w:bookmarkStart w:id="527" w:name="_Toc88821234"/>
      <w:bookmarkStart w:id="528" w:name="_Toc85444466"/>
      <w:bookmarkStart w:id="529" w:name="_Toc85444630"/>
      <w:bookmarkStart w:id="530" w:name="_Toc88833995"/>
      <w:bookmarkStart w:id="531" w:name="_Toc152535491"/>
      <w:r>
        <w:rPr>
          <w:lang w:eastAsia="zh-CN"/>
        </w:rPr>
        <w:t>监测设施设备及</w:t>
      </w:r>
      <w:bookmarkEnd w:id="522"/>
      <w:bookmarkEnd w:id="525"/>
      <w:r>
        <w:rPr>
          <w:lang w:eastAsia="zh-CN"/>
        </w:rPr>
        <w:t>人员配置</w:t>
      </w:r>
      <w:bookmarkEnd w:id="526"/>
      <w:bookmarkEnd w:id="527"/>
      <w:bookmarkEnd w:id="528"/>
      <w:bookmarkEnd w:id="529"/>
      <w:bookmarkEnd w:id="530"/>
      <w:bookmarkEnd w:id="531"/>
    </w:p>
    <w:p w14:paraId="73852272">
      <w:pPr>
        <w:pStyle w:val="4"/>
        <w:spacing w:before="120" w:after="120"/>
      </w:pPr>
      <w:bookmarkStart w:id="532" w:name="_Toc85444631"/>
      <w:bookmarkStart w:id="533" w:name="_Toc295919504"/>
      <w:r>
        <w:t>监测设备及仪器</w:t>
      </w:r>
      <w:bookmarkEnd w:id="532"/>
    </w:p>
    <w:p w14:paraId="1947BE7F">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依据本监测设计的监测内容及监测方法的要求，结现场监测点布设情况，水土保持监测所需的设备仪器、消耗性材料配备情况详见表6-3。</w:t>
      </w:r>
    </w:p>
    <w:p w14:paraId="50A1C01B">
      <w:pPr>
        <w:pStyle w:val="12"/>
        <w:ind w:firstLine="480"/>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为完成监测任务，保证监测数据的准确、科学，应布设一定的监测设施，配备一定的监测设备。水土保持监测单位应成立项目领导组，全面负责该项目监测工作的实施，下设监测资料整理分析小组和野外调查观测小组。监测人员配备基本要求详见表6-4。</w:t>
      </w:r>
    </w:p>
    <w:p w14:paraId="03154FB0">
      <w:pPr>
        <w:spacing w:line="240" w:lineRule="auto"/>
        <w:ind w:firstLine="0" w:firstLineChars="0"/>
        <w:jc w:val="left"/>
        <w:rPr>
          <w:rFonts w:cs="Times New Roman"/>
          <w:color w:val="000000" w:themeColor="text1"/>
          <w:szCs w:val="20"/>
          <w14:textFill>
            <w14:solidFill>
              <w14:schemeClr w14:val="tx1"/>
            </w14:solidFill>
          </w14:textFill>
        </w:rPr>
      </w:pPr>
      <w:r>
        <w:rPr>
          <w:color w:val="000000" w:themeColor="text1"/>
          <w14:textFill>
            <w14:solidFill>
              <w14:schemeClr w14:val="tx1"/>
            </w14:solidFill>
          </w14:textFill>
        </w:rPr>
        <w:br w:type="page"/>
      </w:r>
    </w:p>
    <w:p w14:paraId="17634E7B">
      <w:pPr>
        <w:pStyle w:val="44"/>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表6-3                              水土保持监测仪器、设备及土建工程表</w:t>
      </w:r>
    </w:p>
    <w:tbl>
      <w:tblPr>
        <w:tblStyle w:val="141"/>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696"/>
        <w:gridCol w:w="3987"/>
        <w:gridCol w:w="1280"/>
        <w:gridCol w:w="1127"/>
      </w:tblGrid>
      <w:tr w14:paraId="2B81B2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blHeader/>
          <w:jc w:val="center"/>
        </w:trPr>
        <w:tc>
          <w:tcPr>
            <w:tcW w:w="3676" w:type="pct"/>
            <w:gridSpan w:val="2"/>
            <w:tcBorders>
              <w:bottom w:val="double" w:color="auto" w:sz="4" w:space="0"/>
            </w:tcBorders>
            <w:vAlign w:val="center"/>
          </w:tcPr>
          <w:p w14:paraId="7EA41596">
            <w:pPr>
              <w:pStyle w:val="142"/>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设施与设备及监测人员</w:t>
            </w:r>
          </w:p>
        </w:tc>
        <w:tc>
          <w:tcPr>
            <w:tcW w:w="704" w:type="pct"/>
            <w:tcBorders>
              <w:bottom w:val="double" w:color="auto" w:sz="4" w:space="0"/>
            </w:tcBorders>
            <w:vAlign w:val="center"/>
          </w:tcPr>
          <w:p w14:paraId="2F621A6C">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单位</w:t>
            </w:r>
          </w:p>
        </w:tc>
        <w:tc>
          <w:tcPr>
            <w:tcW w:w="620" w:type="pct"/>
            <w:tcBorders>
              <w:bottom w:val="double" w:color="auto" w:sz="4" w:space="0"/>
            </w:tcBorders>
            <w:vAlign w:val="center"/>
          </w:tcPr>
          <w:p w14:paraId="5155A714">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数量</w:t>
            </w:r>
          </w:p>
        </w:tc>
      </w:tr>
      <w:tr w14:paraId="3D9931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restart"/>
            <w:tcBorders>
              <w:top w:val="double" w:color="auto" w:sz="4" w:space="0"/>
            </w:tcBorders>
            <w:vAlign w:val="center"/>
          </w:tcPr>
          <w:p w14:paraId="02BC3D81">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土建设施</w:t>
            </w:r>
          </w:p>
        </w:tc>
        <w:tc>
          <w:tcPr>
            <w:tcW w:w="2193" w:type="pct"/>
            <w:tcBorders>
              <w:top w:val="double" w:color="auto" w:sz="4" w:space="0"/>
            </w:tcBorders>
            <w:vAlign w:val="center"/>
          </w:tcPr>
          <w:p w14:paraId="636225A9">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水蚀监测小区</w:t>
            </w:r>
          </w:p>
        </w:tc>
        <w:tc>
          <w:tcPr>
            <w:tcW w:w="704" w:type="pct"/>
            <w:tcBorders>
              <w:top w:val="double" w:color="auto" w:sz="4" w:space="0"/>
            </w:tcBorders>
            <w:vAlign w:val="center"/>
          </w:tcPr>
          <w:p w14:paraId="21A9CF59">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个</w:t>
            </w:r>
          </w:p>
        </w:tc>
        <w:tc>
          <w:tcPr>
            <w:tcW w:w="620" w:type="pct"/>
            <w:tcBorders>
              <w:top w:val="double" w:color="auto" w:sz="4" w:space="0"/>
            </w:tcBorders>
            <w:vAlign w:val="center"/>
          </w:tcPr>
          <w:p w14:paraId="089B7BDF">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8</w:t>
            </w:r>
          </w:p>
        </w:tc>
      </w:tr>
      <w:tr w14:paraId="7EBCFB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061D4124">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40FE31BD">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风蚀监测小区</w:t>
            </w:r>
          </w:p>
        </w:tc>
        <w:tc>
          <w:tcPr>
            <w:tcW w:w="704" w:type="pct"/>
            <w:vAlign w:val="center"/>
          </w:tcPr>
          <w:p w14:paraId="419CFE7A">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个</w:t>
            </w:r>
          </w:p>
        </w:tc>
        <w:tc>
          <w:tcPr>
            <w:tcW w:w="620" w:type="pct"/>
            <w:vAlign w:val="center"/>
          </w:tcPr>
          <w:p w14:paraId="5ADD167E">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20</w:t>
            </w:r>
          </w:p>
        </w:tc>
      </w:tr>
      <w:tr w14:paraId="4A07D0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restart"/>
            <w:vAlign w:val="center"/>
          </w:tcPr>
          <w:p w14:paraId="3DA6169D">
            <w:pPr>
              <w:pStyle w:val="142"/>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8"/>
                <w:sz w:val="21"/>
                <w:szCs w:val="21"/>
                <w:lang w:eastAsia="zh-CN"/>
                <w14:textFill>
                  <w14:solidFill>
                    <w14:schemeClr w14:val="tx1"/>
                  </w14:solidFill>
                </w14:textFill>
              </w:rPr>
              <w:t>耐用设备</w:t>
            </w:r>
            <w:r>
              <w:rPr>
                <w:rFonts w:ascii="Times New Roman" w:hAnsi="Times New Roman" w:eastAsia="仿宋_GB2312" w:cs="Times New Roman"/>
                <w:color w:val="000000" w:themeColor="text1"/>
                <w:spacing w:val="-2"/>
                <w:sz w:val="21"/>
                <w:szCs w:val="21"/>
                <w:lang w:eastAsia="zh-CN"/>
                <w14:textFill>
                  <w14:solidFill>
                    <w14:schemeClr w14:val="tx1"/>
                  </w14:solidFill>
                </w14:textFill>
              </w:rPr>
              <w:t>（折旧</w:t>
            </w:r>
            <w:r>
              <w:rPr>
                <w:rFonts w:ascii="Times New Roman" w:hAnsi="Times New Roman" w:eastAsia="仿宋_GB2312" w:cs="Times New Roman"/>
                <w:color w:val="000000" w:themeColor="text1"/>
                <w:spacing w:val="-15"/>
                <w:sz w:val="21"/>
                <w:szCs w:val="21"/>
                <w:lang w:eastAsia="zh-CN"/>
                <w14:textFill>
                  <w14:solidFill>
                    <w14:schemeClr w14:val="tx1"/>
                  </w14:solidFill>
                </w14:textFill>
              </w:rPr>
              <w:t xml:space="preserve">率按 </w:t>
            </w:r>
            <w:r>
              <w:rPr>
                <w:rFonts w:ascii="Times New Roman" w:hAnsi="Times New Roman" w:eastAsia="仿宋_GB2312" w:cs="Times New Roman"/>
                <w:color w:val="000000" w:themeColor="text1"/>
                <w:spacing w:val="-2"/>
                <w:sz w:val="21"/>
                <w:szCs w:val="21"/>
                <w:lang w:eastAsia="zh-CN"/>
                <w14:textFill>
                  <w14:solidFill>
                    <w14:schemeClr w14:val="tx1"/>
                  </w14:solidFill>
                </w14:textFill>
              </w:rPr>
              <w:t>15%计</w:t>
            </w:r>
            <w:r>
              <w:rPr>
                <w:rFonts w:ascii="Times New Roman" w:hAnsi="Times New Roman" w:eastAsia="仿宋_GB2312" w:cs="Times New Roman"/>
                <w:color w:val="000000" w:themeColor="text1"/>
                <w:spacing w:val="-10"/>
                <w:sz w:val="21"/>
                <w:szCs w:val="21"/>
                <w:lang w:eastAsia="zh-CN"/>
                <w14:textFill>
                  <w14:solidFill>
                    <w14:schemeClr w14:val="tx1"/>
                  </w14:solidFill>
                </w14:textFill>
              </w:rPr>
              <w:t>）</w:t>
            </w:r>
          </w:p>
        </w:tc>
        <w:tc>
          <w:tcPr>
            <w:tcW w:w="2193" w:type="pct"/>
            <w:vAlign w:val="center"/>
          </w:tcPr>
          <w:p w14:paraId="38CBFD42">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植被盖度测定仪</w:t>
            </w:r>
          </w:p>
        </w:tc>
        <w:tc>
          <w:tcPr>
            <w:tcW w:w="704" w:type="pct"/>
            <w:vAlign w:val="center"/>
          </w:tcPr>
          <w:p w14:paraId="0E656BE9">
            <w:pPr>
              <w:pStyle w:val="142"/>
              <w:rPr>
                <w:rFonts w:ascii="Times New Roman" w:hAnsi="Times New Roman" w:eastAsia="仿宋_GB2312" w:cs="Times New Roman"/>
                <w:b/>
                <w:color w:val="000000" w:themeColor="text1"/>
                <w:sz w:val="21"/>
                <w:szCs w:val="21"/>
                <w:lang w:eastAsia="en-US"/>
                <w14:textFill>
                  <w14:solidFill>
                    <w14:schemeClr w14:val="tx1"/>
                  </w14:solidFill>
                </w14:textFill>
              </w:rPr>
            </w:pPr>
          </w:p>
          <w:p w14:paraId="11E255E3">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台</w:t>
            </w:r>
          </w:p>
        </w:tc>
        <w:tc>
          <w:tcPr>
            <w:tcW w:w="620" w:type="pct"/>
            <w:vAlign w:val="center"/>
          </w:tcPr>
          <w:p w14:paraId="320B57AB">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8</w:t>
            </w:r>
          </w:p>
        </w:tc>
      </w:tr>
      <w:tr w14:paraId="2C9937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626F048A">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1B370AE1">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土壤水分快速测定仪</w:t>
            </w:r>
          </w:p>
        </w:tc>
        <w:tc>
          <w:tcPr>
            <w:tcW w:w="704" w:type="pct"/>
            <w:vAlign w:val="center"/>
          </w:tcPr>
          <w:p w14:paraId="3AFFC6F4">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台</w:t>
            </w:r>
          </w:p>
        </w:tc>
        <w:tc>
          <w:tcPr>
            <w:tcW w:w="620" w:type="pct"/>
            <w:vAlign w:val="center"/>
          </w:tcPr>
          <w:p w14:paraId="7E7200F9">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8</w:t>
            </w:r>
          </w:p>
        </w:tc>
      </w:tr>
      <w:tr w14:paraId="37BB05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68E464FC">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6F95DDDD">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4"/>
                <w:sz w:val="21"/>
                <w:szCs w:val="21"/>
                <w:lang w:eastAsia="en-US"/>
                <w14:textFill>
                  <w14:solidFill>
                    <w14:schemeClr w14:val="tx1"/>
                  </w14:solidFill>
                </w14:textFill>
              </w:rPr>
              <w:t>坡度仪</w:t>
            </w:r>
          </w:p>
        </w:tc>
        <w:tc>
          <w:tcPr>
            <w:tcW w:w="704" w:type="pct"/>
            <w:vAlign w:val="center"/>
          </w:tcPr>
          <w:p w14:paraId="13B6F13D">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台</w:t>
            </w:r>
          </w:p>
        </w:tc>
        <w:tc>
          <w:tcPr>
            <w:tcW w:w="620" w:type="pct"/>
            <w:vAlign w:val="center"/>
          </w:tcPr>
          <w:p w14:paraId="4B74459A">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8</w:t>
            </w:r>
          </w:p>
        </w:tc>
      </w:tr>
      <w:tr w14:paraId="4B0B8D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3DD76A20">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0FA8CD59">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4"/>
                <w:sz w:val="21"/>
                <w:szCs w:val="21"/>
                <w:lang w:eastAsia="en-US"/>
                <w14:textFill>
                  <w14:solidFill>
                    <w14:schemeClr w14:val="tx1"/>
                  </w14:solidFill>
                </w14:textFill>
              </w:rPr>
              <w:t>全站仪</w:t>
            </w:r>
          </w:p>
        </w:tc>
        <w:tc>
          <w:tcPr>
            <w:tcW w:w="704" w:type="pct"/>
            <w:vAlign w:val="center"/>
          </w:tcPr>
          <w:p w14:paraId="7A5C514C">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台</w:t>
            </w:r>
          </w:p>
        </w:tc>
        <w:tc>
          <w:tcPr>
            <w:tcW w:w="620" w:type="pct"/>
            <w:vAlign w:val="center"/>
          </w:tcPr>
          <w:p w14:paraId="01E21DBC">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8</w:t>
            </w:r>
          </w:p>
        </w:tc>
      </w:tr>
      <w:tr w14:paraId="290FEF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38660960">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09E3F4C5">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4"/>
                <w:sz w:val="21"/>
                <w:szCs w:val="21"/>
                <w:lang w:eastAsia="en-US"/>
                <w14:textFill>
                  <w14:solidFill>
                    <w14:schemeClr w14:val="tx1"/>
                  </w14:solidFill>
                </w14:textFill>
              </w:rPr>
              <w:t>取土钻</w:t>
            </w:r>
          </w:p>
        </w:tc>
        <w:tc>
          <w:tcPr>
            <w:tcW w:w="704" w:type="pct"/>
            <w:vAlign w:val="center"/>
          </w:tcPr>
          <w:p w14:paraId="6A0425F1">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台</w:t>
            </w:r>
          </w:p>
        </w:tc>
        <w:tc>
          <w:tcPr>
            <w:tcW w:w="620" w:type="pct"/>
            <w:vAlign w:val="center"/>
          </w:tcPr>
          <w:p w14:paraId="01E388F3">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8</w:t>
            </w:r>
          </w:p>
        </w:tc>
      </w:tr>
      <w:tr w14:paraId="75C305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6B3B00EC">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76229742">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烘箱</w:t>
            </w:r>
          </w:p>
        </w:tc>
        <w:tc>
          <w:tcPr>
            <w:tcW w:w="704" w:type="pct"/>
            <w:vAlign w:val="center"/>
          </w:tcPr>
          <w:p w14:paraId="28564542">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台</w:t>
            </w:r>
          </w:p>
        </w:tc>
        <w:tc>
          <w:tcPr>
            <w:tcW w:w="620" w:type="pct"/>
            <w:vAlign w:val="center"/>
          </w:tcPr>
          <w:p w14:paraId="7C3A7F99">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8</w:t>
            </w:r>
          </w:p>
        </w:tc>
      </w:tr>
      <w:tr w14:paraId="41F139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3D4B281B">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7DA04A63">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自动气象站</w:t>
            </w:r>
          </w:p>
        </w:tc>
        <w:tc>
          <w:tcPr>
            <w:tcW w:w="704" w:type="pct"/>
            <w:vAlign w:val="center"/>
          </w:tcPr>
          <w:p w14:paraId="624127C4">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套</w:t>
            </w:r>
          </w:p>
        </w:tc>
        <w:tc>
          <w:tcPr>
            <w:tcW w:w="620" w:type="pct"/>
            <w:vAlign w:val="center"/>
          </w:tcPr>
          <w:p w14:paraId="3D5876EB">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4</w:t>
            </w:r>
          </w:p>
        </w:tc>
      </w:tr>
      <w:tr w14:paraId="22A739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3BC00955">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36CC0AD1">
            <w:pPr>
              <w:pStyle w:val="142"/>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地表径流泥沙监测系统</w:t>
            </w:r>
          </w:p>
        </w:tc>
        <w:tc>
          <w:tcPr>
            <w:tcW w:w="704" w:type="pct"/>
            <w:vAlign w:val="center"/>
          </w:tcPr>
          <w:p w14:paraId="4880CB7D">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套</w:t>
            </w:r>
          </w:p>
        </w:tc>
        <w:tc>
          <w:tcPr>
            <w:tcW w:w="620" w:type="pct"/>
            <w:vAlign w:val="center"/>
          </w:tcPr>
          <w:p w14:paraId="63782E62">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2</w:t>
            </w:r>
          </w:p>
        </w:tc>
      </w:tr>
      <w:tr w14:paraId="3ADD81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0E44A06A">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49B6EB84">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普通图形工作站</w:t>
            </w:r>
          </w:p>
        </w:tc>
        <w:tc>
          <w:tcPr>
            <w:tcW w:w="704" w:type="pct"/>
            <w:vAlign w:val="center"/>
          </w:tcPr>
          <w:p w14:paraId="1BDD2E8A">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台</w:t>
            </w:r>
          </w:p>
        </w:tc>
        <w:tc>
          <w:tcPr>
            <w:tcW w:w="620" w:type="pct"/>
            <w:vAlign w:val="center"/>
          </w:tcPr>
          <w:p w14:paraId="6A76DEA2">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2</w:t>
            </w:r>
          </w:p>
        </w:tc>
      </w:tr>
      <w:tr w14:paraId="033B5E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6166AA91">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1B7388B6">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影像图形工作站</w:t>
            </w:r>
          </w:p>
        </w:tc>
        <w:tc>
          <w:tcPr>
            <w:tcW w:w="704" w:type="pct"/>
            <w:vAlign w:val="center"/>
          </w:tcPr>
          <w:p w14:paraId="1976C5DC">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台</w:t>
            </w:r>
          </w:p>
        </w:tc>
        <w:tc>
          <w:tcPr>
            <w:tcW w:w="620" w:type="pct"/>
            <w:vAlign w:val="center"/>
          </w:tcPr>
          <w:p w14:paraId="1E8B7549">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2</w:t>
            </w:r>
          </w:p>
        </w:tc>
      </w:tr>
      <w:tr w14:paraId="5B8E80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451ADDB0">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66AFD4DB">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图形图像处理系统</w:t>
            </w:r>
          </w:p>
        </w:tc>
        <w:tc>
          <w:tcPr>
            <w:tcW w:w="704" w:type="pct"/>
            <w:vAlign w:val="center"/>
          </w:tcPr>
          <w:p w14:paraId="6B028982">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套</w:t>
            </w:r>
          </w:p>
        </w:tc>
        <w:tc>
          <w:tcPr>
            <w:tcW w:w="620" w:type="pct"/>
            <w:vAlign w:val="center"/>
          </w:tcPr>
          <w:p w14:paraId="0DF2A3BA">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2</w:t>
            </w:r>
          </w:p>
        </w:tc>
      </w:tr>
      <w:tr w14:paraId="48E2CB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7D397B49">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434ACF82">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12"/>
                <w:sz w:val="21"/>
                <w:szCs w:val="21"/>
                <w:lang w:eastAsia="en-US"/>
                <w14:textFill>
                  <w14:solidFill>
                    <w14:schemeClr w14:val="tx1"/>
                  </w14:solidFill>
                </w14:textFill>
              </w:rPr>
              <w:t xml:space="preserve">手持式 </w:t>
            </w:r>
            <w:r>
              <w:rPr>
                <w:rFonts w:ascii="Times New Roman" w:hAnsi="Times New Roman" w:eastAsia="仿宋_GB2312" w:cs="Times New Roman"/>
                <w:color w:val="000000" w:themeColor="text1"/>
                <w:spacing w:val="-5"/>
                <w:sz w:val="21"/>
                <w:szCs w:val="21"/>
                <w:lang w:eastAsia="en-US"/>
                <w14:textFill>
                  <w14:solidFill>
                    <w14:schemeClr w14:val="tx1"/>
                  </w14:solidFill>
                </w14:textFill>
              </w:rPr>
              <w:t>GPS</w:t>
            </w:r>
          </w:p>
        </w:tc>
        <w:tc>
          <w:tcPr>
            <w:tcW w:w="704" w:type="pct"/>
            <w:vAlign w:val="center"/>
          </w:tcPr>
          <w:p w14:paraId="17594026">
            <w:pPr>
              <w:pStyle w:val="142"/>
              <w:rPr>
                <w:rFonts w:ascii="Times New Roman" w:hAnsi="Times New Roman" w:eastAsia="仿宋_GB2312" w:cs="Times New Roman"/>
                <w:b/>
                <w:color w:val="000000" w:themeColor="text1"/>
                <w:sz w:val="21"/>
                <w:szCs w:val="21"/>
                <w:lang w:eastAsia="en-US"/>
                <w14:textFill>
                  <w14:solidFill>
                    <w14:schemeClr w14:val="tx1"/>
                  </w14:solidFill>
                </w14:textFill>
              </w:rPr>
            </w:pPr>
          </w:p>
          <w:p w14:paraId="37516960">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台</w:t>
            </w:r>
          </w:p>
        </w:tc>
        <w:tc>
          <w:tcPr>
            <w:tcW w:w="620" w:type="pct"/>
            <w:vAlign w:val="center"/>
          </w:tcPr>
          <w:p w14:paraId="33A425EC">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8</w:t>
            </w:r>
          </w:p>
        </w:tc>
      </w:tr>
      <w:tr w14:paraId="3A2442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274AE9FC">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594B8A4D">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4"/>
                <w:sz w:val="21"/>
                <w:szCs w:val="21"/>
                <w:lang w:eastAsia="en-US"/>
                <w14:textFill>
                  <w14:solidFill>
                    <w14:schemeClr w14:val="tx1"/>
                  </w14:solidFill>
                </w14:textFill>
              </w:rPr>
              <w:t>无人机</w:t>
            </w:r>
          </w:p>
        </w:tc>
        <w:tc>
          <w:tcPr>
            <w:tcW w:w="704" w:type="pct"/>
            <w:vAlign w:val="center"/>
          </w:tcPr>
          <w:p w14:paraId="00BF4D87">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架</w:t>
            </w:r>
          </w:p>
        </w:tc>
        <w:tc>
          <w:tcPr>
            <w:tcW w:w="620" w:type="pct"/>
            <w:vAlign w:val="center"/>
          </w:tcPr>
          <w:p w14:paraId="743C9866">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4</w:t>
            </w:r>
          </w:p>
        </w:tc>
      </w:tr>
      <w:tr w14:paraId="4D4AD7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107AB82F">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56511852">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电子天平</w:t>
            </w:r>
          </w:p>
        </w:tc>
        <w:tc>
          <w:tcPr>
            <w:tcW w:w="704" w:type="pct"/>
            <w:vAlign w:val="center"/>
          </w:tcPr>
          <w:p w14:paraId="4B1E1B4B">
            <w:pPr>
              <w:pStyle w:val="142"/>
              <w:rPr>
                <w:rFonts w:ascii="Times New Roman" w:hAnsi="Times New Roman" w:eastAsia="仿宋_GB2312" w:cs="Times New Roman"/>
                <w:b/>
                <w:color w:val="000000" w:themeColor="text1"/>
                <w:sz w:val="21"/>
                <w:szCs w:val="21"/>
                <w:lang w:eastAsia="en-US"/>
                <w14:textFill>
                  <w14:solidFill>
                    <w14:schemeClr w14:val="tx1"/>
                  </w14:solidFill>
                </w14:textFill>
              </w:rPr>
            </w:pPr>
          </w:p>
          <w:p w14:paraId="3B5265B6">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台</w:t>
            </w:r>
          </w:p>
        </w:tc>
        <w:tc>
          <w:tcPr>
            <w:tcW w:w="620" w:type="pct"/>
            <w:vAlign w:val="center"/>
          </w:tcPr>
          <w:p w14:paraId="50005C2F">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4</w:t>
            </w:r>
          </w:p>
        </w:tc>
      </w:tr>
      <w:tr w14:paraId="0D13E3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Align w:val="center"/>
          </w:tcPr>
          <w:p w14:paraId="2FF3ECAF">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遥感设施</w:t>
            </w:r>
          </w:p>
        </w:tc>
        <w:tc>
          <w:tcPr>
            <w:tcW w:w="2193" w:type="pct"/>
            <w:vAlign w:val="center"/>
          </w:tcPr>
          <w:p w14:paraId="600F2E53">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遥感影像卫片</w:t>
            </w:r>
          </w:p>
        </w:tc>
        <w:tc>
          <w:tcPr>
            <w:tcW w:w="704" w:type="pct"/>
            <w:vAlign w:val="center"/>
          </w:tcPr>
          <w:p w14:paraId="4CA88162">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幅</w:t>
            </w:r>
          </w:p>
        </w:tc>
        <w:tc>
          <w:tcPr>
            <w:tcW w:w="620" w:type="pct"/>
            <w:vAlign w:val="center"/>
          </w:tcPr>
          <w:p w14:paraId="7C837430">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20</w:t>
            </w:r>
          </w:p>
        </w:tc>
      </w:tr>
      <w:tr w14:paraId="5F366F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restart"/>
            <w:vAlign w:val="center"/>
          </w:tcPr>
          <w:p w14:paraId="6767FC6D">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消耗性设备</w:t>
            </w:r>
          </w:p>
        </w:tc>
        <w:tc>
          <w:tcPr>
            <w:tcW w:w="2193" w:type="pct"/>
            <w:vAlign w:val="center"/>
          </w:tcPr>
          <w:p w14:paraId="023B2223">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 xml:space="preserve">5m </w:t>
            </w:r>
            <w:r>
              <w:rPr>
                <w:rFonts w:ascii="Times New Roman" w:hAnsi="Times New Roman" w:eastAsia="仿宋_GB2312" w:cs="Times New Roman"/>
                <w:color w:val="000000" w:themeColor="text1"/>
                <w:spacing w:val="-5"/>
                <w:sz w:val="21"/>
                <w:szCs w:val="21"/>
                <w:lang w:eastAsia="en-US"/>
                <w14:textFill>
                  <w14:solidFill>
                    <w14:schemeClr w14:val="tx1"/>
                  </w14:solidFill>
                </w14:textFill>
              </w:rPr>
              <w:t>卷尺</w:t>
            </w:r>
          </w:p>
        </w:tc>
        <w:tc>
          <w:tcPr>
            <w:tcW w:w="704" w:type="pct"/>
            <w:vAlign w:val="center"/>
          </w:tcPr>
          <w:p w14:paraId="76E9A735">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个</w:t>
            </w:r>
          </w:p>
        </w:tc>
        <w:tc>
          <w:tcPr>
            <w:tcW w:w="620" w:type="pct"/>
            <w:vAlign w:val="center"/>
          </w:tcPr>
          <w:p w14:paraId="1C1F54F9">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8</w:t>
            </w:r>
          </w:p>
        </w:tc>
      </w:tr>
      <w:tr w14:paraId="1585F3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23E6DD63">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2ABC5147">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50m</w:t>
            </w:r>
            <w:r>
              <w:rPr>
                <w:rFonts w:ascii="Times New Roman" w:hAnsi="Times New Roman" w:eastAsia="仿宋_GB2312" w:cs="Times New Roman"/>
                <w:color w:val="000000" w:themeColor="text1"/>
                <w:spacing w:val="-2"/>
                <w:sz w:val="21"/>
                <w:szCs w:val="21"/>
                <w:lang w:eastAsia="en-US"/>
                <w14:textFill>
                  <w14:solidFill>
                    <w14:schemeClr w14:val="tx1"/>
                  </w14:solidFill>
                </w14:textFill>
              </w:rPr>
              <w:t xml:space="preserve"> </w:t>
            </w:r>
            <w:r>
              <w:rPr>
                <w:rFonts w:ascii="Times New Roman" w:hAnsi="Times New Roman" w:eastAsia="仿宋_GB2312" w:cs="Times New Roman"/>
                <w:color w:val="000000" w:themeColor="text1"/>
                <w:spacing w:val="-5"/>
                <w:sz w:val="21"/>
                <w:szCs w:val="21"/>
                <w:lang w:eastAsia="en-US"/>
                <w14:textFill>
                  <w14:solidFill>
                    <w14:schemeClr w14:val="tx1"/>
                  </w14:solidFill>
                </w14:textFill>
              </w:rPr>
              <w:t>皮尺</w:t>
            </w:r>
          </w:p>
        </w:tc>
        <w:tc>
          <w:tcPr>
            <w:tcW w:w="704" w:type="pct"/>
            <w:vAlign w:val="center"/>
          </w:tcPr>
          <w:p w14:paraId="679237E5">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个</w:t>
            </w:r>
          </w:p>
        </w:tc>
        <w:tc>
          <w:tcPr>
            <w:tcW w:w="620" w:type="pct"/>
            <w:vAlign w:val="center"/>
          </w:tcPr>
          <w:p w14:paraId="5292E2BF">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4</w:t>
            </w:r>
          </w:p>
        </w:tc>
      </w:tr>
      <w:tr w14:paraId="0E6DC9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73D7F578">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0036EFB9">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4"/>
                <w:sz w:val="21"/>
                <w:szCs w:val="21"/>
                <w:lang w:eastAsia="en-US"/>
                <w14:textFill>
                  <w14:solidFill>
                    <w14:schemeClr w14:val="tx1"/>
                  </w14:solidFill>
                </w14:textFill>
              </w:rPr>
              <w:t>标志绳</w:t>
            </w:r>
          </w:p>
        </w:tc>
        <w:tc>
          <w:tcPr>
            <w:tcW w:w="704" w:type="pct"/>
            <w:vAlign w:val="center"/>
          </w:tcPr>
          <w:p w14:paraId="7023B472">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m</w:t>
            </w:r>
          </w:p>
        </w:tc>
        <w:tc>
          <w:tcPr>
            <w:tcW w:w="620" w:type="pct"/>
            <w:vAlign w:val="center"/>
          </w:tcPr>
          <w:p w14:paraId="45C5C23D">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4"/>
                <w:sz w:val="21"/>
                <w:szCs w:val="21"/>
                <w:lang w:eastAsia="en-US"/>
                <w14:textFill>
                  <w14:solidFill>
                    <w14:schemeClr w14:val="tx1"/>
                  </w14:solidFill>
                </w14:textFill>
              </w:rPr>
              <w:t>600</w:t>
            </w:r>
          </w:p>
        </w:tc>
      </w:tr>
      <w:tr w14:paraId="0F3450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4D81A3E0">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140233FE">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4"/>
                <w:sz w:val="21"/>
                <w:szCs w:val="21"/>
                <w:lang w:eastAsia="en-US"/>
                <w14:textFill>
                  <w14:solidFill>
                    <w14:schemeClr w14:val="tx1"/>
                  </w14:solidFill>
                </w14:textFill>
              </w:rPr>
              <w:t>标志牌</w:t>
            </w:r>
          </w:p>
        </w:tc>
        <w:tc>
          <w:tcPr>
            <w:tcW w:w="704" w:type="pct"/>
            <w:vAlign w:val="center"/>
          </w:tcPr>
          <w:p w14:paraId="0C7579C0">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个</w:t>
            </w:r>
          </w:p>
        </w:tc>
        <w:tc>
          <w:tcPr>
            <w:tcW w:w="620" w:type="pct"/>
            <w:vAlign w:val="center"/>
          </w:tcPr>
          <w:p w14:paraId="7D58E326">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28</w:t>
            </w:r>
          </w:p>
        </w:tc>
      </w:tr>
      <w:tr w14:paraId="406BBD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3C04FE4E">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06ED9977">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4"/>
                <w:sz w:val="21"/>
                <w:szCs w:val="21"/>
                <w:lang w:eastAsia="en-US"/>
                <w14:textFill>
                  <w14:solidFill>
                    <w14:schemeClr w14:val="tx1"/>
                  </w14:solidFill>
                </w14:textFill>
              </w:rPr>
              <w:t>集沙盒</w:t>
            </w:r>
          </w:p>
        </w:tc>
        <w:tc>
          <w:tcPr>
            <w:tcW w:w="704" w:type="pct"/>
            <w:vAlign w:val="center"/>
          </w:tcPr>
          <w:p w14:paraId="17DD353C">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个</w:t>
            </w:r>
          </w:p>
        </w:tc>
        <w:tc>
          <w:tcPr>
            <w:tcW w:w="620" w:type="pct"/>
            <w:vAlign w:val="center"/>
          </w:tcPr>
          <w:p w14:paraId="6CB11776">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150</w:t>
            </w:r>
          </w:p>
        </w:tc>
      </w:tr>
      <w:tr w14:paraId="29FAD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45346140">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197EAFA6">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铝盒</w:t>
            </w:r>
          </w:p>
        </w:tc>
        <w:tc>
          <w:tcPr>
            <w:tcW w:w="704" w:type="pct"/>
            <w:vAlign w:val="center"/>
          </w:tcPr>
          <w:p w14:paraId="31F364F2">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个</w:t>
            </w:r>
          </w:p>
        </w:tc>
        <w:tc>
          <w:tcPr>
            <w:tcW w:w="620" w:type="pct"/>
            <w:vAlign w:val="center"/>
          </w:tcPr>
          <w:p w14:paraId="345D3D2D">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150</w:t>
            </w:r>
          </w:p>
        </w:tc>
      </w:tr>
      <w:tr w14:paraId="0D0370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42CD2EB4">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1A4522EA">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环刀</w:t>
            </w:r>
          </w:p>
        </w:tc>
        <w:tc>
          <w:tcPr>
            <w:tcW w:w="704" w:type="pct"/>
            <w:vAlign w:val="center"/>
          </w:tcPr>
          <w:p w14:paraId="506C0496">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个</w:t>
            </w:r>
          </w:p>
        </w:tc>
        <w:tc>
          <w:tcPr>
            <w:tcW w:w="620" w:type="pct"/>
            <w:vAlign w:val="center"/>
          </w:tcPr>
          <w:p w14:paraId="585DC8A1">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20</w:t>
            </w:r>
          </w:p>
        </w:tc>
      </w:tr>
      <w:tr w14:paraId="145959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55D50E86">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22D7C188">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测钎</w:t>
            </w:r>
          </w:p>
        </w:tc>
        <w:tc>
          <w:tcPr>
            <w:tcW w:w="704" w:type="pct"/>
            <w:vAlign w:val="center"/>
          </w:tcPr>
          <w:p w14:paraId="4737C723">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个</w:t>
            </w:r>
          </w:p>
        </w:tc>
        <w:tc>
          <w:tcPr>
            <w:tcW w:w="620" w:type="pct"/>
            <w:vAlign w:val="center"/>
          </w:tcPr>
          <w:p w14:paraId="5DE77988">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600</w:t>
            </w:r>
          </w:p>
        </w:tc>
      </w:tr>
      <w:tr w14:paraId="19CD77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1483" w:type="pct"/>
            <w:vMerge w:val="continue"/>
            <w:tcBorders>
              <w:top w:val="nil"/>
            </w:tcBorders>
            <w:vAlign w:val="center"/>
          </w:tcPr>
          <w:p w14:paraId="58EB9777">
            <w:pPr>
              <w:widowControl w:val="0"/>
              <w:autoSpaceDE w:val="0"/>
              <w:autoSpaceDN w:val="0"/>
              <w:spacing w:line="240" w:lineRule="auto"/>
              <w:ind w:firstLine="0" w:firstLineChars="0"/>
              <w:jc w:val="center"/>
              <w:rPr>
                <w:rFonts w:ascii="Times New Roman" w:hAnsi="Times New Roman" w:cs="Times New Roman"/>
                <w:color w:val="000000" w:themeColor="text1"/>
                <w:sz w:val="21"/>
                <w:szCs w:val="21"/>
                <w:lang w:eastAsia="en-US"/>
                <w14:textFill>
                  <w14:solidFill>
                    <w14:schemeClr w14:val="tx1"/>
                  </w14:solidFill>
                </w14:textFill>
              </w:rPr>
            </w:pPr>
          </w:p>
        </w:tc>
        <w:tc>
          <w:tcPr>
            <w:tcW w:w="2193" w:type="pct"/>
            <w:vAlign w:val="center"/>
          </w:tcPr>
          <w:p w14:paraId="76F04DD4">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钢钎</w:t>
            </w:r>
          </w:p>
        </w:tc>
        <w:tc>
          <w:tcPr>
            <w:tcW w:w="704" w:type="pct"/>
            <w:vAlign w:val="center"/>
          </w:tcPr>
          <w:p w14:paraId="73704422">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个</w:t>
            </w:r>
          </w:p>
        </w:tc>
        <w:tc>
          <w:tcPr>
            <w:tcW w:w="620" w:type="pct"/>
            <w:vAlign w:val="center"/>
          </w:tcPr>
          <w:p w14:paraId="68E5605F">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600</w:t>
            </w:r>
          </w:p>
        </w:tc>
      </w:tr>
      <w:bookmarkEnd w:id="533"/>
    </w:tbl>
    <w:p w14:paraId="09EFAFFA">
      <w:pPr>
        <w:pStyle w:val="44"/>
        <w:rPr>
          <w:color w:val="000000" w:themeColor="text1"/>
          <w14:textFill>
            <w14:solidFill>
              <w14:schemeClr w14:val="tx1"/>
            </w14:solidFill>
          </w14:textFill>
        </w:rPr>
      </w:pPr>
      <w:bookmarkStart w:id="534" w:name="_Toc85444467"/>
      <w:bookmarkStart w:id="535" w:name="_Toc88833996"/>
      <w:bookmarkStart w:id="536" w:name="_Toc85444633"/>
      <w:bookmarkStart w:id="537" w:name="_Toc85444743"/>
      <w:bookmarkStart w:id="538" w:name="_Toc88821235"/>
    </w:p>
    <w:p w14:paraId="5F5F0799">
      <w:pPr>
        <w:spacing w:line="240" w:lineRule="auto"/>
        <w:ind w:firstLine="0" w:firstLineChars="0"/>
        <w:jc w:val="left"/>
        <w:rPr>
          <w:rFonts w:eastAsia="宋体" w:cs="仿宋"/>
          <w:b/>
          <w:color w:val="000000" w:themeColor="text1"/>
          <w:spacing w:val="4"/>
          <w:szCs w:val="18"/>
          <w:lang w:eastAsia="en-US"/>
          <w14:textFill>
            <w14:solidFill>
              <w14:schemeClr w14:val="tx1"/>
            </w14:solidFill>
          </w14:textFill>
        </w:rPr>
      </w:pPr>
      <w:r>
        <w:rPr>
          <w:color w:val="000000" w:themeColor="text1"/>
          <w14:textFill>
            <w14:solidFill>
              <w14:schemeClr w14:val="tx1"/>
            </w14:solidFill>
          </w14:textFill>
        </w:rPr>
        <w:br w:type="page"/>
      </w:r>
    </w:p>
    <w:p w14:paraId="4927146B">
      <w:pPr>
        <w:pStyle w:val="44"/>
        <w:rPr>
          <w:color w:val="000000" w:themeColor="text1"/>
          <w:spacing w:val="-10"/>
          <w14:textFill>
            <w14:solidFill>
              <w14:schemeClr w14:val="tx1"/>
            </w14:solidFill>
          </w14:textFill>
        </w:rPr>
      </w:pPr>
      <w:r>
        <w:rPr>
          <w:color w:val="000000" w:themeColor="text1"/>
          <w14:textFill>
            <w14:solidFill>
              <w14:schemeClr w14:val="tx1"/>
            </w14:solidFill>
          </w14:textFill>
        </w:rPr>
        <w:t>表</w:t>
      </w:r>
      <w:r>
        <w:rPr>
          <w:color w:val="000000" w:themeColor="text1"/>
          <w:spacing w:val="-15"/>
          <w14:textFill>
            <w14:solidFill>
              <w14:schemeClr w14:val="tx1"/>
            </w14:solidFill>
          </w14:textFill>
        </w:rPr>
        <w:t xml:space="preserve"> </w:t>
      </w:r>
      <w:r>
        <w:rPr>
          <w:color w:val="000000" w:themeColor="text1"/>
          <w14:textFill>
            <w14:solidFill>
              <w14:schemeClr w14:val="tx1"/>
            </w14:solidFill>
          </w14:textFill>
        </w:rPr>
        <w:t>6-</w:t>
      </w:r>
      <w:r>
        <w:rPr>
          <w:color w:val="000000" w:themeColor="text1"/>
          <w:spacing w:val="-12"/>
          <w14:textFill>
            <w14:solidFill>
              <w14:schemeClr w14:val="tx1"/>
            </w14:solidFill>
          </w14:textFill>
        </w:rPr>
        <w:t>4</w:t>
      </w:r>
      <w:r>
        <w:rPr>
          <w:color w:val="000000" w:themeColor="text1"/>
          <w14:textFill>
            <w14:solidFill>
              <w14:schemeClr w14:val="tx1"/>
            </w14:solidFill>
          </w14:textFill>
        </w:rPr>
        <w:tab/>
      </w:r>
      <w:r>
        <w:rPr>
          <w:color w:val="000000" w:themeColor="text1"/>
          <w14:textFill>
            <w14:solidFill>
              <w14:schemeClr w14:val="tx1"/>
            </w14:solidFill>
          </w14:textFill>
        </w:rPr>
        <w:t xml:space="preserve">                                    监测人员配备情</w:t>
      </w:r>
      <w:r>
        <w:rPr>
          <w:color w:val="000000" w:themeColor="text1"/>
          <w:spacing w:val="-10"/>
          <w14:textFill>
            <w14:solidFill>
              <w14:schemeClr w14:val="tx1"/>
            </w14:solidFill>
          </w14:textFill>
        </w:rPr>
        <w:t>况</w:t>
      </w:r>
    </w:p>
    <w:tbl>
      <w:tblPr>
        <w:tblStyle w:val="141"/>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760"/>
        <w:gridCol w:w="1224"/>
        <w:gridCol w:w="713"/>
        <w:gridCol w:w="854"/>
        <w:gridCol w:w="5539"/>
      </w:tblGrid>
      <w:tr w14:paraId="0C8302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418" w:type="pct"/>
            <w:tcBorders>
              <w:bottom w:val="double" w:color="auto" w:sz="4" w:space="0"/>
            </w:tcBorders>
            <w:vAlign w:val="center"/>
          </w:tcPr>
          <w:p w14:paraId="23B7D4FD">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序号</w:t>
            </w:r>
          </w:p>
        </w:tc>
        <w:tc>
          <w:tcPr>
            <w:tcW w:w="673" w:type="pct"/>
            <w:tcBorders>
              <w:bottom w:val="double" w:color="auto" w:sz="4" w:space="0"/>
            </w:tcBorders>
            <w:vAlign w:val="center"/>
          </w:tcPr>
          <w:p w14:paraId="5A70F911">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岗位职责</w:t>
            </w:r>
          </w:p>
        </w:tc>
        <w:tc>
          <w:tcPr>
            <w:tcW w:w="392" w:type="pct"/>
            <w:tcBorders>
              <w:bottom w:val="double" w:color="auto" w:sz="4" w:space="0"/>
            </w:tcBorders>
            <w:vAlign w:val="center"/>
          </w:tcPr>
          <w:p w14:paraId="78F2498E">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单位</w:t>
            </w:r>
          </w:p>
        </w:tc>
        <w:tc>
          <w:tcPr>
            <w:tcW w:w="470" w:type="pct"/>
            <w:tcBorders>
              <w:bottom w:val="double" w:color="auto" w:sz="4" w:space="0"/>
            </w:tcBorders>
            <w:vAlign w:val="center"/>
          </w:tcPr>
          <w:p w14:paraId="181A02AC">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5"/>
                <w:sz w:val="21"/>
                <w:szCs w:val="21"/>
                <w:lang w:eastAsia="en-US"/>
                <w14:textFill>
                  <w14:solidFill>
                    <w14:schemeClr w14:val="tx1"/>
                  </w14:solidFill>
                </w14:textFill>
              </w:rPr>
              <w:t>数量</w:t>
            </w:r>
          </w:p>
        </w:tc>
        <w:tc>
          <w:tcPr>
            <w:tcW w:w="3048" w:type="pct"/>
            <w:tcBorders>
              <w:bottom w:val="double" w:color="auto" w:sz="4" w:space="0"/>
            </w:tcBorders>
            <w:vAlign w:val="center"/>
          </w:tcPr>
          <w:p w14:paraId="42436FE6">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3"/>
                <w:sz w:val="21"/>
                <w:szCs w:val="21"/>
                <w:lang w:eastAsia="en-US"/>
                <w14:textFill>
                  <w14:solidFill>
                    <w14:schemeClr w14:val="tx1"/>
                  </w14:solidFill>
                </w14:textFill>
              </w:rPr>
              <w:t>工作内容</w:t>
            </w:r>
          </w:p>
        </w:tc>
      </w:tr>
      <w:tr w14:paraId="6B3F72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418" w:type="pct"/>
            <w:tcBorders>
              <w:top w:val="double" w:color="auto" w:sz="4" w:space="0"/>
            </w:tcBorders>
            <w:vAlign w:val="center"/>
          </w:tcPr>
          <w:p w14:paraId="6E38190A">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1</w:t>
            </w:r>
          </w:p>
        </w:tc>
        <w:tc>
          <w:tcPr>
            <w:tcW w:w="673" w:type="pct"/>
            <w:tcBorders>
              <w:top w:val="double" w:color="auto" w:sz="4" w:space="0"/>
            </w:tcBorders>
            <w:vAlign w:val="center"/>
          </w:tcPr>
          <w:p w14:paraId="7FDA3BC9">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总监测工程师</w:t>
            </w:r>
          </w:p>
        </w:tc>
        <w:tc>
          <w:tcPr>
            <w:tcW w:w="392" w:type="pct"/>
            <w:tcBorders>
              <w:top w:val="double" w:color="auto" w:sz="4" w:space="0"/>
            </w:tcBorders>
            <w:vAlign w:val="center"/>
          </w:tcPr>
          <w:p w14:paraId="3B9C38AD">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人</w:t>
            </w:r>
          </w:p>
        </w:tc>
        <w:tc>
          <w:tcPr>
            <w:tcW w:w="470" w:type="pct"/>
            <w:tcBorders>
              <w:top w:val="double" w:color="auto" w:sz="4" w:space="0"/>
            </w:tcBorders>
            <w:vAlign w:val="center"/>
          </w:tcPr>
          <w:p w14:paraId="7816A600">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1</w:t>
            </w:r>
          </w:p>
        </w:tc>
        <w:tc>
          <w:tcPr>
            <w:tcW w:w="3048" w:type="pct"/>
            <w:tcBorders>
              <w:top w:val="double" w:color="auto" w:sz="4" w:space="0"/>
            </w:tcBorders>
            <w:vAlign w:val="center"/>
          </w:tcPr>
          <w:p w14:paraId="7FAC2F7A">
            <w:pPr>
              <w:pStyle w:val="142"/>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全面负责项目监测工作的组织、协调、实施和监测成果质量</w:t>
            </w:r>
          </w:p>
        </w:tc>
      </w:tr>
      <w:tr w14:paraId="3DC231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418" w:type="pct"/>
            <w:vAlign w:val="center"/>
          </w:tcPr>
          <w:p w14:paraId="1CF4C8DD">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2</w:t>
            </w:r>
          </w:p>
        </w:tc>
        <w:tc>
          <w:tcPr>
            <w:tcW w:w="673" w:type="pct"/>
            <w:vAlign w:val="center"/>
          </w:tcPr>
          <w:p w14:paraId="2868263D">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项目负责人</w:t>
            </w:r>
          </w:p>
        </w:tc>
        <w:tc>
          <w:tcPr>
            <w:tcW w:w="392" w:type="pct"/>
            <w:vAlign w:val="center"/>
          </w:tcPr>
          <w:p w14:paraId="7862AD9E">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人</w:t>
            </w:r>
          </w:p>
        </w:tc>
        <w:tc>
          <w:tcPr>
            <w:tcW w:w="470" w:type="pct"/>
            <w:vAlign w:val="center"/>
          </w:tcPr>
          <w:p w14:paraId="439E35D5">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1</w:t>
            </w:r>
          </w:p>
        </w:tc>
        <w:tc>
          <w:tcPr>
            <w:tcW w:w="3048" w:type="pct"/>
            <w:vAlign w:val="center"/>
          </w:tcPr>
          <w:p w14:paraId="405D8AE2">
            <w:pPr>
              <w:pStyle w:val="142"/>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2"/>
                <w:position w:val="2"/>
                <w:sz w:val="21"/>
                <w:szCs w:val="21"/>
                <w:lang w:eastAsia="zh-CN"/>
                <w14:textFill>
                  <w14:solidFill>
                    <w14:schemeClr w14:val="tx1"/>
                  </w14:solidFill>
                </w14:textFill>
              </w:rPr>
              <w:t>负责项目监测工作的组织、协调和实施，并负责</w:t>
            </w:r>
            <w:r>
              <w:rPr>
                <w:rFonts w:ascii="Times New Roman" w:hAnsi="Times New Roman" w:eastAsia="仿宋_GB2312" w:cs="Times New Roman"/>
                <w:color w:val="000000" w:themeColor="text1"/>
                <w:spacing w:val="5"/>
                <w:sz w:val="21"/>
                <w:szCs w:val="21"/>
                <w:lang w:eastAsia="en-US"/>
                <w14:textFill>
                  <w14:solidFill>
                    <w14:schemeClr w14:val="tx1"/>
                  </w14:solidFill>
                </w14:textFill>
              </w:rPr>
              <w:drawing>
                <wp:inline distT="0" distB="0" distL="0" distR="0">
                  <wp:extent cx="107315" cy="110490"/>
                  <wp:effectExtent l="0" t="0" r="0" b="0"/>
                  <wp:docPr id="1114" name="Image 1114"/>
                  <wp:cNvGraphicFramePr/>
                  <a:graphic xmlns:a="http://schemas.openxmlformats.org/drawingml/2006/main">
                    <a:graphicData uri="http://schemas.openxmlformats.org/drawingml/2006/picture">
                      <pic:pic xmlns:pic="http://schemas.openxmlformats.org/drawingml/2006/picture">
                        <pic:nvPicPr>
                          <pic:cNvPr id="1114" name="Image 1114"/>
                          <pic:cNvPicPr/>
                        </pic:nvPicPr>
                        <pic:blipFill>
                          <a:blip r:embed="rId104" cstate="email"/>
                          <a:stretch>
                            <a:fillRect/>
                          </a:stretch>
                        </pic:blipFill>
                        <pic:spPr>
                          <a:xfrm>
                            <a:off x="0" y="0"/>
                            <a:ext cx="107949" cy="111124"/>
                          </a:xfrm>
                          <a:prstGeom prst="rect">
                            <a:avLst/>
                          </a:prstGeom>
                        </pic:spPr>
                      </pic:pic>
                    </a:graphicData>
                  </a:graphic>
                </wp:inline>
              </w:drawing>
            </w:r>
            <w:r>
              <w:rPr>
                <w:rFonts w:ascii="Times New Roman" w:hAnsi="Times New Roman" w:eastAsia="仿宋_GB2312" w:cs="Times New Roman"/>
                <w:color w:val="000000" w:themeColor="text1"/>
                <w:spacing w:val="-2"/>
                <w:position w:val="2"/>
                <w:sz w:val="21"/>
                <w:szCs w:val="21"/>
                <w:lang w:eastAsia="zh-CN"/>
                <w14:textFill>
                  <w14:solidFill>
                    <w14:schemeClr w14:val="tx1"/>
                  </w14:solidFill>
                </w14:textFill>
              </w:rPr>
              <w:t>监测环节</w:t>
            </w:r>
            <w:r>
              <w:rPr>
                <w:rFonts w:ascii="Times New Roman" w:hAnsi="Times New Roman" w:eastAsia="仿宋_GB2312" w:cs="Times New Roman"/>
                <w:color w:val="000000" w:themeColor="text1"/>
                <w:spacing w:val="-4"/>
                <w:sz w:val="21"/>
                <w:szCs w:val="21"/>
                <w:lang w:eastAsia="zh-CN"/>
                <w14:textFill>
                  <w14:solidFill>
                    <w14:schemeClr w14:val="tx1"/>
                  </w14:solidFill>
                </w14:textFill>
              </w:rPr>
              <w:t>质量把控</w:t>
            </w:r>
          </w:p>
        </w:tc>
      </w:tr>
      <w:tr w14:paraId="46215E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418" w:type="pct"/>
            <w:vAlign w:val="center"/>
          </w:tcPr>
          <w:p w14:paraId="0DEA49CF">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2</w:t>
            </w:r>
          </w:p>
        </w:tc>
        <w:tc>
          <w:tcPr>
            <w:tcW w:w="673" w:type="pct"/>
            <w:vAlign w:val="center"/>
          </w:tcPr>
          <w:p w14:paraId="781C9AB2">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2"/>
                <w:sz w:val="21"/>
                <w:szCs w:val="21"/>
                <w:lang w:eastAsia="en-US"/>
                <w14:textFill>
                  <w14:solidFill>
                    <w14:schemeClr w14:val="tx1"/>
                  </w14:solidFill>
                </w14:textFill>
              </w:rPr>
              <w:t>监测工程师</w:t>
            </w:r>
          </w:p>
        </w:tc>
        <w:tc>
          <w:tcPr>
            <w:tcW w:w="392" w:type="pct"/>
            <w:vAlign w:val="center"/>
          </w:tcPr>
          <w:p w14:paraId="3F0BB2D9">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人</w:t>
            </w:r>
          </w:p>
        </w:tc>
        <w:tc>
          <w:tcPr>
            <w:tcW w:w="470" w:type="pct"/>
            <w:vAlign w:val="center"/>
          </w:tcPr>
          <w:p w14:paraId="00A03475">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4</w:t>
            </w:r>
          </w:p>
        </w:tc>
        <w:tc>
          <w:tcPr>
            <w:tcW w:w="3048" w:type="pct"/>
            <w:vAlign w:val="center"/>
          </w:tcPr>
          <w:p w14:paraId="66774E82">
            <w:pPr>
              <w:pStyle w:val="142"/>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负责监测数据的采集、整理、汇总、校核，编制监测实施方</w:t>
            </w:r>
          </w:p>
          <w:p w14:paraId="31D9ACB6">
            <w:pPr>
              <w:pStyle w:val="142"/>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案、监测季度报告、监测总结报告等</w:t>
            </w:r>
          </w:p>
        </w:tc>
      </w:tr>
      <w:tr w14:paraId="5A8E98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418" w:type="pct"/>
            <w:vAlign w:val="center"/>
          </w:tcPr>
          <w:p w14:paraId="0E228114">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3</w:t>
            </w:r>
          </w:p>
        </w:tc>
        <w:tc>
          <w:tcPr>
            <w:tcW w:w="673" w:type="pct"/>
            <w:vAlign w:val="center"/>
          </w:tcPr>
          <w:p w14:paraId="724ADD34">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pacing w:val="-4"/>
                <w:sz w:val="21"/>
                <w:szCs w:val="21"/>
                <w:lang w:eastAsia="en-US"/>
                <w14:textFill>
                  <w14:solidFill>
                    <w14:schemeClr w14:val="tx1"/>
                  </w14:solidFill>
                </w14:textFill>
              </w:rPr>
              <w:t>监测员</w:t>
            </w:r>
          </w:p>
        </w:tc>
        <w:tc>
          <w:tcPr>
            <w:tcW w:w="392" w:type="pct"/>
            <w:vAlign w:val="center"/>
          </w:tcPr>
          <w:p w14:paraId="4BEB4989">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人</w:t>
            </w:r>
          </w:p>
        </w:tc>
        <w:tc>
          <w:tcPr>
            <w:tcW w:w="470" w:type="pct"/>
            <w:vAlign w:val="center"/>
          </w:tcPr>
          <w:p w14:paraId="6A9561E0">
            <w:pPr>
              <w:pStyle w:val="142"/>
              <w:rPr>
                <w:rFonts w:ascii="Times New Roman" w:hAnsi="Times New Roman" w:eastAsia="仿宋_GB2312" w:cs="Times New Roman"/>
                <w:color w:val="000000" w:themeColor="text1"/>
                <w:sz w:val="21"/>
                <w:szCs w:val="21"/>
                <w:lang w:eastAsia="en-US"/>
                <w14:textFill>
                  <w14:solidFill>
                    <w14:schemeClr w14:val="tx1"/>
                  </w14:solidFill>
                </w14:textFill>
              </w:rPr>
            </w:pPr>
            <w:r>
              <w:rPr>
                <w:rFonts w:ascii="Times New Roman" w:hAnsi="Times New Roman" w:eastAsia="仿宋_GB2312" w:cs="Times New Roman"/>
                <w:color w:val="000000" w:themeColor="text1"/>
                <w:sz w:val="21"/>
                <w:szCs w:val="21"/>
                <w:lang w:eastAsia="en-US"/>
                <w14:textFill>
                  <w14:solidFill>
                    <w14:schemeClr w14:val="tx1"/>
                  </w14:solidFill>
                </w14:textFill>
              </w:rPr>
              <w:t>3</w:t>
            </w:r>
          </w:p>
        </w:tc>
        <w:tc>
          <w:tcPr>
            <w:tcW w:w="3048" w:type="pct"/>
            <w:vAlign w:val="center"/>
          </w:tcPr>
          <w:p w14:paraId="640A3201">
            <w:pPr>
              <w:pStyle w:val="142"/>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协助监测工程师完成监测数据的采集和整理，并负责监测原</w:t>
            </w:r>
          </w:p>
          <w:p w14:paraId="01ECF369">
            <w:pPr>
              <w:pStyle w:val="142"/>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始记录、文档、 图件、成果的管理</w:t>
            </w:r>
          </w:p>
        </w:tc>
      </w:tr>
    </w:tbl>
    <w:p w14:paraId="04569C2B">
      <w:pPr>
        <w:pStyle w:val="3"/>
        <w:spacing w:before="120" w:after="120"/>
      </w:pPr>
      <w:bookmarkStart w:id="539" w:name="_Toc152535492"/>
      <w:r>
        <w:t>监测成果</w:t>
      </w:r>
      <w:bookmarkEnd w:id="534"/>
      <w:bookmarkEnd w:id="535"/>
      <w:bookmarkEnd w:id="536"/>
      <w:bookmarkEnd w:id="537"/>
      <w:bookmarkEnd w:id="538"/>
      <w:bookmarkEnd w:id="539"/>
    </w:p>
    <w:p w14:paraId="777DDD3E">
      <w:pPr>
        <w:pStyle w:val="4"/>
        <w:spacing w:before="120" w:after="120"/>
      </w:pPr>
      <w:bookmarkStart w:id="540" w:name="_Toc85444634"/>
      <w:r>
        <w:t>监测成果</w:t>
      </w:r>
      <w:bookmarkEnd w:id="540"/>
    </w:p>
    <w:p w14:paraId="76839CA4">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监测工作应严格遵循本报告设计或规定的水土保持监测内容、方法和时段执行。监测单位应根据监测技术规程及本报告设计的该工程水土保持监测内容，制定完善的水土保持监测具体实施方案，并报水行政主管部门备案。监测工作结束后，应向园区涉及的各级水行政主管部门、建设单位提供监测报告。</w:t>
      </w:r>
    </w:p>
    <w:p w14:paraId="4FEE5B32">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水利部关于进一步深化“放管服”改革全面加强水土保持监管的意见（水保〔2019〕160号），水土保持监测采用“绿黄红”三色评价，水土保持监测单位根据监测情况，在监测季报和总结报告等监测成果中提出“绿黄红”三色评价结论。监测成果应当公开，内蒙古包头钢铁冶金开发区金山产业园管理办公室应当在工程建设期间将水土保持监测季报在其官方网站公开。</w:t>
      </w:r>
    </w:p>
    <w:p w14:paraId="3DD100B0">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园区的水土保持监测成果应包括水土保持监测实施方案、水土保持监测报告、监测数据、影像资料及相关附图附件等。图件应包括项目区地理位置图、监测分区与监测点分布图等。数据表（册）应包括原始记录表和汇总分析表。影像资料应包括监测过程中拍摄的反映水土流失动态变化及其治理措施实施情况的照片、录像等。监测成果应采用纸质和电子版形式保存，做好数据备份。</w:t>
      </w:r>
    </w:p>
    <w:p w14:paraId="57CC138C">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（1）区域水土保持监测实施方案</w:t>
      </w:r>
    </w:p>
    <w:p w14:paraId="6BFAD2EA">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为满足生产建设项目水土保持监测规范、系统的进行，保证监测结果的可靠性，在监测工作开展伊始，应根据《生产建设项目水土保持监测与评价标准》、《水土流失动态监测优化技术方案》和本评估报告，编制切实可行的《区域水土保持监测实施方案》，在实施方案中对监测项目建设内容充分分析，明确监测计划，为实施监测奠定基础。</w:t>
      </w:r>
    </w:p>
    <w:p w14:paraId="10C7DE3A">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（2）水土保持监测季度报告</w:t>
      </w:r>
    </w:p>
    <w:p w14:paraId="591E1AE4">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在项目监测期间，每个季度应单独形成季度监测报表，并上报涉及的水行政主管部门。季度监测报表应如实反映监测过程中园区入驻项目，特别是在建项目水土保持工作情况、水土保持措施建设情况（质量、进度等），特别是因工程建设造成的水土流失及防治等建议。季度监测报表中应包含园区扰动土地面积、植被占压面积、取弃土场情况、水土保持工程进度、水土流失因子及流失量、水土流失灾害、存在问题与建议等内容。</w:t>
      </w:r>
    </w:p>
    <w:p w14:paraId="200A9C14">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（3）区域水土保持监测年度报告</w:t>
      </w:r>
    </w:p>
    <w:p w14:paraId="278A0FA0">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年度报告中需要有园区入驻项目及基础设施工程建设进度、园区水土流失因子变化情况，包括降雨、风力等；园区年度水土流失防治工作及水土保持措施的实施情况等；监测工作年度开展情况、技术人员配备、驻地情况、监测频次、监测设施设备、监测点布设情况，阶段成果及报送情况等。还应说明下一年度工作安排和重点监测内容。</w:t>
      </w:r>
    </w:p>
    <w:p w14:paraId="061076C0">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（4）园区水土保持监测总结报告</w:t>
      </w:r>
    </w:p>
    <w:p w14:paraId="6E2D78CD">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监测报告中必须包含防治责任范围动态监测结果、弃土弃渣动态监测结果、地表扰动面积动态监测结果、土壤流失量动态监测结果、各地表扰动类型土壤流失量、水土流失防治动态监测结果、区域防治目标计算评价结果等内容。报告章节包括园区入驻项目及基础设施建设项目和水土保持工作概况、重点部位水土流失动态监测结果、水土流失防治措施监测结果、水土流失量分析、水土流失防治效果监测结果及监测结论等。</w:t>
      </w:r>
    </w:p>
    <w:p w14:paraId="5AEEE654">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（5）严重水土流失危害事件报告</w:t>
      </w:r>
    </w:p>
    <w:p w14:paraId="03969D7D">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因降雨、大风、或人为因素发生严重水土流失及危害事件的，应于事件发生后一周内报告有关情况。</w:t>
      </w:r>
    </w:p>
    <w:p w14:paraId="4244FCC7">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（6）监测数据资料</w:t>
      </w:r>
    </w:p>
    <w:p w14:paraId="6BA3086E">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主要包含监测人员现场记录、监测仪器保存的监测数据，监测数据是后期监测总结报告和设施验收报告编写的重要数据来源，应注意保证监测数据的真实性、有效性、完整性。</w:t>
      </w:r>
    </w:p>
    <w:p w14:paraId="14EE23C2">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（7）影像资料</w:t>
      </w:r>
    </w:p>
    <w:p w14:paraId="2DA00AC0">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影像资料客观记录了园区建设情况，为监测工作实施提供直观依据。影像资料包括入驻项目重要位置、建设期间临时防护措施、监测过程、监测设施等影像资料。</w:t>
      </w:r>
    </w:p>
    <w:p w14:paraId="4C17E932">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（8）附图与附件</w:t>
      </w:r>
    </w:p>
    <w:p w14:paraId="52ED6E8E">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图件应包括园区地理位置图、监测分区与监测点分布图等。数据表（册）应包括原始记录表和汇总分析表，附件主要包括监测技术服务委托书和水土保持区域评估批复等。</w:t>
      </w:r>
    </w:p>
    <w:p w14:paraId="53C84C67">
      <w:pPr>
        <w:pStyle w:val="4"/>
        <w:spacing w:before="120" w:after="120"/>
      </w:pPr>
      <w:bookmarkStart w:id="541" w:name="_Toc85444635"/>
      <w:r>
        <w:t>监测制度</w:t>
      </w:r>
      <w:bookmarkEnd w:id="541"/>
    </w:p>
    <w:p w14:paraId="057D4802">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（1）园区</w:t>
      </w:r>
      <w:r>
        <w:rPr>
          <w:rFonts w:hint="eastAsia" w:cs="Times New Roman"/>
          <w:color w:val="000000" w:themeColor="text1"/>
          <w14:textFill>
            <w14:solidFill>
              <w14:schemeClr w14:val="tx1"/>
            </w14:solidFill>
          </w14:textFill>
        </w:rPr>
        <w:t>通过水土保持区域评估技术审查后</w:t>
      </w:r>
      <w:r>
        <w:rPr>
          <w:rFonts w:cs="Times New Roman"/>
          <w:color w:val="000000" w:themeColor="text1"/>
          <w14:textFill>
            <w14:solidFill>
              <w14:schemeClr w14:val="tx1"/>
            </w14:solidFill>
          </w14:textFill>
        </w:rPr>
        <w:t>，水土保持监测由相应的园区自行监测或委托具有水土保持监测能力的单位开展水土保持监测工作</w:t>
      </w:r>
      <w:r>
        <w:rPr>
          <w:rFonts w:hint="eastAsia" w:cs="Times New Roman"/>
          <w:color w:val="000000" w:themeColor="text1"/>
          <w14:textFill>
            <w14:solidFill>
              <w14:schemeClr w14:val="tx1"/>
            </w14:solidFill>
          </w14:textFill>
        </w:rPr>
        <w:t>，园区将统一开展水土保持监测工作，监测成果可供区域内项目共享使用。</w:t>
      </w:r>
      <w:r>
        <w:rPr>
          <w:rFonts w:cs="Times New Roman"/>
          <w:color w:val="000000" w:themeColor="text1"/>
          <w14:textFill>
            <w14:solidFill>
              <w14:schemeClr w14:val="tx1"/>
            </w14:solidFill>
          </w14:textFill>
        </w:rPr>
        <w:t>每次监测前，对监测仪器进行检验，合格后方方可投入使用；对收集、观测、调查的降水量、含沙量、气象、试验数据等资料进行系统的整理、整编及严格的审查。</w:t>
      </w:r>
    </w:p>
    <w:p w14:paraId="599CEC39">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（2）承担水土保持监测的单位在开展监测工作之前应制定《生产建设项目水土保持监测实施方案》，根据工程建设进度合理安排监测频次，确定监测的重点内容和重点部位。</w:t>
      </w:r>
    </w:p>
    <w:p w14:paraId="16EE4BA4">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承担监测的机构应定期向委托单位报送监测成果，监测资料应加盖建设单位和园区监测承担单位印章；园区建设期间，在每季度的第一个月报送上一季度的水土保持监测季度报告表；监测任务完成后三个月内报送水土保持监测总报告；如发现生产建设单位违规弃渣、擅自变更弃土弃渣场造成防洪安全隐患、不合理施工造成严重水土流失等情况的，应随时报告。</w:t>
      </w:r>
    </w:p>
    <w:p w14:paraId="00C8AB67">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园区水土保持监测应定点监测和巡视监测相结合，注重量化的内容，入驻项目及基础设施建设监测应充分反映施工过程；对施工前后园区水土流失状况、建设单位实施水土保持临时防护措施和永久措施的时间、数量、防护效果等，应作详细记录；并拍摄现场照片或录像，通过监控设备发送至省水土保持信息管理系统网站入档管理。</w:t>
      </w:r>
    </w:p>
    <w:p w14:paraId="1DA9AE4E">
      <w:pPr>
        <w:widowControl w:val="0"/>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（5）监测机构应定期监测，保证监测质量，保证监测数据的全面性和真实可靠性，并可采用培训、现场指导等形式参与建设单位的施工管理。</w:t>
      </w:r>
      <w:bookmarkEnd w:id="483"/>
      <w:bookmarkEnd w:id="484"/>
      <w:bookmarkEnd w:id="485"/>
      <w:bookmarkEnd w:id="486"/>
      <w:bookmarkEnd w:id="497"/>
      <w:bookmarkEnd w:id="498"/>
      <w:bookmarkEnd w:id="499"/>
      <w:bookmarkStart w:id="542" w:name="_Toc177552528"/>
      <w:bookmarkStart w:id="543" w:name="_Toc177388982"/>
      <w:bookmarkStart w:id="544" w:name="_Toc153544876"/>
      <w:bookmarkStart w:id="545" w:name="_Toc139079290"/>
    </w:p>
    <w:p w14:paraId="4F965317">
      <w:pPr>
        <w:widowControl w:val="0"/>
        <w:ind w:firstLine="480"/>
        <w:rPr>
          <w:rFonts w:cs="Times New Roman"/>
          <w:color w:val="000000" w:themeColor="text1"/>
          <w14:textFill>
            <w14:solidFill>
              <w14:schemeClr w14:val="tx1"/>
            </w14:solidFill>
          </w14:textFill>
        </w:rPr>
      </w:pPr>
    </w:p>
    <w:p w14:paraId="371131A7">
      <w:pPr>
        <w:widowControl w:val="0"/>
        <w:ind w:firstLine="480"/>
        <w:rPr>
          <w:rFonts w:cs="Times New Roman"/>
          <w:color w:val="000000" w:themeColor="text1"/>
          <w14:textFill>
            <w14:solidFill>
              <w14:schemeClr w14:val="tx1"/>
            </w14:solidFill>
          </w14:textFill>
        </w:rPr>
        <w:sectPr>
          <w:headerReference r:id="rId79" w:type="default"/>
          <w:footerReference r:id="rId80" w:type="default"/>
          <w:pgSz w:w="11906" w:h="16838"/>
          <w:pgMar w:top="1418" w:right="1418" w:bottom="1418" w:left="1418" w:header="850" w:footer="850" w:gutter="0"/>
          <w:cols w:space="720" w:num="1"/>
          <w:docGrid w:linePitch="326" w:charSpace="0"/>
        </w:sectPr>
      </w:pPr>
    </w:p>
    <w:bookmarkEnd w:id="542"/>
    <w:bookmarkEnd w:id="543"/>
    <w:p w14:paraId="59205157">
      <w:pPr>
        <w:pStyle w:val="2"/>
        <w:rPr>
          <w:color w:val="000000" w:themeColor="text1"/>
          <w14:textFill>
            <w14:solidFill>
              <w14:schemeClr w14:val="tx1"/>
            </w14:solidFill>
          </w14:textFill>
        </w:rPr>
      </w:pPr>
      <w:bookmarkStart w:id="546" w:name="_Toc55920630"/>
      <w:bookmarkStart w:id="547" w:name="_Toc5480410"/>
      <w:bookmarkStart w:id="548" w:name="_Toc85444641"/>
      <w:bookmarkStart w:id="549" w:name="_Toc152535493"/>
      <w:bookmarkStart w:id="550" w:name="_Toc85444471"/>
      <w:bookmarkStart w:id="551" w:name="_Toc85444747"/>
      <w:bookmarkStart w:id="552" w:name="_Toc88821236"/>
      <w:bookmarkStart w:id="553" w:name="_Toc88833997"/>
      <w:r>
        <w:rPr>
          <w:color w:val="000000" w:themeColor="text1"/>
          <w14:textFill>
            <w14:solidFill>
              <w14:schemeClr w14:val="tx1"/>
            </w14:solidFill>
          </w14:textFill>
        </w:rPr>
        <w:t>水土保持</w:t>
      </w:r>
      <w:bookmarkEnd w:id="546"/>
      <w:bookmarkEnd w:id="547"/>
      <w:r>
        <w:rPr>
          <w:color w:val="000000" w:themeColor="text1"/>
          <w14:textFill>
            <w14:solidFill>
              <w14:schemeClr w14:val="tx1"/>
            </w14:solidFill>
          </w14:textFill>
        </w:rPr>
        <w:t>保障措施</w:t>
      </w:r>
      <w:bookmarkEnd w:id="548"/>
      <w:bookmarkEnd w:id="549"/>
      <w:bookmarkEnd w:id="550"/>
      <w:bookmarkEnd w:id="551"/>
      <w:bookmarkEnd w:id="552"/>
      <w:bookmarkEnd w:id="553"/>
    </w:p>
    <w:p w14:paraId="796CEB3B">
      <w:pPr>
        <w:pStyle w:val="3"/>
        <w:spacing w:before="120" w:after="120"/>
      </w:pPr>
      <w:bookmarkStart w:id="554" w:name="_Toc85444748"/>
      <w:bookmarkStart w:id="555" w:name="_Toc85444642"/>
      <w:bookmarkStart w:id="556" w:name="_Toc88833998"/>
      <w:bookmarkStart w:id="557" w:name="_Toc85444472"/>
      <w:bookmarkStart w:id="558" w:name="_Toc88821237"/>
      <w:bookmarkStart w:id="559" w:name="_Toc152535494"/>
      <w:bookmarkStart w:id="560" w:name="_Toc295919513"/>
      <w:bookmarkStart w:id="561" w:name="_Toc55920631"/>
      <w:bookmarkStart w:id="562" w:name="_Toc5480411"/>
      <w:r>
        <w:t>组织管理</w:t>
      </w:r>
      <w:bookmarkEnd w:id="554"/>
      <w:bookmarkEnd w:id="555"/>
      <w:bookmarkEnd w:id="556"/>
      <w:bookmarkEnd w:id="557"/>
      <w:bookmarkEnd w:id="558"/>
      <w:bookmarkEnd w:id="559"/>
      <w:bookmarkEnd w:id="560"/>
      <w:bookmarkEnd w:id="561"/>
      <w:bookmarkEnd w:id="562"/>
    </w:p>
    <w:p w14:paraId="53E17831">
      <w:pPr>
        <w:pStyle w:val="4"/>
        <w:spacing w:before="120" w:after="120"/>
      </w:pPr>
      <w:r>
        <w:rPr>
          <w:rFonts w:hint="eastAsia"/>
        </w:rPr>
        <w:t>管理机构</w:t>
      </w:r>
    </w:p>
    <w:p w14:paraId="0C850A29">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根据国家水土保持法律、法规及相关规定，水土保持区域评估报告经审查通过后，内蒙古包头钢铁冶金开发区金山产业园管理办公室应成立专门的水土保持工作管理机构，并设专人（专职或兼职）负责园区的水土保持管理工作。该机构应组织落实水土保持区域评估报告中的各项水土流失防治措施，确保园区开发建设过程中与当地水行政主管部门密切配合，共同对相关违法行为进行调查处理。同时，要积极做好区域水土保持工程的实施和检查指导工作，全力保障产业园的水土保持工作按年度、按计划顺利进行。</w:t>
      </w:r>
    </w:p>
    <w:p w14:paraId="6E984332">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内蒙古包头钢铁冶金开发区金山产业园管理办公室应将水土保持区域评估报告与产业园内入驻建设项目共享，以确保产业园区内的建设项目能够依据评估报告确定的园区水土流失防治控制目标和分功能区防治措施体系，结合入园建设项目的水土流失特点，细化建设项目的水土保持措施设计。在项目工程开工前，应按承诺制规定办理水土保持相关手续，确保水土保持工作的合规性和有效性。</w:t>
      </w:r>
      <w:r>
        <w:rPr>
          <w:rFonts w:hint="eastAsia" w:cs="Times New Roman"/>
          <w:color w:val="000000" w:themeColor="text1"/>
          <w14:textFill>
            <w14:solidFill>
              <w14:schemeClr w14:val="tx1"/>
            </w14:solidFill>
          </w14:textFill>
        </w:rPr>
        <w:t>根据《关于区域评估范围内项目涉水许可实施承诺制管理的指导意见》（内水办〔2022〕14号）、《关于实施涉水区域评估工作的指导意见》（内水办〔2022〕19号）等文件规定，开工前需填写好《内蒙古自治区区域评估范围内项目涉水许可承诺书》，向区域所在水行政主管部门和园区管理机构备案，其入驻项目应对各自具体项目的水土流失防治责任范围内的水土流失负责。</w:t>
      </w:r>
    </w:p>
    <w:p w14:paraId="14B25B20">
      <w:pPr>
        <w:pStyle w:val="4"/>
        <w:spacing w:before="120" w:after="120"/>
      </w:pPr>
      <w:r>
        <w:rPr>
          <w:rFonts w:hint="eastAsia"/>
        </w:rPr>
        <w:t>管理职责</w:t>
      </w:r>
    </w:p>
    <w:p w14:paraId="7FF16317">
      <w:pPr>
        <w:ind w:firstLine="480"/>
      </w:pPr>
      <w:r>
        <w:rPr>
          <w:rFonts w:hint="eastAsia"/>
        </w:rPr>
        <w:t>建设管理单位内蒙古包头钢铁冶金开发区金山产业园管理办公室为水土保持管理机构。具体负责管理内容如下：</w:t>
      </w:r>
    </w:p>
    <w:p w14:paraId="2A041BBF">
      <w:pPr>
        <w:ind w:firstLine="480"/>
      </w:pPr>
      <w:r>
        <w:rPr>
          <w:rFonts w:hint="eastAsia"/>
        </w:rPr>
        <w:t>（1）认真执行水土保持法规和标准；</w:t>
      </w:r>
    </w:p>
    <w:p w14:paraId="1C699060">
      <w:pPr>
        <w:ind w:firstLine="480"/>
      </w:pPr>
      <w:r>
        <w:rPr>
          <w:rFonts w:hint="eastAsia"/>
        </w:rPr>
        <w:t>（2）制定并组织实施水土保持区域评估计划；</w:t>
      </w:r>
    </w:p>
    <w:p w14:paraId="73515427">
      <w:pPr>
        <w:ind w:firstLine="480"/>
      </w:pPr>
      <w:r>
        <w:rPr>
          <w:rFonts w:hint="eastAsia"/>
        </w:rPr>
        <w:t>（3）建立水土保持工程档案；</w:t>
      </w:r>
    </w:p>
    <w:p w14:paraId="299E99AD">
      <w:pPr>
        <w:ind w:firstLine="480"/>
      </w:pPr>
      <w:r>
        <w:rPr>
          <w:rFonts w:hint="eastAsia"/>
        </w:rPr>
        <w:t>（4）园区建设开始时以及每年的年初应向审批机关及当地的水行政主管部门报告建设信息及水土保持工作情况；</w:t>
      </w:r>
    </w:p>
    <w:p w14:paraId="1238723B">
      <w:pPr>
        <w:ind w:firstLine="480"/>
      </w:pPr>
      <w:r>
        <w:rPr>
          <w:rFonts w:hint="eastAsia"/>
        </w:rPr>
        <w:t>（5）建议领导组织本园区的水土保持监测；</w:t>
      </w:r>
    </w:p>
    <w:p w14:paraId="64909346">
      <w:pPr>
        <w:ind w:firstLine="480"/>
      </w:pPr>
      <w:r>
        <w:rPr>
          <w:rFonts w:hint="eastAsia"/>
        </w:rPr>
        <w:t>（6）负责园区水土保持工程的招投标工作；</w:t>
      </w:r>
    </w:p>
    <w:p w14:paraId="138FED77">
      <w:pPr>
        <w:ind w:firstLine="480"/>
      </w:pPr>
      <w:r>
        <w:rPr>
          <w:rFonts w:hint="eastAsia"/>
        </w:rPr>
        <w:t>（7）检查本园区水土保持措施落实情况，注重积累并整理水土保持资料，特别是质量评定的原始资料和临时防护措施的影像资料；</w:t>
      </w:r>
    </w:p>
    <w:p w14:paraId="4B7D6E55">
      <w:pPr>
        <w:ind w:firstLine="480"/>
      </w:pPr>
      <w:r>
        <w:rPr>
          <w:rFonts w:hint="eastAsia"/>
        </w:rPr>
        <w:t>（8）负责推广应用水土保持先进技术和经验；</w:t>
      </w:r>
    </w:p>
    <w:p w14:paraId="12A2C264">
      <w:pPr>
        <w:ind w:firstLine="480"/>
      </w:pPr>
      <w:r>
        <w:rPr>
          <w:rFonts w:hint="eastAsia"/>
        </w:rPr>
        <w:t>（9）组织开展本园区的水土保持专业培训、提高人员素质水平；</w:t>
      </w:r>
    </w:p>
    <w:p w14:paraId="41D242B6">
      <w:pPr>
        <w:ind w:firstLine="480"/>
      </w:pPr>
      <w:r>
        <w:rPr>
          <w:rFonts w:hint="eastAsia"/>
        </w:rPr>
        <w:t>（10）负责建立健全方案实施、检查、验收的具体办法和制度，切实保证年度的水土保持工作按要求落到实处；</w:t>
      </w:r>
    </w:p>
    <w:p w14:paraId="3C9505A1">
      <w:pPr>
        <w:ind w:firstLine="480"/>
      </w:pPr>
      <w:r>
        <w:rPr>
          <w:rFonts w:hint="eastAsia"/>
        </w:rPr>
        <w:t>（11）负责组织本园区水土保持设施自主验收工作，并向水行政主管部门报备；</w:t>
      </w:r>
    </w:p>
    <w:p w14:paraId="5BC39D82">
      <w:pPr>
        <w:ind w:firstLine="480"/>
      </w:pPr>
      <w:r>
        <w:rPr>
          <w:rFonts w:hint="eastAsia"/>
        </w:rPr>
        <w:t>（12）负责合理安排使用水土保持资金。</w:t>
      </w:r>
    </w:p>
    <w:p w14:paraId="605B4556">
      <w:pPr>
        <w:pStyle w:val="4"/>
        <w:spacing w:before="120" w:after="120"/>
      </w:pPr>
      <w:r>
        <w:rPr>
          <w:rFonts w:hint="eastAsia"/>
        </w:rPr>
        <w:t>管理制度</w:t>
      </w:r>
    </w:p>
    <w:p w14:paraId="0ADF185B">
      <w:pPr>
        <w:ind w:firstLine="480"/>
      </w:pPr>
      <w:r>
        <w:rPr>
          <w:rFonts w:hint="eastAsia"/>
        </w:rPr>
        <w:t>根据质量管理要求，建立岗位责任制，落实管理要求，制定包头金山经济开发区水土保持工作管理办法。</w:t>
      </w:r>
    </w:p>
    <w:p w14:paraId="69210737">
      <w:pPr>
        <w:ind w:firstLine="480"/>
      </w:pPr>
      <w:r>
        <w:rPr>
          <w:rFonts w:hint="eastAsia"/>
        </w:rPr>
        <w:t>将水土保持工程纳入招标投标管理体系，在设计、施工、监理、监测、验收各个环节逐一落实，合同文件中应有明确的水土保持条款。水土保持工程和入园项目主体工程一起参与招投标工作。对参与招投标的施工单位，进行严格的资质审查，确保施工质量。水土保持工程可单独进行招投标，也可分别落实到入园项目主体工程各主体标内。招标文件明确承包商的水土流失防治责任范围、水土保持要求、工程质量、设计参数和费用计量支付办法等内容。</w:t>
      </w:r>
    </w:p>
    <w:p w14:paraId="1DBAF21E">
      <w:pPr>
        <w:ind w:firstLine="480"/>
      </w:pPr>
      <w:r>
        <w:rPr>
          <w:rFonts w:hint="eastAsia"/>
        </w:rPr>
        <w:t>根据《水利部办公厅关于做好生产建设项目水土保持承诺制管理的通知》（办水保〔2020〕160号）和《水利部办公厅关于进一步优化开发区内生产建设项目水土保持管理工作的意见》（办水保〔2020〕235号），对园区内应当编制水土保持方案的项目全面实行水土保持承诺制管理（弃渣场设置在园区外的除外），生产建设单位应在项目开工建设前，根据审批权限向水行政主管部门或其他审批部门提交申请材料，审批部门按水土保持承诺制相关要求办理，形成由建设单位法人代表签字、盖公章和水行政主管部门或其他审批部门盖公章的水土保持行政许可承诺书，入驻园区企业需在承诺书中承诺的内容如下：</w:t>
      </w:r>
    </w:p>
    <w:p w14:paraId="2BF7F39F">
      <w:pPr>
        <w:ind w:firstLine="480"/>
      </w:pPr>
      <w:r>
        <w:rPr>
          <w:rFonts w:hint="eastAsia"/>
        </w:rPr>
        <w:t>（1）已经知晓并将认真履行水土保持各项法定义务；</w:t>
      </w:r>
    </w:p>
    <w:p w14:paraId="02D5C880">
      <w:pPr>
        <w:ind w:firstLine="480"/>
      </w:pPr>
      <w:r>
        <w:rPr>
          <w:rFonts w:hint="eastAsia"/>
        </w:rPr>
        <w:t>（2）所填写的信息真实、完整、准确，所提交的水土保持方案符合相关法律法规、技术标准的要求；</w:t>
      </w:r>
    </w:p>
    <w:p w14:paraId="195A8452">
      <w:pPr>
        <w:ind w:firstLine="480"/>
      </w:pPr>
      <w:r>
        <w:rPr>
          <w:rFonts w:hint="eastAsia"/>
        </w:rPr>
        <w:t>（3）严格执行水土保持“三同时”制度，按照所提交的水土保持方案，落实各项水土保持措施，有效防治项目建设中的水土流失。项目投产使用前完成水土保持设施自主验收并报备；</w:t>
      </w:r>
    </w:p>
    <w:p w14:paraId="5CAF187D">
      <w:pPr>
        <w:ind w:firstLine="480"/>
      </w:pPr>
      <w:r>
        <w:rPr>
          <w:rFonts w:hint="eastAsia"/>
        </w:rPr>
        <w:t>（4）依法依规按时足额缴纳水土保持补偿费；</w:t>
      </w:r>
    </w:p>
    <w:p w14:paraId="774E5B84">
      <w:pPr>
        <w:ind w:firstLine="480"/>
      </w:pPr>
      <w:r>
        <w:rPr>
          <w:rFonts w:hint="eastAsia"/>
        </w:rPr>
        <w:t>（5）积极配合水土保持监督检查；</w:t>
      </w:r>
    </w:p>
    <w:p w14:paraId="0DC1A755">
      <w:pPr>
        <w:ind w:firstLine="480"/>
      </w:pPr>
      <w:r>
        <w:rPr>
          <w:rFonts w:hint="eastAsia"/>
        </w:rPr>
        <w:t>（6）愿意承担做出不实承诺或者未履行承诺的法律责任和失信责任。</w:t>
      </w:r>
    </w:p>
    <w:p w14:paraId="1DA144EB">
      <w:pPr>
        <w:pStyle w:val="4"/>
        <w:spacing w:before="120" w:after="120"/>
      </w:pPr>
      <w:r>
        <w:rPr>
          <w:rFonts w:hint="eastAsia"/>
        </w:rPr>
        <w:t>管理措施</w:t>
      </w:r>
    </w:p>
    <w:p w14:paraId="5DC1558D">
      <w:pPr>
        <w:ind w:firstLine="480"/>
      </w:pPr>
      <w:r>
        <w:rPr>
          <w:rFonts w:hint="eastAsia"/>
        </w:rPr>
        <w:t>（1）建设管理单位要把水土保持工作列入重要议事日程，真正做到责任、措施和投入“三到位”，认真组织报告的实施和管理，定期进行检查，并自觉接受社会和主管部门监督。</w:t>
      </w:r>
    </w:p>
    <w:p w14:paraId="2F9E877D">
      <w:pPr>
        <w:ind w:firstLine="480"/>
      </w:pPr>
      <w:r>
        <w:rPr>
          <w:rFonts w:hint="eastAsia"/>
        </w:rPr>
        <w:t>（2）建设管理单位督促入驻生产建设单位填写好《内蒙古自治区区域评估范围内项目涉水许可承诺书》，并统一接收，集中向水行政主管部门进行承诺备案。</w:t>
      </w:r>
    </w:p>
    <w:p w14:paraId="36C33948">
      <w:pPr>
        <w:ind w:firstLine="480"/>
      </w:pPr>
      <w:r>
        <w:rPr>
          <w:rFonts w:hint="eastAsia"/>
        </w:rPr>
        <w:t>（3）建设管理单位督促入驻生产建设单位完成好水土保持监理及验收工作。</w:t>
      </w:r>
    </w:p>
    <w:p w14:paraId="3FF3A95E">
      <w:pPr>
        <w:ind w:firstLine="480"/>
      </w:pPr>
      <w:r>
        <w:rPr>
          <w:rFonts w:hint="eastAsia"/>
        </w:rPr>
        <w:t>（4）入驻生产建设单位施工建设期间，对水土保持工程现场进行定期或不定期的检查，掌握建设期水土流失及其防治措施落实状况。</w:t>
      </w:r>
    </w:p>
    <w:p w14:paraId="6DEBCE1F">
      <w:pPr>
        <w:ind w:firstLine="480"/>
      </w:pPr>
      <w:r>
        <w:rPr>
          <w:rFonts w:hint="eastAsia"/>
        </w:rPr>
        <w:t>（5）协助办理水土保持监理和设施验收等相关手续。</w:t>
      </w:r>
    </w:p>
    <w:p w14:paraId="33ADA180">
      <w:pPr>
        <w:ind w:firstLine="480"/>
      </w:pPr>
      <w:r>
        <w:rPr>
          <w:rFonts w:hint="eastAsia"/>
        </w:rPr>
        <w:t>（6）加强水土保持的宣传和教育工作，提高各级管理人员及入驻生产建设单位的水土保持意识。</w:t>
      </w:r>
    </w:p>
    <w:p w14:paraId="0888C2E5">
      <w:pPr>
        <w:ind w:firstLine="480"/>
      </w:pPr>
      <w:r>
        <w:rPr>
          <w:rFonts w:hint="eastAsia"/>
        </w:rPr>
        <w:t>（7）制定水土流失危害事件应对处理方案，对重大险情或事故及时补救等措施。</w:t>
      </w:r>
    </w:p>
    <w:p w14:paraId="1DAC6B8D">
      <w:pPr>
        <w:pStyle w:val="3"/>
        <w:spacing w:before="120" w:after="120"/>
      </w:pPr>
      <w:bookmarkStart w:id="563" w:name="_Toc55920634"/>
      <w:bookmarkStart w:id="564" w:name="_Toc85444473"/>
      <w:bookmarkStart w:id="565" w:name="_Toc88833999"/>
      <w:bookmarkStart w:id="566" w:name="_Toc85444749"/>
      <w:bookmarkStart w:id="567" w:name="_Toc85444645"/>
      <w:bookmarkStart w:id="568" w:name="_Toc88821238"/>
      <w:bookmarkStart w:id="569" w:name="_Toc152535495"/>
      <w:bookmarkStart w:id="570" w:name="_Toc295919514"/>
      <w:r>
        <w:t>水土保持监测</w:t>
      </w:r>
      <w:bookmarkEnd w:id="563"/>
      <w:bookmarkEnd w:id="564"/>
      <w:bookmarkEnd w:id="565"/>
      <w:bookmarkEnd w:id="566"/>
      <w:bookmarkEnd w:id="567"/>
      <w:bookmarkEnd w:id="568"/>
      <w:bookmarkEnd w:id="569"/>
    </w:p>
    <w:p w14:paraId="4C75DE54">
      <w:pPr>
        <w:ind w:firstLine="480"/>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为持续深化“放管服”改革，全面加强水土保持监管工作，根据《水利部关于进一步深化“放管服”改革全面加强水土保持监管的意见》(水保[2019]160号)、《水利部办公厅关于进一步加强生产建设项目水土保持监测工作的通知》（办水保[2020]161号）和《水利部办公厅关于进一步优化开发区内生产建设项目水土保持管理工作的意见》(办水保[2020]235号)的要求，</w:t>
      </w:r>
      <w:r>
        <w:rPr>
          <w:rFonts w:hint="eastAsia" w:cs="Times New Roman"/>
          <w:snapToGrid w:val="0"/>
          <w:color w:val="000000" w:themeColor="text1"/>
          <w14:textFill>
            <w14:solidFill>
              <w14:schemeClr w14:val="tx1"/>
            </w14:solidFill>
          </w14:textFill>
        </w:rPr>
        <w:t>建议</w:t>
      </w:r>
      <w:r>
        <w:rPr>
          <w:rFonts w:cs="Times New Roman"/>
          <w:snapToGrid w:val="0"/>
          <w:color w:val="000000" w:themeColor="text1"/>
          <w14:textFill>
            <w14:solidFill>
              <w14:schemeClr w14:val="tx1"/>
            </w14:solidFill>
          </w14:textFill>
        </w:rPr>
        <w:t>园区统一开展水土保持监测工作，监测成果可供区域内项目共享使用。</w:t>
      </w:r>
    </w:p>
    <w:p w14:paraId="2C61F0EF">
      <w:pPr>
        <w:ind w:firstLine="480"/>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园区的水土保持监测工作将遵循《生产建设项目水土保持监测规程（试行）》的通知（水利部办公厅，办水保[2015]139号）和《生产建设项目水土保持监测与评价标准》（GB/T51240-2018）中的技术标准和规范要求。监测成果将包括园区水土保持监测实施方案、季报表、年度报表、总结报告等内容。同时，考虑到园区水土保持监测对象较多的情况，为方便水行政主管部门进行考核与监督，可增加入园项目的水土保持监测季报表、总结报表等相关资料。</w:t>
      </w:r>
    </w:p>
    <w:p w14:paraId="2ABC5E26">
      <w:pPr>
        <w:ind w:firstLine="480"/>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园区水土保持监测成果将服务于园区整体和入驻项目的水土保持日常监管和验收工作。在进行单个项目验收时，监测单位将出具该项目的水土保持监测总结报表，建设单位或验收报告编制单位将根据监测总结报表、监理情况及项目实际情况，完成水土保持设施验收鉴定书并报备。此外，承担开发区生产建设项目水土保持监测的单位也可将监测成果作为水行政主管部门监督性监测的重要依据。</w:t>
      </w:r>
    </w:p>
    <w:p w14:paraId="360AB86D">
      <w:pPr>
        <w:pStyle w:val="3"/>
        <w:spacing w:before="120" w:after="120"/>
      </w:pPr>
      <w:bookmarkStart w:id="571" w:name="_Toc152535496"/>
      <w:bookmarkStart w:id="572" w:name="_Toc85444750"/>
      <w:bookmarkStart w:id="573" w:name="_Toc85444474"/>
      <w:bookmarkStart w:id="574" w:name="_Toc85444646"/>
      <w:bookmarkStart w:id="575" w:name="_Toc88821239"/>
      <w:bookmarkStart w:id="576" w:name="_Toc88834000"/>
      <w:r>
        <w:t>区域内项目监管</w:t>
      </w:r>
      <w:bookmarkEnd w:id="571"/>
      <w:bookmarkEnd w:id="572"/>
      <w:bookmarkEnd w:id="573"/>
      <w:bookmarkEnd w:id="574"/>
      <w:bookmarkEnd w:id="575"/>
      <w:bookmarkEnd w:id="576"/>
    </w:p>
    <w:p w14:paraId="13307EC1">
      <w:pPr>
        <w:pStyle w:val="4"/>
        <w:spacing w:before="120" w:after="120"/>
      </w:pPr>
      <w:r>
        <w:rPr>
          <w:rFonts w:hint="eastAsia"/>
        </w:rPr>
        <w:t>水土保持方案编制</w:t>
      </w:r>
    </w:p>
    <w:p w14:paraId="320EE195">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依据《水利部办公厅关于进一步优化开发区内生产建设项目水土保持管理工作的意见》（办水保〔2020〕235号）、《内蒙古自治区水利厅关于开展水土保持区域评估工作的通知》（内水保〔2021〕12号）和《关于区域评估范围内项目涉水许可实施承诺制管理的指导意见》（内水办〔2022〕14号）等文件规定，提出的“对开发区内项目全面实行水土保持承诺制管理，优化方案审批，开发区内应当编制水土保持方案的项目全面实行承诺制管理”。园区水土保持区域评估报告经审查通过后，按承诺制相关要求办理有关手续。但根据内蒙古自治区政务服务局、自然资源厅、工业和信息化厅联合发布的《关于印发〈内蒙古自治区关于开展区域评估成果互认共享工作的指导意见〉的通知》（内政服发〔2021〕102号）规定的内蒙古自治区区域评估正负面清单，入驻开发区项目有下列情况之一的，将其列入负面清单，不适用承诺制管理，须单独编制水土保持方案，将规定的审批权限和程序报批。</w:t>
      </w:r>
    </w:p>
    <w:p w14:paraId="05AA4273">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负面清单包括以下五类项目：</w:t>
      </w:r>
    </w:p>
    <w:p w14:paraId="1D012124">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（一）集中供水水源地建设工程，大型水利工程；</w:t>
      </w:r>
    </w:p>
    <w:p w14:paraId="6350434A">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（二）重要线状工程（铁路、地铁、高速公路、二级以上公路、高架路、隧道工程、输变电工程、油气管道等）；</w:t>
      </w:r>
    </w:p>
    <w:p w14:paraId="2D7BFE2D">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（三）航空建设工程、特大桥工程、港口码头；</w:t>
      </w:r>
    </w:p>
    <w:p w14:paraId="0EF6C3F9">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（四）对环境具有较大影响的重化工项目、垃圾填埋场项目、储油库、液（气）罐站场项目、矿产资源开发项目等；</w:t>
      </w:r>
    </w:p>
    <w:p w14:paraId="32196B1B">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（五）地质灾害防治主管部门认为需要单独进行地质灾害危险性评估的其它建设项目。</w:t>
      </w:r>
    </w:p>
    <w:p w14:paraId="2D574954">
      <w:pPr>
        <w:pStyle w:val="4"/>
        <w:spacing w:before="120" w:after="120"/>
      </w:pPr>
      <w:r>
        <w:rPr>
          <w:rFonts w:hint="eastAsia"/>
        </w:rPr>
        <w:t>后续设计</w:t>
      </w:r>
    </w:p>
    <w:p w14:paraId="27D561ED">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园区入驻企业，按照相关规定需要编制初步设计的生产建设项目，其初步设计应当包括水土保持篇章，明确水土流失防治措施、标准和水土保持投资，其施工图设计应当细化水土保持措施设计。初步设计专章应进一步明确水土保持措施概算费用。</w:t>
      </w:r>
    </w:p>
    <w:p w14:paraId="2121D129">
      <w:pPr>
        <w:pStyle w:val="4"/>
        <w:spacing w:before="120" w:after="120"/>
      </w:pPr>
      <w:r>
        <w:rPr>
          <w:rFonts w:hint="eastAsia"/>
        </w:rPr>
        <w:t>招投标制</w:t>
      </w:r>
    </w:p>
    <w:p w14:paraId="34F2E3BD">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建设单位在入园项目主体工程招标文件中，按照水土保持工程技术要求，把水土保持工程各项内容纳入招标文件的正式条款中，并明确承包商的水土流失防治责任、需履行的义务和相应的惩罚措施。中标后承包商与建设单位需签订水土保持责任合同，并严格履行施工合同，提高水土保持意识，在入园项目施工中，必须按照水土保持方案要求实施水土保持措施，保证水土保持工程效益的充分发挥。工程建设中外购土石料，在购买合同中应明确料场的水土流失防治责任。</w:t>
      </w:r>
    </w:p>
    <w:p w14:paraId="7B6D173C">
      <w:pPr>
        <w:pStyle w:val="4"/>
        <w:spacing w:before="120" w:after="120"/>
      </w:pPr>
      <w:r>
        <w:rPr>
          <w:rFonts w:hint="eastAsia"/>
        </w:rPr>
        <w:t>水土保持施工</w:t>
      </w:r>
    </w:p>
    <w:p w14:paraId="3EE18595">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园区内项目竣工后及时组织水土保持专项验收；施工单位要制定详细的水土保持措施实施进度计划，加强水土保持工程的计划管理，园区内的建设项目水土保持承诺办理后，确定的各项水土流失防治措施均应在工程后续设计阶段予以落实，编制单册或专章，以便使水土保持措施能按设计要求顺利实施，并按有关规定实施验收。施工过程中应落实水土保持“三同时”制度，建设项目中的水土保持措施，须与园区基础设施及入驻项目同时设计、同时施工、同时投产使用。</w:t>
      </w:r>
    </w:p>
    <w:p w14:paraId="16836041">
      <w:pPr>
        <w:pStyle w:val="4"/>
        <w:spacing w:before="120" w:after="120"/>
      </w:pPr>
      <w:r>
        <w:rPr>
          <w:rFonts w:hint="eastAsia"/>
        </w:rPr>
        <w:t>水土保持监理</w:t>
      </w:r>
    </w:p>
    <w:p w14:paraId="5DCD41A4">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园区评估范围内凡入园项目主体工程开展监理工作的项目都必须开展水土保持监理工作，根据征占地面积和挖填土石方量，确定建设项目水土保持监理是否应当配备具有水土保持专业监理资格的工程师，以及应当委托具有水土保持工程施工监理专业资质的单位承担水土保持监理工作。监理单位应当按要求编制水土保持监理规划、监理细则、监理月报、年度报告和总结报告，监理总结报告应于项目水土保持设施验收前完成，并作为水土保持设施验收必要的技术支撑文件。</w:t>
      </w:r>
    </w:p>
    <w:p w14:paraId="3EB5EAD4">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承担水土保持监理工作的单位要定期将监理报告向建设单位和有关水行政主管部门报告。监理任务如下：</w:t>
      </w:r>
    </w:p>
    <w:p w14:paraId="78FD0B5B">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1）承担水土保持监理工作的单位及人员根据国家建设监理的有关规定和技术规范、批准的水土保持方案及工程设计文件，以及工程施工合同、监理合同，开展监理工作。</w:t>
      </w:r>
    </w:p>
    <w:p w14:paraId="30ECCBC8">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2）水土保持工程监理应列入入园生产建设项目工程监理合同，水土保持工程监理的主要工作内容应包括水土保持工程合同管理，按照合同控制工程投资、工期和工程质量，并协调各方的关系。</w:t>
      </w:r>
    </w:p>
    <w:p w14:paraId="43C177B9">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3）监理单位应按照国家现行工程监理要求制定水土保持工程监理制度，并在完工后提交水土保持工程监理总结报告及临时措施影像资料、大事记等监理档案和国家规定的监理资料。</w:t>
      </w:r>
    </w:p>
    <w:p w14:paraId="6CD0A084">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4）在水土保持工程施工中，必须实行监理制度，按照水土保持监理标准和规范开展水土保持工程施工监理。其中，征占地面积在20hm</w:t>
      </w:r>
      <w:r>
        <w:rPr>
          <w:rFonts w:ascii="Calibri" w:hAnsi="Calibri" w:cs="Calibri"/>
          <w:color w:val="000000" w:themeColor="text1"/>
          <w14:textFill>
            <w14:solidFill>
              <w14:schemeClr w14:val="tx1"/>
            </w14:solidFill>
          </w14:textFill>
        </w:rPr>
        <w:t>²</w:t>
      </w:r>
      <w:r>
        <w:rPr>
          <w:rFonts w:hint="eastAsia" w:cs="Times New Roman"/>
          <w:color w:val="000000" w:themeColor="text1"/>
          <w14:textFill>
            <w14:solidFill>
              <w14:schemeClr w14:val="tx1"/>
            </w14:solidFill>
          </w14:textFill>
        </w:rPr>
        <w:t>以上或者挖填土石方总量在20万m</w:t>
      </w:r>
      <w:r>
        <w:rPr>
          <w:rFonts w:ascii="Calibri" w:hAnsi="Calibri" w:cs="Calibri"/>
          <w:color w:val="000000" w:themeColor="text1"/>
          <w14:textFill>
            <w14:solidFill>
              <w14:schemeClr w14:val="tx1"/>
            </w14:solidFill>
          </w14:textFill>
        </w:rPr>
        <w:t>³</w:t>
      </w:r>
      <w:r>
        <w:rPr>
          <w:rFonts w:hint="eastAsia" w:cs="Times New Roman"/>
          <w:color w:val="000000" w:themeColor="text1"/>
          <w14:textFill>
            <w14:solidFill>
              <w14:schemeClr w14:val="tx1"/>
            </w14:solidFill>
          </w14:textFill>
        </w:rPr>
        <w:t>以上的项目，应当配备具有水土保持专业监理资格的工程师；征占地面积在200hm</w:t>
      </w:r>
      <w:r>
        <w:rPr>
          <w:rFonts w:ascii="Calibri" w:hAnsi="Calibri" w:cs="Calibri"/>
          <w:color w:val="000000" w:themeColor="text1"/>
          <w14:textFill>
            <w14:solidFill>
              <w14:schemeClr w14:val="tx1"/>
            </w14:solidFill>
          </w14:textFill>
        </w:rPr>
        <w:t>²</w:t>
      </w:r>
      <w:r>
        <w:rPr>
          <w:rFonts w:hint="eastAsia" w:cs="Times New Roman"/>
          <w:color w:val="000000" w:themeColor="text1"/>
          <w14:textFill>
            <w14:solidFill>
              <w14:schemeClr w14:val="tx1"/>
            </w14:solidFill>
          </w14:textFill>
        </w:rPr>
        <w:t>以上或者挖填土石方总量在200万m</w:t>
      </w:r>
      <w:r>
        <w:rPr>
          <w:rFonts w:ascii="Calibri" w:hAnsi="Calibri" w:cs="Calibri"/>
          <w:color w:val="000000" w:themeColor="text1"/>
          <w14:textFill>
            <w14:solidFill>
              <w14:schemeClr w14:val="tx1"/>
            </w14:solidFill>
          </w14:textFill>
        </w:rPr>
        <w:t>³</w:t>
      </w:r>
      <w:r>
        <w:rPr>
          <w:rFonts w:hint="eastAsia" w:cs="Times New Roman"/>
          <w:color w:val="000000" w:themeColor="text1"/>
          <w14:textFill>
            <w14:solidFill>
              <w14:schemeClr w14:val="tx1"/>
            </w14:solidFill>
          </w14:textFill>
        </w:rPr>
        <w:t>以上的项目，应当由具有水土保持工程施工监理专业资质的单位承担监理任务。</w:t>
      </w:r>
    </w:p>
    <w:p w14:paraId="717453FE">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5）对施工单位的水土保持施工方案、专项报告等进行审查，提出审查、修改意见。</w:t>
      </w:r>
    </w:p>
    <w:p w14:paraId="200FCC2F">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6）依据有关法律、法规及工程承包合同，协助处理各种水土保持纠纷。</w:t>
      </w:r>
    </w:p>
    <w:p w14:paraId="36CBC686">
      <w:pPr>
        <w:pStyle w:val="4"/>
        <w:spacing w:before="120" w:after="120"/>
      </w:pPr>
      <w:r>
        <w:rPr>
          <w:rFonts w:hint="eastAsia"/>
        </w:rPr>
        <w:t>水土保持验收</w:t>
      </w:r>
    </w:p>
    <w:p w14:paraId="7B80692E">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根据《水利部关于加强事中事后监管规范生产建设项目水土保持设施自主验收的通知》（水保〔2017〕365号）和《水利部办公厅关于进一步优化开发区内生产建设项目水上保持管理工作的意见》（办水保〔2020〕235号），入园项目投产使用前，生产建设单位应组织水土保持设施验收工作。目前入驻园区的项目有6</w:t>
      </w:r>
      <w:r>
        <w:rPr>
          <w:rFonts w:cs="Times New Roman"/>
          <w:color w:val="000000" w:themeColor="text1"/>
          <w14:textFill>
            <w14:solidFill>
              <w14:schemeClr w14:val="tx1"/>
            </w14:solidFill>
          </w14:textFill>
        </w:rPr>
        <w:t>6</w:t>
      </w:r>
      <w:r>
        <w:rPr>
          <w:rFonts w:hint="eastAsia" w:cs="Times New Roman"/>
          <w:color w:val="000000" w:themeColor="text1"/>
          <w14:textFill>
            <w14:solidFill>
              <w14:schemeClr w14:val="tx1"/>
            </w14:solidFill>
          </w14:textFill>
        </w:rPr>
        <w:t>个，其中</w:t>
      </w:r>
      <w:r>
        <w:rPr>
          <w:rFonts w:cs="Times New Roman"/>
          <w:color w:val="000000" w:themeColor="text1"/>
          <w14:textFill>
            <w14:solidFill>
              <w14:schemeClr w14:val="tx1"/>
            </w14:solidFill>
          </w14:textFill>
        </w:rPr>
        <w:t>32</w:t>
      </w:r>
      <w:r>
        <w:rPr>
          <w:rFonts w:hint="eastAsia" w:cs="Times New Roman"/>
          <w:color w:val="000000" w:themeColor="text1"/>
          <w14:textFill>
            <w14:solidFill>
              <w14:schemeClr w14:val="tx1"/>
            </w14:solidFill>
          </w14:textFill>
        </w:rPr>
        <w:t>个已编报水土保持方案的项目，已有</w:t>
      </w:r>
      <w:r>
        <w:rPr>
          <w:rFonts w:cs="Times New Roman"/>
          <w:color w:val="000000" w:themeColor="text1"/>
          <w14:textFill>
            <w14:solidFill>
              <w14:schemeClr w14:val="tx1"/>
            </w14:solidFill>
          </w14:textFill>
        </w:rPr>
        <w:t>6</w:t>
      </w:r>
      <w:r>
        <w:rPr>
          <w:rFonts w:hint="eastAsia" w:cs="Times New Roman"/>
          <w:color w:val="000000" w:themeColor="text1"/>
          <w14:textFill>
            <w14:solidFill>
              <w14:schemeClr w14:val="tx1"/>
            </w14:solidFill>
          </w14:textFill>
        </w:rPr>
        <w:t>个项目完成水土保持自主验收，其余</w:t>
      </w:r>
      <w:r>
        <w:rPr>
          <w:rFonts w:cs="Times New Roman"/>
          <w:color w:val="000000" w:themeColor="text1"/>
          <w14:textFill>
            <w14:solidFill>
              <w14:schemeClr w14:val="tx1"/>
            </w14:solidFill>
          </w14:textFill>
        </w:rPr>
        <w:t>26</w:t>
      </w:r>
      <w:r>
        <w:rPr>
          <w:rFonts w:hint="eastAsia" w:cs="Times New Roman"/>
          <w:color w:val="000000" w:themeColor="text1"/>
          <w14:textFill>
            <w14:solidFill>
              <w14:schemeClr w14:val="tx1"/>
            </w14:solidFill>
          </w14:textFill>
        </w:rPr>
        <w:t>个项目尚未验收，建设单位应尽快开展水土保持设施自主验收。验收时，水土保持设施验收组中应当有至少一名省级水行政主管部门水土保持方案专家库专家。生产建设单位应当在水土保持设施验收合格后，通过其官方网站或者其他便于公众知悉的方式向社会公开水土保持设施验收鉴定书。对于公众反映的主要问题和意见，生产建设单位应当及时处理或者回应。</w:t>
      </w:r>
    </w:p>
    <w:p w14:paraId="6A3C5195">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生产建设单位应在向社会公开水土保持设施验收材料后、入园生产建设项目投产使用前，向水行政主管部门报备水土保持设施验收材料。报备材料包括水土保持设施验收鉴定书。</w:t>
      </w:r>
    </w:p>
    <w:p w14:paraId="6CF6D85F">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入园项目建设单位应当对建设项目的档案管理，包括管理机构、人员配备、招投标、施工、监理、验收等的全部文字、影像和原始资料。</w:t>
      </w:r>
    </w:p>
    <w:p w14:paraId="4C892E0A">
      <w:pPr>
        <w:pStyle w:val="4"/>
        <w:spacing w:before="120" w:after="120"/>
      </w:pPr>
      <w:r>
        <w:rPr>
          <w:rFonts w:hint="eastAsia"/>
        </w:rPr>
        <w:t>信用管理及“两单”制度</w:t>
      </w:r>
    </w:p>
    <w:p w14:paraId="05FED830">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根据《水利部办公厅关于实施生产建设项目水土保持信用监管“两单”制度的通知》（办水保〔2020〕157号）文件，各生产建设单位存在下列问题情形之一的，应当列入水土保持“重点关注名单”。</w:t>
      </w:r>
    </w:p>
    <w:p w14:paraId="63764CDE">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各生产建设单位：“未批先建”“未批先弃”“未验先投”的，作出不实承诺或者未履行承诺的；未按规定组织开展水保持设计、监测、监理工作的；水土保持工程、植物、临时措施落实不足50%的；不满足验收标准和条件而通过自主验收的。</w:t>
      </w:r>
    </w:p>
    <w:p w14:paraId="19242EC2">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如在“重点关注名单”公开期内再次发生应当列入“重点关注名单”情形的，生产建设单位应当列入水土保持“黑名单”。</w:t>
      </w:r>
    </w:p>
    <w:p w14:paraId="48C77F8D">
      <w:pPr>
        <w:pStyle w:val="3"/>
        <w:spacing w:before="120" w:after="120"/>
      </w:pPr>
      <w:bookmarkStart w:id="577" w:name="_Toc85444751"/>
      <w:bookmarkStart w:id="578" w:name="_Toc85444475"/>
      <w:bookmarkStart w:id="579" w:name="_Toc85444648"/>
      <w:bookmarkStart w:id="580" w:name="_Toc88834001"/>
      <w:bookmarkStart w:id="581" w:name="_Toc88821240"/>
      <w:bookmarkStart w:id="582" w:name="_Toc152535497"/>
      <w:r>
        <w:t>水土保持补偿费</w:t>
      </w:r>
      <w:bookmarkEnd w:id="577"/>
      <w:bookmarkEnd w:id="578"/>
      <w:bookmarkEnd w:id="579"/>
      <w:bookmarkEnd w:id="580"/>
      <w:bookmarkEnd w:id="581"/>
      <w:bookmarkEnd w:id="582"/>
    </w:p>
    <w:p w14:paraId="34351119">
      <w:pPr>
        <w:widowControl w:val="0"/>
        <w:spacing w:line="336" w:lineRule="auto"/>
        <w:ind w:firstLine="480"/>
        <w:rPr>
          <w:rFonts w:cs="Times New Roman"/>
          <w:color w:val="000000" w:themeColor="text1"/>
          <w14:textFill>
            <w14:solidFill>
              <w14:schemeClr w14:val="tx1"/>
            </w14:solidFill>
          </w14:textFill>
        </w:rPr>
      </w:pPr>
      <w:bookmarkStart w:id="583" w:name="_Hlk142484647"/>
      <w:r>
        <w:rPr>
          <w:rFonts w:cs="Times New Roman"/>
          <w:color w:val="000000" w:themeColor="text1"/>
          <w14:textFill>
            <w14:solidFill>
              <w14:schemeClr w14:val="tx1"/>
            </w14:solidFill>
          </w14:textFill>
        </w:rPr>
        <w:t>根据《关于印发（水土保持补偿表征收使用管理办法）的通知》（财综（2014）8号，财政部、国家发展改革委、水利部、中国人民银行）、《内蒙古自治区水土保持补偿费征收使用实施办法》（内蒙古财政厅、发改委、水利厅、中国人民银行呼和浩特中心支行，内财非税规（2015）18号）、《内蒙古自治区发展和改革委员会财政厅水利厅关于降低水土保持补偿费收费标准的通知》（内发改费字〔2019）397号）、《关于水土保持补偿费等四项非税收入划转税务部门征收的通知》（财税（2020）58号），建设项目水土流失防治责任主体为内蒙古包头钢铁冶金开发区金山产业园管理办公室的水土保持补偿费由内蒙古包头钢铁冶金开发区金山产业园管理办公室根据工程的建设时序及时缴纳；入驻园区企业防治责任范围的水土保持补偿费，由入驻园区企业缴纳。</w:t>
      </w:r>
    </w:p>
    <w:bookmarkEnd w:id="583"/>
    <w:p w14:paraId="4F6B1B72">
      <w:pPr>
        <w:pStyle w:val="3"/>
        <w:spacing w:before="120" w:after="120"/>
      </w:pPr>
      <w:bookmarkStart w:id="584" w:name="_Toc88834002"/>
      <w:bookmarkStart w:id="585" w:name="_Toc152535498"/>
      <w:bookmarkStart w:id="586" w:name="_Toc85444752"/>
      <w:bookmarkStart w:id="587" w:name="_Toc88821241"/>
      <w:bookmarkStart w:id="588" w:name="_Toc85444476"/>
      <w:bookmarkStart w:id="589" w:name="_Toc85444649"/>
      <w:r>
        <w:t>水土保持跟踪评价</w:t>
      </w:r>
      <w:bookmarkEnd w:id="584"/>
      <w:bookmarkEnd w:id="585"/>
      <w:bookmarkEnd w:id="586"/>
      <w:bookmarkEnd w:id="587"/>
      <w:bookmarkEnd w:id="588"/>
      <w:bookmarkEnd w:id="589"/>
    </w:p>
    <w:p w14:paraId="1298AB46">
      <w:pPr>
        <w:widowControl w:val="0"/>
        <w:spacing w:line="336" w:lineRule="auto"/>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水土保持区域评估报告经水行政主管部门批复后，作为入园企业开展水土流失防治工作的基础。入园企业在区域水土保持评估基础上编制的水土保持方案报告书或报告表分别实行备案制和承诺制，以实现简化和加快审批的要求。入园企业应在区域评估报告的基础上，按照本项目征占地和土石方情况，编制水土保持方案报告书或报告表，落实应承担的防治责任，细化各项防治措施，实现评估报告中确定的防治目标，同时按照自身征占地面积缴纳水土保持补偿费。</w:t>
      </w:r>
    </w:p>
    <w:p w14:paraId="15F1203D">
      <w:pPr>
        <w:widowControl w:val="0"/>
        <w:spacing w:line="336" w:lineRule="auto"/>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水土保持区域评估经批准后，园区地点、规模、总体规划、控制性详细规划发生重大变化的，应当补充或者修改</w:t>
      </w:r>
      <w:r>
        <w:rPr>
          <w:rFonts w:hint="eastAsia" w:cs="Times New Roman"/>
          <w:color w:val="000000" w:themeColor="text1"/>
          <w14:textFill>
            <w14:solidFill>
              <w14:schemeClr w14:val="tx1"/>
            </w14:solidFill>
          </w14:textFill>
        </w:rPr>
        <w:t>水土保持区域评估</w:t>
      </w:r>
      <w:r>
        <w:rPr>
          <w:rFonts w:cs="Times New Roman"/>
          <w:color w:val="000000" w:themeColor="text1"/>
          <w14:textFill>
            <w14:solidFill>
              <w14:schemeClr w14:val="tx1"/>
            </w14:solidFill>
          </w14:textFill>
        </w:rPr>
        <w:t>并报原审批机关批准。水土保持区域评估实施过程中，水土保持措施需要做出重大变更的，应按程序规定重新进行报批。</w:t>
      </w:r>
      <w:r>
        <w:rPr>
          <w:rFonts w:hint="eastAsia" w:cs="Times New Roman"/>
          <w:color w:val="000000" w:themeColor="text1"/>
          <w14:textFill>
            <w14:solidFill>
              <w14:schemeClr w14:val="tx1"/>
            </w14:solidFill>
          </w14:textFill>
        </w:rPr>
        <w:t>在园区下一阶段规划设计中，应吸纳水土保持区域评估的意见，将本评估报告的水土保持措施及要求纳入到有关章节中</w:t>
      </w:r>
    </w:p>
    <w:p w14:paraId="5C0E768B">
      <w:pPr>
        <w:widowControl w:val="0"/>
        <w:spacing w:line="336" w:lineRule="auto"/>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对于园区内已建设完成的项目，已实施的水土保持措施基本满足区内水土流失防治需要，在后期工作中，除了做好现有水土保持措施的养护，保证其水土保持功能正常发挥外，还需注意与在建交界区域的挡护，防止新建区域开发建设造成水土流失进入建成区。对园区管理范围内发现的水土保持违法违规问题，水行政主管部门书面告知生产建设单位其违法事实，根据情况进行集中约谈、通报批评、纳入重点监管名单、信用惩戒等。</w:t>
      </w:r>
    </w:p>
    <w:p w14:paraId="294DAB75">
      <w:pPr>
        <w:widowControl w:val="0"/>
        <w:spacing w:line="336" w:lineRule="auto"/>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对于园区内未建的项目，如已编制水土保持方案并获得批复，建设主体单位应严格按照批复的水土保持方案开展施工期间的水土流失防治工作；对于目前尚未开展水土保持方案编制工作的项目，可参照本区域评估报告中相关的要求以及根据《关于区域评估范围内项目涉水许可实施承诺制管理的指导意见》（内水办〔2022〕14号）文件之规定，填写好《内蒙古自治区区域评估范围内项目涉水许可承诺书》，并向水行政主管部门和园区管委会报备。</w:t>
      </w:r>
    </w:p>
    <w:p w14:paraId="5DB7BE41">
      <w:pPr>
        <w:widowControl w:val="0"/>
        <w:spacing w:line="336" w:lineRule="auto"/>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为避免工程建设过程中造成环境破坏，产生新的人为水土流失，园区工程建设单位与当地有关部门配合，做好水土保持各项措施的管理和监督工作，落实开发建设项目水土保持“三同时”制度，并开展水土保持监理工作，对水土保持措施的实施进度、质量和资金进行监控管理，保证工程质量。</w:t>
      </w:r>
    </w:p>
    <w:p w14:paraId="6A3009A3">
      <w:pPr>
        <w:widowControl w:val="0"/>
        <w:spacing w:line="336" w:lineRule="auto"/>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（2）为将水土保持落到实处，应将水土保持措施纳入园区基础设施及入驻项目投招标文件，同时招标。标书中要有水土保持要求，并列入招标合同，明确承包商防治水土流失的责任。</w:t>
      </w:r>
    </w:p>
    <w:p w14:paraId="6CF9AB18">
      <w:pPr>
        <w:widowControl w:val="0"/>
        <w:spacing w:line="336" w:lineRule="auto"/>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（3）园区及入驻的生产建设单位应充分重视水土保持措施实施工作，加强施工过程中扬尘防治和临时堆土区临时挡护和苫盖等防护措施，内部土方中转过程应严格遵守有关规定，减少对周边生态环境的影响。</w:t>
      </w:r>
    </w:p>
    <w:p w14:paraId="5C4F82B6">
      <w:pPr>
        <w:widowControl w:val="0"/>
        <w:spacing w:line="336" w:lineRule="auto"/>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4）园区及入驻的生产建设单位应在后续设计中优化景观植物布置，重视地被植物布置，涵养水土，防治地表水土流失；也需注重后续绿化景观的管理养护，移除不成活植被，并及时补栽，确保水土保持功能，避免土地裸露，严格控制水土流失。</w:t>
      </w:r>
    </w:p>
    <w:p w14:paraId="27AFA241">
      <w:pPr>
        <w:widowControl w:val="0"/>
        <w:spacing w:line="336" w:lineRule="auto"/>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（5）园区配合当地有关部门做好水土保持各项措施的管理和监督工作；在工程建设期和试运行期，建立水土流失监测机制，对监测资料进行收集、整理，依据监测成果得出评价结论。</w:t>
      </w:r>
    </w:p>
    <w:p w14:paraId="0791CE31">
      <w:pPr>
        <w:widowControl w:val="0"/>
        <w:spacing w:line="336" w:lineRule="auto"/>
        <w:ind w:firstLine="480"/>
        <w:rPr>
          <w:rFonts w:cs="Times New Roman"/>
          <w:color w:val="000000" w:themeColor="text1"/>
          <w14:textFill>
            <w14:solidFill>
              <w14:schemeClr w14:val="tx1"/>
            </w14:solidFill>
          </w14:textFill>
        </w:rPr>
      </w:pPr>
    </w:p>
    <w:p w14:paraId="06331003">
      <w:pPr>
        <w:pStyle w:val="3"/>
        <w:numPr>
          <w:ilvl w:val="0"/>
          <w:numId w:val="0"/>
        </w:numPr>
        <w:spacing w:before="120" w:after="120"/>
        <w:rPr>
          <w:lang w:eastAsia="zh-CN"/>
        </w:rPr>
        <w:sectPr>
          <w:headerReference r:id="rId81" w:type="default"/>
          <w:pgSz w:w="11906" w:h="16838"/>
          <w:pgMar w:top="1418" w:right="1418" w:bottom="1418" w:left="1418" w:header="850" w:footer="850" w:gutter="0"/>
          <w:cols w:space="720" w:num="1"/>
          <w:docGrid w:linePitch="326" w:charSpace="0"/>
        </w:sectPr>
      </w:pPr>
    </w:p>
    <w:p w14:paraId="120F8018">
      <w:pPr>
        <w:pStyle w:val="2"/>
        <w:rPr>
          <w:color w:val="000000" w:themeColor="text1"/>
          <w14:textFill>
            <w14:solidFill>
              <w14:schemeClr w14:val="tx1"/>
            </w14:solidFill>
          </w14:textFill>
        </w:rPr>
      </w:pPr>
      <w:bookmarkStart w:id="590" w:name="_Toc88834003"/>
      <w:bookmarkStart w:id="591" w:name="_Toc85444477"/>
      <w:bookmarkStart w:id="592" w:name="_Toc88821242"/>
      <w:bookmarkStart w:id="593" w:name="_Toc85444650"/>
      <w:bookmarkStart w:id="594" w:name="_Toc85444753"/>
      <w:bookmarkStart w:id="595" w:name="_Toc152535499"/>
      <w:r>
        <w:rPr>
          <w:color w:val="000000" w:themeColor="text1"/>
          <w14:textFill>
            <w14:solidFill>
              <w14:schemeClr w14:val="tx1"/>
            </w14:solidFill>
          </w14:textFill>
        </w:rPr>
        <w:t>结论与建议</w:t>
      </w:r>
      <w:bookmarkEnd w:id="590"/>
      <w:bookmarkEnd w:id="591"/>
      <w:bookmarkEnd w:id="592"/>
      <w:bookmarkEnd w:id="593"/>
      <w:bookmarkEnd w:id="594"/>
      <w:bookmarkEnd w:id="595"/>
    </w:p>
    <w:p w14:paraId="6ADD7454">
      <w:pPr>
        <w:pStyle w:val="3"/>
        <w:spacing w:before="120" w:after="120"/>
      </w:pPr>
      <w:bookmarkStart w:id="596" w:name="_Toc152535500"/>
      <w:bookmarkStart w:id="597" w:name="_Toc154399879"/>
      <w:bookmarkStart w:id="598" w:name="_Toc85444754"/>
      <w:bookmarkStart w:id="599" w:name="_Toc154400099"/>
      <w:bookmarkStart w:id="600" w:name="_Toc154408226"/>
      <w:bookmarkStart w:id="601" w:name="_Toc154408523"/>
      <w:bookmarkStart w:id="602" w:name="_Toc154410080"/>
      <w:bookmarkStart w:id="603" w:name="_Toc154408650"/>
      <w:bookmarkStart w:id="604" w:name="_Toc154410334"/>
      <w:bookmarkStart w:id="605" w:name="_Toc154400228"/>
      <w:bookmarkStart w:id="606" w:name="_Toc154400486"/>
      <w:bookmarkStart w:id="607" w:name="_Toc88834004"/>
      <w:bookmarkStart w:id="608" w:name="_Toc212970132"/>
      <w:bookmarkStart w:id="609" w:name="_Toc88821243"/>
      <w:bookmarkStart w:id="610" w:name="_Toc154410207"/>
      <w:bookmarkStart w:id="611" w:name="_Toc11685"/>
      <w:bookmarkStart w:id="612" w:name="_Toc85444651"/>
      <w:bookmarkStart w:id="613" w:name="_Toc154400357"/>
      <w:bookmarkStart w:id="614" w:name="_Toc85444478"/>
      <w:r>
        <w:t>结论</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14:paraId="4431D05D">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包头金山经济开发区建设符合区域国土空间规划与经济发展规划。选址不涉及全国水土保持监测站点、重点试验区，也不在水土保持长期定位观测站范围。园区建设在空间布局、发展目标和控制指标等方面符合相关规划，项目所在地固阳县属黄河自治区级水土流失重点治理区，无法避让，产业园及园区内项目建设过程中应优化施工方案及施工工艺，园区内各建设项目应当提高水土流失防治标准，减少地表扰动和植被破坏范围，减少工程占地和土石方量，可基本控制因园区开发造成的水土流失危害。</w:t>
      </w:r>
    </w:p>
    <w:p w14:paraId="0D4350F0">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本园区的总体规划符合国家和地方经济发展的规划，总体设计较为合理，利于减少水土流失。规划方案在园区选址，总体布局、工程占地、施工组织等方面基本合理，不存在明显的水土保持制约因素。规划设计中已考虑到水土保持和生态环境保护，力求最大限度地减少地表扰动和新的水土流失的产生，这完全符合水土保持的要求。</w:t>
      </w:r>
    </w:p>
    <w:p w14:paraId="7EA45023">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园区基础设施区、公共设施区等共建部分水土流失防治责任主体为内蒙古包头钢铁冶金开发区金山产业园管理办公室；开发建设地块在企业入驻前水土流失防治责任主体为内蒙古包头钢铁冶金开发区金山产业园管理办公室；园区内生产建设项目投资主体依法承担项目建设、运营期间水土流失防治责任。</w:t>
      </w:r>
    </w:p>
    <w:p w14:paraId="29F2CE54">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本水土保持区域评估范围为1267.72hm²。园区区域水土流失总体控制目标值确定为水土流失治理度90%、表土保护利用率90%、土石方综合利用率100%、渣土防护率90%、裸露地表防护率95%、林草覆盖率20%；园区内建设项目的水土流失防治标准执行西北黄土高原区一级标准。</w:t>
      </w:r>
    </w:p>
    <w:p w14:paraId="46C7AD97">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园区内土石方在各个防治分区内部进行优化利用，做得了挖填平衡，建设过程中应加强园区表土保护和利用，应做到应剥尽剥、全部利用。规划设计的表土剥离及回填、土地整治（含表土回覆）、人工种草、植苗造林、临时排水沟、密目网苫盖、透水砖铺砌和碎石压盖等措施，从设计上体现了水土保持的理念，从源头上减少水土流失及其危害。具有一定的水土保持功能。本区域评估补充设计蓄水池等降雨蓄渗工程，增大雨水涵养、集蓄利用。</w:t>
      </w:r>
    </w:p>
    <w:p w14:paraId="06757B4D">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（5）水土保持监测建议由产业园管理机构开展全区域、全过程监测，监测成果供区域内项目共享使用，减轻入驻企业负担。</w:t>
      </w:r>
    </w:p>
    <w:p w14:paraId="53AA1088">
      <w:pPr>
        <w:ind w:firstLine="48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从水土保持角度分析，园区规划布局合理，产业结构符合政策要求，规划方案可行，后续开发建设和规划服务期内应采取有效措施，加强对园区开发建设项目水土保持工作管理，积极落实相应水土保持措施，能够达到区域水土流失总体控制目标，有效改善区域生态环境状况。</w:t>
      </w:r>
    </w:p>
    <w:p w14:paraId="67E1F290">
      <w:pPr>
        <w:pStyle w:val="3"/>
        <w:spacing w:before="120" w:after="120"/>
      </w:pPr>
      <w:bookmarkStart w:id="615" w:name="_Toc5480375"/>
      <w:bookmarkEnd w:id="615"/>
      <w:bookmarkStart w:id="616" w:name="_Toc5480371"/>
      <w:bookmarkEnd w:id="616"/>
      <w:bookmarkStart w:id="617" w:name="_Toc5480376"/>
      <w:bookmarkEnd w:id="617"/>
      <w:bookmarkStart w:id="618" w:name="_Toc5480374"/>
      <w:bookmarkEnd w:id="618"/>
      <w:bookmarkStart w:id="619" w:name="_Toc5480372"/>
      <w:bookmarkEnd w:id="619"/>
      <w:bookmarkStart w:id="620" w:name="_Toc5480373"/>
      <w:bookmarkEnd w:id="620"/>
      <w:bookmarkStart w:id="621" w:name="_Toc88834005"/>
      <w:bookmarkStart w:id="622" w:name="_Toc88821244"/>
      <w:bookmarkStart w:id="623" w:name="_Toc152535501"/>
      <w:bookmarkStart w:id="624" w:name="_Hlk88580968"/>
      <w:r>
        <w:t>建议</w:t>
      </w:r>
      <w:bookmarkEnd w:id="621"/>
      <w:bookmarkEnd w:id="622"/>
      <w:bookmarkEnd w:id="623"/>
    </w:p>
    <w:p w14:paraId="1A81FCBC">
      <w:pPr>
        <w:widowControl w:val="0"/>
        <w:ind w:firstLine="480"/>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本区域评估报告属于园区规划类项目，本区域评估报告编制单位在编制报告过程中发现以下问题并提出以下建议：</w:t>
      </w:r>
    </w:p>
    <w:p w14:paraId="41470E62">
      <w:pPr>
        <w:widowControl w:val="0"/>
        <w:ind w:firstLine="480"/>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（1）尽快开展水土保持监测工作</w:t>
      </w:r>
    </w:p>
    <w:p w14:paraId="4B021B86">
      <w:pPr>
        <w:widowControl w:val="0"/>
        <w:ind w:firstLine="480"/>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园区目前已建大部分，本评估报告批复后，园区管理机构应该开展园区水土保持监测工作，建立监测共享数据，注重建设过程中水土保持监测工作。</w:t>
      </w:r>
    </w:p>
    <w:p w14:paraId="77226FC6">
      <w:pPr>
        <w:widowControl w:val="0"/>
        <w:ind w:firstLine="480"/>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（2）加强水土保持措施的管理与维护</w:t>
      </w:r>
    </w:p>
    <w:p w14:paraId="5B4936B3">
      <w:pPr>
        <w:widowControl w:val="0"/>
        <w:ind w:firstLine="480"/>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园区建设类项目必须严格落实水土保持“三同时”制度，加强施工过程中的水土流失防治，主要做好临时堆土的防护，做好拦挡和苫盖措施，结合园区地形情况及与外界的衔接，综合考虑场地土方挖填平衡，同时应满足设计规范等的要求。</w:t>
      </w:r>
    </w:p>
    <w:p w14:paraId="26724721">
      <w:pPr>
        <w:widowControl w:val="0"/>
        <w:ind w:firstLine="480"/>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入驻项目建成后及时对绿化带区域进行绿化，根据苗木存活情况进行补植，保证苗木的成活率，管线工程区提高地表植被覆盖度。</w:t>
      </w:r>
    </w:p>
    <w:p w14:paraId="6A69D41C">
      <w:pPr>
        <w:widowControl w:val="0"/>
        <w:ind w:firstLine="480"/>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（3）加强表土保护及利用</w:t>
      </w:r>
    </w:p>
    <w:p w14:paraId="4090C029">
      <w:pPr>
        <w:widowControl w:val="0"/>
        <w:ind w:firstLine="480"/>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园区表土资源应做到应剥尽剥、全部利用。堆存表土应采取临时防护措施，土地整治结束之后，把剥离表土回覆在需要绿化的地块表层，利于植被快速恢复，有效地防治水土流失。</w:t>
      </w:r>
    </w:p>
    <w:p w14:paraId="5C59EA91">
      <w:pPr>
        <w:widowControl w:val="0"/>
        <w:ind w:firstLine="480"/>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（4）加强雨水积蓄利用设施建设</w:t>
      </w:r>
    </w:p>
    <w:p w14:paraId="6C37C2F7">
      <w:pPr>
        <w:widowControl w:val="0"/>
        <w:ind w:firstLine="480"/>
        <w:rPr>
          <w:rFonts w:cs="Times New Roman"/>
          <w:color w:val="000000" w:themeColor="text1"/>
          <w:kern w:val="2"/>
          <w14:textFill>
            <w14:solidFill>
              <w14:schemeClr w14:val="tx1"/>
            </w14:solidFill>
          </w14:textFill>
        </w:rPr>
      </w:pPr>
      <w:r>
        <w:rPr>
          <w:rFonts w:hint="eastAsia" w:cs="Times New Roman"/>
          <w:color w:val="000000" w:themeColor="text1"/>
          <w:kern w:val="2"/>
          <w14:textFill>
            <w14:solidFill>
              <w14:schemeClr w14:val="tx1"/>
            </w14:solidFill>
          </w14:textFill>
        </w:rPr>
        <w:t>园区水资源缺乏，结合开发区建设布局，要按照海绵城市建设理念，推广下凹式绿地，提高绿化区的雨水蓄渗能力；适量地推广修建各种雨水蓄渗设施。道路雨水通过下水管道排入沿途蓄水池调蓄利用；人行道及广场采用透水砖铺设，既可涵养水源，又可减少地表径流。</w:t>
      </w:r>
    </w:p>
    <w:p w14:paraId="78ADC7B0">
      <w:pPr>
        <w:widowControl w:val="0"/>
        <w:ind w:firstLine="480"/>
        <w:rPr>
          <w:rFonts w:cs="Times New Roman"/>
          <w:snapToGrid w:val="0"/>
          <w:color w:val="000000" w:themeColor="text1"/>
          <w14:textFill>
            <w14:solidFill>
              <w14:schemeClr w14:val="tx1"/>
            </w14:solidFill>
          </w14:textFill>
        </w:rPr>
        <w:sectPr>
          <w:headerReference r:id="rId82" w:type="default"/>
          <w:pgSz w:w="11906" w:h="16838"/>
          <w:pgMar w:top="1418" w:right="1418" w:bottom="1418" w:left="1418" w:header="850" w:footer="850" w:gutter="0"/>
          <w:cols w:space="720" w:num="1"/>
          <w:docGrid w:linePitch="326" w:charSpace="0"/>
        </w:sectPr>
      </w:pPr>
      <w:r>
        <w:rPr>
          <w:rFonts w:hint="eastAsia" w:cs="Times New Roman"/>
          <w:color w:val="000000" w:themeColor="text1"/>
          <w:kern w:val="2"/>
          <w14:textFill>
            <w14:solidFill>
              <w14:schemeClr w14:val="tx1"/>
            </w14:solidFill>
          </w14:textFill>
        </w:rPr>
        <w:t>（5）根据《内蒙古自治区水利厅关于实施涉水区域评估工作的指导意见》（内水办〔2022〕19号），区域评估报告服务期为5年，服务期满后，园区管理机构可对区域评估报告进行修编。期间，园区总体规划发生变化园区面积扩大20%或开挖填筑土石方总量增加40%以上的，应修编水土保持区域评估报告</w:t>
      </w:r>
      <w:bookmarkEnd w:id="570"/>
      <w:bookmarkEnd w:id="624"/>
      <w:bookmarkStart w:id="625" w:name="_Toc295919520"/>
    </w:p>
    <w:bookmarkEnd w:id="544"/>
    <w:bookmarkEnd w:id="545"/>
    <w:bookmarkEnd w:id="625"/>
    <w:p w14:paraId="6FDE586B">
      <w:pPr>
        <w:widowControl w:val="0"/>
        <w:ind w:left="0" w:leftChars="0" w:firstLine="0" w:firstLineChars="0"/>
        <w:contextualSpacing/>
        <w:rPr>
          <w:rFonts w:cs="Times New Roman"/>
          <w:color w:val="000000" w:themeColor="text1"/>
          <w14:textFill>
            <w14:solidFill>
              <w14:schemeClr w14:val="tx1"/>
            </w14:solidFill>
          </w14:textFill>
        </w:rPr>
      </w:pPr>
    </w:p>
    <w:sectPr>
      <w:headerReference r:id="rId83" w:type="default"/>
      <w:pgSz w:w="11906" w:h="16838"/>
      <w:pgMar w:top="1418" w:right="1418" w:bottom="1418" w:left="1418" w:header="850" w:footer="1077"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4878A">
    <w:pPr>
      <w:framePr w:wrap="around" w:vAnchor="text" w:hAnchor="page" w:x="1702" w:y="225"/>
      <w:ind w:firstLine="480"/>
    </w:pPr>
    <w:r>
      <w:fldChar w:fldCharType="begin"/>
    </w:r>
    <w:r>
      <w:instrText xml:space="preserve">PAGE  </w:instrText>
    </w:r>
    <w:r>
      <w:fldChar w:fldCharType="separate"/>
    </w:r>
    <w:r>
      <w:t>II</w:t>
    </w:r>
    <w:r>
      <w:fldChar w:fldCharType="end"/>
    </w:r>
  </w:p>
  <w:p w14:paraId="2ABF5E78">
    <w:pPr>
      <w:tabs>
        <w:tab w:val="left" w:pos="2880"/>
      </w:tabs>
      <w:ind w:right="-70" w:firstLine="482"/>
      <w:rPr>
        <w:rFonts w:ascii="楷体_GB2312" w:eastAsia="楷体_GB2312"/>
        <w:b/>
        <w:u w:val="single"/>
      </w:rPr>
    </w:pPr>
    <w:r>
      <w:rPr>
        <w:rFonts w:hint="eastAsia" w:ascii="楷体_GB2312" w:eastAsia="楷体_GB2312"/>
        <w:b/>
        <w:u w:val="single"/>
      </w:rPr>
      <w:t xml:space="preserve">                                                                                 </w:t>
    </w:r>
    <w:r>
      <w:rPr>
        <w:rFonts w:hint="eastAsia"/>
        <w:u w:val="single"/>
      </w:rPr>
      <w:t xml:space="preserve">                                                                     </w:t>
    </w:r>
    <w:r>
      <w:rPr>
        <w:rFonts w:hint="eastAsia" w:ascii="楷体_GB2312" w:eastAsia="楷体_GB2312"/>
        <w:b/>
        <w:u w:val="single"/>
      </w:rPr>
      <w:t xml:space="preserve"> </w:t>
    </w:r>
  </w:p>
  <w:p w14:paraId="0221F4DA">
    <w:pPr>
      <w:tabs>
        <w:tab w:val="left" w:pos="2880"/>
      </w:tabs>
      <w:ind w:right="-70" w:firstLine="482"/>
      <w:jc w:val="center"/>
      <w:rPr>
        <w:rFonts w:ascii="楷体_GB2312" w:eastAsia="楷体_GB2312"/>
        <w:b/>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1AB75">
    <w:pPr>
      <w:pStyle w:val="17"/>
    </w:pPr>
    <w:r>
      <w:fldChar w:fldCharType="begin"/>
    </w:r>
    <w:r>
      <w:instrText xml:space="preserve">PAGE   \* MERGEFORMAT</w:instrText>
    </w:r>
    <w:r>
      <w:fldChar w:fldCharType="separate"/>
    </w:r>
    <w:r>
      <w:rPr>
        <w:lang w:val="zh-CN"/>
      </w:rPr>
      <w:t>4</w:t>
    </w:r>
    <w:r>
      <w:fldChar w:fldCharType="end"/>
    </w:r>
    <w:r>
      <w:t xml:space="preserve">                          </w:t>
    </w:r>
    <w:r>
      <w:rPr>
        <w:rFonts w:hint="eastAsia"/>
      </w:rPr>
      <w:t>中材地质工程勘查研究院有限公司</w:t>
    </w:r>
  </w:p>
  <w:p w14:paraId="30CB439D">
    <w:pPr>
      <w:pStyle w:val="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FAB3C">
    <w:pPr>
      <w:pStyle w:val="17"/>
    </w:pPr>
    <w:r>
      <w:fldChar w:fldCharType="begin"/>
    </w:r>
    <w:r>
      <w:instrText xml:space="preserve">PAGE   \* MERGEFORMAT</w:instrText>
    </w:r>
    <w:r>
      <w:fldChar w:fldCharType="separate"/>
    </w:r>
    <w:r>
      <w:rPr>
        <w:lang w:val="zh-CN"/>
      </w:rPr>
      <w:t>33</w:t>
    </w:r>
    <w:r>
      <w:fldChar w:fldCharType="end"/>
    </w:r>
    <w:r>
      <w:t xml:space="preserve">                                                                </w:t>
    </w:r>
    <w:r>
      <w:rPr>
        <w:rFonts w:hint="eastAsia"/>
      </w:rPr>
      <w:t>中材地质工程勘查研究院有限公司</w:t>
    </w:r>
  </w:p>
  <w:p w14:paraId="01CBAB9E">
    <w:pPr>
      <w:pStyle w:val="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E58A4">
    <w:pPr>
      <w:pStyle w:val="17"/>
    </w:pPr>
    <w:r>
      <w:fldChar w:fldCharType="begin"/>
    </w:r>
    <w:r>
      <w:instrText xml:space="preserve">PAGE   \* MERGEFORMAT</w:instrText>
    </w:r>
    <w:r>
      <w:fldChar w:fldCharType="separate"/>
    </w:r>
    <w:r>
      <w:rPr>
        <w:lang w:val="zh-CN"/>
      </w:rPr>
      <w:t>53</w:t>
    </w:r>
    <w:r>
      <w:fldChar w:fldCharType="end"/>
    </w:r>
    <w:r>
      <w:t xml:space="preserve">                                </w:t>
    </w:r>
    <w:r>
      <w:rPr>
        <w:rFonts w:hint="eastAsia"/>
      </w:rPr>
      <w:t>中材地质工程勘查研究院有限公司</w:t>
    </w:r>
  </w:p>
  <w:p w14:paraId="0CBDDB8D">
    <w:pPr>
      <w:pStyle w:val="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F406B">
    <w:pPr>
      <w:pStyle w:val="17"/>
    </w:pPr>
    <w:r>
      <w:fldChar w:fldCharType="begin"/>
    </w:r>
    <w:r>
      <w:instrText xml:space="preserve">PAGE   \* MERGEFORMAT</w:instrText>
    </w:r>
    <w:r>
      <w:fldChar w:fldCharType="separate"/>
    </w:r>
    <w:r>
      <w:rPr>
        <w:lang w:val="zh-CN"/>
      </w:rPr>
      <w:t>58</w:t>
    </w:r>
    <w:r>
      <w:fldChar w:fldCharType="end"/>
    </w:r>
    <w:r>
      <w:t xml:space="preserve">                         </w:t>
    </w:r>
    <w:r>
      <w:rPr>
        <w:rFonts w:hint="eastAsia"/>
      </w:rPr>
      <w:t>中材地质工程勘查研究院有限公司</w:t>
    </w:r>
  </w:p>
  <w:p w14:paraId="4E4F769C">
    <w:pPr>
      <w:pStyle w:val="60"/>
    </w:pPr>
    <w:r>
      <w:rPr>
        <w:rFonts w:hint="eastAsia"/>
      </w:rPr>
      <w:t xml:space="preserve"> </w:t>
    </w:r>
    <w: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2F963">
    <w:pPr>
      <w:pStyle w:val="17"/>
    </w:pPr>
    <w:r>
      <w:fldChar w:fldCharType="begin"/>
    </w:r>
    <w:r>
      <w:instrText xml:space="preserve">PAGE   \* MERGEFORMAT</w:instrText>
    </w:r>
    <w:r>
      <w:fldChar w:fldCharType="separate"/>
    </w:r>
    <w:r>
      <w:rPr>
        <w:lang w:val="zh-CN"/>
      </w:rPr>
      <w:t>58</w:t>
    </w:r>
    <w:r>
      <w:fldChar w:fldCharType="end"/>
    </w:r>
    <w:r>
      <w:t xml:space="preserve">                                                                              </w:t>
    </w:r>
    <w:r>
      <w:rPr>
        <w:rFonts w:hint="eastAsia"/>
      </w:rPr>
      <w:t>中材地质工程勘查研究院有限公司</w:t>
    </w:r>
  </w:p>
  <w:p w14:paraId="540C9BD2">
    <w:pPr>
      <w:pStyle w:val="60"/>
    </w:pPr>
    <w:r>
      <w:rPr>
        <w:rFonts w:hint="eastAsia"/>
      </w:rPr>
      <w:t xml:space="preserve"> </w:t>
    </w:r>
    <w: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9F899">
    <w:pPr>
      <w:pStyle w:val="17"/>
    </w:pPr>
    <w:r>
      <w:fldChar w:fldCharType="begin"/>
    </w:r>
    <w:r>
      <w:instrText xml:space="preserve">PAGE   \* MERGEFORMAT</w:instrText>
    </w:r>
    <w:r>
      <w:fldChar w:fldCharType="separate"/>
    </w:r>
    <w:r>
      <w:rPr>
        <w:lang w:val="zh-CN"/>
      </w:rPr>
      <w:t>58</w:t>
    </w:r>
    <w:r>
      <w:fldChar w:fldCharType="end"/>
    </w:r>
    <w:r>
      <w:t xml:space="preserve">                         </w:t>
    </w:r>
    <w:r>
      <w:rPr>
        <w:rFonts w:hint="eastAsia"/>
      </w:rPr>
      <w:t>中材地质工程勘查研究院有限公司</w:t>
    </w:r>
  </w:p>
  <w:p w14:paraId="19D8854A">
    <w:pPr>
      <w:pStyle w:val="60"/>
    </w:pPr>
    <w:r>
      <w:rPr>
        <w:rFonts w:hint="eastAsia"/>
      </w:rPr>
      <w:t xml:space="preserve"> </w:t>
    </w:r>
    <w: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B608F">
    <w:pPr>
      <w:pStyle w:val="17"/>
    </w:pPr>
    <w:r>
      <w:fldChar w:fldCharType="begin"/>
    </w:r>
    <w:r>
      <w:instrText xml:space="preserve">PAGE   \* MERGEFORMAT</w:instrText>
    </w:r>
    <w:r>
      <w:fldChar w:fldCharType="separate"/>
    </w:r>
    <w:r>
      <w:rPr>
        <w:lang w:val="zh-CN"/>
      </w:rPr>
      <w:t>58</w:t>
    </w:r>
    <w:r>
      <w:fldChar w:fldCharType="end"/>
    </w:r>
    <w:r>
      <w:t xml:space="preserve">                                                                           </w:t>
    </w:r>
    <w:r>
      <w:rPr>
        <w:rFonts w:hint="eastAsia"/>
      </w:rPr>
      <w:t>中材地质工程勘查研究院有限公司</w:t>
    </w:r>
  </w:p>
  <w:p w14:paraId="2E32C389">
    <w:pPr>
      <w:pStyle w:val="60"/>
    </w:pPr>
    <w:r>
      <w:rPr>
        <w:rFonts w:hint="eastAsia"/>
      </w:rPr>
      <w:t xml:space="preserve"> </w:t>
    </w:r>
    <w: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E1B95">
    <w:pPr>
      <w:pStyle w:val="17"/>
    </w:pPr>
    <w:r>
      <w:fldChar w:fldCharType="begin"/>
    </w:r>
    <w:r>
      <w:instrText xml:space="preserve">PAGE   \* MERGEFORMAT</w:instrText>
    </w:r>
    <w:r>
      <w:fldChar w:fldCharType="separate"/>
    </w:r>
    <w:r>
      <w:rPr>
        <w:lang w:val="zh-CN"/>
      </w:rPr>
      <w:t>58</w:t>
    </w:r>
    <w:r>
      <w:fldChar w:fldCharType="end"/>
    </w:r>
    <w:r>
      <w:t xml:space="preserve">                            </w:t>
    </w:r>
    <w:r>
      <w:rPr>
        <w:rFonts w:hint="eastAsia"/>
      </w:rPr>
      <w:t>中材地质工程勘查研究院有限公司</w:t>
    </w:r>
  </w:p>
  <w:p w14:paraId="5017E85A">
    <w:pPr>
      <w:pStyle w:val="60"/>
    </w:pPr>
    <w:r>
      <w:rPr>
        <w:rFonts w:hint="eastAsia"/>
      </w:rPr>
      <w:t xml:space="preserve"> </w:t>
    </w:r>
    <w: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F31F3">
    <w:pPr>
      <w:pStyle w:val="17"/>
    </w:pPr>
    <w:r>
      <w:fldChar w:fldCharType="begin"/>
    </w:r>
    <w:r>
      <w:instrText xml:space="preserve">PAGE   \* MERGEFORMAT</w:instrText>
    </w:r>
    <w:r>
      <w:fldChar w:fldCharType="separate"/>
    </w:r>
    <w:r>
      <w:rPr>
        <w:lang w:val="zh-CN"/>
      </w:rPr>
      <w:t>58</w:t>
    </w:r>
    <w:r>
      <w:fldChar w:fldCharType="end"/>
    </w:r>
    <w:r>
      <w:t xml:space="preserve">                                                                               </w:t>
    </w:r>
    <w:r>
      <w:rPr>
        <w:rFonts w:hint="eastAsia"/>
      </w:rPr>
      <w:t>中材地质工程勘查研究院有限公司</w:t>
    </w:r>
  </w:p>
  <w:p w14:paraId="1FB3817F">
    <w:pPr>
      <w:pStyle w:val="60"/>
    </w:pPr>
    <w:r>
      <w:rPr>
        <w:rFonts w:hint="eastAsia"/>
      </w:rPr>
      <w:t xml:space="preserve"> </w:t>
    </w:r>
    <w: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3EF86">
    <w:pPr>
      <w:pStyle w:val="17"/>
    </w:pPr>
    <w:r>
      <w:fldChar w:fldCharType="begin"/>
    </w:r>
    <w:r>
      <w:instrText xml:space="preserve">PAGE   \* MERGEFORMAT</w:instrText>
    </w:r>
    <w:r>
      <w:fldChar w:fldCharType="separate"/>
    </w:r>
    <w:r>
      <w:rPr>
        <w:lang w:val="zh-CN"/>
      </w:rPr>
      <w:t>58</w:t>
    </w:r>
    <w:r>
      <w:fldChar w:fldCharType="end"/>
    </w:r>
    <w:r>
      <w:t xml:space="preserve">                            </w:t>
    </w:r>
    <w:r>
      <w:rPr>
        <w:rFonts w:hint="eastAsia"/>
      </w:rPr>
      <w:t>中材地质工程勘查研究院有限公司</w:t>
    </w:r>
  </w:p>
  <w:p w14:paraId="2DA4621D">
    <w:pPr>
      <w:pStyle w:val="60"/>
    </w:pPr>
    <w:r>
      <w:rPr>
        <w:rFonts w:hint="eastAsia"/>
      </w:rPr>
      <w:t xml:space="preserve"> </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FA799">
    <w:pPr>
      <w:pStyle w:val="17"/>
    </w:pPr>
    <w:r>
      <w:fldChar w:fldCharType="begin"/>
    </w:r>
    <w:r>
      <w:instrText xml:space="preserve">PAGE   \* MERGEFORMAT</w:instrText>
    </w:r>
    <w:r>
      <w:fldChar w:fldCharType="separate"/>
    </w:r>
    <w:r>
      <w:t>4</w:t>
    </w:r>
    <w:r>
      <w:fldChar w:fldCharType="end"/>
    </w:r>
    <w:r>
      <w:t xml:space="preserve">                                 </w:t>
    </w:r>
    <w:r>
      <w:rPr>
        <w:rFonts w:hint="eastAsia"/>
      </w:rPr>
      <w:t>中材地质工程勘查研究院有限公司</w:t>
    </w:r>
  </w:p>
  <w:p w14:paraId="6DE96E04">
    <w:pPr>
      <w:pStyle w:val="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3EB0B">
    <w:pPr>
      <w:pStyle w:val="17"/>
    </w:pPr>
    <w:r>
      <w:t xml:space="preserve">                                                                                                                    </w:t>
    </w:r>
    <w:sdt>
      <w:sdtPr>
        <w:id w:val="147458211"/>
        <w:docPartObj>
          <w:docPartGallery w:val="autotext"/>
        </w:docPartObj>
      </w:sdtPr>
      <w:sdtContent>
        <w:r>
          <w:fldChar w:fldCharType="begin"/>
        </w:r>
        <w:r>
          <w:instrText xml:space="preserve">PAGE   \* MERGEFORMAT</w:instrText>
        </w:r>
        <w:r>
          <w:fldChar w:fldCharType="separate"/>
        </w:r>
        <w:r>
          <w:t>18</w:t>
        </w:r>
        <w:r>
          <w:fldChar w:fldCharType="end"/>
        </w:r>
        <w:r>
          <w:t xml:space="preserve">                                                                             </w:t>
        </w:r>
        <w:r>
          <w:rPr>
            <w:rFonts w:hint="eastAsia"/>
          </w:rPr>
          <w:t xml:space="preserve"> </w:t>
        </w:r>
        <w:sdt>
          <w:sdtPr>
            <w:rPr>
              <w:rFonts w:hint="eastAsia"/>
            </w:rPr>
            <w:alias w:val="单位"/>
            <w:id w:val="494991299"/>
            <w:placeholder>
              <w:docPart w:val="2F9347A60ADF487B94FCD8BF251D4C15"/>
            </w:placeholder>
            <w:text/>
          </w:sdtPr>
          <w:sdtEndPr>
            <w:rPr>
              <w:rFonts w:hint="eastAsia"/>
            </w:rPr>
          </w:sdtEndPr>
          <w:sdtContent>
            <w:r>
              <w:rPr>
                <w:rFonts w:hint="eastAsia"/>
              </w:rPr>
              <w:t>中材地质工程勘查研究院有限公司</w:t>
            </w:r>
          </w:sdtContent>
        </w:sdt>
      </w:sdtContent>
    </w:sdt>
  </w:p>
  <w:p w14:paraId="5B62E91A">
    <w:pPr>
      <w:pStyle w:val="17"/>
    </w:pPr>
    <w:r>
      <w:rPr>
        <w:rFonts w:hint="eastAsia"/>
      </w:rPr>
      <w:t xml:space="preserve"> </w:t>
    </w:r>
    <w: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F522B">
    <w:pPr>
      <w:pStyle w:val="17"/>
    </w:pPr>
    <w:r>
      <w:tab/>
    </w:r>
    <w:r>
      <w:fldChar w:fldCharType="begin"/>
    </w:r>
    <w:r>
      <w:instrText xml:space="preserve">PAGE   \* MERGEFORMAT</w:instrText>
    </w:r>
    <w:r>
      <w:fldChar w:fldCharType="separate"/>
    </w:r>
    <w:r>
      <w:rPr>
        <w:lang w:val="zh-CN"/>
      </w:rPr>
      <w:t>64</w:t>
    </w:r>
    <w:r>
      <w:fldChar w:fldCharType="end"/>
    </w:r>
    <w:r>
      <w:t xml:space="preserve">                             </w:t>
    </w:r>
    <w:r>
      <w:rPr>
        <w:rFonts w:hint="eastAsia"/>
      </w:rPr>
      <w:t>中材地质工程勘查研究院有限公司</w:t>
    </w:r>
  </w:p>
  <w:p w14:paraId="6268D1A7">
    <w:pPr>
      <w:pStyle w:val="60"/>
    </w:pPr>
    <w:r>
      <w:rPr>
        <w:rFonts w:hint="eastAsia"/>
      </w:rPr>
      <w:t xml:space="preserve"> </w:t>
    </w:r>
    <w: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67248">
    <w:pPr>
      <w:pStyle w:val="17"/>
    </w:pPr>
    <w:r>
      <w:fldChar w:fldCharType="begin"/>
    </w:r>
    <w:r>
      <w:instrText xml:space="preserve">PAGE   \* MERGEFORMAT</w:instrText>
    </w:r>
    <w:r>
      <w:fldChar w:fldCharType="separate"/>
    </w:r>
    <w:r>
      <w:rPr>
        <w:lang w:val="zh-CN"/>
      </w:rPr>
      <w:t>58</w:t>
    </w:r>
    <w:r>
      <w:fldChar w:fldCharType="end"/>
    </w:r>
    <w:r>
      <w:t xml:space="preserve">                         </w:t>
    </w:r>
    <w:r>
      <w:rPr>
        <w:rFonts w:hint="eastAsia"/>
      </w:rPr>
      <w:t>中材地质工程勘查研究院有限公司</w:t>
    </w:r>
  </w:p>
  <w:p w14:paraId="1D829B54">
    <w:pPr>
      <w:pStyle w:val="60"/>
    </w:pPr>
    <w:r>
      <w:rPr>
        <w:rFonts w:hint="eastAsia"/>
      </w:rPr>
      <w:t xml:space="preserve"> </w:t>
    </w:r>
    <w:r>
      <w:t xml:space="preserve">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63E6A">
    <w:pPr>
      <w:pStyle w:val="17"/>
    </w:pPr>
    <w:r>
      <w:fldChar w:fldCharType="begin"/>
    </w:r>
    <w:r>
      <w:instrText xml:space="preserve">PAGE   \* MERGEFORMAT</w:instrText>
    </w:r>
    <w:r>
      <w:fldChar w:fldCharType="separate"/>
    </w:r>
    <w:r>
      <w:rPr>
        <w:lang w:val="zh-CN"/>
      </w:rPr>
      <w:t>82</w:t>
    </w:r>
    <w:r>
      <w:fldChar w:fldCharType="end"/>
    </w:r>
    <w:r>
      <w:t xml:space="preserve">                              </w:t>
    </w:r>
    <w:r>
      <w:rPr>
        <w:rFonts w:hint="eastAsia"/>
      </w:rPr>
      <w:t>中材地质工程勘查研究院有限公司</w:t>
    </w:r>
  </w:p>
  <w:p w14:paraId="13617D34">
    <w:pPr>
      <w:pStyle w:val="60"/>
    </w:pPr>
    <w:r>
      <w:rPr>
        <w:rFonts w:hint="eastAsia"/>
      </w:rPr>
      <w:t xml:space="preserve"> </w:t>
    </w:r>
    <w:r>
      <w:t xml:space="preserve">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249B7">
    <w:pPr>
      <w:pStyle w:val="17"/>
    </w:pPr>
    <w:r>
      <w:fldChar w:fldCharType="begin"/>
    </w:r>
    <w:r>
      <w:instrText xml:space="preserve">PAGE   \* MERGEFORMAT</w:instrText>
    </w:r>
    <w:r>
      <w:fldChar w:fldCharType="separate"/>
    </w:r>
    <w:r>
      <w:rPr>
        <w:lang w:val="zh-CN"/>
      </w:rPr>
      <w:t>82</w:t>
    </w:r>
    <w:r>
      <w:fldChar w:fldCharType="end"/>
    </w:r>
    <w:r>
      <w:t xml:space="preserve">                                                                      </w:t>
    </w:r>
    <w:r>
      <w:rPr>
        <w:rFonts w:hint="eastAsia"/>
      </w:rPr>
      <w:t>中材地质工程勘查研究院有限公司</w:t>
    </w:r>
  </w:p>
  <w:p w14:paraId="5FCFE9FA">
    <w:pPr>
      <w:pStyle w:val="60"/>
    </w:pPr>
    <w:r>
      <w:rPr>
        <w:rFonts w:hint="eastAsia"/>
      </w:rPr>
      <w:t xml:space="preserve"> </w:t>
    </w:r>
    <w:r>
      <w:t xml:space="preserve">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11D0E">
    <w:pPr>
      <w:pStyle w:val="17"/>
    </w:pPr>
    <w:r>
      <w:fldChar w:fldCharType="begin"/>
    </w:r>
    <w:r>
      <w:instrText xml:space="preserve">PAGE   \* MERGEFORMAT</w:instrText>
    </w:r>
    <w:r>
      <w:fldChar w:fldCharType="separate"/>
    </w:r>
    <w:r>
      <w:rPr>
        <w:lang w:val="zh-CN"/>
      </w:rPr>
      <w:t>82</w:t>
    </w:r>
    <w:r>
      <w:fldChar w:fldCharType="end"/>
    </w:r>
    <w:r>
      <w:t xml:space="preserve">                                 </w:t>
    </w:r>
    <w:r>
      <w:rPr>
        <w:rFonts w:hint="eastAsia"/>
      </w:rPr>
      <w:t>中材地质工程勘查研究院有限公司</w:t>
    </w:r>
  </w:p>
  <w:p w14:paraId="0CB04264">
    <w:pPr>
      <w:pStyle w:val="60"/>
    </w:pPr>
    <w:r>
      <w:rPr>
        <w:rFonts w:hint="eastAsia"/>
      </w:rPr>
      <w:t xml:space="preserve"> </w:t>
    </w:r>
    <w:r>
      <w:t xml:space="preserve">                                         </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33140">
    <w:pPr>
      <w:pStyle w:val="17"/>
    </w:pPr>
    <w:r>
      <w:fldChar w:fldCharType="begin"/>
    </w:r>
    <w:r>
      <w:instrText xml:space="preserve">PAGE   \* MERGEFORMAT</w:instrText>
    </w:r>
    <w:r>
      <w:fldChar w:fldCharType="separate"/>
    </w:r>
    <w:r>
      <w:rPr>
        <w:lang w:val="zh-CN"/>
      </w:rPr>
      <w:t>83</w:t>
    </w:r>
    <w:r>
      <w:fldChar w:fldCharType="end"/>
    </w:r>
    <w:r>
      <w:t xml:space="preserve">                                                                           </w:t>
    </w:r>
    <w:r>
      <w:rPr>
        <w:rFonts w:hint="eastAsia"/>
      </w:rPr>
      <w:t>中材地质工程勘查研究院有限公司</w:t>
    </w:r>
  </w:p>
  <w:p w14:paraId="4188D4FB">
    <w:pPr>
      <w:pStyle w:val="60"/>
    </w:pPr>
    <w:r>
      <w:rPr>
        <w:rFonts w:hint="eastAsia"/>
      </w:rPr>
      <w:t xml:space="preserve"> </w:t>
    </w:r>
    <w:r>
      <w:t xml:space="preserve">                                         </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D745C">
    <w:pPr>
      <w:pStyle w:val="17"/>
    </w:pPr>
    <w:r>
      <w:fldChar w:fldCharType="begin"/>
    </w:r>
    <w:r>
      <w:instrText xml:space="preserve">PAGE   \* MERGEFORMAT</w:instrText>
    </w:r>
    <w:r>
      <w:fldChar w:fldCharType="separate"/>
    </w:r>
    <w:r>
      <w:rPr>
        <w:lang w:val="zh-CN"/>
      </w:rPr>
      <w:t>83</w:t>
    </w:r>
    <w:r>
      <w:fldChar w:fldCharType="end"/>
    </w:r>
    <w:r>
      <w:t xml:space="preserve">                        </w:t>
    </w:r>
    <w:r>
      <w:rPr>
        <w:rFonts w:hint="eastAsia"/>
      </w:rPr>
      <w:t>中材地质工程勘查研究院有限公司</w:t>
    </w:r>
  </w:p>
  <w:p w14:paraId="5A3E7188">
    <w:pPr>
      <w:pStyle w:val="60"/>
    </w:pPr>
    <w:r>
      <w:rPr>
        <w:rFonts w:hint="eastAsia"/>
      </w:rPr>
      <w:t xml:space="preserve"> </w:t>
    </w:r>
    <w:r>
      <w:t xml:space="preserve">                                         </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5CB46">
    <w:pPr>
      <w:pStyle w:val="17"/>
    </w:pPr>
    <w:r>
      <w:fldChar w:fldCharType="begin"/>
    </w:r>
    <w:r>
      <w:instrText xml:space="preserve">PAGE   \* MERGEFORMAT</w:instrText>
    </w:r>
    <w:r>
      <w:fldChar w:fldCharType="separate"/>
    </w:r>
    <w:r>
      <w:rPr>
        <w:lang w:val="zh-CN"/>
      </w:rPr>
      <w:t>83</w:t>
    </w:r>
    <w:r>
      <w:fldChar w:fldCharType="end"/>
    </w:r>
    <w:r>
      <w:t xml:space="preserve">                                                                              </w:t>
    </w:r>
    <w:r>
      <w:rPr>
        <w:rFonts w:hint="eastAsia"/>
      </w:rPr>
      <w:t>中材地质工程勘查研究院有限公司</w:t>
    </w:r>
  </w:p>
  <w:p w14:paraId="4A41240D">
    <w:pPr>
      <w:pStyle w:val="60"/>
    </w:pPr>
    <w:r>
      <w:rPr>
        <w:rFonts w:hint="eastAsia"/>
      </w:rPr>
      <w:t xml:space="preserve"> </w:t>
    </w:r>
    <w:r>
      <w:t xml:space="preserve">                                         </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4F49C">
    <w:pPr>
      <w:pStyle w:val="17"/>
    </w:pPr>
    <w:r>
      <w:fldChar w:fldCharType="begin"/>
    </w:r>
    <w:r>
      <w:instrText xml:space="preserve">PAGE   \* MERGEFORMAT</w:instrText>
    </w:r>
    <w:r>
      <w:fldChar w:fldCharType="separate"/>
    </w:r>
    <w:r>
      <w:rPr>
        <w:lang w:val="zh-CN"/>
      </w:rPr>
      <w:t>83</w:t>
    </w:r>
    <w:r>
      <w:fldChar w:fldCharType="end"/>
    </w:r>
    <w:r>
      <w:t xml:space="preserve">                           </w:t>
    </w:r>
    <w:r>
      <w:rPr>
        <w:rFonts w:hint="eastAsia"/>
      </w:rPr>
      <w:t>中材地质工程勘查研究院有限公司</w:t>
    </w:r>
  </w:p>
  <w:p w14:paraId="1BA52611">
    <w:pPr>
      <w:pStyle w:val="60"/>
    </w:pPr>
    <w:r>
      <w:rPr>
        <w:rFonts w:hint="eastAsia"/>
      </w:rPr>
      <w:t xml:space="preserve"> </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334AF">
    <w:pPr>
      <w:pStyle w:val="17"/>
    </w:pPr>
    <w:r>
      <w:fldChar w:fldCharType="begin"/>
    </w:r>
    <w:r>
      <w:instrText xml:space="preserve">PAGE   \* MERGEFORMAT</w:instrText>
    </w:r>
    <w:r>
      <w:fldChar w:fldCharType="separate"/>
    </w:r>
    <w:r>
      <w:t>4</w:t>
    </w:r>
    <w:r>
      <w:fldChar w:fldCharType="end"/>
    </w:r>
    <w:r>
      <w:t xml:space="preserve">                                                                                 </w:t>
    </w:r>
    <w:r>
      <w:rPr>
        <w:rFonts w:hint="eastAsia"/>
      </w:rPr>
      <w:t>中材地质工程勘查研究院有限公司</w:t>
    </w:r>
  </w:p>
  <w:p w14:paraId="3E17872C">
    <w:pPr>
      <w:pStyle w:val="60"/>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107F4">
    <w:pPr>
      <w:pStyle w:val="17"/>
    </w:pPr>
    <w:r>
      <w:fldChar w:fldCharType="begin"/>
    </w:r>
    <w:r>
      <w:instrText xml:space="preserve">PAGE   \* MERGEFORMAT</w:instrText>
    </w:r>
    <w:r>
      <w:fldChar w:fldCharType="separate"/>
    </w:r>
    <w:r>
      <w:rPr>
        <w:lang w:val="zh-CN"/>
      </w:rPr>
      <w:t>83</w:t>
    </w:r>
    <w:r>
      <w:fldChar w:fldCharType="end"/>
    </w:r>
    <w:r>
      <w:t xml:space="preserve">                                                                        </w:t>
    </w:r>
    <w:r>
      <w:rPr>
        <w:rFonts w:hint="eastAsia"/>
      </w:rPr>
      <w:t>中材地质工程勘查研究院有限公司</w:t>
    </w:r>
  </w:p>
  <w:p w14:paraId="16A6C366">
    <w:pPr>
      <w:pStyle w:val="60"/>
    </w:pPr>
    <w:r>
      <w:rPr>
        <w:rFonts w:hint="eastAsia"/>
      </w:rPr>
      <w:t xml:space="preserve"> </w:t>
    </w:r>
    <w:r>
      <w:t xml:space="preserve">                                         </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0C562">
    <w:pPr>
      <w:pStyle w:val="17"/>
    </w:pPr>
    <w:r>
      <w:fldChar w:fldCharType="begin"/>
    </w:r>
    <w:r>
      <w:instrText xml:space="preserve">PAGE   \* MERGEFORMAT</w:instrText>
    </w:r>
    <w:r>
      <w:fldChar w:fldCharType="separate"/>
    </w:r>
    <w:r>
      <w:rPr>
        <w:lang w:val="zh-CN"/>
      </w:rPr>
      <w:t>83</w:t>
    </w:r>
    <w:r>
      <w:fldChar w:fldCharType="end"/>
    </w:r>
    <w:r>
      <w:t xml:space="preserve">                       </w:t>
    </w:r>
    <w:r>
      <w:rPr>
        <w:rFonts w:hint="eastAsia"/>
      </w:rPr>
      <w:t>中材地质工程勘查研究院有限公司</w:t>
    </w:r>
  </w:p>
  <w:p w14:paraId="54A89E14">
    <w:pPr>
      <w:pStyle w:val="60"/>
    </w:pPr>
    <w:r>
      <w:rPr>
        <w:rFonts w:hint="eastAsia"/>
      </w:rPr>
      <w:t xml:space="preserve"> </w:t>
    </w:r>
    <w:r>
      <w:t xml:space="preserve">                                         </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30899">
    <w:pPr>
      <w:pStyle w:val="17"/>
    </w:pPr>
    <w:r>
      <w:fldChar w:fldCharType="begin"/>
    </w:r>
    <w:r>
      <w:instrText xml:space="preserve">PAGE   \* MERGEFORMAT</w:instrText>
    </w:r>
    <w:r>
      <w:fldChar w:fldCharType="separate"/>
    </w:r>
    <w:r>
      <w:rPr>
        <w:lang w:val="zh-CN"/>
      </w:rPr>
      <w:t>83</w:t>
    </w:r>
    <w:r>
      <w:fldChar w:fldCharType="end"/>
    </w:r>
    <w:r>
      <w:t xml:space="preserve">                                                                                </w:t>
    </w:r>
    <w:r>
      <w:rPr>
        <w:rFonts w:hint="eastAsia"/>
      </w:rPr>
      <w:t>中材地质工程勘查研究院有限公司</w:t>
    </w:r>
  </w:p>
  <w:p w14:paraId="3704ADAF">
    <w:pPr>
      <w:pStyle w:val="60"/>
    </w:pPr>
    <w:r>
      <w:rPr>
        <w:rFonts w:hint="eastAsia"/>
      </w:rPr>
      <w:t xml:space="preserve"> </w:t>
    </w:r>
    <w:r>
      <w:t xml:space="preserve">                                         </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78D79">
    <w:pPr>
      <w:pStyle w:val="17"/>
    </w:pPr>
    <w:r>
      <w:fldChar w:fldCharType="begin"/>
    </w:r>
    <w:r>
      <w:instrText xml:space="preserve">PAGE   \* MERGEFORMAT</w:instrText>
    </w:r>
    <w:r>
      <w:fldChar w:fldCharType="separate"/>
    </w:r>
    <w:r>
      <w:rPr>
        <w:lang w:val="zh-CN"/>
      </w:rPr>
      <w:t>83</w:t>
    </w:r>
    <w:r>
      <w:fldChar w:fldCharType="end"/>
    </w:r>
    <w:r>
      <w:t xml:space="preserve">                       </w:t>
    </w:r>
    <w:r>
      <w:rPr>
        <w:rFonts w:hint="eastAsia"/>
      </w:rPr>
      <w:t>中材地质工程勘查研究院有限公司</w:t>
    </w:r>
  </w:p>
  <w:p w14:paraId="07A6F6B2">
    <w:pPr>
      <w:pStyle w:val="60"/>
    </w:pPr>
    <w:r>
      <w:rPr>
        <w:rFonts w:hint="eastAsia"/>
      </w:rPr>
      <w:t xml:space="preserve"> </w:t>
    </w:r>
    <w:r>
      <w:t xml:space="preserve">                                         </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7883B">
    <w:pPr>
      <w:pStyle w:val="17"/>
    </w:pPr>
    <w:r>
      <w:fldChar w:fldCharType="begin"/>
    </w:r>
    <w:r>
      <w:instrText xml:space="preserve">PAGE   \* MERGEFORMAT</w:instrText>
    </w:r>
    <w:r>
      <w:fldChar w:fldCharType="separate"/>
    </w:r>
    <w:r>
      <w:rPr>
        <w:lang w:val="zh-CN"/>
      </w:rPr>
      <w:t>83</w:t>
    </w:r>
    <w:r>
      <w:fldChar w:fldCharType="end"/>
    </w:r>
    <w:r>
      <w:t xml:space="preserve">                                                                                  </w:t>
    </w:r>
    <w:r>
      <w:rPr>
        <w:rFonts w:hint="eastAsia"/>
      </w:rPr>
      <w:t>中材地质工程勘查研究院有限公司</w:t>
    </w:r>
  </w:p>
  <w:p w14:paraId="4D45B2E9">
    <w:pPr>
      <w:pStyle w:val="60"/>
    </w:pPr>
    <w:r>
      <w:rPr>
        <w:rFonts w:hint="eastAsia"/>
      </w:rPr>
      <w:t xml:space="preserve"> </w:t>
    </w:r>
    <w:r>
      <w:t xml:space="preserve">                                         </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1E9DD">
    <w:pPr>
      <w:pStyle w:val="17"/>
    </w:pPr>
    <w:r>
      <w:fldChar w:fldCharType="begin"/>
    </w:r>
    <w:r>
      <w:instrText xml:space="preserve">PAGE   \* MERGEFORMAT</w:instrText>
    </w:r>
    <w:r>
      <w:fldChar w:fldCharType="separate"/>
    </w:r>
    <w:r>
      <w:rPr>
        <w:lang w:val="zh-CN"/>
      </w:rPr>
      <w:t>83</w:t>
    </w:r>
    <w:r>
      <w:fldChar w:fldCharType="end"/>
    </w:r>
    <w:r>
      <w:t xml:space="preserve">                           </w:t>
    </w:r>
    <w:r>
      <w:rPr>
        <w:rFonts w:hint="eastAsia"/>
      </w:rPr>
      <w:t>中材地质工程勘查研究院有限公司</w:t>
    </w:r>
  </w:p>
  <w:p w14:paraId="000BB072">
    <w:pPr>
      <w:pStyle w:val="60"/>
    </w:pPr>
    <w:r>
      <w:rPr>
        <w:rFonts w:hint="eastAsia"/>
      </w:rPr>
      <w:t xml:space="preserve"> </w:t>
    </w:r>
    <w:r>
      <w:t xml:space="preserve">                                         </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27982">
    <w:pPr>
      <w:pStyle w:val="17"/>
    </w:pPr>
    <w:r>
      <w:fldChar w:fldCharType="begin"/>
    </w:r>
    <w:r>
      <w:instrText xml:space="preserve">PAGE   \* MERGEFORMAT</w:instrText>
    </w:r>
    <w:r>
      <w:fldChar w:fldCharType="separate"/>
    </w:r>
    <w:r>
      <w:rPr>
        <w:lang w:val="zh-CN"/>
      </w:rPr>
      <w:t>83</w:t>
    </w:r>
    <w:r>
      <w:fldChar w:fldCharType="end"/>
    </w:r>
    <w:r>
      <w:t xml:space="preserve">                                                                             </w:t>
    </w:r>
    <w:r>
      <w:rPr>
        <w:rFonts w:hint="eastAsia"/>
      </w:rPr>
      <w:t>中材地质工程勘查研究院有限公司</w:t>
    </w:r>
  </w:p>
  <w:p w14:paraId="513DBB81">
    <w:pPr>
      <w:pStyle w:val="60"/>
    </w:pPr>
    <w:r>
      <w:rPr>
        <w:rFonts w:hint="eastAsia"/>
      </w:rPr>
      <w:t xml:space="preserve"> </w:t>
    </w:r>
    <w:r>
      <w:t xml:space="preserve">                                         </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D6861">
    <w:pPr>
      <w:pStyle w:val="17"/>
    </w:pPr>
    <w:r>
      <w:fldChar w:fldCharType="begin"/>
    </w:r>
    <w:r>
      <w:instrText xml:space="preserve">PAGE   \* MERGEFORMAT</w:instrText>
    </w:r>
    <w:r>
      <w:fldChar w:fldCharType="separate"/>
    </w:r>
    <w:r>
      <w:rPr>
        <w:lang w:val="zh-CN"/>
      </w:rPr>
      <w:t>83</w:t>
    </w:r>
    <w:r>
      <w:fldChar w:fldCharType="end"/>
    </w:r>
    <w:r>
      <w:t xml:space="preserve">                        </w:t>
    </w:r>
    <w:r>
      <w:rPr>
        <w:rFonts w:hint="eastAsia"/>
      </w:rPr>
      <w:t>中材地质工程勘查研究院有限公司</w:t>
    </w:r>
  </w:p>
  <w:p w14:paraId="219D1723">
    <w:pPr>
      <w:pStyle w:val="60"/>
    </w:pPr>
    <w:r>
      <w:rPr>
        <w:rFonts w:hint="eastAsia"/>
      </w:rPr>
      <w:t xml:space="preserve"> </w:t>
    </w:r>
    <w:r>
      <w:t xml:space="preserve">                                         </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417A4">
    <w:pPr>
      <w:pStyle w:val="17"/>
    </w:pPr>
    <w:r>
      <w:fldChar w:fldCharType="begin"/>
    </w:r>
    <w:r>
      <w:instrText xml:space="preserve">PAGE   \* MERGEFORMAT</w:instrText>
    </w:r>
    <w:r>
      <w:fldChar w:fldCharType="separate"/>
    </w:r>
    <w:r>
      <w:rPr>
        <w:lang w:val="zh-CN"/>
      </w:rPr>
      <w:t>83</w:t>
    </w:r>
    <w:r>
      <w:fldChar w:fldCharType="end"/>
    </w:r>
    <w:r>
      <w:t xml:space="preserve">                        </w:t>
    </w:r>
    <w:r>
      <w:rPr>
        <w:rFonts w:hint="eastAsia"/>
      </w:rPr>
      <w:t>中材地质工程勘查研究院有限公司</w:t>
    </w:r>
  </w:p>
  <w:p w14:paraId="35855F22">
    <w:pPr>
      <w:pStyle w:val="60"/>
    </w:pPr>
    <w:r>
      <w:rPr>
        <w:rFonts w:hint="eastAsia"/>
      </w:rPr>
      <w:t xml:space="preserve"> </w:t>
    </w:r>
    <w:r>
      <w:t xml:space="preserve">                                         </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4C765">
    <w:pPr>
      <w:pStyle w:val="17"/>
    </w:pPr>
    <w:r>
      <w:fldChar w:fldCharType="begin"/>
    </w:r>
    <w:r>
      <w:instrText xml:space="preserve">PAGE   \* MERGEFORMAT</w:instrText>
    </w:r>
    <w:r>
      <w:fldChar w:fldCharType="separate"/>
    </w:r>
    <w:r>
      <w:rPr>
        <w:lang w:val="zh-CN"/>
      </w:rPr>
      <w:t>83</w:t>
    </w:r>
    <w:r>
      <w:fldChar w:fldCharType="end"/>
    </w:r>
    <w:r>
      <w:t xml:space="preserve">                                                                              </w:t>
    </w:r>
    <w:r>
      <w:rPr>
        <w:rFonts w:hint="eastAsia"/>
      </w:rPr>
      <w:t>中材地质工程勘查研究院有限公司</w:t>
    </w:r>
  </w:p>
  <w:p w14:paraId="6711CD23">
    <w:pPr>
      <w:pStyle w:val="60"/>
    </w:pPr>
    <w:r>
      <w:rPr>
        <w:rFonts w:hint="eastAsia"/>
      </w:rPr>
      <w:t xml:space="preserve"> </w:t>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1297057"/>
      <w:docPartObj>
        <w:docPartGallery w:val="autotext"/>
      </w:docPartObj>
    </w:sdtPr>
    <w:sdtContent>
      <w:p w14:paraId="25F31892">
        <w:pPr>
          <w:pStyle w:val="17"/>
        </w:pPr>
        <w:r>
          <w:fldChar w:fldCharType="begin"/>
        </w:r>
        <w:r>
          <w:instrText xml:space="preserve">PAGE   \* MERGEFORMAT</w:instrText>
        </w:r>
        <w:r>
          <w:fldChar w:fldCharType="separate"/>
        </w:r>
        <w:r>
          <w:rPr>
            <w:lang w:val="zh-CN"/>
          </w:rPr>
          <w:t>2</w:t>
        </w:r>
        <w:r>
          <w:fldChar w:fldCharType="end"/>
        </w:r>
        <w:r>
          <w:t xml:space="preserve">                                     </w:t>
        </w:r>
        <w:r>
          <w:rPr>
            <w:rFonts w:hint="eastAsia"/>
          </w:rPr>
          <w:t xml:space="preserve"> </w:t>
        </w:r>
        <w:sdt>
          <w:sdtPr>
            <w:rPr>
              <w:rFonts w:hint="eastAsia"/>
            </w:rPr>
            <w:alias w:val="单位"/>
            <w:id w:val="-1"/>
            <w:placeholder>
              <w:docPart w:val="6E4FD89803754E50B7BBA314995DB0B3"/>
            </w:placeholder>
            <w:text/>
          </w:sdtPr>
          <w:sdtEndPr>
            <w:rPr>
              <w:rFonts w:hint="eastAsia"/>
            </w:rPr>
          </w:sdtEndPr>
          <w:sdtContent>
            <w:r>
              <w:rPr>
                <w:rFonts w:hint="eastAsia"/>
              </w:rPr>
              <w:t>中材地质工程勘查研究院有限公司</w:t>
            </w:r>
          </w:sdtContent>
        </w:sdt>
      </w:p>
    </w:sdtContent>
  </w:sdt>
  <w:p w14:paraId="6A8F481B">
    <w:pPr>
      <w:pStyle w:val="17"/>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3E0D9">
    <w:pPr>
      <w:pStyle w:val="17"/>
    </w:pPr>
    <w:r>
      <w:fldChar w:fldCharType="begin"/>
    </w:r>
    <w:r>
      <w:instrText xml:space="preserve">PAGE   \* MERGEFORMAT</w:instrText>
    </w:r>
    <w:r>
      <w:fldChar w:fldCharType="separate"/>
    </w:r>
    <w:r>
      <w:rPr>
        <w:lang w:val="zh-CN"/>
      </w:rPr>
      <w:t>83</w:t>
    </w:r>
    <w:r>
      <w:fldChar w:fldCharType="end"/>
    </w:r>
    <w:r>
      <w:t xml:space="preserve">                             </w:t>
    </w:r>
    <w:r>
      <w:rPr>
        <w:rFonts w:hint="eastAsia"/>
      </w:rPr>
      <w:t>中材地质工程勘查研究院有限公司</w:t>
    </w:r>
  </w:p>
  <w:p w14:paraId="6CBC29EA">
    <w:pPr>
      <w:pStyle w:val="60"/>
    </w:pPr>
    <w:r>
      <w:rPr>
        <w:rFonts w:hint="eastAsia"/>
      </w:rPr>
      <w:t xml:space="preserve"> </w:t>
    </w:r>
    <w:r>
      <w:t xml:space="preserve">                                         </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56236">
    <w:pPr>
      <w:pStyle w:val="17"/>
    </w:pPr>
    <w:r>
      <w:fldChar w:fldCharType="begin"/>
    </w:r>
    <w:r>
      <w:instrText xml:space="preserve">PAGE   \* MERGEFORMAT</w:instrText>
    </w:r>
    <w:r>
      <w:fldChar w:fldCharType="separate"/>
    </w:r>
    <w:r>
      <w:rPr>
        <w:lang w:val="zh-CN"/>
      </w:rPr>
      <w:t>88</w:t>
    </w:r>
    <w:r>
      <w:fldChar w:fldCharType="end"/>
    </w:r>
    <w:r>
      <w:t xml:space="preserve">                                                                           </w:t>
    </w:r>
    <w:r>
      <w:rPr>
        <w:rFonts w:hint="eastAsia"/>
      </w:rPr>
      <w:t>中材地质工程勘查研究院有限公司</w:t>
    </w:r>
  </w:p>
  <w:p w14:paraId="39FF11C9">
    <w:pPr>
      <w:pStyle w:val="60"/>
    </w:pPr>
    <w:r>
      <w:rPr>
        <w:rFonts w:hint="eastAsia"/>
      </w:rPr>
      <w:t xml:space="preserve"> </w:t>
    </w:r>
    <w:r>
      <w:t xml:space="preserve">                                         </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7C483">
    <w:pPr>
      <w:pStyle w:val="17"/>
    </w:pPr>
    <w:r>
      <w:fldChar w:fldCharType="begin"/>
    </w:r>
    <w:r>
      <w:instrText xml:space="preserve">PAGE   \* MERGEFORMAT</w:instrText>
    </w:r>
    <w:r>
      <w:fldChar w:fldCharType="separate"/>
    </w:r>
    <w:r>
      <w:rPr>
        <w:lang w:val="zh-CN"/>
      </w:rPr>
      <w:t>88</w:t>
    </w:r>
    <w:r>
      <w:fldChar w:fldCharType="end"/>
    </w:r>
    <w:r>
      <w:t xml:space="preserve">                        </w:t>
    </w:r>
    <w:r>
      <w:rPr>
        <w:rFonts w:hint="eastAsia"/>
      </w:rPr>
      <w:t>中材地质工程勘查研究院有限公司</w:t>
    </w:r>
  </w:p>
  <w:p w14:paraId="4E3973A7">
    <w:pPr>
      <w:pStyle w:val="60"/>
    </w:pPr>
    <w:r>
      <w:rPr>
        <w:rFonts w:hint="eastAsia"/>
      </w:rPr>
      <w:t xml:space="preserve"> </w:t>
    </w:r>
    <w:r>
      <w:t xml:space="preserve">                                         </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B7FAA">
    <w:pPr>
      <w:pStyle w:val="17"/>
    </w:pPr>
    <w:r>
      <w:fldChar w:fldCharType="begin"/>
    </w:r>
    <w:r>
      <w:instrText xml:space="preserve">PAGE   \* MERGEFORMAT</w:instrText>
    </w:r>
    <w:r>
      <w:fldChar w:fldCharType="separate"/>
    </w:r>
    <w:r>
      <w:rPr>
        <w:lang w:val="zh-CN"/>
      </w:rPr>
      <w:t>88</w:t>
    </w:r>
    <w:r>
      <w:fldChar w:fldCharType="end"/>
    </w:r>
    <w:r>
      <w:t xml:space="preserve">                                                                           </w:t>
    </w:r>
    <w:r>
      <w:rPr>
        <w:rFonts w:hint="eastAsia"/>
      </w:rPr>
      <w:t>中材地质工程勘查研究院有限公司</w:t>
    </w:r>
  </w:p>
  <w:p w14:paraId="2A22A154">
    <w:pPr>
      <w:pStyle w:val="60"/>
    </w:pPr>
    <w:r>
      <w:rPr>
        <w:rFonts w:hint="eastAsia"/>
      </w:rPr>
      <w:t xml:space="preserve"> </w:t>
    </w:r>
    <w:r>
      <w:t xml:space="preserve">                                         </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C188D">
    <w:pPr>
      <w:pStyle w:val="17"/>
    </w:pPr>
    <w:r>
      <w:fldChar w:fldCharType="begin"/>
    </w:r>
    <w:r>
      <w:instrText xml:space="preserve">PAGE   \* MERGEFORMAT</w:instrText>
    </w:r>
    <w:r>
      <w:fldChar w:fldCharType="separate"/>
    </w:r>
    <w:r>
      <w:rPr>
        <w:lang w:val="zh-CN"/>
      </w:rPr>
      <w:t>125</w:t>
    </w:r>
    <w:r>
      <w:fldChar w:fldCharType="end"/>
    </w:r>
    <w:r>
      <w:t xml:space="preserve">                           </w:t>
    </w:r>
    <w:r>
      <w:rPr>
        <w:rFonts w:hint="eastAsia"/>
      </w:rPr>
      <w:t>中材地质工程勘查研究院有限公司</w:t>
    </w:r>
  </w:p>
  <w:p w14:paraId="73AD3E61">
    <w:pPr>
      <w:pStyle w:val="60"/>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A7EB4">
    <w:pPr>
      <w:pStyle w:val="17"/>
    </w:pPr>
    <w:r>
      <w:fldChar w:fldCharType="begin"/>
    </w:r>
    <w:r>
      <w:instrText xml:space="preserve">PAGE   \* MERGEFORMAT</w:instrText>
    </w:r>
    <w:r>
      <w:fldChar w:fldCharType="separate"/>
    </w:r>
    <w:r>
      <w:rPr>
        <w:lang w:val="zh-CN"/>
      </w:rPr>
      <w:t>179</w:t>
    </w:r>
    <w:r>
      <w:fldChar w:fldCharType="end"/>
    </w:r>
    <w:r>
      <w:t xml:space="preserve">                                </w:t>
    </w:r>
    <w:r>
      <w:rPr>
        <w:rFonts w:hint="eastAsia"/>
      </w:rPr>
      <w:t>中材地质工程勘查研究院有限公司</w:t>
    </w:r>
  </w:p>
  <w:p w14:paraId="11123658">
    <w:pPr>
      <w:pStyle w:val="60"/>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B7F95">
    <w:pPr>
      <w:pStyle w:val="17"/>
    </w:pPr>
    <w:r>
      <w:fldChar w:fldCharType="begin"/>
    </w:r>
    <w:r>
      <w:instrText xml:space="preserve">PAGE   \* MERGEFORMAT</w:instrText>
    </w:r>
    <w:r>
      <w:fldChar w:fldCharType="separate"/>
    </w:r>
    <w:r>
      <w:rPr>
        <w:lang w:val="zh-CN"/>
      </w:rPr>
      <w:t>179</w:t>
    </w:r>
    <w:r>
      <w:fldChar w:fldCharType="end"/>
    </w:r>
    <w:r>
      <w:t xml:space="preserve">                                </w:t>
    </w:r>
    <w:r>
      <w:rPr>
        <w:rFonts w:hint="eastAsia"/>
      </w:rPr>
      <w:t>中材地质工程勘查研究院有限公司</w:t>
    </w:r>
  </w:p>
  <w:p w14:paraId="59B39D13">
    <w:pPr>
      <w:pStyle w:val="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1012897"/>
      <w:docPartObj>
        <w:docPartGallery w:val="autotext"/>
      </w:docPartObj>
    </w:sdtPr>
    <w:sdtContent>
      <w:p w14:paraId="324C4E80">
        <w:pPr>
          <w:pStyle w:val="17"/>
        </w:pPr>
        <w:r>
          <w:fldChar w:fldCharType="begin"/>
        </w:r>
        <w:r>
          <w:instrText xml:space="preserve">PAGE   \* MERGEFORMAT</w:instrText>
        </w:r>
        <w:r>
          <w:fldChar w:fldCharType="separate"/>
        </w:r>
        <w:r>
          <w:t>2</w:t>
        </w:r>
        <w:r>
          <w:fldChar w:fldCharType="end"/>
        </w:r>
        <w:r>
          <w:t xml:space="preserve">                                                                             </w:t>
        </w:r>
        <w:r>
          <w:rPr>
            <w:rFonts w:hint="eastAsia"/>
          </w:rPr>
          <w:t xml:space="preserve"> </w:t>
        </w:r>
        <w:sdt>
          <w:sdtPr>
            <w:alias w:val="单位"/>
            <w:id w:val="1454061689"/>
            <w:placeholder>
              <w:docPart w:val="24751ED1F97E49D3B8EA692ED94B571A"/>
            </w:placeholder>
            <w:text/>
          </w:sdtPr>
          <w:sdtContent>
            <w:r>
              <w:t>中材地质工程勘查研究院有限公司</w:t>
            </w:r>
          </w:sdtContent>
        </w:sdt>
      </w:p>
    </w:sdtContent>
  </w:sdt>
  <w:p w14:paraId="2F119847">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7988"/>
      <w:docPartObj>
        <w:docPartGallery w:val="autotext"/>
      </w:docPartObj>
    </w:sdtPr>
    <w:sdtContent>
      <w:p w14:paraId="1CA79A5D">
        <w:pPr>
          <w:pStyle w:val="17"/>
        </w:pPr>
        <w:r>
          <w:fldChar w:fldCharType="begin"/>
        </w:r>
        <w:r>
          <w:instrText xml:space="preserve">PAGE   \* MERGEFORMAT</w:instrText>
        </w:r>
        <w:r>
          <w:fldChar w:fldCharType="separate"/>
        </w:r>
        <w:r>
          <w:rPr>
            <w:lang w:val="zh-CN"/>
          </w:rPr>
          <w:t>2</w:t>
        </w:r>
        <w:r>
          <w:fldChar w:fldCharType="end"/>
        </w:r>
        <w:r>
          <w:t xml:space="preserve">                                       </w:t>
        </w:r>
        <w:r>
          <w:rPr>
            <w:rFonts w:hint="eastAsia"/>
          </w:rPr>
          <w:t xml:space="preserve"> </w:t>
        </w:r>
        <w:sdt>
          <w:sdtPr>
            <w:rPr>
              <w:rFonts w:hint="eastAsia"/>
            </w:rPr>
            <w:alias w:val="单位"/>
            <w:id w:val="147463649"/>
            <w:placeholder>
              <w:docPart w:val="7BF0FA30241D48779563ADAED41AC144"/>
            </w:placeholder>
            <w:text/>
          </w:sdtPr>
          <w:sdtEndPr>
            <w:rPr>
              <w:rFonts w:hint="eastAsia"/>
            </w:rPr>
          </w:sdtEndPr>
          <w:sdtContent>
            <w:r>
              <w:rPr>
                <w:rFonts w:hint="eastAsia"/>
              </w:rPr>
              <w:t>中材地质工程勘查研究院有限公司</w:t>
            </w:r>
          </w:sdtContent>
        </w:sdt>
      </w:p>
    </w:sdtContent>
  </w:sdt>
  <w:p w14:paraId="3B59FA85">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8410373"/>
      <w:docPartObj>
        <w:docPartGallery w:val="autotext"/>
      </w:docPartObj>
    </w:sdtPr>
    <w:sdtContent>
      <w:p w14:paraId="459FD739">
        <w:pPr>
          <w:pStyle w:val="17"/>
        </w:pPr>
        <w:r>
          <w:fldChar w:fldCharType="begin"/>
        </w:r>
        <w:r>
          <w:instrText xml:space="preserve">PAGE   \* MERGEFORMAT</w:instrText>
        </w:r>
        <w:r>
          <w:fldChar w:fldCharType="separate"/>
        </w:r>
        <w:r>
          <w:t>18</w:t>
        </w:r>
        <w:r>
          <w:fldChar w:fldCharType="end"/>
        </w:r>
        <w:r>
          <w:t xml:space="preserve">                                                                             </w:t>
        </w:r>
        <w:r>
          <w:rPr>
            <w:rFonts w:hint="eastAsia"/>
          </w:rPr>
          <w:t xml:space="preserve"> </w:t>
        </w:r>
        <w:sdt>
          <w:sdtPr>
            <w:rPr>
              <w:rFonts w:hint="eastAsia"/>
            </w:rPr>
            <w:alias w:val="单位"/>
            <w:id w:val="147454041"/>
            <w:placeholder>
              <w:docPart w:val="74DFE4D243B94075B1BB4600D319A7E3"/>
            </w:placeholder>
            <w:text/>
          </w:sdtPr>
          <w:sdtEndPr>
            <w:rPr>
              <w:rFonts w:hint="eastAsia"/>
            </w:rPr>
          </w:sdtEndPr>
          <w:sdtContent>
            <w:r>
              <w:rPr>
                <w:rFonts w:hint="eastAsia"/>
              </w:rPr>
              <w:t>中材地质工程勘查研究院有限公司</w:t>
            </w:r>
          </w:sdtContent>
        </w:sdt>
      </w:p>
    </w:sdtContent>
  </w:sdt>
  <w:p w14:paraId="37B4C429">
    <w:pPr>
      <w:pStyle w:val="1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7852"/>
      <w:docPartObj>
        <w:docPartGallery w:val="autotext"/>
      </w:docPartObj>
    </w:sdtPr>
    <w:sdtContent>
      <w:p w14:paraId="58943B11">
        <w:pPr>
          <w:pStyle w:val="17"/>
        </w:pPr>
        <w:r>
          <w:fldChar w:fldCharType="begin"/>
        </w:r>
        <w:r>
          <w:instrText xml:space="preserve">PAGE   \* MERGEFORMAT</w:instrText>
        </w:r>
        <w:r>
          <w:fldChar w:fldCharType="separate"/>
        </w:r>
        <w:r>
          <w:rPr>
            <w:lang w:val="zh-CN"/>
          </w:rPr>
          <w:t>2</w:t>
        </w:r>
        <w:r>
          <w:fldChar w:fldCharType="end"/>
        </w:r>
        <w:r>
          <w:t xml:space="preserve">                                       </w:t>
        </w:r>
        <w:r>
          <w:rPr>
            <w:rFonts w:hint="eastAsia"/>
          </w:rPr>
          <w:t xml:space="preserve"> </w:t>
        </w:r>
        <w:sdt>
          <w:sdtPr>
            <w:rPr>
              <w:rFonts w:hint="eastAsia"/>
            </w:rPr>
            <w:alias w:val="单位"/>
            <w:id w:val="1658028548"/>
            <w:placeholder>
              <w:docPart w:val="796A5C1F8E8A4BBB856E21398F27E1D8"/>
            </w:placeholder>
            <w:text/>
          </w:sdtPr>
          <w:sdtEndPr>
            <w:rPr>
              <w:rFonts w:hint="eastAsia"/>
            </w:rPr>
          </w:sdtEndPr>
          <w:sdtContent>
            <w:r>
              <w:rPr>
                <w:rFonts w:hint="eastAsia"/>
              </w:rPr>
              <w:t>中材地质工程勘查研究院有限公司</w:t>
            </w:r>
          </w:sdtContent>
        </w:sdt>
      </w:p>
    </w:sdtContent>
  </w:sdt>
  <w:p w14:paraId="12ECAA1C">
    <w:pPr>
      <w:pStyle w:val="1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9009907"/>
      <w:docPartObj>
        <w:docPartGallery w:val="autotext"/>
      </w:docPartObj>
    </w:sdtPr>
    <w:sdtContent>
      <w:p w14:paraId="7A01F0A8">
        <w:pPr>
          <w:pStyle w:val="17"/>
        </w:pPr>
        <w:r>
          <w:fldChar w:fldCharType="begin"/>
        </w:r>
        <w:r>
          <w:instrText xml:space="preserve">PAGE   \* MERGEFORMAT</w:instrText>
        </w:r>
        <w:r>
          <w:fldChar w:fldCharType="separate"/>
        </w:r>
        <w:r>
          <w:t>18</w:t>
        </w:r>
        <w:r>
          <w:fldChar w:fldCharType="end"/>
        </w:r>
        <w:r>
          <w:t xml:space="preserve">                                                                             </w:t>
        </w:r>
        <w:r>
          <w:rPr>
            <w:rFonts w:hint="eastAsia"/>
          </w:rPr>
          <w:t xml:space="preserve"> </w:t>
        </w:r>
        <w:sdt>
          <w:sdtPr>
            <w:rPr>
              <w:rFonts w:hint="eastAsia"/>
            </w:rPr>
            <w:alias w:val="单位"/>
            <w:id w:val="853067971"/>
            <w:placeholder>
              <w:docPart w:val="AA2649C42DAC45C5A9356D454D2F67D9"/>
            </w:placeholder>
            <w:text/>
          </w:sdtPr>
          <w:sdtEndPr>
            <w:rPr>
              <w:rFonts w:hint="eastAsia"/>
            </w:rPr>
          </w:sdtEndPr>
          <w:sdtContent>
            <w:r>
              <w:rPr>
                <w:rFonts w:hint="eastAsia"/>
              </w:rPr>
              <w:t>中材地质工程勘查研究院有限公司</w:t>
            </w:r>
          </w:sdtContent>
        </w:sdt>
      </w:p>
    </w:sdtContent>
  </w:sdt>
  <w:p w14:paraId="02E6915A">
    <w:pPr>
      <w:pStyle w:val="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560D5">
    <w:pPr>
      <w:ind w:firstLine="48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DB439">
    <w:pPr>
      <w:pStyle w:val="58"/>
    </w:pPr>
    <w:r>
      <w:tab/>
    </w:r>
    <w:r>
      <w:tab/>
    </w:r>
    <w:r>
      <w:tab/>
    </w:r>
    <w:r>
      <w:t xml:space="preserve">          1</w:t>
    </w:r>
    <w:r>
      <w:rPr>
        <w:rFonts w:hint="eastAsia"/>
      </w:rPr>
      <w:t>区域概况</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40CCE">
    <w:pPr>
      <w:pStyle w:val="58"/>
    </w:pPr>
    <w:r>
      <w:tab/>
    </w:r>
    <w:r>
      <w:tab/>
    </w:r>
    <w:r>
      <w:tab/>
    </w:r>
    <w:r>
      <w:t xml:space="preserve">        1</w:t>
    </w:r>
    <w:r>
      <w:rPr>
        <w:rFonts w:hint="eastAsia"/>
      </w:rPr>
      <w:t xml:space="preserve">区域概况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8D807">
    <w:pPr>
      <w:pStyle w:val="58"/>
    </w:pPr>
    <w:r>
      <w:tab/>
    </w:r>
    <w:r>
      <w:tab/>
    </w:r>
    <w:r>
      <w:tab/>
    </w:r>
    <w:r>
      <w:t xml:space="preserve">  1</w:t>
    </w:r>
    <w:r>
      <w:rPr>
        <w:rFonts w:hint="eastAsia"/>
      </w:rPr>
      <w:t xml:space="preserve">区域概况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C64A9">
    <w:pPr>
      <w:pStyle w:val="58"/>
    </w:pPr>
    <w:r>
      <w:tab/>
    </w:r>
    <w:r>
      <w:tab/>
    </w:r>
    <w:r>
      <w:tab/>
    </w:r>
    <w:r>
      <w:t xml:space="preserve">  1</w:t>
    </w:r>
    <w:r>
      <w:rPr>
        <w:rFonts w:hint="eastAsia"/>
      </w:rPr>
      <w:t xml:space="preserve">区域概况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46CFC">
    <w:pPr>
      <w:pStyle w:val="58"/>
    </w:pPr>
    <w:r>
      <w:tab/>
    </w:r>
    <w:r>
      <w:tab/>
    </w:r>
    <w:r>
      <w:tab/>
    </w:r>
    <w:r>
      <w:t xml:space="preserve">  1</w:t>
    </w:r>
    <w:r>
      <w:rPr>
        <w:rFonts w:hint="eastAsia"/>
      </w:rPr>
      <w:t xml:space="preserve">区域概况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1EA10">
    <w:pPr>
      <w:pStyle w:val="58"/>
    </w:pPr>
    <w:r>
      <w:tab/>
    </w:r>
    <w:r>
      <w:tab/>
    </w:r>
    <w:r>
      <w:tab/>
    </w:r>
    <w:r>
      <w:t xml:space="preserve">                 1</w:t>
    </w:r>
    <w:r>
      <w:rPr>
        <w:rFonts w:hint="eastAsia"/>
      </w:rPr>
      <w:t xml:space="preserve">区域概况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EC0D5">
    <w:pPr>
      <w:pStyle w:val="18"/>
    </w:pPr>
    <w:r>
      <w:tab/>
    </w:r>
    <w:r>
      <w:t xml:space="preserve">  1</w:t>
    </w:r>
    <w:r>
      <w:rPr>
        <w:rFonts w:hint="eastAsia"/>
      </w:rPr>
      <w:t xml:space="preserve">区域概况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2DAFE">
    <w:pPr>
      <w:ind w:firstLine="480"/>
    </w:pPr>
    <w:r>
      <w:t>3 项目水土保持评价</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69FD1">
    <w:pPr>
      <w:pStyle w:val="58"/>
    </w:pPr>
    <w:r>
      <w:t>2</w:t>
    </w:r>
    <w:r>
      <w:rPr>
        <w:rFonts w:hint="eastAsia"/>
      </w:rPr>
      <w:t xml:space="preserve">水土流失防治范围与责任主体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3F9C1">
    <w:pPr>
      <w:pStyle w:val="58"/>
    </w:pPr>
    <w:r>
      <w:t>3</w:t>
    </w:r>
    <w:r>
      <w:rPr>
        <w:rFonts w:hint="eastAsia"/>
      </w:rPr>
      <w:t>水土保持分析与评价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6C914">
    <w:pPr>
      <w:pStyle w:val="18"/>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81300">
    <w:pPr>
      <w:pStyle w:val="18"/>
    </w:pPr>
    <w:r>
      <w:t xml:space="preserve">4 </w:t>
    </w:r>
    <w:r>
      <w:rPr>
        <w:rFonts w:hint="eastAsia"/>
      </w:rPr>
      <w:t>水土流失分析与预测</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D1BF">
    <w:pPr>
      <w:ind w:firstLine="480"/>
    </w:pPr>
    <w:r>
      <w:t>4 水土流失分析与预测</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B9B0F">
    <w:pPr>
      <w:pStyle w:val="18"/>
    </w:pPr>
    <w:r>
      <w:t xml:space="preserve">4 </w:t>
    </w:r>
    <w:r>
      <w:rPr>
        <w:rFonts w:hint="eastAsia"/>
      </w:rPr>
      <w:t>水土流失分析与预测</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3E85B">
    <w:pPr>
      <w:pStyle w:val="18"/>
    </w:pPr>
    <w:r>
      <w:t xml:space="preserve">4 </w:t>
    </w:r>
    <w:r>
      <w:rPr>
        <w:rFonts w:hint="eastAsia"/>
      </w:rPr>
      <w:t>水土流失分析与预测</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995EC">
    <w:pPr>
      <w:pStyle w:val="18"/>
    </w:pPr>
    <w:r>
      <w:t xml:space="preserve">4 </w:t>
    </w:r>
    <w:r>
      <w:rPr>
        <w:rFonts w:hint="eastAsia"/>
      </w:rPr>
      <w:t>水土流失分析与预测</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EB20B">
    <w:pPr>
      <w:pStyle w:val="18"/>
    </w:pPr>
    <w:r>
      <w:t xml:space="preserve">4 </w:t>
    </w:r>
    <w:r>
      <w:rPr>
        <w:rFonts w:hint="eastAsia"/>
      </w:rPr>
      <w:t>水土流失分析与预测</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92657">
    <w:pPr>
      <w:pStyle w:val="18"/>
    </w:pPr>
    <w:r>
      <w:t xml:space="preserve">4 </w:t>
    </w:r>
    <w:r>
      <w:rPr>
        <w:rFonts w:hint="eastAsia"/>
      </w:rPr>
      <w:t>水土流失分析与预测</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62C99">
    <w:pPr>
      <w:pStyle w:val="18"/>
    </w:pPr>
    <w:r>
      <w:t xml:space="preserve">4 </w:t>
    </w:r>
    <w:r>
      <w:rPr>
        <w:rFonts w:hint="eastAsia"/>
      </w:rPr>
      <w:t>水土流失分析与预测</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73AD7">
    <w:pPr>
      <w:pStyle w:val="18"/>
    </w:pPr>
    <w:r>
      <w:t xml:space="preserve">4 </w:t>
    </w:r>
    <w:r>
      <w:rPr>
        <w:rFonts w:hint="eastAsia"/>
      </w:rPr>
      <w:t>水土流失分析与预测</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F6660">
    <w:pPr>
      <w:pStyle w:val="18"/>
    </w:pPr>
    <w:r>
      <w:t>5</w:t>
    </w:r>
    <w:r>
      <w:rPr>
        <w:rFonts w:hint="eastAsia"/>
      </w:rPr>
      <w:t>水土流失防治方案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2DF1B">
    <w:pPr>
      <w:pStyle w:val="18"/>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AF297">
    <w:pPr>
      <w:pStyle w:val="18"/>
    </w:pPr>
    <w:r>
      <w:t>6</w:t>
    </w:r>
    <w:r>
      <w:rPr>
        <w:rFonts w:hint="eastAsia"/>
      </w:rPr>
      <w:t>水土保持监测</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77465">
    <w:pPr>
      <w:pStyle w:val="18"/>
    </w:pPr>
    <w:r>
      <w:t>7</w:t>
    </w:r>
    <w:r>
      <w:rPr>
        <w:rFonts w:hint="eastAsia"/>
      </w:rPr>
      <w:t>水土保持保障措施</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5F642">
    <w:pPr>
      <w:pStyle w:val="18"/>
    </w:pPr>
    <w:r>
      <w:t>8</w:t>
    </w:r>
    <w:r>
      <w:rPr>
        <w:rFonts w:hint="eastAsia"/>
      </w:rPr>
      <w:t>结论与建议</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58E95">
    <w:pPr>
      <w:pStyle w:val="18"/>
    </w:pPr>
    <w:r>
      <w:rPr>
        <w:rFonts w:hint="eastAsia"/>
      </w:rPr>
      <w:t>相关附图</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D983F">
    <w:pPr>
      <w:spacing w:line="300" w:lineRule="exact"/>
      <w:ind w:firstLine="0" w:firstLineChars="0"/>
      <w:rPr>
        <w:rFonts w:ascii="仿宋" w:hAnsi="仿宋" w:eastAsia="仿宋" w:cs="仿宋"/>
        <w:sz w:val="18"/>
        <w:szCs w:val="18"/>
        <w:u w:val="single"/>
      </w:rPr>
    </w:pPr>
    <w:r>
      <w:rPr>
        <w:rFonts w:ascii="仿宋" w:hAnsi="仿宋" w:eastAsia="仿宋"/>
        <w:sz w:val="18"/>
        <w:szCs w:val="18"/>
        <w:u w:val="single"/>
      </w:rPr>
      <w:t xml:space="preserve">                                                                                        </w:t>
    </w:r>
    <w:r>
      <w:rPr>
        <w:rFonts w:hint="eastAsia" w:ascii="仿宋" w:hAnsi="仿宋" w:eastAsia="仿宋"/>
        <w:sz w:val="18"/>
        <w:szCs w:val="18"/>
        <w:u w:val="single"/>
      </w:rPr>
      <w:t xml:space="preserve">目录 </w:t>
    </w:r>
    <w:r>
      <w:rPr>
        <w:rFonts w:ascii="仿宋" w:hAnsi="仿宋" w:eastAsia="仿宋"/>
        <w:sz w:val="18"/>
        <w:szCs w:val="18"/>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B2823">
    <w:pPr>
      <w:pStyle w:val="18"/>
    </w:pPr>
    <w:r>
      <w:rPr>
        <w:rFonts w:hint="eastAsia"/>
      </w:rPr>
      <w:t>前 言</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BF0F4">
    <w:pPr>
      <w:pStyle w:val="18"/>
    </w:pPr>
    <w:r>
      <w:t>1</w:t>
    </w:r>
    <w:r>
      <w:rPr>
        <w:rFonts w:hint="eastAsia"/>
      </w:rPr>
      <w:t xml:space="preserve">区域概况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47270">
    <w:pPr>
      <w:pStyle w:val="58"/>
    </w:pPr>
    <w:r>
      <w:t xml:space="preserve">2 </w:t>
    </w:r>
    <w:r>
      <w:rPr>
        <w:rFonts w:hint="eastAsia"/>
      </w:rPr>
      <w:t>区域概况</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69943">
    <w:pPr>
      <w:pStyle w:val="58"/>
    </w:pPr>
    <w:r>
      <w:tab/>
    </w:r>
    <w:r>
      <w:tab/>
    </w:r>
    <w:r>
      <w:tab/>
    </w:r>
    <w:r>
      <w:t xml:space="preserve">          1</w:t>
    </w:r>
    <w:r>
      <w:rPr>
        <w:rFonts w:hint="eastAsia"/>
      </w:rPr>
      <w:t>区域概况</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29FCF">
    <w:pPr>
      <w:pStyle w:val="58"/>
    </w:pPr>
    <w:r>
      <w:tab/>
    </w:r>
    <w:r>
      <w:tab/>
    </w:r>
    <w:r>
      <w:tab/>
    </w:r>
    <w:r>
      <w:t xml:space="preserve">          1</w:t>
    </w:r>
    <w:r>
      <w:rPr>
        <w:rFonts w:hint="eastAsia"/>
      </w:rPr>
      <w:t>区域概况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302003"/>
    <w:multiLevelType w:val="multilevel"/>
    <w:tmpl w:val="23302003"/>
    <w:lvl w:ilvl="0" w:tentative="0">
      <w:start w:val="1"/>
      <w:numFmt w:val="decimal"/>
      <w:lvlText w:val="%1）"/>
      <w:lvlJc w:val="left"/>
      <w:pPr>
        <w:ind w:left="836" w:hanging="360"/>
      </w:pPr>
      <w:rPr>
        <w:rFonts w:hint="default"/>
      </w:rPr>
    </w:lvl>
    <w:lvl w:ilvl="1" w:tentative="0">
      <w:start w:val="1"/>
      <w:numFmt w:val="lowerLetter"/>
      <w:lvlText w:val="%2)"/>
      <w:lvlJc w:val="left"/>
      <w:pPr>
        <w:ind w:left="1356" w:hanging="440"/>
      </w:pPr>
    </w:lvl>
    <w:lvl w:ilvl="2" w:tentative="0">
      <w:start w:val="1"/>
      <w:numFmt w:val="lowerRoman"/>
      <w:lvlText w:val="%3."/>
      <w:lvlJc w:val="right"/>
      <w:pPr>
        <w:ind w:left="1796" w:hanging="440"/>
      </w:pPr>
    </w:lvl>
    <w:lvl w:ilvl="3" w:tentative="0">
      <w:start w:val="1"/>
      <w:numFmt w:val="decimal"/>
      <w:lvlText w:val="%4."/>
      <w:lvlJc w:val="left"/>
      <w:pPr>
        <w:ind w:left="2236" w:hanging="440"/>
      </w:pPr>
    </w:lvl>
    <w:lvl w:ilvl="4" w:tentative="0">
      <w:start w:val="1"/>
      <w:numFmt w:val="lowerLetter"/>
      <w:lvlText w:val="%5)"/>
      <w:lvlJc w:val="left"/>
      <w:pPr>
        <w:ind w:left="2676" w:hanging="440"/>
      </w:pPr>
    </w:lvl>
    <w:lvl w:ilvl="5" w:tentative="0">
      <w:start w:val="1"/>
      <w:numFmt w:val="lowerRoman"/>
      <w:lvlText w:val="%6."/>
      <w:lvlJc w:val="right"/>
      <w:pPr>
        <w:ind w:left="3116" w:hanging="440"/>
      </w:pPr>
    </w:lvl>
    <w:lvl w:ilvl="6" w:tentative="0">
      <w:start w:val="1"/>
      <w:numFmt w:val="decimal"/>
      <w:lvlText w:val="%7."/>
      <w:lvlJc w:val="left"/>
      <w:pPr>
        <w:ind w:left="3556" w:hanging="440"/>
      </w:pPr>
    </w:lvl>
    <w:lvl w:ilvl="7" w:tentative="0">
      <w:start w:val="1"/>
      <w:numFmt w:val="lowerLetter"/>
      <w:lvlText w:val="%8)"/>
      <w:lvlJc w:val="left"/>
      <w:pPr>
        <w:ind w:left="3996" w:hanging="440"/>
      </w:pPr>
    </w:lvl>
    <w:lvl w:ilvl="8" w:tentative="0">
      <w:start w:val="1"/>
      <w:numFmt w:val="lowerRoman"/>
      <w:lvlText w:val="%9."/>
      <w:lvlJc w:val="right"/>
      <w:pPr>
        <w:ind w:left="4436" w:hanging="440"/>
      </w:pPr>
    </w:lvl>
  </w:abstractNum>
  <w:abstractNum w:abstractNumId="1">
    <w:nsid w:val="24127394"/>
    <w:multiLevelType w:val="multilevel"/>
    <w:tmpl w:val="24127394"/>
    <w:lvl w:ilvl="0" w:tentative="0">
      <w:start w:val="1"/>
      <w:numFmt w:val="decimal"/>
      <w:pStyle w:val="2"/>
      <w:lvlText w:val="%1"/>
      <w:lvlJc w:val="left"/>
      <w:pPr>
        <w:ind w:left="425" w:hanging="425"/>
      </w:pPr>
      <w:rPr>
        <w:rFonts w:hint="eastAsia"/>
      </w:rPr>
    </w:lvl>
    <w:lvl w:ilvl="1" w:tentative="0">
      <w:start w:val="1"/>
      <w:numFmt w:val="decimal"/>
      <w:pStyle w:val="3"/>
      <w:suff w:val="space"/>
      <w:lvlText w:val="%1.%2"/>
      <w:lvlJc w:val="left"/>
      <w:pPr>
        <w:ind w:left="851" w:hanging="851"/>
      </w:pPr>
      <w:rPr>
        <w:rFonts w:hint="eastAsia"/>
      </w:rPr>
    </w:lvl>
    <w:lvl w:ilvl="2" w:tentative="0">
      <w:start w:val="1"/>
      <w:numFmt w:val="decimal"/>
      <w:pStyle w:val="4"/>
      <w:lvlText w:val="%1.%2.%3"/>
      <w:lvlJc w:val="left"/>
      <w:pPr>
        <w:ind w:left="1418" w:hanging="709"/>
      </w:pPr>
      <w:rPr>
        <w:rFonts w:hint="eastAsia"/>
      </w:rPr>
    </w:lvl>
    <w:lvl w:ilvl="3" w:tentative="0">
      <w:start w:val="1"/>
      <w:numFmt w:val="decimal"/>
      <w:pStyle w:val="5"/>
      <w:suff w:val="space"/>
      <w:lvlText w:val="%1.%2.%3.%4"/>
      <w:lvlJc w:val="left"/>
      <w:pPr>
        <w:ind w:left="1277" w:hanging="1277"/>
      </w:pPr>
      <w:rPr>
        <w:rFonts w:hint="eastAsia"/>
      </w:rPr>
    </w:lvl>
    <w:lvl w:ilvl="4" w:tentative="0">
      <w:start w:val="1"/>
      <w:numFmt w:val="decimal"/>
      <w:pStyle w:val="6"/>
      <w:lvlText w:val="%1.%2.%3.%4.%5"/>
      <w:lvlJc w:val="left"/>
      <w:pPr>
        <w:ind w:left="992" w:hanging="992"/>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47072481"/>
    <w:multiLevelType w:val="multilevel"/>
    <w:tmpl w:val="47072481"/>
    <w:lvl w:ilvl="0" w:tentative="0">
      <w:start w:val="1"/>
      <w:numFmt w:val="decimal"/>
      <w:lvlText w:val="（%1）"/>
      <w:lvlJc w:val="left"/>
      <w:pPr>
        <w:ind w:left="1202" w:hanging="720"/>
      </w:pPr>
      <w:rPr>
        <w:rFonts w:hint="default"/>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3">
    <w:nsid w:val="78E12CB8"/>
    <w:multiLevelType w:val="multilevel"/>
    <w:tmpl w:val="78E12CB8"/>
    <w:lvl w:ilvl="0" w:tentative="0">
      <w:start w:val="1"/>
      <w:numFmt w:val="decimal"/>
      <w:suff w:val="space"/>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num w:numId="1">
    <w:abstractNumId w:val="1"/>
  </w:num>
  <w:num w:numId="2">
    <w:abstractNumId w:val="1"/>
    <w:lvlOverride w:ilvl="0">
      <w:startOverride w:val="1"/>
    </w:lvlOverride>
    <w:lvlOverride w:ilvl="1">
      <w:startOverride w:val="2"/>
    </w:lvlOverride>
    <w:lvlOverride w:ilvl="2">
      <w:startOverride w:val="7"/>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xZjQzYmE3MmM4MjQyM2M3OTIyODllZDY3MTJhNGEifQ=="/>
  </w:docVars>
  <w:rsids>
    <w:rsidRoot w:val="00395E82"/>
    <w:rsid w:val="0000000A"/>
    <w:rsid w:val="0000024E"/>
    <w:rsid w:val="000002EA"/>
    <w:rsid w:val="000003D9"/>
    <w:rsid w:val="000004A3"/>
    <w:rsid w:val="0000053B"/>
    <w:rsid w:val="000005E8"/>
    <w:rsid w:val="000008F8"/>
    <w:rsid w:val="0000095A"/>
    <w:rsid w:val="00000C20"/>
    <w:rsid w:val="00000D26"/>
    <w:rsid w:val="00000D37"/>
    <w:rsid w:val="00000D76"/>
    <w:rsid w:val="00000DD9"/>
    <w:rsid w:val="00000EAC"/>
    <w:rsid w:val="00000F3B"/>
    <w:rsid w:val="00001044"/>
    <w:rsid w:val="000010B4"/>
    <w:rsid w:val="0000144D"/>
    <w:rsid w:val="00001505"/>
    <w:rsid w:val="0000169F"/>
    <w:rsid w:val="000016BF"/>
    <w:rsid w:val="000017E0"/>
    <w:rsid w:val="000018EF"/>
    <w:rsid w:val="000019B4"/>
    <w:rsid w:val="00001A55"/>
    <w:rsid w:val="00001E24"/>
    <w:rsid w:val="0000222A"/>
    <w:rsid w:val="000022E4"/>
    <w:rsid w:val="000024AB"/>
    <w:rsid w:val="0000254E"/>
    <w:rsid w:val="000025EC"/>
    <w:rsid w:val="0000262D"/>
    <w:rsid w:val="0000268E"/>
    <w:rsid w:val="00002775"/>
    <w:rsid w:val="0000289A"/>
    <w:rsid w:val="00002B4A"/>
    <w:rsid w:val="00002D26"/>
    <w:rsid w:val="00002DA1"/>
    <w:rsid w:val="00002E7D"/>
    <w:rsid w:val="00002E99"/>
    <w:rsid w:val="00002FC3"/>
    <w:rsid w:val="0000312F"/>
    <w:rsid w:val="000031D1"/>
    <w:rsid w:val="000032C9"/>
    <w:rsid w:val="00003469"/>
    <w:rsid w:val="00003489"/>
    <w:rsid w:val="00003C78"/>
    <w:rsid w:val="00003D45"/>
    <w:rsid w:val="00003F4D"/>
    <w:rsid w:val="000040E6"/>
    <w:rsid w:val="0000415A"/>
    <w:rsid w:val="00004710"/>
    <w:rsid w:val="0000484C"/>
    <w:rsid w:val="00004915"/>
    <w:rsid w:val="000049EB"/>
    <w:rsid w:val="00004A7B"/>
    <w:rsid w:val="00004A82"/>
    <w:rsid w:val="00005132"/>
    <w:rsid w:val="000051A0"/>
    <w:rsid w:val="000053B9"/>
    <w:rsid w:val="00005526"/>
    <w:rsid w:val="000057C8"/>
    <w:rsid w:val="00005802"/>
    <w:rsid w:val="00005913"/>
    <w:rsid w:val="00005C8B"/>
    <w:rsid w:val="00005E21"/>
    <w:rsid w:val="00005FDE"/>
    <w:rsid w:val="0000641D"/>
    <w:rsid w:val="00006801"/>
    <w:rsid w:val="00006A25"/>
    <w:rsid w:val="00006AF3"/>
    <w:rsid w:val="00006B91"/>
    <w:rsid w:val="00006C19"/>
    <w:rsid w:val="00006DC0"/>
    <w:rsid w:val="00006FE1"/>
    <w:rsid w:val="0000716E"/>
    <w:rsid w:val="0000734E"/>
    <w:rsid w:val="00007894"/>
    <w:rsid w:val="00007A3B"/>
    <w:rsid w:val="00007E3C"/>
    <w:rsid w:val="00007EAD"/>
    <w:rsid w:val="000102F4"/>
    <w:rsid w:val="000104CD"/>
    <w:rsid w:val="000106E0"/>
    <w:rsid w:val="00010E43"/>
    <w:rsid w:val="00010F12"/>
    <w:rsid w:val="0001110D"/>
    <w:rsid w:val="000111F5"/>
    <w:rsid w:val="00011252"/>
    <w:rsid w:val="0001128F"/>
    <w:rsid w:val="000112E0"/>
    <w:rsid w:val="00011337"/>
    <w:rsid w:val="000113A0"/>
    <w:rsid w:val="00011461"/>
    <w:rsid w:val="00011AB7"/>
    <w:rsid w:val="00011C2C"/>
    <w:rsid w:val="00011D72"/>
    <w:rsid w:val="00011EDA"/>
    <w:rsid w:val="00011FB5"/>
    <w:rsid w:val="00011FDC"/>
    <w:rsid w:val="000120AC"/>
    <w:rsid w:val="000122C9"/>
    <w:rsid w:val="0001231B"/>
    <w:rsid w:val="00012359"/>
    <w:rsid w:val="000127A1"/>
    <w:rsid w:val="000128BF"/>
    <w:rsid w:val="000129D0"/>
    <w:rsid w:val="00012DB5"/>
    <w:rsid w:val="00012FD7"/>
    <w:rsid w:val="00013125"/>
    <w:rsid w:val="000132E3"/>
    <w:rsid w:val="0001332E"/>
    <w:rsid w:val="00013353"/>
    <w:rsid w:val="000133DD"/>
    <w:rsid w:val="000134AE"/>
    <w:rsid w:val="000135C7"/>
    <w:rsid w:val="00013C94"/>
    <w:rsid w:val="00013F78"/>
    <w:rsid w:val="0001408F"/>
    <w:rsid w:val="00014093"/>
    <w:rsid w:val="00014333"/>
    <w:rsid w:val="00014472"/>
    <w:rsid w:val="000144FD"/>
    <w:rsid w:val="00014599"/>
    <w:rsid w:val="000145B4"/>
    <w:rsid w:val="000146A4"/>
    <w:rsid w:val="00014783"/>
    <w:rsid w:val="00014787"/>
    <w:rsid w:val="00014C59"/>
    <w:rsid w:val="00014E3B"/>
    <w:rsid w:val="00014E54"/>
    <w:rsid w:val="000150D1"/>
    <w:rsid w:val="000150F2"/>
    <w:rsid w:val="00015151"/>
    <w:rsid w:val="0001515C"/>
    <w:rsid w:val="0001515F"/>
    <w:rsid w:val="00015362"/>
    <w:rsid w:val="00015465"/>
    <w:rsid w:val="00015A08"/>
    <w:rsid w:val="00015AC6"/>
    <w:rsid w:val="00015AEB"/>
    <w:rsid w:val="00015B1D"/>
    <w:rsid w:val="00015C4C"/>
    <w:rsid w:val="00015D31"/>
    <w:rsid w:val="00015D55"/>
    <w:rsid w:val="0001639D"/>
    <w:rsid w:val="0001678D"/>
    <w:rsid w:val="00016805"/>
    <w:rsid w:val="00016826"/>
    <w:rsid w:val="000168F0"/>
    <w:rsid w:val="00016BE8"/>
    <w:rsid w:val="00016C28"/>
    <w:rsid w:val="00016C8F"/>
    <w:rsid w:val="00016CF5"/>
    <w:rsid w:val="00016DFD"/>
    <w:rsid w:val="00016EB1"/>
    <w:rsid w:val="00016F93"/>
    <w:rsid w:val="0001700F"/>
    <w:rsid w:val="00017037"/>
    <w:rsid w:val="0001706C"/>
    <w:rsid w:val="0001741D"/>
    <w:rsid w:val="0001795B"/>
    <w:rsid w:val="0001798F"/>
    <w:rsid w:val="00017A0D"/>
    <w:rsid w:val="00017D2A"/>
    <w:rsid w:val="00017EB5"/>
    <w:rsid w:val="0002000E"/>
    <w:rsid w:val="00020471"/>
    <w:rsid w:val="000206AB"/>
    <w:rsid w:val="0002072B"/>
    <w:rsid w:val="000208BA"/>
    <w:rsid w:val="0002097C"/>
    <w:rsid w:val="00020A7B"/>
    <w:rsid w:val="00020AFD"/>
    <w:rsid w:val="00020CD3"/>
    <w:rsid w:val="00020DA8"/>
    <w:rsid w:val="00020E84"/>
    <w:rsid w:val="00021109"/>
    <w:rsid w:val="000211C5"/>
    <w:rsid w:val="000212BF"/>
    <w:rsid w:val="000213C8"/>
    <w:rsid w:val="0002142B"/>
    <w:rsid w:val="000214AC"/>
    <w:rsid w:val="000214FD"/>
    <w:rsid w:val="0002186D"/>
    <w:rsid w:val="00021886"/>
    <w:rsid w:val="0002193B"/>
    <w:rsid w:val="0002196C"/>
    <w:rsid w:val="00021BAD"/>
    <w:rsid w:val="00021C75"/>
    <w:rsid w:val="00021D92"/>
    <w:rsid w:val="00021E5E"/>
    <w:rsid w:val="00021F9B"/>
    <w:rsid w:val="00021FF2"/>
    <w:rsid w:val="00022031"/>
    <w:rsid w:val="00022044"/>
    <w:rsid w:val="000220A2"/>
    <w:rsid w:val="000220D8"/>
    <w:rsid w:val="00022473"/>
    <w:rsid w:val="00022543"/>
    <w:rsid w:val="00022639"/>
    <w:rsid w:val="000226F0"/>
    <w:rsid w:val="0002277C"/>
    <w:rsid w:val="000228EF"/>
    <w:rsid w:val="000229BD"/>
    <w:rsid w:val="00022B29"/>
    <w:rsid w:val="0002342A"/>
    <w:rsid w:val="000234EB"/>
    <w:rsid w:val="0002366F"/>
    <w:rsid w:val="000236C8"/>
    <w:rsid w:val="00023722"/>
    <w:rsid w:val="000237F1"/>
    <w:rsid w:val="00023874"/>
    <w:rsid w:val="0002395C"/>
    <w:rsid w:val="000239F4"/>
    <w:rsid w:val="00023D45"/>
    <w:rsid w:val="00023EF5"/>
    <w:rsid w:val="00023FD1"/>
    <w:rsid w:val="0002405D"/>
    <w:rsid w:val="000240A5"/>
    <w:rsid w:val="00024207"/>
    <w:rsid w:val="00024252"/>
    <w:rsid w:val="00024320"/>
    <w:rsid w:val="000243D0"/>
    <w:rsid w:val="000246C4"/>
    <w:rsid w:val="000247DA"/>
    <w:rsid w:val="0002497A"/>
    <w:rsid w:val="00024B09"/>
    <w:rsid w:val="00024D4F"/>
    <w:rsid w:val="00024E68"/>
    <w:rsid w:val="00024FC3"/>
    <w:rsid w:val="000250BE"/>
    <w:rsid w:val="000252B2"/>
    <w:rsid w:val="0002534F"/>
    <w:rsid w:val="000253F7"/>
    <w:rsid w:val="000253F8"/>
    <w:rsid w:val="000256F9"/>
    <w:rsid w:val="000257DD"/>
    <w:rsid w:val="00025811"/>
    <w:rsid w:val="00025851"/>
    <w:rsid w:val="000259E4"/>
    <w:rsid w:val="00025B35"/>
    <w:rsid w:val="00025B88"/>
    <w:rsid w:val="00025E3B"/>
    <w:rsid w:val="00025E81"/>
    <w:rsid w:val="00025F34"/>
    <w:rsid w:val="00025F3B"/>
    <w:rsid w:val="00026043"/>
    <w:rsid w:val="0002609B"/>
    <w:rsid w:val="000260E4"/>
    <w:rsid w:val="000262F0"/>
    <w:rsid w:val="00026368"/>
    <w:rsid w:val="00026399"/>
    <w:rsid w:val="0002642F"/>
    <w:rsid w:val="0002661C"/>
    <w:rsid w:val="00026767"/>
    <w:rsid w:val="000267AB"/>
    <w:rsid w:val="0002694A"/>
    <w:rsid w:val="00026A0A"/>
    <w:rsid w:val="00026BF8"/>
    <w:rsid w:val="00026CCB"/>
    <w:rsid w:val="00026EE7"/>
    <w:rsid w:val="000270A5"/>
    <w:rsid w:val="000273FE"/>
    <w:rsid w:val="00027681"/>
    <w:rsid w:val="000276EC"/>
    <w:rsid w:val="000277A8"/>
    <w:rsid w:val="00027828"/>
    <w:rsid w:val="00027911"/>
    <w:rsid w:val="00027A7D"/>
    <w:rsid w:val="00027BB9"/>
    <w:rsid w:val="00027BD5"/>
    <w:rsid w:val="00027BD8"/>
    <w:rsid w:val="00027C61"/>
    <w:rsid w:val="00027F5E"/>
    <w:rsid w:val="000300ED"/>
    <w:rsid w:val="00030121"/>
    <w:rsid w:val="000301BA"/>
    <w:rsid w:val="00030331"/>
    <w:rsid w:val="0003034D"/>
    <w:rsid w:val="0003039F"/>
    <w:rsid w:val="00030823"/>
    <w:rsid w:val="00030850"/>
    <w:rsid w:val="000308EE"/>
    <w:rsid w:val="000308F6"/>
    <w:rsid w:val="00030A54"/>
    <w:rsid w:val="00030AEE"/>
    <w:rsid w:val="00030CB0"/>
    <w:rsid w:val="00030DA9"/>
    <w:rsid w:val="00030F6B"/>
    <w:rsid w:val="0003101B"/>
    <w:rsid w:val="00031112"/>
    <w:rsid w:val="00031246"/>
    <w:rsid w:val="00031786"/>
    <w:rsid w:val="000318BE"/>
    <w:rsid w:val="000319AC"/>
    <w:rsid w:val="00031AE5"/>
    <w:rsid w:val="00031B6E"/>
    <w:rsid w:val="00031B95"/>
    <w:rsid w:val="00031CFA"/>
    <w:rsid w:val="00031F1D"/>
    <w:rsid w:val="000320C4"/>
    <w:rsid w:val="0003214D"/>
    <w:rsid w:val="000322DD"/>
    <w:rsid w:val="00032572"/>
    <w:rsid w:val="0003257F"/>
    <w:rsid w:val="000327D7"/>
    <w:rsid w:val="00032ADB"/>
    <w:rsid w:val="00032B31"/>
    <w:rsid w:val="00032CDF"/>
    <w:rsid w:val="00032DA2"/>
    <w:rsid w:val="00032FDB"/>
    <w:rsid w:val="0003311B"/>
    <w:rsid w:val="000331F9"/>
    <w:rsid w:val="000332C7"/>
    <w:rsid w:val="00033413"/>
    <w:rsid w:val="00033446"/>
    <w:rsid w:val="00033473"/>
    <w:rsid w:val="0003395E"/>
    <w:rsid w:val="00033AB6"/>
    <w:rsid w:val="00033ABF"/>
    <w:rsid w:val="00033AF5"/>
    <w:rsid w:val="00033BE5"/>
    <w:rsid w:val="00033D13"/>
    <w:rsid w:val="00033F63"/>
    <w:rsid w:val="00033FBD"/>
    <w:rsid w:val="00034037"/>
    <w:rsid w:val="00034207"/>
    <w:rsid w:val="0003420D"/>
    <w:rsid w:val="00034338"/>
    <w:rsid w:val="000344F2"/>
    <w:rsid w:val="00034543"/>
    <w:rsid w:val="000345E7"/>
    <w:rsid w:val="00034672"/>
    <w:rsid w:val="0003478C"/>
    <w:rsid w:val="0003486C"/>
    <w:rsid w:val="000348D4"/>
    <w:rsid w:val="00034A68"/>
    <w:rsid w:val="00034C25"/>
    <w:rsid w:val="00034D81"/>
    <w:rsid w:val="00034F04"/>
    <w:rsid w:val="00034FB4"/>
    <w:rsid w:val="00035351"/>
    <w:rsid w:val="000353E5"/>
    <w:rsid w:val="00035409"/>
    <w:rsid w:val="0003545C"/>
    <w:rsid w:val="000354A7"/>
    <w:rsid w:val="000354E9"/>
    <w:rsid w:val="0003551F"/>
    <w:rsid w:val="0003576D"/>
    <w:rsid w:val="000357B6"/>
    <w:rsid w:val="000357BE"/>
    <w:rsid w:val="00035831"/>
    <w:rsid w:val="000358DE"/>
    <w:rsid w:val="000358E5"/>
    <w:rsid w:val="00035B7A"/>
    <w:rsid w:val="00035E06"/>
    <w:rsid w:val="00035F6C"/>
    <w:rsid w:val="000361B2"/>
    <w:rsid w:val="00036269"/>
    <w:rsid w:val="00036272"/>
    <w:rsid w:val="00036290"/>
    <w:rsid w:val="00036316"/>
    <w:rsid w:val="000363E2"/>
    <w:rsid w:val="000363EF"/>
    <w:rsid w:val="00036404"/>
    <w:rsid w:val="000365F7"/>
    <w:rsid w:val="0003688F"/>
    <w:rsid w:val="00036A63"/>
    <w:rsid w:val="00036C32"/>
    <w:rsid w:val="00036CDA"/>
    <w:rsid w:val="00036E23"/>
    <w:rsid w:val="00036EA6"/>
    <w:rsid w:val="00037066"/>
    <w:rsid w:val="0003710C"/>
    <w:rsid w:val="00037154"/>
    <w:rsid w:val="00037175"/>
    <w:rsid w:val="00037262"/>
    <w:rsid w:val="000373DA"/>
    <w:rsid w:val="00037529"/>
    <w:rsid w:val="00037843"/>
    <w:rsid w:val="00037861"/>
    <w:rsid w:val="00037867"/>
    <w:rsid w:val="00037887"/>
    <w:rsid w:val="000378D2"/>
    <w:rsid w:val="00037912"/>
    <w:rsid w:val="00037957"/>
    <w:rsid w:val="00037D03"/>
    <w:rsid w:val="00037E60"/>
    <w:rsid w:val="00037F63"/>
    <w:rsid w:val="00040017"/>
    <w:rsid w:val="00040221"/>
    <w:rsid w:val="00040238"/>
    <w:rsid w:val="000405C0"/>
    <w:rsid w:val="0004077B"/>
    <w:rsid w:val="000409A4"/>
    <w:rsid w:val="00040DC1"/>
    <w:rsid w:val="00040E09"/>
    <w:rsid w:val="00040F2F"/>
    <w:rsid w:val="000412F9"/>
    <w:rsid w:val="000414D8"/>
    <w:rsid w:val="000415CC"/>
    <w:rsid w:val="00041716"/>
    <w:rsid w:val="00041805"/>
    <w:rsid w:val="00041BDD"/>
    <w:rsid w:val="00041E84"/>
    <w:rsid w:val="00041F26"/>
    <w:rsid w:val="0004207B"/>
    <w:rsid w:val="0004223E"/>
    <w:rsid w:val="000427AE"/>
    <w:rsid w:val="0004284D"/>
    <w:rsid w:val="00042973"/>
    <w:rsid w:val="00042A25"/>
    <w:rsid w:val="00042B33"/>
    <w:rsid w:val="00042C07"/>
    <w:rsid w:val="00042C27"/>
    <w:rsid w:val="00042CE1"/>
    <w:rsid w:val="0004302D"/>
    <w:rsid w:val="00043063"/>
    <w:rsid w:val="0004307B"/>
    <w:rsid w:val="000430A4"/>
    <w:rsid w:val="0004320B"/>
    <w:rsid w:val="0004335F"/>
    <w:rsid w:val="00043526"/>
    <w:rsid w:val="000435AE"/>
    <w:rsid w:val="00043679"/>
    <w:rsid w:val="000436E9"/>
    <w:rsid w:val="000436FE"/>
    <w:rsid w:val="000437A4"/>
    <w:rsid w:val="00043990"/>
    <w:rsid w:val="00043B2C"/>
    <w:rsid w:val="00043B76"/>
    <w:rsid w:val="00043D6E"/>
    <w:rsid w:val="00043D7D"/>
    <w:rsid w:val="00043F05"/>
    <w:rsid w:val="00043FCA"/>
    <w:rsid w:val="0004400F"/>
    <w:rsid w:val="00044104"/>
    <w:rsid w:val="00044166"/>
    <w:rsid w:val="000441E2"/>
    <w:rsid w:val="0004420F"/>
    <w:rsid w:val="000444F4"/>
    <w:rsid w:val="000444F5"/>
    <w:rsid w:val="0004481B"/>
    <w:rsid w:val="000449A9"/>
    <w:rsid w:val="00044B04"/>
    <w:rsid w:val="00044BF2"/>
    <w:rsid w:val="00044CCC"/>
    <w:rsid w:val="00044CD9"/>
    <w:rsid w:val="00044E72"/>
    <w:rsid w:val="00044E95"/>
    <w:rsid w:val="00044EA9"/>
    <w:rsid w:val="00044F69"/>
    <w:rsid w:val="00045312"/>
    <w:rsid w:val="00045488"/>
    <w:rsid w:val="0004554C"/>
    <w:rsid w:val="000456C4"/>
    <w:rsid w:val="00045800"/>
    <w:rsid w:val="00045809"/>
    <w:rsid w:val="000458DE"/>
    <w:rsid w:val="000458E3"/>
    <w:rsid w:val="00045F23"/>
    <w:rsid w:val="00045F31"/>
    <w:rsid w:val="000466F0"/>
    <w:rsid w:val="000467B1"/>
    <w:rsid w:val="00046EC1"/>
    <w:rsid w:val="00046F8A"/>
    <w:rsid w:val="0004703B"/>
    <w:rsid w:val="000471CE"/>
    <w:rsid w:val="00047201"/>
    <w:rsid w:val="00047319"/>
    <w:rsid w:val="00047963"/>
    <w:rsid w:val="000479B3"/>
    <w:rsid w:val="00047BD7"/>
    <w:rsid w:val="00047D7F"/>
    <w:rsid w:val="00047E5E"/>
    <w:rsid w:val="00047FC5"/>
    <w:rsid w:val="000503F9"/>
    <w:rsid w:val="0005041B"/>
    <w:rsid w:val="000504F1"/>
    <w:rsid w:val="0005053C"/>
    <w:rsid w:val="00050607"/>
    <w:rsid w:val="00050833"/>
    <w:rsid w:val="000508A0"/>
    <w:rsid w:val="0005090F"/>
    <w:rsid w:val="00050959"/>
    <w:rsid w:val="00050AE1"/>
    <w:rsid w:val="00050B58"/>
    <w:rsid w:val="00050CEE"/>
    <w:rsid w:val="00050E95"/>
    <w:rsid w:val="00051014"/>
    <w:rsid w:val="00051191"/>
    <w:rsid w:val="00051574"/>
    <w:rsid w:val="000517D6"/>
    <w:rsid w:val="000518B9"/>
    <w:rsid w:val="000518E1"/>
    <w:rsid w:val="00051A7C"/>
    <w:rsid w:val="00051AF9"/>
    <w:rsid w:val="0005241C"/>
    <w:rsid w:val="00052662"/>
    <w:rsid w:val="00052663"/>
    <w:rsid w:val="0005297C"/>
    <w:rsid w:val="00052B22"/>
    <w:rsid w:val="00052CFB"/>
    <w:rsid w:val="00052DCF"/>
    <w:rsid w:val="00052EA8"/>
    <w:rsid w:val="00052EE9"/>
    <w:rsid w:val="00052F80"/>
    <w:rsid w:val="0005304B"/>
    <w:rsid w:val="00053079"/>
    <w:rsid w:val="00053314"/>
    <w:rsid w:val="000533C1"/>
    <w:rsid w:val="000534B3"/>
    <w:rsid w:val="000534C5"/>
    <w:rsid w:val="0005357D"/>
    <w:rsid w:val="0005359E"/>
    <w:rsid w:val="0005360E"/>
    <w:rsid w:val="000537C9"/>
    <w:rsid w:val="00053B30"/>
    <w:rsid w:val="00053CD1"/>
    <w:rsid w:val="00053D75"/>
    <w:rsid w:val="00053E2C"/>
    <w:rsid w:val="000543B1"/>
    <w:rsid w:val="0005470B"/>
    <w:rsid w:val="00054717"/>
    <w:rsid w:val="00054951"/>
    <w:rsid w:val="00054957"/>
    <w:rsid w:val="00054A0A"/>
    <w:rsid w:val="000550A1"/>
    <w:rsid w:val="000555B7"/>
    <w:rsid w:val="00055674"/>
    <w:rsid w:val="000556AA"/>
    <w:rsid w:val="0005580A"/>
    <w:rsid w:val="00055836"/>
    <w:rsid w:val="00055C47"/>
    <w:rsid w:val="00055DA0"/>
    <w:rsid w:val="00056066"/>
    <w:rsid w:val="00056213"/>
    <w:rsid w:val="0005622F"/>
    <w:rsid w:val="0005623C"/>
    <w:rsid w:val="000562C8"/>
    <w:rsid w:val="000562E2"/>
    <w:rsid w:val="00056601"/>
    <w:rsid w:val="00056750"/>
    <w:rsid w:val="00056765"/>
    <w:rsid w:val="00056D08"/>
    <w:rsid w:val="00057028"/>
    <w:rsid w:val="00057202"/>
    <w:rsid w:val="00057281"/>
    <w:rsid w:val="00057348"/>
    <w:rsid w:val="00057463"/>
    <w:rsid w:val="000574AB"/>
    <w:rsid w:val="0005751D"/>
    <w:rsid w:val="00057762"/>
    <w:rsid w:val="000577DC"/>
    <w:rsid w:val="0005791E"/>
    <w:rsid w:val="00057984"/>
    <w:rsid w:val="000579A3"/>
    <w:rsid w:val="00057AC5"/>
    <w:rsid w:val="00057B70"/>
    <w:rsid w:val="00057E72"/>
    <w:rsid w:val="00057E9A"/>
    <w:rsid w:val="00057F7C"/>
    <w:rsid w:val="0006006F"/>
    <w:rsid w:val="000601F5"/>
    <w:rsid w:val="00060374"/>
    <w:rsid w:val="00060465"/>
    <w:rsid w:val="00060649"/>
    <w:rsid w:val="00060777"/>
    <w:rsid w:val="00060C0E"/>
    <w:rsid w:val="00060C68"/>
    <w:rsid w:val="00060E97"/>
    <w:rsid w:val="00060F52"/>
    <w:rsid w:val="00061184"/>
    <w:rsid w:val="00061344"/>
    <w:rsid w:val="000613A7"/>
    <w:rsid w:val="000617B3"/>
    <w:rsid w:val="00061867"/>
    <w:rsid w:val="000619CC"/>
    <w:rsid w:val="00061A2C"/>
    <w:rsid w:val="00061BDC"/>
    <w:rsid w:val="0006251D"/>
    <w:rsid w:val="000625D2"/>
    <w:rsid w:val="000626B6"/>
    <w:rsid w:val="00062873"/>
    <w:rsid w:val="000629E3"/>
    <w:rsid w:val="00062A75"/>
    <w:rsid w:val="00062BFC"/>
    <w:rsid w:val="00063035"/>
    <w:rsid w:val="0006329E"/>
    <w:rsid w:val="000635F9"/>
    <w:rsid w:val="00063629"/>
    <w:rsid w:val="000636B0"/>
    <w:rsid w:val="00063773"/>
    <w:rsid w:val="0006392E"/>
    <w:rsid w:val="00063C00"/>
    <w:rsid w:val="00063E6B"/>
    <w:rsid w:val="00064107"/>
    <w:rsid w:val="00064370"/>
    <w:rsid w:val="00064B47"/>
    <w:rsid w:val="00064D56"/>
    <w:rsid w:val="00064E00"/>
    <w:rsid w:val="00064E22"/>
    <w:rsid w:val="00064F7B"/>
    <w:rsid w:val="000650CA"/>
    <w:rsid w:val="000651D6"/>
    <w:rsid w:val="000651E8"/>
    <w:rsid w:val="0006564C"/>
    <w:rsid w:val="00065736"/>
    <w:rsid w:val="000657A9"/>
    <w:rsid w:val="00065809"/>
    <w:rsid w:val="000658B8"/>
    <w:rsid w:val="000658D5"/>
    <w:rsid w:val="00065ADB"/>
    <w:rsid w:val="00065D19"/>
    <w:rsid w:val="00065DFA"/>
    <w:rsid w:val="0006602E"/>
    <w:rsid w:val="000660AA"/>
    <w:rsid w:val="00066400"/>
    <w:rsid w:val="00066414"/>
    <w:rsid w:val="0006659E"/>
    <w:rsid w:val="000665B6"/>
    <w:rsid w:val="00066869"/>
    <w:rsid w:val="00066BBD"/>
    <w:rsid w:val="00066C62"/>
    <w:rsid w:val="00066EE2"/>
    <w:rsid w:val="000670EB"/>
    <w:rsid w:val="00067147"/>
    <w:rsid w:val="00067357"/>
    <w:rsid w:val="00067401"/>
    <w:rsid w:val="000674F7"/>
    <w:rsid w:val="00067624"/>
    <w:rsid w:val="0006780D"/>
    <w:rsid w:val="00067A2F"/>
    <w:rsid w:val="00067A41"/>
    <w:rsid w:val="00067BC9"/>
    <w:rsid w:val="00067BFB"/>
    <w:rsid w:val="00067CB4"/>
    <w:rsid w:val="00067E0E"/>
    <w:rsid w:val="00067E70"/>
    <w:rsid w:val="0007023C"/>
    <w:rsid w:val="00070279"/>
    <w:rsid w:val="000702CC"/>
    <w:rsid w:val="00070465"/>
    <w:rsid w:val="000705BE"/>
    <w:rsid w:val="0007072E"/>
    <w:rsid w:val="00070813"/>
    <w:rsid w:val="000708BD"/>
    <w:rsid w:val="000708C5"/>
    <w:rsid w:val="000708E4"/>
    <w:rsid w:val="0007098B"/>
    <w:rsid w:val="00070E86"/>
    <w:rsid w:val="00070EEE"/>
    <w:rsid w:val="00071142"/>
    <w:rsid w:val="000712D6"/>
    <w:rsid w:val="0007152C"/>
    <w:rsid w:val="00071755"/>
    <w:rsid w:val="000717AC"/>
    <w:rsid w:val="00071A60"/>
    <w:rsid w:val="00071C9A"/>
    <w:rsid w:val="00071E48"/>
    <w:rsid w:val="000721CF"/>
    <w:rsid w:val="00072312"/>
    <w:rsid w:val="0007233A"/>
    <w:rsid w:val="00072349"/>
    <w:rsid w:val="000723E7"/>
    <w:rsid w:val="00072404"/>
    <w:rsid w:val="00072565"/>
    <w:rsid w:val="000726EF"/>
    <w:rsid w:val="00072907"/>
    <w:rsid w:val="000729BF"/>
    <w:rsid w:val="00072CAB"/>
    <w:rsid w:val="00072D9D"/>
    <w:rsid w:val="00072E7A"/>
    <w:rsid w:val="00073134"/>
    <w:rsid w:val="000731FE"/>
    <w:rsid w:val="00073214"/>
    <w:rsid w:val="00073484"/>
    <w:rsid w:val="00073626"/>
    <w:rsid w:val="000737C1"/>
    <w:rsid w:val="00073853"/>
    <w:rsid w:val="000738EB"/>
    <w:rsid w:val="00073902"/>
    <w:rsid w:val="00073A2E"/>
    <w:rsid w:val="00073C51"/>
    <w:rsid w:val="00073E05"/>
    <w:rsid w:val="00073F47"/>
    <w:rsid w:val="0007427C"/>
    <w:rsid w:val="00074328"/>
    <w:rsid w:val="0007446B"/>
    <w:rsid w:val="00074579"/>
    <w:rsid w:val="00074963"/>
    <w:rsid w:val="00074A6F"/>
    <w:rsid w:val="00074A78"/>
    <w:rsid w:val="00074AC5"/>
    <w:rsid w:val="00074B8B"/>
    <w:rsid w:val="00074D46"/>
    <w:rsid w:val="00074F02"/>
    <w:rsid w:val="00075272"/>
    <w:rsid w:val="0007532B"/>
    <w:rsid w:val="0007536E"/>
    <w:rsid w:val="00075708"/>
    <w:rsid w:val="0007572B"/>
    <w:rsid w:val="000759A5"/>
    <w:rsid w:val="00075A2C"/>
    <w:rsid w:val="00075ADD"/>
    <w:rsid w:val="00075B9E"/>
    <w:rsid w:val="00075C43"/>
    <w:rsid w:val="00075FF6"/>
    <w:rsid w:val="00076177"/>
    <w:rsid w:val="00076262"/>
    <w:rsid w:val="00076328"/>
    <w:rsid w:val="000763DF"/>
    <w:rsid w:val="000763E7"/>
    <w:rsid w:val="00076464"/>
    <w:rsid w:val="000767D0"/>
    <w:rsid w:val="0007680F"/>
    <w:rsid w:val="0007685B"/>
    <w:rsid w:val="00076ACE"/>
    <w:rsid w:val="00076BF7"/>
    <w:rsid w:val="00076C14"/>
    <w:rsid w:val="00076E30"/>
    <w:rsid w:val="00077187"/>
    <w:rsid w:val="00077191"/>
    <w:rsid w:val="000772F7"/>
    <w:rsid w:val="0007753D"/>
    <w:rsid w:val="0007755E"/>
    <w:rsid w:val="000775AF"/>
    <w:rsid w:val="000775C9"/>
    <w:rsid w:val="000777CE"/>
    <w:rsid w:val="00077AB1"/>
    <w:rsid w:val="00077CAD"/>
    <w:rsid w:val="00077D68"/>
    <w:rsid w:val="00077EA2"/>
    <w:rsid w:val="00080060"/>
    <w:rsid w:val="00080076"/>
    <w:rsid w:val="000800B6"/>
    <w:rsid w:val="000800E4"/>
    <w:rsid w:val="0008014B"/>
    <w:rsid w:val="000803E4"/>
    <w:rsid w:val="00080411"/>
    <w:rsid w:val="00080472"/>
    <w:rsid w:val="000804A4"/>
    <w:rsid w:val="000806CD"/>
    <w:rsid w:val="000807A0"/>
    <w:rsid w:val="000808B4"/>
    <w:rsid w:val="0008095F"/>
    <w:rsid w:val="00080977"/>
    <w:rsid w:val="0008098A"/>
    <w:rsid w:val="000809BA"/>
    <w:rsid w:val="00080E10"/>
    <w:rsid w:val="00080EE2"/>
    <w:rsid w:val="00080F25"/>
    <w:rsid w:val="0008105E"/>
    <w:rsid w:val="00081076"/>
    <w:rsid w:val="00081260"/>
    <w:rsid w:val="0008144B"/>
    <w:rsid w:val="000814A9"/>
    <w:rsid w:val="000814D0"/>
    <w:rsid w:val="000815D1"/>
    <w:rsid w:val="0008162B"/>
    <w:rsid w:val="00081652"/>
    <w:rsid w:val="0008175B"/>
    <w:rsid w:val="00081873"/>
    <w:rsid w:val="00082154"/>
    <w:rsid w:val="000823A4"/>
    <w:rsid w:val="0008244B"/>
    <w:rsid w:val="0008247E"/>
    <w:rsid w:val="000824D1"/>
    <w:rsid w:val="000825B3"/>
    <w:rsid w:val="00082768"/>
    <w:rsid w:val="000829CF"/>
    <w:rsid w:val="000829F1"/>
    <w:rsid w:val="00082B2D"/>
    <w:rsid w:val="00082B6B"/>
    <w:rsid w:val="00082E28"/>
    <w:rsid w:val="00083349"/>
    <w:rsid w:val="00083405"/>
    <w:rsid w:val="00083531"/>
    <w:rsid w:val="00083592"/>
    <w:rsid w:val="0008394E"/>
    <w:rsid w:val="00083ADA"/>
    <w:rsid w:val="00083B2D"/>
    <w:rsid w:val="00083C4E"/>
    <w:rsid w:val="00083D19"/>
    <w:rsid w:val="00083F4A"/>
    <w:rsid w:val="00083FD4"/>
    <w:rsid w:val="000841A3"/>
    <w:rsid w:val="0008420C"/>
    <w:rsid w:val="00084250"/>
    <w:rsid w:val="00084432"/>
    <w:rsid w:val="0008444D"/>
    <w:rsid w:val="000844CF"/>
    <w:rsid w:val="000844D5"/>
    <w:rsid w:val="000845E7"/>
    <w:rsid w:val="0008467C"/>
    <w:rsid w:val="0008471E"/>
    <w:rsid w:val="000847C6"/>
    <w:rsid w:val="00084C03"/>
    <w:rsid w:val="00084C0D"/>
    <w:rsid w:val="00084E49"/>
    <w:rsid w:val="00084FEA"/>
    <w:rsid w:val="00085065"/>
    <w:rsid w:val="00085090"/>
    <w:rsid w:val="000850C3"/>
    <w:rsid w:val="000854F4"/>
    <w:rsid w:val="00085650"/>
    <w:rsid w:val="0008591F"/>
    <w:rsid w:val="0008596D"/>
    <w:rsid w:val="0008598B"/>
    <w:rsid w:val="00085A52"/>
    <w:rsid w:val="00085AB2"/>
    <w:rsid w:val="00085D7D"/>
    <w:rsid w:val="00085F5E"/>
    <w:rsid w:val="00085FBE"/>
    <w:rsid w:val="00086289"/>
    <w:rsid w:val="00086436"/>
    <w:rsid w:val="000864E1"/>
    <w:rsid w:val="00086525"/>
    <w:rsid w:val="0008654A"/>
    <w:rsid w:val="0008667C"/>
    <w:rsid w:val="000866C0"/>
    <w:rsid w:val="00086710"/>
    <w:rsid w:val="00086746"/>
    <w:rsid w:val="000867C3"/>
    <w:rsid w:val="000867F8"/>
    <w:rsid w:val="00086818"/>
    <w:rsid w:val="000868A2"/>
    <w:rsid w:val="000869DF"/>
    <w:rsid w:val="00086F03"/>
    <w:rsid w:val="00086F76"/>
    <w:rsid w:val="00086FC5"/>
    <w:rsid w:val="00086FEA"/>
    <w:rsid w:val="00086FF7"/>
    <w:rsid w:val="00087205"/>
    <w:rsid w:val="00087213"/>
    <w:rsid w:val="00087366"/>
    <w:rsid w:val="000879C9"/>
    <w:rsid w:val="000879F8"/>
    <w:rsid w:val="00087A18"/>
    <w:rsid w:val="00087A1E"/>
    <w:rsid w:val="00087AE2"/>
    <w:rsid w:val="00087E16"/>
    <w:rsid w:val="00090418"/>
    <w:rsid w:val="00090420"/>
    <w:rsid w:val="00090435"/>
    <w:rsid w:val="0009050A"/>
    <w:rsid w:val="00090548"/>
    <w:rsid w:val="0009068F"/>
    <w:rsid w:val="000907BE"/>
    <w:rsid w:val="0009097B"/>
    <w:rsid w:val="00090A61"/>
    <w:rsid w:val="00090A6E"/>
    <w:rsid w:val="00090D3A"/>
    <w:rsid w:val="00090D73"/>
    <w:rsid w:val="00090E9C"/>
    <w:rsid w:val="0009105A"/>
    <w:rsid w:val="00091165"/>
    <w:rsid w:val="000913ED"/>
    <w:rsid w:val="00091602"/>
    <w:rsid w:val="00091748"/>
    <w:rsid w:val="00091862"/>
    <w:rsid w:val="0009195A"/>
    <w:rsid w:val="00091A92"/>
    <w:rsid w:val="00091ADF"/>
    <w:rsid w:val="00091BB5"/>
    <w:rsid w:val="00091BBE"/>
    <w:rsid w:val="00091D72"/>
    <w:rsid w:val="00091F59"/>
    <w:rsid w:val="00091FE1"/>
    <w:rsid w:val="000920A5"/>
    <w:rsid w:val="0009213F"/>
    <w:rsid w:val="000921B0"/>
    <w:rsid w:val="00092357"/>
    <w:rsid w:val="000925D0"/>
    <w:rsid w:val="00092748"/>
    <w:rsid w:val="00092A79"/>
    <w:rsid w:val="00092AD9"/>
    <w:rsid w:val="00092B25"/>
    <w:rsid w:val="00092C5B"/>
    <w:rsid w:val="00092CBD"/>
    <w:rsid w:val="00092D37"/>
    <w:rsid w:val="00092DEE"/>
    <w:rsid w:val="00092F3E"/>
    <w:rsid w:val="00092F8F"/>
    <w:rsid w:val="000932B8"/>
    <w:rsid w:val="000934E5"/>
    <w:rsid w:val="0009356B"/>
    <w:rsid w:val="00093673"/>
    <w:rsid w:val="00093B24"/>
    <w:rsid w:val="00093D0F"/>
    <w:rsid w:val="00093DB4"/>
    <w:rsid w:val="000940F5"/>
    <w:rsid w:val="000941C4"/>
    <w:rsid w:val="000943F5"/>
    <w:rsid w:val="000944C6"/>
    <w:rsid w:val="000944D8"/>
    <w:rsid w:val="00094A71"/>
    <w:rsid w:val="00094C8A"/>
    <w:rsid w:val="00094EF0"/>
    <w:rsid w:val="00094F44"/>
    <w:rsid w:val="0009545A"/>
    <w:rsid w:val="000954D3"/>
    <w:rsid w:val="00095648"/>
    <w:rsid w:val="00095856"/>
    <w:rsid w:val="00095890"/>
    <w:rsid w:val="000958BD"/>
    <w:rsid w:val="00095999"/>
    <w:rsid w:val="00095A00"/>
    <w:rsid w:val="00095C5A"/>
    <w:rsid w:val="00095D56"/>
    <w:rsid w:val="00095E2D"/>
    <w:rsid w:val="00095E2F"/>
    <w:rsid w:val="00095E63"/>
    <w:rsid w:val="00095FC4"/>
    <w:rsid w:val="00095FDE"/>
    <w:rsid w:val="00096110"/>
    <w:rsid w:val="00096131"/>
    <w:rsid w:val="00096492"/>
    <w:rsid w:val="000967CF"/>
    <w:rsid w:val="0009680A"/>
    <w:rsid w:val="00096A11"/>
    <w:rsid w:val="00096D34"/>
    <w:rsid w:val="00096F67"/>
    <w:rsid w:val="000970A4"/>
    <w:rsid w:val="000970C4"/>
    <w:rsid w:val="000971E3"/>
    <w:rsid w:val="00097477"/>
    <w:rsid w:val="00097795"/>
    <w:rsid w:val="000979CC"/>
    <w:rsid w:val="00097D01"/>
    <w:rsid w:val="00097E4C"/>
    <w:rsid w:val="000A0287"/>
    <w:rsid w:val="000A0407"/>
    <w:rsid w:val="000A047D"/>
    <w:rsid w:val="000A058C"/>
    <w:rsid w:val="000A066D"/>
    <w:rsid w:val="000A07B1"/>
    <w:rsid w:val="000A0B87"/>
    <w:rsid w:val="000A0BFC"/>
    <w:rsid w:val="000A0CBC"/>
    <w:rsid w:val="000A0DC9"/>
    <w:rsid w:val="000A0F0A"/>
    <w:rsid w:val="000A0F80"/>
    <w:rsid w:val="000A0FB2"/>
    <w:rsid w:val="000A0FB7"/>
    <w:rsid w:val="000A1055"/>
    <w:rsid w:val="000A1372"/>
    <w:rsid w:val="000A137B"/>
    <w:rsid w:val="000A161F"/>
    <w:rsid w:val="000A167D"/>
    <w:rsid w:val="000A16A7"/>
    <w:rsid w:val="000A16B1"/>
    <w:rsid w:val="000A16E2"/>
    <w:rsid w:val="000A173B"/>
    <w:rsid w:val="000A189A"/>
    <w:rsid w:val="000A1A53"/>
    <w:rsid w:val="000A1CAE"/>
    <w:rsid w:val="000A1D08"/>
    <w:rsid w:val="000A1FE9"/>
    <w:rsid w:val="000A2280"/>
    <w:rsid w:val="000A263B"/>
    <w:rsid w:val="000A275C"/>
    <w:rsid w:val="000A288F"/>
    <w:rsid w:val="000A29BA"/>
    <w:rsid w:val="000A2A8A"/>
    <w:rsid w:val="000A2C48"/>
    <w:rsid w:val="000A2D56"/>
    <w:rsid w:val="000A2DBB"/>
    <w:rsid w:val="000A326C"/>
    <w:rsid w:val="000A3425"/>
    <w:rsid w:val="000A34BC"/>
    <w:rsid w:val="000A357E"/>
    <w:rsid w:val="000A35B5"/>
    <w:rsid w:val="000A3608"/>
    <w:rsid w:val="000A367C"/>
    <w:rsid w:val="000A3684"/>
    <w:rsid w:val="000A3908"/>
    <w:rsid w:val="000A3918"/>
    <w:rsid w:val="000A3AB6"/>
    <w:rsid w:val="000A3AB9"/>
    <w:rsid w:val="000A3BE1"/>
    <w:rsid w:val="000A3D38"/>
    <w:rsid w:val="000A3F5D"/>
    <w:rsid w:val="000A44EE"/>
    <w:rsid w:val="000A45D5"/>
    <w:rsid w:val="000A477A"/>
    <w:rsid w:val="000A479C"/>
    <w:rsid w:val="000A4A05"/>
    <w:rsid w:val="000A4A85"/>
    <w:rsid w:val="000A4A97"/>
    <w:rsid w:val="000A4C04"/>
    <w:rsid w:val="000A4DC5"/>
    <w:rsid w:val="000A525E"/>
    <w:rsid w:val="000A53ED"/>
    <w:rsid w:val="000A58FB"/>
    <w:rsid w:val="000A5AAE"/>
    <w:rsid w:val="000A5B2D"/>
    <w:rsid w:val="000A5BDB"/>
    <w:rsid w:val="000A5C31"/>
    <w:rsid w:val="000A5C96"/>
    <w:rsid w:val="000A6191"/>
    <w:rsid w:val="000A61D7"/>
    <w:rsid w:val="000A6516"/>
    <w:rsid w:val="000A6763"/>
    <w:rsid w:val="000A67AA"/>
    <w:rsid w:val="000A6AD2"/>
    <w:rsid w:val="000A6C38"/>
    <w:rsid w:val="000A6C89"/>
    <w:rsid w:val="000A6F13"/>
    <w:rsid w:val="000A7123"/>
    <w:rsid w:val="000A7492"/>
    <w:rsid w:val="000A75A3"/>
    <w:rsid w:val="000A779E"/>
    <w:rsid w:val="000A7860"/>
    <w:rsid w:val="000A7910"/>
    <w:rsid w:val="000A79C6"/>
    <w:rsid w:val="000A7AC0"/>
    <w:rsid w:val="000A7C3F"/>
    <w:rsid w:val="000A7C90"/>
    <w:rsid w:val="000A7D22"/>
    <w:rsid w:val="000A7D45"/>
    <w:rsid w:val="000A7D4A"/>
    <w:rsid w:val="000A7DEC"/>
    <w:rsid w:val="000B027F"/>
    <w:rsid w:val="000B03C7"/>
    <w:rsid w:val="000B05CF"/>
    <w:rsid w:val="000B07D5"/>
    <w:rsid w:val="000B08D3"/>
    <w:rsid w:val="000B0933"/>
    <w:rsid w:val="000B0F02"/>
    <w:rsid w:val="000B106C"/>
    <w:rsid w:val="000B1205"/>
    <w:rsid w:val="000B14DA"/>
    <w:rsid w:val="000B1AAC"/>
    <w:rsid w:val="000B1D0C"/>
    <w:rsid w:val="000B1DAD"/>
    <w:rsid w:val="000B1E7F"/>
    <w:rsid w:val="000B1ED2"/>
    <w:rsid w:val="000B1ED8"/>
    <w:rsid w:val="000B1F3A"/>
    <w:rsid w:val="000B1F5F"/>
    <w:rsid w:val="000B2041"/>
    <w:rsid w:val="000B20D1"/>
    <w:rsid w:val="000B20D4"/>
    <w:rsid w:val="000B2163"/>
    <w:rsid w:val="000B21D8"/>
    <w:rsid w:val="000B22E8"/>
    <w:rsid w:val="000B2342"/>
    <w:rsid w:val="000B2504"/>
    <w:rsid w:val="000B26E0"/>
    <w:rsid w:val="000B2797"/>
    <w:rsid w:val="000B27AA"/>
    <w:rsid w:val="000B2938"/>
    <w:rsid w:val="000B29DE"/>
    <w:rsid w:val="000B2B6A"/>
    <w:rsid w:val="000B2C7E"/>
    <w:rsid w:val="000B2C8F"/>
    <w:rsid w:val="000B2D0E"/>
    <w:rsid w:val="000B2D66"/>
    <w:rsid w:val="000B2F95"/>
    <w:rsid w:val="000B2FB8"/>
    <w:rsid w:val="000B3016"/>
    <w:rsid w:val="000B3033"/>
    <w:rsid w:val="000B3106"/>
    <w:rsid w:val="000B3110"/>
    <w:rsid w:val="000B356F"/>
    <w:rsid w:val="000B37F3"/>
    <w:rsid w:val="000B3994"/>
    <w:rsid w:val="000B3A3C"/>
    <w:rsid w:val="000B3AB4"/>
    <w:rsid w:val="000B3B45"/>
    <w:rsid w:val="000B3CCA"/>
    <w:rsid w:val="000B3D7C"/>
    <w:rsid w:val="000B3FF4"/>
    <w:rsid w:val="000B41C3"/>
    <w:rsid w:val="000B4287"/>
    <w:rsid w:val="000B43CF"/>
    <w:rsid w:val="000B457F"/>
    <w:rsid w:val="000B4691"/>
    <w:rsid w:val="000B49B4"/>
    <w:rsid w:val="000B4AF4"/>
    <w:rsid w:val="000B4C20"/>
    <w:rsid w:val="000B4C7E"/>
    <w:rsid w:val="000B4F73"/>
    <w:rsid w:val="000B4FBB"/>
    <w:rsid w:val="000B518D"/>
    <w:rsid w:val="000B5248"/>
    <w:rsid w:val="000B53A6"/>
    <w:rsid w:val="000B5561"/>
    <w:rsid w:val="000B56B4"/>
    <w:rsid w:val="000B5835"/>
    <w:rsid w:val="000B58FD"/>
    <w:rsid w:val="000B5923"/>
    <w:rsid w:val="000B59B9"/>
    <w:rsid w:val="000B5C5F"/>
    <w:rsid w:val="000B5CC8"/>
    <w:rsid w:val="000B5D8C"/>
    <w:rsid w:val="000B6082"/>
    <w:rsid w:val="000B60B7"/>
    <w:rsid w:val="000B64BF"/>
    <w:rsid w:val="000B64E7"/>
    <w:rsid w:val="000B65C0"/>
    <w:rsid w:val="000B6746"/>
    <w:rsid w:val="000B674C"/>
    <w:rsid w:val="000B67DC"/>
    <w:rsid w:val="000B6AFD"/>
    <w:rsid w:val="000B73FE"/>
    <w:rsid w:val="000B7408"/>
    <w:rsid w:val="000B7798"/>
    <w:rsid w:val="000B7A12"/>
    <w:rsid w:val="000B7A3B"/>
    <w:rsid w:val="000B7AE2"/>
    <w:rsid w:val="000B7B79"/>
    <w:rsid w:val="000C01DE"/>
    <w:rsid w:val="000C02AD"/>
    <w:rsid w:val="000C042D"/>
    <w:rsid w:val="000C04ED"/>
    <w:rsid w:val="000C05AB"/>
    <w:rsid w:val="000C0616"/>
    <w:rsid w:val="000C076F"/>
    <w:rsid w:val="000C0B21"/>
    <w:rsid w:val="000C0BD1"/>
    <w:rsid w:val="000C0C99"/>
    <w:rsid w:val="000C0CA0"/>
    <w:rsid w:val="000C0D15"/>
    <w:rsid w:val="000C0DB7"/>
    <w:rsid w:val="000C13FF"/>
    <w:rsid w:val="000C14BB"/>
    <w:rsid w:val="000C15AF"/>
    <w:rsid w:val="000C16A9"/>
    <w:rsid w:val="000C16B6"/>
    <w:rsid w:val="000C1702"/>
    <w:rsid w:val="000C17B7"/>
    <w:rsid w:val="000C18AA"/>
    <w:rsid w:val="000C1930"/>
    <w:rsid w:val="000C1C79"/>
    <w:rsid w:val="000C22A8"/>
    <w:rsid w:val="000C23CE"/>
    <w:rsid w:val="000C23EF"/>
    <w:rsid w:val="000C25BD"/>
    <w:rsid w:val="000C2610"/>
    <w:rsid w:val="000C286C"/>
    <w:rsid w:val="000C2EFB"/>
    <w:rsid w:val="000C30EE"/>
    <w:rsid w:val="000C30FE"/>
    <w:rsid w:val="000C390A"/>
    <w:rsid w:val="000C3B0B"/>
    <w:rsid w:val="000C3C9D"/>
    <w:rsid w:val="000C3FF0"/>
    <w:rsid w:val="000C4340"/>
    <w:rsid w:val="000C4431"/>
    <w:rsid w:val="000C445E"/>
    <w:rsid w:val="000C451E"/>
    <w:rsid w:val="000C47CF"/>
    <w:rsid w:val="000C487F"/>
    <w:rsid w:val="000C49CC"/>
    <w:rsid w:val="000C4D5C"/>
    <w:rsid w:val="000C4EF6"/>
    <w:rsid w:val="000C5002"/>
    <w:rsid w:val="000C5943"/>
    <w:rsid w:val="000C59A7"/>
    <w:rsid w:val="000C59DC"/>
    <w:rsid w:val="000C5A31"/>
    <w:rsid w:val="000C5C12"/>
    <w:rsid w:val="000C5E86"/>
    <w:rsid w:val="000C6006"/>
    <w:rsid w:val="000C60FD"/>
    <w:rsid w:val="000C6207"/>
    <w:rsid w:val="000C621D"/>
    <w:rsid w:val="000C633C"/>
    <w:rsid w:val="000C6371"/>
    <w:rsid w:val="000C63A8"/>
    <w:rsid w:val="000C653E"/>
    <w:rsid w:val="000C65AC"/>
    <w:rsid w:val="000C6882"/>
    <w:rsid w:val="000C696C"/>
    <w:rsid w:val="000C6A0A"/>
    <w:rsid w:val="000C6AF4"/>
    <w:rsid w:val="000C6E1F"/>
    <w:rsid w:val="000C727D"/>
    <w:rsid w:val="000C73F8"/>
    <w:rsid w:val="000C7410"/>
    <w:rsid w:val="000C7446"/>
    <w:rsid w:val="000C7509"/>
    <w:rsid w:val="000C7727"/>
    <w:rsid w:val="000C7824"/>
    <w:rsid w:val="000C786A"/>
    <w:rsid w:val="000C78FB"/>
    <w:rsid w:val="000C7969"/>
    <w:rsid w:val="000C7A64"/>
    <w:rsid w:val="000C7B0B"/>
    <w:rsid w:val="000C7C25"/>
    <w:rsid w:val="000C7D85"/>
    <w:rsid w:val="000C7DDD"/>
    <w:rsid w:val="000D0020"/>
    <w:rsid w:val="000D0116"/>
    <w:rsid w:val="000D022F"/>
    <w:rsid w:val="000D0248"/>
    <w:rsid w:val="000D0252"/>
    <w:rsid w:val="000D0830"/>
    <w:rsid w:val="000D0982"/>
    <w:rsid w:val="000D0A23"/>
    <w:rsid w:val="000D0CFA"/>
    <w:rsid w:val="000D0DA3"/>
    <w:rsid w:val="000D0E81"/>
    <w:rsid w:val="000D0F79"/>
    <w:rsid w:val="000D0FEF"/>
    <w:rsid w:val="000D10D7"/>
    <w:rsid w:val="000D1212"/>
    <w:rsid w:val="000D1294"/>
    <w:rsid w:val="000D1641"/>
    <w:rsid w:val="000D16C8"/>
    <w:rsid w:val="000D1761"/>
    <w:rsid w:val="000D1C09"/>
    <w:rsid w:val="000D1E3D"/>
    <w:rsid w:val="000D1F08"/>
    <w:rsid w:val="000D2112"/>
    <w:rsid w:val="000D2471"/>
    <w:rsid w:val="000D2498"/>
    <w:rsid w:val="000D261F"/>
    <w:rsid w:val="000D2847"/>
    <w:rsid w:val="000D288F"/>
    <w:rsid w:val="000D2CF1"/>
    <w:rsid w:val="000D2E04"/>
    <w:rsid w:val="000D3242"/>
    <w:rsid w:val="000D32A4"/>
    <w:rsid w:val="000D3387"/>
    <w:rsid w:val="000D37A0"/>
    <w:rsid w:val="000D3814"/>
    <w:rsid w:val="000D3A18"/>
    <w:rsid w:val="000D3A7E"/>
    <w:rsid w:val="000D3C81"/>
    <w:rsid w:val="000D3E58"/>
    <w:rsid w:val="000D4305"/>
    <w:rsid w:val="000D4409"/>
    <w:rsid w:val="000D447D"/>
    <w:rsid w:val="000D4509"/>
    <w:rsid w:val="000D4524"/>
    <w:rsid w:val="000D4643"/>
    <w:rsid w:val="000D4747"/>
    <w:rsid w:val="000D47B6"/>
    <w:rsid w:val="000D494F"/>
    <w:rsid w:val="000D4985"/>
    <w:rsid w:val="000D4A15"/>
    <w:rsid w:val="000D4B63"/>
    <w:rsid w:val="000D546F"/>
    <w:rsid w:val="000D5503"/>
    <w:rsid w:val="000D55D0"/>
    <w:rsid w:val="000D55E9"/>
    <w:rsid w:val="000D5676"/>
    <w:rsid w:val="000D5690"/>
    <w:rsid w:val="000D57D7"/>
    <w:rsid w:val="000D58AD"/>
    <w:rsid w:val="000D58C3"/>
    <w:rsid w:val="000D5950"/>
    <w:rsid w:val="000D5E8A"/>
    <w:rsid w:val="000D5FC1"/>
    <w:rsid w:val="000D61C6"/>
    <w:rsid w:val="000D62B5"/>
    <w:rsid w:val="000D6437"/>
    <w:rsid w:val="000D6481"/>
    <w:rsid w:val="000D65A1"/>
    <w:rsid w:val="000D670E"/>
    <w:rsid w:val="000D6B50"/>
    <w:rsid w:val="000D6C9F"/>
    <w:rsid w:val="000D6DFA"/>
    <w:rsid w:val="000D7034"/>
    <w:rsid w:val="000D7151"/>
    <w:rsid w:val="000D757A"/>
    <w:rsid w:val="000D75EF"/>
    <w:rsid w:val="000D75F6"/>
    <w:rsid w:val="000D7675"/>
    <w:rsid w:val="000D77D5"/>
    <w:rsid w:val="000D780A"/>
    <w:rsid w:val="000D7949"/>
    <w:rsid w:val="000D7A09"/>
    <w:rsid w:val="000D7C47"/>
    <w:rsid w:val="000D7C7C"/>
    <w:rsid w:val="000D7D4E"/>
    <w:rsid w:val="000D7DE3"/>
    <w:rsid w:val="000D7E84"/>
    <w:rsid w:val="000E0124"/>
    <w:rsid w:val="000E0216"/>
    <w:rsid w:val="000E064B"/>
    <w:rsid w:val="000E0703"/>
    <w:rsid w:val="000E081E"/>
    <w:rsid w:val="000E08CD"/>
    <w:rsid w:val="000E08DB"/>
    <w:rsid w:val="000E0909"/>
    <w:rsid w:val="000E09CD"/>
    <w:rsid w:val="000E0A8D"/>
    <w:rsid w:val="000E0BCC"/>
    <w:rsid w:val="000E0BFC"/>
    <w:rsid w:val="000E0C4E"/>
    <w:rsid w:val="000E0E14"/>
    <w:rsid w:val="000E0EA9"/>
    <w:rsid w:val="000E109B"/>
    <w:rsid w:val="000E1369"/>
    <w:rsid w:val="000E1420"/>
    <w:rsid w:val="000E1631"/>
    <w:rsid w:val="000E1A78"/>
    <w:rsid w:val="000E1C3A"/>
    <w:rsid w:val="000E1CCC"/>
    <w:rsid w:val="000E1F81"/>
    <w:rsid w:val="000E2017"/>
    <w:rsid w:val="000E21A8"/>
    <w:rsid w:val="000E2377"/>
    <w:rsid w:val="000E2604"/>
    <w:rsid w:val="000E276D"/>
    <w:rsid w:val="000E2801"/>
    <w:rsid w:val="000E282E"/>
    <w:rsid w:val="000E2AFF"/>
    <w:rsid w:val="000E2BC8"/>
    <w:rsid w:val="000E2CC4"/>
    <w:rsid w:val="000E2D4B"/>
    <w:rsid w:val="000E2F12"/>
    <w:rsid w:val="000E2F7C"/>
    <w:rsid w:val="000E315E"/>
    <w:rsid w:val="000E31A9"/>
    <w:rsid w:val="000E31AE"/>
    <w:rsid w:val="000E31E9"/>
    <w:rsid w:val="000E3310"/>
    <w:rsid w:val="000E3327"/>
    <w:rsid w:val="000E33A0"/>
    <w:rsid w:val="000E34E8"/>
    <w:rsid w:val="000E3569"/>
    <w:rsid w:val="000E37B7"/>
    <w:rsid w:val="000E37FC"/>
    <w:rsid w:val="000E39E7"/>
    <w:rsid w:val="000E3ADD"/>
    <w:rsid w:val="000E3C2B"/>
    <w:rsid w:val="000E3DF9"/>
    <w:rsid w:val="000E3EFC"/>
    <w:rsid w:val="000E3F99"/>
    <w:rsid w:val="000E4065"/>
    <w:rsid w:val="000E40CC"/>
    <w:rsid w:val="000E43AD"/>
    <w:rsid w:val="000E43E6"/>
    <w:rsid w:val="000E4618"/>
    <w:rsid w:val="000E467C"/>
    <w:rsid w:val="000E46D2"/>
    <w:rsid w:val="000E471F"/>
    <w:rsid w:val="000E4A05"/>
    <w:rsid w:val="000E4E94"/>
    <w:rsid w:val="000E53F3"/>
    <w:rsid w:val="000E54D5"/>
    <w:rsid w:val="000E55BC"/>
    <w:rsid w:val="000E565C"/>
    <w:rsid w:val="000E56D3"/>
    <w:rsid w:val="000E56DE"/>
    <w:rsid w:val="000E582E"/>
    <w:rsid w:val="000E5AD8"/>
    <w:rsid w:val="000E5B1D"/>
    <w:rsid w:val="000E5D0E"/>
    <w:rsid w:val="000E5E42"/>
    <w:rsid w:val="000E5F2B"/>
    <w:rsid w:val="000E5F74"/>
    <w:rsid w:val="000E611E"/>
    <w:rsid w:val="000E61FF"/>
    <w:rsid w:val="000E6492"/>
    <w:rsid w:val="000E65A6"/>
    <w:rsid w:val="000E667B"/>
    <w:rsid w:val="000E681D"/>
    <w:rsid w:val="000E6A5B"/>
    <w:rsid w:val="000E6A72"/>
    <w:rsid w:val="000E6BF5"/>
    <w:rsid w:val="000E730E"/>
    <w:rsid w:val="000E73A0"/>
    <w:rsid w:val="000E7785"/>
    <w:rsid w:val="000E789B"/>
    <w:rsid w:val="000E79C9"/>
    <w:rsid w:val="000E7AC4"/>
    <w:rsid w:val="000E7D6C"/>
    <w:rsid w:val="000E7E21"/>
    <w:rsid w:val="000F0023"/>
    <w:rsid w:val="000F0259"/>
    <w:rsid w:val="000F0DEA"/>
    <w:rsid w:val="000F0FFF"/>
    <w:rsid w:val="000F1069"/>
    <w:rsid w:val="000F106D"/>
    <w:rsid w:val="000F154A"/>
    <w:rsid w:val="000F1950"/>
    <w:rsid w:val="000F19B3"/>
    <w:rsid w:val="000F1AB9"/>
    <w:rsid w:val="000F1C2F"/>
    <w:rsid w:val="000F1CBF"/>
    <w:rsid w:val="000F1D86"/>
    <w:rsid w:val="000F1DF4"/>
    <w:rsid w:val="000F1E35"/>
    <w:rsid w:val="000F1EC8"/>
    <w:rsid w:val="000F1F13"/>
    <w:rsid w:val="000F209F"/>
    <w:rsid w:val="000F2100"/>
    <w:rsid w:val="000F215D"/>
    <w:rsid w:val="000F2341"/>
    <w:rsid w:val="000F249C"/>
    <w:rsid w:val="000F26CC"/>
    <w:rsid w:val="000F2882"/>
    <w:rsid w:val="000F29AE"/>
    <w:rsid w:val="000F2B37"/>
    <w:rsid w:val="000F2D05"/>
    <w:rsid w:val="000F2DF8"/>
    <w:rsid w:val="000F3123"/>
    <w:rsid w:val="000F32AD"/>
    <w:rsid w:val="000F34F4"/>
    <w:rsid w:val="000F3599"/>
    <w:rsid w:val="000F3707"/>
    <w:rsid w:val="000F37D5"/>
    <w:rsid w:val="000F37EB"/>
    <w:rsid w:val="000F3AFC"/>
    <w:rsid w:val="000F3B35"/>
    <w:rsid w:val="000F3FEC"/>
    <w:rsid w:val="000F4020"/>
    <w:rsid w:val="000F408D"/>
    <w:rsid w:val="000F40F2"/>
    <w:rsid w:val="000F41DA"/>
    <w:rsid w:val="000F44D8"/>
    <w:rsid w:val="000F45C7"/>
    <w:rsid w:val="000F4704"/>
    <w:rsid w:val="000F4847"/>
    <w:rsid w:val="000F489F"/>
    <w:rsid w:val="000F48A0"/>
    <w:rsid w:val="000F4C41"/>
    <w:rsid w:val="000F4C76"/>
    <w:rsid w:val="000F4DA5"/>
    <w:rsid w:val="000F50B9"/>
    <w:rsid w:val="000F51E1"/>
    <w:rsid w:val="000F52F2"/>
    <w:rsid w:val="000F5349"/>
    <w:rsid w:val="000F55A1"/>
    <w:rsid w:val="000F55E8"/>
    <w:rsid w:val="000F56A5"/>
    <w:rsid w:val="000F5718"/>
    <w:rsid w:val="000F573A"/>
    <w:rsid w:val="000F5826"/>
    <w:rsid w:val="000F584F"/>
    <w:rsid w:val="000F5909"/>
    <w:rsid w:val="000F5940"/>
    <w:rsid w:val="000F594F"/>
    <w:rsid w:val="000F5BB3"/>
    <w:rsid w:val="000F5C2D"/>
    <w:rsid w:val="000F5DF6"/>
    <w:rsid w:val="000F6138"/>
    <w:rsid w:val="000F63CA"/>
    <w:rsid w:val="000F63CE"/>
    <w:rsid w:val="000F645C"/>
    <w:rsid w:val="000F69D1"/>
    <w:rsid w:val="000F69E1"/>
    <w:rsid w:val="000F6C3E"/>
    <w:rsid w:val="000F6CCC"/>
    <w:rsid w:val="000F6E13"/>
    <w:rsid w:val="000F6EC8"/>
    <w:rsid w:val="000F6EE9"/>
    <w:rsid w:val="000F6F7C"/>
    <w:rsid w:val="000F7068"/>
    <w:rsid w:val="000F7098"/>
    <w:rsid w:val="000F70FB"/>
    <w:rsid w:val="000F7142"/>
    <w:rsid w:val="000F7167"/>
    <w:rsid w:val="000F72A1"/>
    <w:rsid w:val="000F74FE"/>
    <w:rsid w:val="000F7550"/>
    <w:rsid w:val="000F75C9"/>
    <w:rsid w:val="000F7715"/>
    <w:rsid w:val="000F7A8B"/>
    <w:rsid w:val="000F7B27"/>
    <w:rsid w:val="000F7CBD"/>
    <w:rsid w:val="000F7E6D"/>
    <w:rsid w:val="00100455"/>
    <w:rsid w:val="0010061A"/>
    <w:rsid w:val="00100644"/>
    <w:rsid w:val="001007D2"/>
    <w:rsid w:val="001008FA"/>
    <w:rsid w:val="00100A41"/>
    <w:rsid w:val="00100ADF"/>
    <w:rsid w:val="00100BD2"/>
    <w:rsid w:val="00100BE8"/>
    <w:rsid w:val="00100F5F"/>
    <w:rsid w:val="001010C0"/>
    <w:rsid w:val="001011D5"/>
    <w:rsid w:val="00101203"/>
    <w:rsid w:val="00101355"/>
    <w:rsid w:val="00101383"/>
    <w:rsid w:val="0010159C"/>
    <w:rsid w:val="001015AC"/>
    <w:rsid w:val="00101626"/>
    <w:rsid w:val="001019B2"/>
    <w:rsid w:val="00101A1E"/>
    <w:rsid w:val="00101AB4"/>
    <w:rsid w:val="00101CA7"/>
    <w:rsid w:val="00101E11"/>
    <w:rsid w:val="00101EFC"/>
    <w:rsid w:val="00101FD2"/>
    <w:rsid w:val="00102283"/>
    <w:rsid w:val="001025A0"/>
    <w:rsid w:val="001025C2"/>
    <w:rsid w:val="001026EC"/>
    <w:rsid w:val="00102723"/>
    <w:rsid w:val="00102858"/>
    <w:rsid w:val="00102905"/>
    <w:rsid w:val="00102BC2"/>
    <w:rsid w:val="00103007"/>
    <w:rsid w:val="001030C5"/>
    <w:rsid w:val="00103102"/>
    <w:rsid w:val="001037F9"/>
    <w:rsid w:val="0010384B"/>
    <w:rsid w:val="00103B27"/>
    <w:rsid w:val="00103D06"/>
    <w:rsid w:val="00104291"/>
    <w:rsid w:val="001042F4"/>
    <w:rsid w:val="001044F6"/>
    <w:rsid w:val="001046BD"/>
    <w:rsid w:val="0010476D"/>
    <w:rsid w:val="001047B6"/>
    <w:rsid w:val="00104843"/>
    <w:rsid w:val="00104A9C"/>
    <w:rsid w:val="00104DE6"/>
    <w:rsid w:val="0010520C"/>
    <w:rsid w:val="00105394"/>
    <w:rsid w:val="0010561A"/>
    <w:rsid w:val="0010570F"/>
    <w:rsid w:val="001059F4"/>
    <w:rsid w:val="00105CC5"/>
    <w:rsid w:val="00105CC7"/>
    <w:rsid w:val="00105E24"/>
    <w:rsid w:val="00106117"/>
    <w:rsid w:val="001061D3"/>
    <w:rsid w:val="001064E0"/>
    <w:rsid w:val="0010676E"/>
    <w:rsid w:val="001068F4"/>
    <w:rsid w:val="00106D43"/>
    <w:rsid w:val="00106DC0"/>
    <w:rsid w:val="00106F87"/>
    <w:rsid w:val="00106FBB"/>
    <w:rsid w:val="001074CA"/>
    <w:rsid w:val="0010752A"/>
    <w:rsid w:val="00107844"/>
    <w:rsid w:val="00107866"/>
    <w:rsid w:val="00107AF9"/>
    <w:rsid w:val="00107BEA"/>
    <w:rsid w:val="00107CF7"/>
    <w:rsid w:val="00107F6B"/>
    <w:rsid w:val="00110069"/>
    <w:rsid w:val="0011009D"/>
    <w:rsid w:val="001103DA"/>
    <w:rsid w:val="001103DE"/>
    <w:rsid w:val="00110720"/>
    <w:rsid w:val="0011081B"/>
    <w:rsid w:val="00110857"/>
    <w:rsid w:val="00110991"/>
    <w:rsid w:val="00110A47"/>
    <w:rsid w:val="00110AF0"/>
    <w:rsid w:val="00110E34"/>
    <w:rsid w:val="00110EDD"/>
    <w:rsid w:val="00111019"/>
    <w:rsid w:val="0011129C"/>
    <w:rsid w:val="001112FF"/>
    <w:rsid w:val="001118F2"/>
    <w:rsid w:val="00111A6D"/>
    <w:rsid w:val="00111F00"/>
    <w:rsid w:val="00111FCD"/>
    <w:rsid w:val="00112113"/>
    <w:rsid w:val="00112171"/>
    <w:rsid w:val="0011276E"/>
    <w:rsid w:val="00112BB3"/>
    <w:rsid w:val="00112C30"/>
    <w:rsid w:val="00112D0B"/>
    <w:rsid w:val="00112E7B"/>
    <w:rsid w:val="00112EEA"/>
    <w:rsid w:val="00112FF7"/>
    <w:rsid w:val="00113057"/>
    <w:rsid w:val="0011321D"/>
    <w:rsid w:val="001133C7"/>
    <w:rsid w:val="001133EA"/>
    <w:rsid w:val="001135F9"/>
    <w:rsid w:val="001138B1"/>
    <w:rsid w:val="00113947"/>
    <w:rsid w:val="001139A1"/>
    <w:rsid w:val="001139B1"/>
    <w:rsid w:val="00113C28"/>
    <w:rsid w:val="00113D40"/>
    <w:rsid w:val="00113D9E"/>
    <w:rsid w:val="00114011"/>
    <w:rsid w:val="001140AB"/>
    <w:rsid w:val="0011437A"/>
    <w:rsid w:val="001144C3"/>
    <w:rsid w:val="00114512"/>
    <w:rsid w:val="00114684"/>
    <w:rsid w:val="0011473B"/>
    <w:rsid w:val="00114777"/>
    <w:rsid w:val="00114AD5"/>
    <w:rsid w:val="00114B19"/>
    <w:rsid w:val="00114DBE"/>
    <w:rsid w:val="00114E0C"/>
    <w:rsid w:val="00114F9D"/>
    <w:rsid w:val="00115054"/>
    <w:rsid w:val="0011507E"/>
    <w:rsid w:val="0011522C"/>
    <w:rsid w:val="0011523F"/>
    <w:rsid w:val="001153C2"/>
    <w:rsid w:val="00115699"/>
    <w:rsid w:val="00115769"/>
    <w:rsid w:val="001157B4"/>
    <w:rsid w:val="00115C2F"/>
    <w:rsid w:val="00115D63"/>
    <w:rsid w:val="00115F00"/>
    <w:rsid w:val="001160B9"/>
    <w:rsid w:val="001160BC"/>
    <w:rsid w:val="0011612F"/>
    <w:rsid w:val="00116248"/>
    <w:rsid w:val="0011629C"/>
    <w:rsid w:val="001164A4"/>
    <w:rsid w:val="001166D6"/>
    <w:rsid w:val="001168DE"/>
    <w:rsid w:val="0011697F"/>
    <w:rsid w:val="00116EBA"/>
    <w:rsid w:val="00116EC8"/>
    <w:rsid w:val="00116FAE"/>
    <w:rsid w:val="001170C6"/>
    <w:rsid w:val="001173A1"/>
    <w:rsid w:val="00117516"/>
    <w:rsid w:val="001175D6"/>
    <w:rsid w:val="0011774F"/>
    <w:rsid w:val="001177DD"/>
    <w:rsid w:val="001177F5"/>
    <w:rsid w:val="001178C5"/>
    <w:rsid w:val="00117C28"/>
    <w:rsid w:val="00117C5D"/>
    <w:rsid w:val="00117C5E"/>
    <w:rsid w:val="00117DC7"/>
    <w:rsid w:val="00120227"/>
    <w:rsid w:val="00120354"/>
    <w:rsid w:val="00120392"/>
    <w:rsid w:val="001203BA"/>
    <w:rsid w:val="001205CF"/>
    <w:rsid w:val="001206ED"/>
    <w:rsid w:val="001209CF"/>
    <w:rsid w:val="00120B0B"/>
    <w:rsid w:val="00120D6F"/>
    <w:rsid w:val="00121369"/>
    <w:rsid w:val="00121549"/>
    <w:rsid w:val="00121580"/>
    <w:rsid w:val="0012168B"/>
    <w:rsid w:val="0012174D"/>
    <w:rsid w:val="00121AFA"/>
    <w:rsid w:val="00121D54"/>
    <w:rsid w:val="00121DA7"/>
    <w:rsid w:val="00121F17"/>
    <w:rsid w:val="00122012"/>
    <w:rsid w:val="00122030"/>
    <w:rsid w:val="00122397"/>
    <w:rsid w:val="0012255D"/>
    <w:rsid w:val="001226C4"/>
    <w:rsid w:val="00122A48"/>
    <w:rsid w:val="00122B09"/>
    <w:rsid w:val="00122BB3"/>
    <w:rsid w:val="00122BED"/>
    <w:rsid w:val="00122D20"/>
    <w:rsid w:val="0012325A"/>
    <w:rsid w:val="00123361"/>
    <w:rsid w:val="00123A2E"/>
    <w:rsid w:val="00123B39"/>
    <w:rsid w:val="00123B92"/>
    <w:rsid w:val="00123F7F"/>
    <w:rsid w:val="001243F6"/>
    <w:rsid w:val="001244D0"/>
    <w:rsid w:val="00124679"/>
    <w:rsid w:val="00124850"/>
    <w:rsid w:val="00124AF6"/>
    <w:rsid w:val="00124C59"/>
    <w:rsid w:val="00124D30"/>
    <w:rsid w:val="00124ED4"/>
    <w:rsid w:val="00124FA6"/>
    <w:rsid w:val="0012535E"/>
    <w:rsid w:val="00125377"/>
    <w:rsid w:val="00125517"/>
    <w:rsid w:val="00125755"/>
    <w:rsid w:val="0012579D"/>
    <w:rsid w:val="00125C70"/>
    <w:rsid w:val="00125C86"/>
    <w:rsid w:val="00125E1C"/>
    <w:rsid w:val="00125E86"/>
    <w:rsid w:val="001260DD"/>
    <w:rsid w:val="00126196"/>
    <w:rsid w:val="0012635B"/>
    <w:rsid w:val="001263A7"/>
    <w:rsid w:val="001265F4"/>
    <w:rsid w:val="00126B04"/>
    <w:rsid w:val="00126BA1"/>
    <w:rsid w:val="00126EEC"/>
    <w:rsid w:val="00126F22"/>
    <w:rsid w:val="001270CB"/>
    <w:rsid w:val="001275B3"/>
    <w:rsid w:val="0012778D"/>
    <w:rsid w:val="001277B5"/>
    <w:rsid w:val="0012792D"/>
    <w:rsid w:val="00127AD9"/>
    <w:rsid w:val="00127BE2"/>
    <w:rsid w:val="00127ED5"/>
    <w:rsid w:val="001302C4"/>
    <w:rsid w:val="00130472"/>
    <w:rsid w:val="0013057A"/>
    <w:rsid w:val="00130685"/>
    <w:rsid w:val="001306D3"/>
    <w:rsid w:val="001306FB"/>
    <w:rsid w:val="00130798"/>
    <w:rsid w:val="001308D1"/>
    <w:rsid w:val="00130A60"/>
    <w:rsid w:val="00130AE7"/>
    <w:rsid w:val="00130D31"/>
    <w:rsid w:val="00130FBC"/>
    <w:rsid w:val="00131944"/>
    <w:rsid w:val="001319FE"/>
    <w:rsid w:val="00131A83"/>
    <w:rsid w:val="00131D37"/>
    <w:rsid w:val="0013204B"/>
    <w:rsid w:val="00132073"/>
    <w:rsid w:val="00132536"/>
    <w:rsid w:val="00132568"/>
    <w:rsid w:val="0013278A"/>
    <w:rsid w:val="00132959"/>
    <w:rsid w:val="001329DC"/>
    <w:rsid w:val="00132A50"/>
    <w:rsid w:val="00132B5C"/>
    <w:rsid w:val="00132C6B"/>
    <w:rsid w:val="00133161"/>
    <w:rsid w:val="00133227"/>
    <w:rsid w:val="00133256"/>
    <w:rsid w:val="00133591"/>
    <w:rsid w:val="001335B8"/>
    <w:rsid w:val="00133639"/>
    <w:rsid w:val="00133D0F"/>
    <w:rsid w:val="00133D15"/>
    <w:rsid w:val="00133F97"/>
    <w:rsid w:val="0013412D"/>
    <w:rsid w:val="00134223"/>
    <w:rsid w:val="00134361"/>
    <w:rsid w:val="0013458C"/>
    <w:rsid w:val="0013474C"/>
    <w:rsid w:val="00134BF2"/>
    <w:rsid w:val="00134D74"/>
    <w:rsid w:val="00134E92"/>
    <w:rsid w:val="00134FE9"/>
    <w:rsid w:val="001350A7"/>
    <w:rsid w:val="001350DA"/>
    <w:rsid w:val="00135178"/>
    <w:rsid w:val="0013538A"/>
    <w:rsid w:val="00135457"/>
    <w:rsid w:val="00135581"/>
    <w:rsid w:val="001355C2"/>
    <w:rsid w:val="001356D5"/>
    <w:rsid w:val="00135787"/>
    <w:rsid w:val="00135D3D"/>
    <w:rsid w:val="00135E56"/>
    <w:rsid w:val="00135E69"/>
    <w:rsid w:val="00135FCA"/>
    <w:rsid w:val="00135FFB"/>
    <w:rsid w:val="001360B5"/>
    <w:rsid w:val="00136879"/>
    <w:rsid w:val="00136989"/>
    <w:rsid w:val="00136A3E"/>
    <w:rsid w:val="00136AA3"/>
    <w:rsid w:val="00136D2E"/>
    <w:rsid w:val="00136E0E"/>
    <w:rsid w:val="00136F47"/>
    <w:rsid w:val="00137344"/>
    <w:rsid w:val="001373D9"/>
    <w:rsid w:val="00137605"/>
    <w:rsid w:val="001378BA"/>
    <w:rsid w:val="00137CCB"/>
    <w:rsid w:val="00137ED2"/>
    <w:rsid w:val="00137F30"/>
    <w:rsid w:val="0014013A"/>
    <w:rsid w:val="0014016D"/>
    <w:rsid w:val="00140230"/>
    <w:rsid w:val="00140255"/>
    <w:rsid w:val="00140337"/>
    <w:rsid w:val="001406EE"/>
    <w:rsid w:val="00140756"/>
    <w:rsid w:val="001409F7"/>
    <w:rsid w:val="00140C86"/>
    <w:rsid w:val="00140DAA"/>
    <w:rsid w:val="00140E59"/>
    <w:rsid w:val="00140EC4"/>
    <w:rsid w:val="00141022"/>
    <w:rsid w:val="001412A3"/>
    <w:rsid w:val="001415AF"/>
    <w:rsid w:val="001419BF"/>
    <w:rsid w:val="00141CA6"/>
    <w:rsid w:val="00141D1E"/>
    <w:rsid w:val="00141DFF"/>
    <w:rsid w:val="00141E18"/>
    <w:rsid w:val="00141FE7"/>
    <w:rsid w:val="00142040"/>
    <w:rsid w:val="001422E3"/>
    <w:rsid w:val="001423A6"/>
    <w:rsid w:val="001423AB"/>
    <w:rsid w:val="00142589"/>
    <w:rsid w:val="00142632"/>
    <w:rsid w:val="0014267F"/>
    <w:rsid w:val="00142686"/>
    <w:rsid w:val="00142843"/>
    <w:rsid w:val="0014286C"/>
    <w:rsid w:val="00142ABE"/>
    <w:rsid w:val="00142C86"/>
    <w:rsid w:val="00142D80"/>
    <w:rsid w:val="00142DD9"/>
    <w:rsid w:val="00142FDB"/>
    <w:rsid w:val="00143111"/>
    <w:rsid w:val="001431E3"/>
    <w:rsid w:val="001433CF"/>
    <w:rsid w:val="0014358C"/>
    <w:rsid w:val="00143670"/>
    <w:rsid w:val="001436DD"/>
    <w:rsid w:val="0014394A"/>
    <w:rsid w:val="00143998"/>
    <w:rsid w:val="00143B32"/>
    <w:rsid w:val="00143C92"/>
    <w:rsid w:val="00143DF3"/>
    <w:rsid w:val="00143E1B"/>
    <w:rsid w:val="00144215"/>
    <w:rsid w:val="0014427A"/>
    <w:rsid w:val="00144346"/>
    <w:rsid w:val="0014436F"/>
    <w:rsid w:val="00144376"/>
    <w:rsid w:val="001443F0"/>
    <w:rsid w:val="00144749"/>
    <w:rsid w:val="00144757"/>
    <w:rsid w:val="00144837"/>
    <w:rsid w:val="00144C01"/>
    <w:rsid w:val="00144C36"/>
    <w:rsid w:val="00145080"/>
    <w:rsid w:val="001450CB"/>
    <w:rsid w:val="001452B9"/>
    <w:rsid w:val="00145387"/>
    <w:rsid w:val="00145646"/>
    <w:rsid w:val="001456DB"/>
    <w:rsid w:val="001457FF"/>
    <w:rsid w:val="00145840"/>
    <w:rsid w:val="001460A4"/>
    <w:rsid w:val="001460AE"/>
    <w:rsid w:val="001460C1"/>
    <w:rsid w:val="00146103"/>
    <w:rsid w:val="00146174"/>
    <w:rsid w:val="001461D9"/>
    <w:rsid w:val="001461F2"/>
    <w:rsid w:val="001462DE"/>
    <w:rsid w:val="001465C8"/>
    <w:rsid w:val="001467D9"/>
    <w:rsid w:val="00146870"/>
    <w:rsid w:val="00146DF2"/>
    <w:rsid w:val="00146FE1"/>
    <w:rsid w:val="00147011"/>
    <w:rsid w:val="001472AC"/>
    <w:rsid w:val="001473BD"/>
    <w:rsid w:val="0014750F"/>
    <w:rsid w:val="00147578"/>
    <w:rsid w:val="001476CC"/>
    <w:rsid w:val="001477BC"/>
    <w:rsid w:val="00147CC6"/>
    <w:rsid w:val="00147E54"/>
    <w:rsid w:val="00147FF1"/>
    <w:rsid w:val="0015010C"/>
    <w:rsid w:val="00150261"/>
    <w:rsid w:val="001502D7"/>
    <w:rsid w:val="0015042A"/>
    <w:rsid w:val="001509CD"/>
    <w:rsid w:val="00150B7E"/>
    <w:rsid w:val="00150C6C"/>
    <w:rsid w:val="00150FFD"/>
    <w:rsid w:val="00151039"/>
    <w:rsid w:val="00151056"/>
    <w:rsid w:val="00151464"/>
    <w:rsid w:val="00151543"/>
    <w:rsid w:val="0015154F"/>
    <w:rsid w:val="00151640"/>
    <w:rsid w:val="00151741"/>
    <w:rsid w:val="00151847"/>
    <w:rsid w:val="00151941"/>
    <w:rsid w:val="00151A52"/>
    <w:rsid w:val="00151BCF"/>
    <w:rsid w:val="00151C0C"/>
    <w:rsid w:val="00151D39"/>
    <w:rsid w:val="00151E66"/>
    <w:rsid w:val="00151E78"/>
    <w:rsid w:val="0015249B"/>
    <w:rsid w:val="00152927"/>
    <w:rsid w:val="00152A86"/>
    <w:rsid w:val="00152AE8"/>
    <w:rsid w:val="00152BD6"/>
    <w:rsid w:val="00152E19"/>
    <w:rsid w:val="00152EA9"/>
    <w:rsid w:val="00152F3D"/>
    <w:rsid w:val="00152F93"/>
    <w:rsid w:val="001531AB"/>
    <w:rsid w:val="001532C2"/>
    <w:rsid w:val="001532CA"/>
    <w:rsid w:val="00153989"/>
    <w:rsid w:val="00153A72"/>
    <w:rsid w:val="00153B79"/>
    <w:rsid w:val="00153C5B"/>
    <w:rsid w:val="00153FBC"/>
    <w:rsid w:val="001540B7"/>
    <w:rsid w:val="0015410B"/>
    <w:rsid w:val="0015410D"/>
    <w:rsid w:val="0015417E"/>
    <w:rsid w:val="00154280"/>
    <w:rsid w:val="0015428E"/>
    <w:rsid w:val="001544CE"/>
    <w:rsid w:val="00154572"/>
    <w:rsid w:val="001547D6"/>
    <w:rsid w:val="00154BD5"/>
    <w:rsid w:val="00154C2C"/>
    <w:rsid w:val="00154EDC"/>
    <w:rsid w:val="00154FE1"/>
    <w:rsid w:val="00155063"/>
    <w:rsid w:val="00155212"/>
    <w:rsid w:val="0015528E"/>
    <w:rsid w:val="00155420"/>
    <w:rsid w:val="00155691"/>
    <w:rsid w:val="00155823"/>
    <w:rsid w:val="001559FA"/>
    <w:rsid w:val="00155ABB"/>
    <w:rsid w:val="00155D6E"/>
    <w:rsid w:val="001560D0"/>
    <w:rsid w:val="001560D4"/>
    <w:rsid w:val="00156102"/>
    <w:rsid w:val="001561A5"/>
    <w:rsid w:val="0015634E"/>
    <w:rsid w:val="0015686E"/>
    <w:rsid w:val="001568AB"/>
    <w:rsid w:val="00156A1F"/>
    <w:rsid w:val="00156B88"/>
    <w:rsid w:val="00156B8C"/>
    <w:rsid w:val="00156CAB"/>
    <w:rsid w:val="00156DBD"/>
    <w:rsid w:val="001574BB"/>
    <w:rsid w:val="00157699"/>
    <w:rsid w:val="0015771F"/>
    <w:rsid w:val="00157764"/>
    <w:rsid w:val="001577D7"/>
    <w:rsid w:val="001578AB"/>
    <w:rsid w:val="00157965"/>
    <w:rsid w:val="001579E3"/>
    <w:rsid w:val="00157F53"/>
    <w:rsid w:val="00157F9A"/>
    <w:rsid w:val="00157FED"/>
    <w:rsid w:val="0016014A"/>
    <w:rsid w:val="00160208"/>
    <w:rsid w:val="0016048B"/>
    <w:rsid w:val="001604B0"/>
    <w:rsid w:val="0016056C"/>
    <w:rsid w:val="001609C6"/>
    <w:rsid w:val="00160BCB"/>
    <w:rsid w:val="00160DDA"/>
    <w:rsid w:val="0016112C"/>
    <w:rsid w:val="00161130"/>
    <w:rsid w:val="001612AB"/>
    <w:rsid w:val="001617F2"/>
    <w:rsid w:val="00161941"/>
    <w:rsid w:val="00161EC0"/>
    <w:rsid w:val="00161F2C"/>
    <w:rsid w:val="00162074"/>
    <w:rsid w:val="0016207E"/>
    <w:rsid w:val="00162799"/>
    <w:rsid w:val="0016285C"/>
    <w:rsid w:val="00162868"/>
    <w:rsid w:val="00162992"/>
    <w:rsid w:val="00162C7C"/>
    <w:rsid w:val="00162C7F"/>
    <w:rsid w:val="00162D73"/>
    <w:rsid w:val="00162D8D"/>
    <w:rsid w:val="001631D1"/>
    <w:rsid w:val="001631D3"/>
    <w:rsid w:val="001631DD"/>
    <w:rsid w:val="001634C1"/>
    <w:rsid w:val="00163588"/>
    <w:rsid w:val="00163684"/>
    <w:rsid w:val="00163686"/>
    <w:rsid w:val="001636D6"/>
    <w:rsid w:val="001637D2"/>
    <w:rsid w:val="0016381A"/>
    <w:rsid w:val="00163A97"/>
    <w:rsid w:val="00163BDE"/>
    <w:rsid w:val="00163CB9"/>
    <w:rsid w:val="00163CD9"/>
    <w:rsid w:val="00163E1D"/>
    <w:rsid w:val="0016432C"/>
    <w:rsid w:val="001644F3"/>
    <w:rsid w:val="001645BC"/>
    <w:rsid w:val="0016460A"/>
    <w:rsid w:val="001646D0"/>
    <w:rsid w:val="00164737"/>
    <w:rsid w:val="00164763"/>
    <w:rsid w:val="0016481F"/>
    <w:rsid w:val="00164BC1"/>
    <w:rsid w:val="00164CB0"/>
    <w:rsid w:val="00164DA4"/>
    <w:rsid w:val="00164DD2"/>
    <w:rsid w:val="00164E64"/>
    <w:rsid w:val="00164EDC"/>
    <w:rsid w:val="001650F7"/>
    <w:rsid w:val="001651CD"/>
    <w:rsid w:val="0016568B"/>
    <w:rsid w:val="001657FA"/>
    <w:rsid w:val="00165BD5"/>
    <w:rsid w:val="00165C26"/>
    <w:rsid w:val="00166023"/>
    <w:rsid w:val="00166156"/>
    <w:rsid w:val="001665DD"/>
    <w:rsid w:val="00166795"/>
    <w:rsid w:val="00166A84"/>
    <w:rsid w:val="00166AD1"/>
    <w:rsid w:val="00166D98"/>
    <w:rsid w:val="00166DDC"/>
    <w:rsid w:val="00166E60"/>
    <w:rsid w:val="00166FAB"/>
    <w:rsid w:val="0016785C"/>
    <w:rsid w:val="001679BE"/>
    <w:rsid w:val="00167CB2"/>
    <w:rsid w:val="00167CB4"/>
    <w:rsid w:val="00167EE4"/>
    <w:rsid w:val="00167EFB"/>
    <w:rsid w:val="0017036A"/>
    <w:rsid w:val="001703AF"/>
    <w:rsid w:val="001704AB"/>
    <w:rsid w:val="00170591"/>
    <w:rsid w:val="00170A60"/>
    <w:rsid w:val="00170AB6"/>
    <w:rsid w:val="00170E6F"/>
    <w:rsid w:val="00170ECF"/>
    <w:rsid w:val="00170ED5"/>
    <w:rsid w:val="00170EE2"/>
    <w:rsid w:val="00170FF1"/>
    <w:rsid w:val="0017102B"/>
    <w:rsid w:val="001710D8"/>
    <w:rsid w:val="0017126A"/>
    <w:rsid w:val="001713DE"/>
    <w:rsid w:val="00171599"/>
    <w:rsid w:val="0017159E"/>
    <w:rsid w:val="00171840"/>
    <w:rsid w:val="0017197E"/>
    <w:rsid w:val="00171A8E"/>
    <w:rsid w:val="00171B13"/>
    <w:rsid w:val="00171CFF"/>
    <w:rsid w:val="00171D9C"/>
    <w:rsid w:val="001720EF"/>
    <w:rsid w:val="00172221"/>
    <w:rsid w:val="001722D4"/>
    <w:rsid w:val="00172368"/>
    <w:rsid w:val="001729FB"/>
    <w:rsid w:val="00172E4D"/>
    <w:rsid w:val="00173025"/>
    <w:rsid w:val="00173582"/>
    <w:rsid w:val="0017363A"/>
    <w:rsid w:val="001736BB"/>
    <w:rsid w:val="00173A87"/>
    <w:rsid w:val="00173BBA"/>
    <w:rsid w:val="00173EA3"/>
    <w:rsid w:val="00173EED"/>
    <w:rsid w:val="00173F16"/>
    <w:rsid w:val="0017418E"/>
    <w:rsid w:val="00174250"/>
    <w:rsid w:val="001743A9"/>
    <w:rsid w:val="001746F8"/>
    <w:rsid w:val="001747B4"/>
    <w:rsid w:val="0017480E"/>
    <w:rsid w:val="00174894"/>
    <w:rsid w:val="00174AF7"/>
    <w:rsid w:val="00174BEF"/>
    <w:rsid w:val="00174C49"/>
    <w:rsid w:val="00174DBE"/>
    <w:rsid w:val="00174E25"/>
    <w:rsid w:val="00174E58"/>
    <w:rsid w:val="00175270"/>
    <w:rsid w:val="001752CF"/>
    <w:rsid w:val="001755D7"/>
    <w:rsid w:val="001755F4"/>
    <w:rsid w:val="001758B9"/>
    <w:rsid w:val="00175965"/>
    <w:rsid w:val="00176067"/>
    <w:rsid w:val="0017611A"/>
    <w:rsid w:val="001763D3"/>
    <w:rsid w:val="00176415"/>
    <w:rsid w:val="001768DE"/>
    <w:rsid w:val="00176908"/>
    <w:rsid w:val="0017693C"/>
    <w:rsid w:val="00176944"/>
    <w:rsid w:val="00176D23"/>
    <w:rsid w:val="00176F78"/>
    <w:rsid w:val="001770FC"/>
    <w:rsid w:val="00177206"/>
    <w:rsid w:val="0017739D"/>
    <w:rsid w:val="0017765C"/>
    <w:rsid w:val="001777BD"/>
    <w:rsid w:val="00177860"/>
    <w:rsid w:val="00177A93"/>
    <w:rsid w:val="001800B2"/>
    <w:rsid w:val="001801B8"/>
    <w:rsid w:val="001803F5"/>
    <w:rsid w:val="00180453"/>
    <w:rsid w:val="0018097C"/>
    <w:rsid w:val="00180B8F"/>
    <w:rsid w:val="00181197"/>
    <w:rsid w:val="001811A3"/>
    <w:rsid w:val="00181339"/>
    <w:rsid w:val="0018160D"/>
    <w:rsid w:val="001818C2"/>
    <w:rsid w:val="00181D09"/>
    <w:rsid w:val="00181D89"/>
    <w:rsid w:val="00181D8E"/>
    <w:rsid w:val="00182093"/>
    <w:rsid w:val="001820B9"/>
    <w:rsid w:val="00182171"/>
    <w:rsid w:val="0018219C"/>
    <w:rsid w:val="00182289"/>
    <w:rsid w:val="00182382"/>
    <w:rsid w:val="0018240C"/>
    <w:rsid w:val="00182652"/>
    <w:rsid w:val="001827DE"/>
    <w:rsid w:val="001829A0"/>
    <w:rsid w:val="00182D2C"/>
    <w:rsid w:val="00183012"/>
    <w:rsid w:val="00183237"/>
    <w:rsid w:val="0018325F"/>
    <w:rsid w:val="00183321"/>
    <w:rsid w:val="001833CD"/>
    <w:rsid w:val="0018391A"/>
    <w:rsid w:val="00183A2C"/>
    <w:rsid w:val="00183F58"/>
    <w:rsid w:val="00184088"/>
    <w:rsid w:val="0018415F"/>
    <w:rsid w:val="00184285"/>
    <w:rsid w:val="001845DE"/>
    <w:rsid w:val="001847FC"/>
    <w:rsid w:val="0018480D"/>
    <w:rsid w:val="0018483E"/>
    <w:rsid w:val="00184A88"/>
    <w:rsid w:val="00184C09"/>
    <w:rsid w:val="00184C2A"/>
    <w:rsid w:val="00184D11"/>
    <w:rsid w:val="00184DD7"/>
    <w:rsid w:val="00184E9F"/>
    <w:rsid w:val="00184EB3"/>
    <w:rsid w:val="001850A4"/>
    <w:rsid w:val="00185163"/>
    <w:rsid w:val="0018520E"/>
    <w:rsid w:val="0018522D"/>
    <w:rsid w:val="00185321"/>
    <w:rsid w:val="00185422"/>
    <w:rsid w:val="001858D4"/>
    <w:rsid w:val="00185926"/>
    <w:rsid w:val="00185BA3"/>
    <w:rsid w:val="00185DC6"/>
    <w:rsid w:val="001863D3"/>
    <w:rsid w:val="00186427"/>
    <w:rsid w:val="001869A1"/>
    <w:rsid w:val="001869AB"/>
    <w:rsid w:val="001869F3"/>
    <w:rsid w:val="00186AD7"/>
    <w:rsid w:val="00186F15"/>
    <w:rsid w:val="00187051"/>
    <w:rsid w:val="0018726E"/>
    <w:rsid w:val="0018736F"/>
    <w:rsid w:val="00187AB8"/>
    <w:rsid w:val="00187AFD"/>
    <w:rsid w:val="00187BEB"/>
    <w:rsid w:val="00187C11"/>
    <w:rsid w:val="00187D90"/>
    <w:rsid w:val="00187FE7"/>
    <w:rsid w:val="0019002B"/>
    <w:rsid w:val="0019014B"/>
    <w:rsid w:val="001903FA"/>
    <w:rsid w:val="0019062A"/>
    <w:rsid w:val="001908C5"/>
    <w:rsid w:val="001909A5"/>
    <w:rsid w:val="001909CC"/>
    <w:rsid w:val="001909EA"/>
    <w:rsid w:val="00190B21"/>
    <w:rsid w:val="00190F08"/>
    <w:rsid w:val="00191186"/>
    <w:rsid w:val="001913A7"/>
    <w:rsid w:val="00191494"/>
    <w:rsid w:val="001914CD"/>
    <w:rsid w:val="00191628"/>
    <w:rsid w:val="00191661"/>
    <w:rsid w:val="00191809"/>
    <w:rsid w:val="00191881"/>
    <w:rsid w:val="00191976"/>
    <w:rsid w:val="00191C31"/>
    <w:rsid w:val="00191DF1"/>
    <w:rsid w:val="00191FC0"/>
    <w:rsid w:val="00192000"/>
    <w:rsid w:val="00192037"/>
    <w:rsid w:val="001920C0"/>
    <w:rsid w:val="0019229A"/>
    <w:rsid w:val="00192361"/>
    <w:rsid w:val="001926C4"/>
    <w:rsid w:val="001928C8"/>
    <w:rsid w:val="00192ACE"/>
    <w:rsid w:val="00192CA6"/>
    <w:rsid w:val="00192CBC"/>
    <w:rsid w:val="00192CFC"/>
    <w:rsid w:val="00192D26"/>
    <w:rsid w:val="00192D3B"/>
    <w:rsid w:val="00192F1E"/>
    <w:rsid w:val="00192F80"/>
    <w:rsid w:val="00192F84"/>
    <w:rsid w:val="00192FC2"/>
    <w:rsid w:val="00193066"/>
    <w:rsid w:val="001937AC"/>
    <w:rsid w:val="00193843"/>
    <w:rsid w:val="00193A98"/>
    <w:rsid w:val="00193AC1"/>
    <w:rsid w:val="00193DDE"/>
    <w:rsid w:val="001940F4"/>
    <w:rsid w:val="0019426E"/>
    <w:rsid w:val="001942AD"/>
    <w:rsid w:val="001942E9"/>
    <w:rsid w:val="00194322"/>
    <w:rsid w:val="00194889"/>
    <w:rsid w:val="00194997"/>
    <w:rsid w:val="00194AD3"/>
    <w:rsid w:val="00194C4F"/>
    <w:rsid w:val="00194C9F"/>
    <w:rsid w:val="00194D3B"/>
    <w:rsid w:val="00194EC1"/>
    <w:rsid w:val="00194FF8"/>
    <w:rsid w:val="00195017"/>
    <w:rsid w:val="001955C0"/>
    <w:rsid w:val="001955CB"/>
    <w:rsid w:val="00195746"/>
    <w:rsid w:val="0019585D"/>
    <w:rsid w:val="001958A5"/>
    <w:rsid w:val="00195A33"/>
    <w:rsid w:val="00195BC4"/>
    <w:rsid w:val="00195DB9"/>
    <w:rsid w:val="00195E87"/>
    <w:rsid w:val="00195F49"/>
    <w:rsid w:val="00195F4B"/>
    <w:rsid w:val="00195F93"/>
    <w:rsid w:val="00195FA7"/>
    <w:rsid w:val="00195FFB"/>
    <w:rsid w:val="00196054"/>
    <w:rsid w:val="00196162"/>
    <w:rsid w:val="001964DC"/>
    <w:rsid w:val="001966F1"/>
    <w:rsid w:val="001967D6"/>
    <w:rsid w:val="00196887"/>
    <w:rsid w:val="00196A5C"/>
    <w:rsid w:val="00196AD3"/>
    <w:rsid w:val="00196C61"/>
    <w:rsid w:val="00196CA9"/>
    <w:rsid w:val="00196D60"/>
    <w:rsid w:val="00196D91"/>
    <w:rsid w:val="00196DD6"/>
    <w:rsid w:val="00196F37"/>
    <w:rsid w:val="0019709B"/>
    <w:rsid w:val="00197121"/>
    <w:rsid w:val="001971DA"/>
    <w:rsid w:val="00197486"/>
    <w:rsid w:val="00197563"/>
    <w:rsid w:val="00197610"/>
    <w:rsid w:val="00197795"/>
    <w:rsid w:val="00197876"/>
    <w:rsid w:val="0019797D"/>
    <w:rsid w:val="00197B35"/>
    <w:rsid w:val="00197E18"/>
    <w:rsid w:val="00197F77"/>
    <w:rsid w:val="001A0676"/>
    <w:rsid w:val="001A06DF"/>
    <w:rsid w:val="001A0981"/>
    <w:rsid w:val="001A0990"/>
    <w:rsid w:val="001A0E0D"/>
    <w:rsid w:val="001A0E1A"/>
    <w:rsid w:val="001A1179"/>
    <w:rsid w:val="001A1371"/>
    <w:rsid w:val="001A15A7"/>
    <w:rsid w:val="001A174B"/>
    <w:rsid w:val="001A17D0"/>
    <w:rsid w:val="001A17E1"/>
    <w:rsid w:val="001A18F3"/>
    <w:rsid w:val="001A19AB"/>
    <w:rsid w:val="001A1E0A"/>
    <w:rsid w:val="001A1E9C"/>
    <w:rsid w:val="001A2086"/>
    <w:rsid w:val="001A20C4"/>
    <w:rsid w:val="001A213A"/>
    <w:rsid w:val="001A228D"/>
    <w:rsid w:val="001A22FE"/>
    <w:rsid w:val="001A2492"/>
    <w:rsid w:val="001A2661"/>
    <w:rsid w:val="001A282F"/>
    <w:rsid w:val="001A2D4A"/>
    <w:rsid w:val="001A2E4E"/>
    <w:rsid w:val="001A3059"/>
    <w:rsid w:val="001A3106"/>
    <w:rsid w:val="001A3523"/>
    <w:rsid w:val="001A35F0"/>
    <w:rsid w:val="001A363C"/>
    <w:rsid w:val="001A3C77"/>
    <w:rsid w:val="001A402C"/>
    <w:rsid w:val="001A40D2"/>
    <w:rsid w:val="001A4215"/>
    <w:rsid w:val="001A421D"/>
    <w:rsid w:val="001A43D9"/>
    <w:rsid w:val="001A44AF"/>
    <w:rsid w:val="001A4532"/>
    <w:rsid w:val="001A4616"/>
    <w:rsid w:val="001A4659"/>
    <w:rsid w:val="001A485B"/>
    <w:rsid w:val="001A496E"/>
    <w:rsid w:val="001A4C6C"/>
    <w:rsid w:val="001A4DFE"/>
    <w:rsid w:val="001A4E54"/>
    <w:rsid w:val="001A5027"/>
    <w:rsid w:val="001A506D"/>
    <w:rsid w:val="001A5098"/>
    <w:rsid w:val="001A5298"/>
    <w:rsid w:val="001A55A1"/>
    <w:rsid w:val="001A5789"/>
    <w:rsid w:val="001A594B"/>
    <w:rsid w:val="001A59F0"/>
    <w:rsid w:val="001A5AB9"/>
    <w:rsid w:val="001A5C9B"/>
    <w:rsid w:val="001A5DB7"/>
    <w:rsid w:val="001A5E25"/>
    <w:rsid w:val="001A5EFC"/>
    <w:rsid w:val="001A5F51"/>
    <w:rsid w:val="001A62DD"/>
    <w:rsid w:val="001A649E"/>
    <w:rsid w:val="001A64CF"/>
    <w:rsid w:val="001A671F"/>
    <w:rsid w:val="001A6788"/>
    <w:rsid w:val="001A6ADB"/>
    <w:rsid w:val="001A6C49"/>
    <w:rsid w:val="001A6D8C"/>
    <w:rsid w:val="001A7061"/>
    <w:rsid w:val="001A728C"/>
    <w:rsid w:val="001A736C"/>
    <w:rsid w:val="001A746F"/>
    <w:rsid w:val="001A7500"/>
    <w:rsid w:val="001A7657"/>
    <w:rsid w:val="001A76A5"/>
    <w:rsid w:val="001A76C8"/>
    <w:rsid w:val="001A7799"/>
    <w:rsid w:val="001A7A69"/>
    <w:rsid w:val="001A7D03"/>
    <w:rsid w:val="001A7E50"/>
    <w:rsid w:val="001B0256"/>
    <w:rsid w:val="001B0476"/>
    <w:rsid w:val="001B06BE"/>
    <w:rsid w:val="001B0702"/>
    <w:rsid w:val="001B0711"/>
    <w:rsid w:val="001B09B0"/>
    <w:rsid w:val="001B0CDE"/>
    <w:rsid w:val="001B12F0"/>
    <w:rsid w:val="001B12FC"/>
    <w:rsid w:val="001B1354"/>
    <w:rsid w:val="001B16A8"/>
    <w:rsid w:val="001B1812"/>
    <w:rsid w:val="001B195F"/>
    <w:rsid w:val="001B1974"/>
    <w:rsid w:val="001B1A65"/>
    <w:rsid w:val="001B1B73"/>
    <w:rsid w:val="001B1C46"/>
    <w:rsid w:val="001B1D62"/>
    <w:rsid w:val="001B1DF2"/>
    <w:rsid w:val="001B1F9B"/>
    <w:rsid w:val="001B23E8"/>
    <w:rsid w:val="001B24AD"/>
    <w:rsid w:val="001B275D"/>
    <w:rsid w:val="001B2782"/>
    <w:rsid w:val="001B2A7E"/>
    <w:rsid w:val="001B2B63"/>
    <w:rsid w:val="001B2DA6"/>
    <w:rsid w:val="001B312B"/>
    <w:rsid w:val="001B31A3"/>
    <w:rsid w:val="001B3363"/>
    <w:rsid w:val="001B346F"/>
    <w:rsid w:val="001B39F5"/>
    <w:rsid w:val="001B39FD"/>
    <w:rsid w:val="001B39FE"/>
    <w:rsid w:val="001B3A92"/>
    <w:rsid w:val="001B3AC1"/>
    <w:rsid w:val="001B3C20"/>
    <w:rsid w:val="001B3C2E"/>
    <w:rsid w:val="001B3D69"/>
    <w:rsid w:val="001B3E49"/>
    <w:rsid w:val="001B471A"/>
    <w:rsid w:val="001B4734"/>
    <w:rsid w:val="001B525A"/>
    <w:rsid w:val="001B57F7"/>
    <w:rsid w:val="001B5857"/>
    <w:rsid w:val="001B5ABB"/>
    <w:rsid w:val="001B5D79"/>
    <w:rsid w:val="001B60C3"/>
    <w:rsid w:val="001B68E6"/>
    <w:rsid w:val="001B6AFD"/>
    <w:rsid w:val="001B6FD7"/>
    <w:rsid w:val="001B7077"/>
    <w:rsid w:val="001B71CA"/>
    <w:rsid w:val="001B7292"/>
    <w:rsid w:val="001B7857"/>
    <w:rsid w:val="001B7A69"/>
    <w:rsid w:val="001B7C43"/>
    <w:rsid w:val="001B7CAB"/>
    <w:rsid w:val="001B7E19"/>
    <w:rsid w:val="001B7F00"/>
    <w:rsid w:val="001B7F8B"/>
    <w:rsid w:val="001C006C"/>
    <w:rsid w:val="001C00DE"/>
    <w:rsid w:val="001C00E4"/>
    <w:rsid w:val="001C028B"/>
    <w:rsid w:val="001C0442"/>
    <w:rsid w:val="001C0547"/>
    <w:rsid w:val="001C07EC"/>
    <w:rsid w:val="001C0BA6"/>
    <w:rsid w:val="001C0C90"/>
    <w:rsid w:val="001C0EEF"/>
    <w:rsid w:val="001C1075"/>
    <w:rsid w:val="001C10B5"/>
    <w:rsid w:val="001C10C2"/>
    <w:rsid w:val="001C157A"/>
    <w:rsid w:val="001C158E"/>
    <w:rsid w:val="001C15A1"/>
    <w:rsid w:val="001C16B9"/>
    <w:rsid w:val="001C1C6A"/>
    <w:rsid w:val="001C1D9C"/>
    <w:rsid w:val="001C2099"/>
    <w:rsid w:val="001C22FE"/>
    <w:rsid w:val="001C2363"/>
    <w:rsid w:val="001C239C"/>
    <w:rsid w:val="001C23D3"/>
    <w:rsid w:val="001C263B"/>
    <w:rsid w:val="001C28A4"/>
    <w:rsid w:val="001C29A4"/>
    <w:rsid w:val="001C29E1"/>
    <w:rsid w:val="001C3074"/>
    <w:rsid w:val="001C3154"/>
    <w:rsid w:val="001C338A"/>
    <w:rsid w:val="001C33AF"/>
    <w:rsid w:val="001C36D5"/>
    <w:rsid w:val="001C3701"/>
    <w:rsid w:val="001C3C39"/>
    <w:rsid w:val="001C3C84"/>
    <w:rsid w:val="001C3CA9"/>
    <w:rsid w:val="001C3D22"/>
    <w:rsid w:val="001C4570"/>
    <w:rsid w:val="001C4659"/>
    <w:rsid w:val="001C476C"/>
    <w:rsid w:val="001C4812"/>
    <w:rsid w:val="001C4BCC"/>
    <w:rsid w:val="001C4BFE"/>
    <w:rsid w:val="001C4C32"/>
    <w:rsid w:val="001C4CA1"/>
    <w:rsid w:val="001C4CC9"/>
    <w:rsid w:val="001C5168"/>
    <w:rsid w:val="001C540A"/>
    <w:rsid w:val="001C54DA"/>
    <w:rsid w:val="001C5678"/>
    <w:rsid w:val="001C567D"/>
    <w:rsid w:val="001C5728"/>
    <w:rsid w:val="001C58B4"/>
    <w:rsid w:val="001C5A3E"/>
    <w:rsid w:val="001C5BB7"/>
    <w:rsid w:val="001C5CB2"/>
    <w:rsid w:val="001C5D05"/>
    <w:rsid w:val="001C5F79"/>
    <w:rsid w:val="001C6625"/>
    <w:rsid w:val="001C67BC"/>
    <w:rsid w:val="001C6808"/>
    <w:rsid w:val="001C6CAC"/>
    <w:rsid w:val="001C6CB6"/>
    <w:rsid w:val="001C6CBC"/>
    <w:rsid w:val="001C6EDC"/>
    <w:rsid w:val="001C6FED"/>
    <w:rsid w:val="001C76A9"/>
    <w:rsid w:val="001C7BDD"/>
    <w:rsid w:val="001C7CC8"/>
    <w:rsid w:val="001C7CE2"/>
    <w:rsid w:val="001D0177"/>
    <w:rsid w:val="001D01AB"/>
    <w:rsid w:val="001D04BB"/>
    <w:rsid w:val="001D097F"/>
    <w:rsid w:val="001D09CF"/>
    <w:rsid w:val="001D0C4E"/>
    <w:rsid w:val="001D0D34"/>
    <w:rsid w:val="001D0E4A"/>
    <w:rsid w:val="001D0FA8"/>
    <w:rsid w:val="001D11B6"/>
    <w:rsid w:val="001D15B1"/>
    <w:rsid w:val="001D15F0"/>
    <w:rsid w:val="001D178A"/>
    <w:rsid w:val="001D1A14"/>
    <w:rsid w:val="001D1A1E"/>
    <w:rsid w:val="001D1E8C"/>
    <w:rsid w:val="001D2004"/>
    <w:rsid w:val="001D2059"/>
    <w:rsid w:val="001D2066"/>
    <w:rsid w:val="001D21C4"/>
    <w:rsid w:val="001D2357"/>
    <w:rsid w:val="001D2371"/>
    <w:rsid w:val="001D24D1"/>
    <w:rsid w:val="001D24F8"/>
    <w:rsid w:val="001D25BC"/>
    <w:rsid w:val="001D25DA"/>
    <w:rsid w:val="001D299A"/>
    <w:rsid w:val="001D2B3A"/>
    <w:rsid w:val="001D2BE0"/>
    <w:rsid w:val="001D2DFC"/>
    <w:rsid w:val="001D2E7B"/>
    <w:rsid w:val="001D2EAB"/>
    <w:rsid w:val="001D3043"/>
    <w:rsid w:val="001D3127"/>
    <w:rsid w:val="001D32EA"/>
    <w:rsid w:val="001D339C"/>
    <w:rsid w:val="001D35B3"/>
    <w:rsid w:val="001D35CA"/>
    <w:rsid w:val="001D39AB"/>
    <w:rsid w:val="001D39C3"/>
    <w:rsid w:val="001D3DB8"/>
    <w:rsid w:val="001D3F9A"/>
    <w:rsid w:val="001D4029"/>
    <w:rsid w:val="001D41E2"/>
    <w:rsid w:val="001D43E6"/>
    <w:rsid w:val="001D44EB"/>
    <w:rsid w:val="001D455B"/>
    <w:rsid w:val="001D455F"/>
    <w:rsid w:val="001D45D1"/>
    <w:rsid w:val="001D46A1"/>
    <w:rsid w:val="001D47A2"/>
    <w:rsid w:val="001D4921"/>
    <w:rsid w:val="001D49EF"/>
    <w:rsid w:val="001D4C31"/>
    <w:rsid w:val="001D50B3"/>
    <w:rsid w:val="001D517D"/>
    <w:rsid w:val="001D5298"/>
    <w:rsid w:val="001D53D6"/>
    <w:rsid w:val="001D557B"/>
    <w:rsid w:val="001D56B8"/>
    <w:rsid w:val="001D57EF"/>
    <w:rsid w:val="001D5C15"/>
    <w:rsid w:val="001D5EC5"/>
    <w:rsid w:val="001D6343"/>
    <w:rsid w:val="001D63BF"/>
    <w:rsid w:val="001D64FD"/>
    <w:rsid w:val="001D65C4"/>
    <w:rsid w:val="001D67DF"/>
    <w:rsid w:val="001D6AC2"/>
    <w:rsid w:val="001D6B02"/>
    <w:rsid w:val="001D7018"/>
    <w:rsid w:val="001D71E7"/>
    <w:rsid w:val="001D71FA"/>
    <w:rsid w:val="001D74FE"/>
    <w:rsid w:val="001D7761"/>
    <w:rsid w:val="001D7B52"/>
    <w:rsid w:val="001D7DE2"/>
    <w:rsid w:val="001E00F7"/>
    <w:rsid w:val="001E0199"/>
    <w:rsid w:val="001E05EA"/>
    <w:rsid w:val="001E06B4"/>
    <w:rsid w:val="001E07E4"/>
    <w:rsid w:val="001E0834"/>
    <w:rsid w:val="001E0B63"/>
    <w:rsid w:val="001E0BD7"/>
    <w:rsid w:val="001E0D2F"/>
    <w:rsid w:val="001E101A"/>
    <w:rsid w:val="001E1075"/>
    <w:rsid w:val="001E11BF"/>
    <w:rsid w:val="001E1465"/>
    <w:rsid w:val="001E16D2"/>
    <w:rsid w:val="001E177F"/>
    <w:rsid w:val="001E180B"/>
    <w:rsid w:val="001E19F5"/>
    <w:rsid w:val="001E1A5E"/>
    <w:rsid w:val="001E1AD0"/>
    <w:rsid w:val="001E1B07"/>
    <w:rsid w:val="001E1B23"/>
    <w:rsid w:val="001E1BDE"/>
    <w:rsid w:val="001E1CD9"/>
    <w:rsid w:val="001E1F86"/>
    <w:rsid w:val="001E2067"/>
    <w:rsid w:val="001E207B"/>
    <w:rsid w:val="001E20A8"/>
    <w:rsid w:val="001E2750"/>
    <w:rsid w:val="001E2965"/>
    <w:rsid w:val="001E2C5F"/>
    <w:rsid w:val="001E2CF9"/>
    <w:rsid w:val="001E2FAA"/>
    <w:rsid w:val="001E30A1"/>
    <w:rsid w:val="001E33BD"/>
    <w:rsid w:val="001E35E9"/>
    <w:rsid w:val="001E3652"/>
    <w:rsid w:val="001E3666"/>
    <w:rsid w:val="001E36B2"/>
    <w:rsid w:val="001E372B"/>
    <w:rsid w:val="001E37BF"/>
    <w:rsid w:val="001E3AEB"/>
    <w:rsid w:val="001E3B6D"/>
    <w:rsid w:val="001E3BFD"/>
    <w:rsid w:val="001E40E2"/>
    <w:rsid w:val="001E41B9"/>
    <w:rsid w:val="001E41C3"/>
    <w:rsid w:val="001E4428"/>
    <w:rsid w:val="001E4524"/>
    <w:rsid w:val="001E4625"/>
    <w:rsid w:val="001E46A0"/>
    <w:rsid w:val="001E46CD"/>
    <w:rsid w:val="001E4747"/>
    <w:rsid w:val="001E48BD"/>
    <w:rsid w:val="001E49E3"/>
    <w:rsid w:val="001E4BB1"/>
    <w:rsid w:val="001E4BEE"/>
    <w:rsid w:val="001E4CA1"/>
    <w:rsid w:val="001E4EBB"/>
    <w:rsid w:val="001E51A8"/>
    <w:rsid w:val="001E5243"/>
    <w:rsid w:val="001E53D7"/>
    <w:rsid w:val="001E544F"/>
    <w:rsid w:val="001E54CA"/>
    <w:rsid w:val="001E552B"/>
    <w:rsid w:val="001E56A3"/>
    <w:rsid w:val="001E56CF"/>
    <w:rsid w:val="001E5A3B"/>
    <w:rsid w:val="001E5AD0"/>
    <w:rsid w:val="001E5C4F"/>
    <w:rsid w:val="001E5CB9"/>
    <w:rsid w:val="001E5E03"/>
    <w:rsid w:val="001E5FD0"/>
    <w:rsid w:val="001E5FD5"/>
    <w:rsid w:val="001E61A9"/>
    <w:rsid w:val="001E6205"/>
    <w:rsid w:val="001E6313"/>
    <w:rsid w:val="001E6420"/>
    <w:rsid w:val="001E6860"/>
    <w:rsid w:val="001E693A"/>
    <w:rsid w:val="001E6A6B"/>
    <w:rsid w:val="001E6B16"/>
    <w:rsid w:val="001E6C48"/>
    <w:rsid w:val="001E714E"/>
    <w:rsid w:val="001E717E"/>
    <w:rsid w:val="001E71D6"/>
    <w:rsid w:val="001E7350"/>
    <w:rsid w:val="001E74CC"/>
    <w:rsid w:val="001E7648"/>
    <w:rsid w:val="001E766A"/>
    <w:rsid w:val="001E77D2"/>
    <w:rsid w:val="001E79FB"/>
    <w:rsid w:val="001E7C1F"/>
    <w:rsid w:val="001E7CEE"/>
    <w:rsid w:val="001E7ECD"/>
    <w:rsid w:val="001F01FA"/>
    <w:rsid w:val="001F026B"/>
    <w:rsid w:val="001F0366"/>
    <w:rsid w:val="001F04F8"/>
    <w:rsid w:val="001F06AB"/>
    <w:rsid w:val="001F0834"/>
    <w:rsid w:val="001F09AC"/>
    <w:rsid w:val="001F0A7D"/>
    <w:rsid w:val="001F0B05"/>
    <w:rsid w:val="001F10F0"/>
    <w:rsid w:val="001F11D3"/>
    <w:rsid w:val="001F12E6"/>
    <w:rsid w:val="001F14F0"/>
    <w:rsid w:val="001F14F5"/>
    <w:rsid w:val="001F1B03"/>
    <w:rsid w:val="001F1BB7"/>
    <w:rsid w:val="001F1BCF"/>
    <w:rsid w:val="001F1CF3"/>
    <w:rsid w:val="001F1D4F"/>
    <w:rsid w:val="001F1DC4"/>
    <w:rsid w:val="001F1FBC"/>
    <w:rsid w:val="001F2113"/>
    <w:rsid w:val="001F217C"/>
    <w:rsid w:val="001F2256"/>
    <w:rsid w:val="001F2281"/>
    <w:rsid w:val="001F24A9"/>
    <w:rsid w:val="001F24F9"/>
    <w:rsid w:val="001F2945"/>
    <w:rsid w:val="001F2C0E"/>
    <w:rsid w:val="001F2DA2"/>
    <w:rsid w:val="001F2F9C"/>
    <w:rsid w:val="001F3329"/>
    <w:rsid w:val="001F33A1"/>
    <w:rsid w:val="001F3563"/>
    <w:rsid w:val="001F35EE"/>
    <w:rsid w:val="001F35EF"/>
    <w:rsid w:val="001F3713"/>
    <w:rsid w:val="001F390B"/>
    <w:rsid w:val="001F3B8B"/>
    <w:rsid w:val="001F3BE0"/>
    <w:rsid w:val="001F3E4C"/>
    <w:rsid w:val="001F3EA7"/>
    <w:rsid w:val="001F4150"/>
    <w:rsid w:val="001F41C3"/>
    <w:rsid w:val="001F41C6"/>
    <w:rsid w:val="001F4488"/>
    <w:rsid w:val="001F44E8"/>
    <w:rsid w:val="001F47AD"/>
    <w:rsid w:val="001F4994"/>
    <w:rsid w:val="001F4BA7"/>
    <w:rsid w:val="001F4D5C"/>
    <w:rsid w:val="001F4D84"/>
    <w:rsid w:val="001F4DDC"/>
    <w:rsid w:val="001F4E63"/>
    <w:rsid w:val="001F4F67"/>
    <w:rsid w:val="001F53D5"/>
    <w:rsid w:val="001F5507"/>
    <w:rsid w:val="001F5646"/>
    <w:rsid w:val="001F56A0"/>
    <w:rsid w:val="001F56C8"/>
    <w:rsid w:val="001F573A"/>
    <w:rsid w:val="001F589E"/>
    <w:rsid w:val="001F59C6"/>
    <w:rsid w:val="001F5A11"/>
    <w:rsid w:val="001F5A6F"/>
    <w:rsid w:val="001F5C44"/>
    <w:rsid w:val="001F5C71"/>
    <w:rsid w:val="001F5CB0"/>
    <w:rsid w:val="001F5F11"/>
    <w:rsid w:val="001F5F29"/>
    <w:rsid w:val="001F60B0"/>
    <w:rsid w:val="001F61B4"/>
    <w:rsid w:val="001F6412"/>
    <w:rsid w:val="001F6B18"/>
    <w:rsid w:val="001F6C8B"/>
    <w:rsid w:val="001F6CD2"/>
    <w:rsid w:val="001F6D59"/>
    <w:rsid w:val="001F6DB4"/>
    <w:rsid w:val="001F6DC6"/>
    <w:rsid w:val="001F6F1B"/>
    <w:rsid w:val="001F7004"/>
    <w:rsid w:val="001F707B"/>
    <w:rsid w:val="001F7585"/>
    <w:rsid w:val="001F7613"/>
    <w:rsid w:val="001F761B"/>
    <w:rsid w:val="001F7950"/>
    <w:rsid w:val="001F7B85"/>
    <w:rsid w:val="001F7EAA"/>
    <w:rsid w:val="001F7F4A"/>
    <w:rsid w:val="001F7FCB"/>
    <w:rsid w:val="00200581"/>
    <w:rsid w:val="00200BA2"/>
    <w:rsid w:val="00200CF7"/>
    <w:rsid w:val="00200ED3"/>
    <w:rsid w:val="00200F5B"/>
    <w:rsid w:val="0020112E"/>
    <w:rsid w:val="0020138A"/>
    <w:rsid w:val="002014A4"/>
    <w:rsid w:val="002014B5"/>
    <w:rsid w:val="002014ED"/>
    <w:rsid w:val="00201612"/>
    <w:rsid w:val="00201667"/>
    <w:rsid w:val="0020184F"/>
    <w:rsid w:val="00201C08"/>
    <w:rsid w:val="00201CB8"/>
    <w:rsid w:val="002020D6"/>
    <w:rsid w:val="002021A7"/>
    <w:rsid w:val="0020239B"/>
    <w:rsid w:val="002024CA"/>
    <w:rsid w:val="00202950"/>
    <w:rsid w:val="00202BFF"/>
    <w:rsid w:val="00202E87"/>
    <w:rsid w:val="00203135"/>
    <w:rsid w:val="00203343"/>
    <w:rsid w:val="00203352"/>
    <w:rsid w:val="00203556"/>
    <w:rsid w:val="00203564"/>
    <w:rsid w:val="002035A3"/>
    <w:rsid w:val="002035E1"/>
    <w:rsid w:val="00203737"/>
    <w:rsid w:val="00203AE5"/>
    <w:rsid w:val="00203B18"/>
    <w:rsid w:val="00203F06"/>
    <w:rsid w:val="002040AA"/>
    <w:rsid w:val="002040F9"/>
    <w:rsid w:val="00204275"/>
    <w:rsid w:val="00204377"/>
    <w:rsid w:val="0020439A"/>
    <w:rsid w:val="002043E5"/>
    <w:rsid w:val="002045D0"/>
    <w:rsid w:val="00204750"/>
    <w:rsid w:val="00204C4E"/>
    <w:rsid w:val="00204D36"/>
    <w:rsid w:val="00204D90"/>
    <w:rsid w:val="00204D97"/>
    <w:rsid w:val="00204EC0"/>
    <w:rsid w:val="0020502D"/>
    <w:rsid w:val="002052CA"/>
    <w:rsid w:val="00205473"/>
    <w:rsid w:val="00205496"/>
    <w:rsid w:val="0020553F"/>
    <w:rsid w:val="00205606"/>
    <w:rsid w:val="00205750"/>
    <w:rsid w:val="00205769"/>
    <w:rsid w:val="002057E1"/>
    <w:rsid w:val="00205BA7"/>
    <w:rsid w:val="00205E33"/>
    <w:rsid w:val="002063E9"/>
    <w:rsid w:val="0020641E"/>
    <w:rsid w:val="00206A37"/>
    <w:rsid w:val="00206BE5"/>
    <w:rsid w:val="00206FDB"/>
    <w:rsid w:val="0020750A"/>
    <w:rsid w:val="00207699"/>
    <w:rsid w:val="002076DC"/>
    <w:rsid w:val="0020788D"/>
    <w:rsid w:val="002079DF"/>
    <w:rsid w:val="00207A29"/>
    <w:rsid w:val="00207BDA"/>
    <w:rsid w:val="00207FF0"/>
    <w:rsid w:val="00210020"/>
    <w:rsid w:val="0021029D"/>
    <w:rsid w:val="0021054B"/>
    <w:rsid w:val="002108DB"/>
    <w:rsid w:val="002109E5"/>
    <w:rsid w:val="00210BBB"/>
    <w:rsid w:val="00210BF2"/>
    <w:rsid w:val="00210C61"/>
    <w:rsid w:val="00210E9B"/>
    <w:rsid w:val="00210F32"/>
    <w:rsid w:val="00210FAF"/>
    <w:rsid w:val="00211090"/>
    <w:rsid w:val="002114B9"/>
    <w:rsid w:val="002114E7"/>
    <w:rsid w:val="002115F4"/>
    <w:rsid w:val="0021175D"/>
    <w:rsid w:val="0021185A"/>
    <w:rsid w:val="002119CE"/>
    <w:rsid w:val="00211B60"/>
    <w:rsid w:val="00211DF8"/>
    <w:rsid w:val="00211F7B"/>
    <w:rsid w:val="0021203D"/>
    <w:rsid w:val="002120C7"/>
    <w:rsid w:val="0021220D"/>
    <w:rsid w:val="0021221C"/>
    <w:rsid w:val="002124B7"/>
    <w:rsid w:val="00212523"/>
    <w:rsid w:val="002126D3"/>
    <w:rsid w:val="00212A8E"/>
    <w:rsid w:val="00212D79"/>
    <w:rsid w:val="00212ED0"/>
    <w:rsid w:val="00212F5D"/>
    <w:rsid w:val="00212F9F"/>
    <w:rsid w:val="00213029"/>
    <w:rsid w:val="002133F2"/>
    <w:rsid w:val="00213412"/>
    <w:rsid w:val="0021381B"/>
    <w:rsid w:val="002138A1"/>
    <w:rsid w:val="00213B3D"/>
    <w:rsid w:val="00213F36"/>
    <w:rsid w:val="00213F5A"/>
    <w:rsid w:val="0021417B"/>
    <w:rsid w:val="0021419E"/>
    <w:rsid w:val="0021425F"/>
    <w:rsid w:val="00214479"/>
    <w:rsid w:val="002147D4"/>
    <w:rsid w:val="00214844"/>
    <w:rsid w:val="002149EB"/>
    <w:rsid w:val="00214A59"/>
    <w:rsid w:val="00214BBE"/>
    <w:rsid w:val="00214BD2"/>
    <w:rsid w:val="00214BDF"/>
    <w:rsid w:val="00214F05"/>
    <w:rsid w:val="00214F6A"/>
    <w:rsid w:val="00215038"/>
    <w:rsid w:val="0021514B"/>
    <w:rsid w:val="002151C1"/>
    <w:rsid w:val="0021529C"/>
    <w:rsid w:val="002156D0"/>
    <w:rsid w:val="0021575F"/>
    <w:rsid w:val="00215837"/>
    <w:rsid w:val="002158AD"/>
    <w:rsid w:val="00215A10"/>
    <w:rsid w:val="00215A77"/>
    <w:rsid w:val="00215BED"/>
    <w:rsid w:val="0021623E"/>
    <w:rsid w:val="002162AF"/>
    <w:rsid w:val="0021646E"/>
    <w:rsid w:val="002164A5"/>
    <w:rsid w:val="00216519"/>
    <w:rsid w:val="0021673C"/>
    <w:rsid w:val="00216D26"/>
    <w:rsid w:val="00216DD6"/>
    <w:rsid w:val="0021724F"/>
    <w:rsid w:val="002173DA"/>
    <w:rsid w:val="00217442"/>
    <w:rsid w:val="0021753F"/>
    <w:rsid w:val="00217599"/>
    <w:rsid w:val="002175FF"/>
    <w:rsid w:val="00217626"/>
    <w:rsid w:val="00217726"/>
    <w:rsid w:val="00217750"/>
    <w:rsid w:val="002177CF"/>
    <w:rsid w:val="002177F2"/>
    <w:rsid w:val="00217836"/>
    <w:rsid w:val="00217957"/>
    <w:rsid w:val="00217E03"/>
    <w:rsid w:val="00217E9D"/>
    <w:rsid w:val="0022011D"/>
    <w:rsid w:val="00220238"/>
    <w:rsid w:val="00220276"/>
    <w:rsid w:val="0022072F"/>
    <w:rsid w:val="00220877"/>
    <w:rsid w:val="002209C6"/>
    <w:rsid w:val="002209F1"/>
    <w:rsid w:val="00220A6B"/>
    <w:rsid w:val="00220DDF"/>
    <w:rsid w:val="00220F4B"/>
    <w:rsid w:val="0022123E"/>
    <w:rsid w:val="00221409"/>
    <w:rsid w:val="0022143C"/>
    <w:rsid w:val="0022144C"/>
    <w:rsid w:val="00221623"/>
    <w:rsid w:val="00221635"/>
    <w:rsid w:val="00221735"/>
    <w:rsid w:val="00221776"/>
    <w:rsid w:val="002217E4"/>
    <w:rsid w:val="0022199E"/>
    <w:rsid w:val="00221C79"/>
    <w:rsid w:val="00221D43"/>
    <w:rsid w:val="00222249"/>
    <w:rsid w:val="00222498"/>
    <w:rsid w:val="002225F5"/>
    <w:rsid w:val="002226F2"/>
    <w:rsid w:val="0022279F"/>
    <w:rsid w:val="00222A12"/>
    <w:rsid w:val="00222AD5"/>
    <w:rsid w:val="00222BDD"/>
    <w:rsid w:val="00222C46"/>
    <w:rsid w:val="00222E11"/>
    <w:rsid w:val="00222E5C"/>
    <w:rsid w:val="00223105"/>
    <w:rsid w:val="00223111"/>
    <w:rsid w:val="0022322D"/>
    <w:rsid w:val="00223340"/>
    <w:rsid w:val="00223764"/>
    <w:rsid w:val="002237DF"/>
    <w:rsid w:val="00223882"/>
    <w:rsid w:val="00223914"/>
    <w:rsid w:val="00223A06"/>
    <w:rsid w:val="00223AFD"/>
    <w:rsid w:val="00223BB1"/>
    <w:rsid w:val="00223CC3"/>
    <w:rsid w:val="00223D45"/>
    <w:rsid w:val="00223D7D"/>
    <w:rsid w:val="00223EEE"/>
    <w:rsid w:val="00223FD9"/>
    <w:rsid w:val="00223FE5"/>
    <w:rsid w:val="002240B5"/>
    <w:rsid w:val="0022417A"/>
    <w:rsid w:val="002242B7"/>
    <w:rsid w:val="002242BF"/>
    <w:rsid w:val="00224541"/>
    <w:rsid w:val="00224726"/>
    <w:rsid w:val="00224763"/>
    <w:rsid w:val="00224814"/>
    <w:rsid w:val="0022489C"/>
    <w:rsid w:val="00224AE0"/>
    <w:rsid w:val="00224F54"/>
    <w:rsid w:val="002253A5"/>
    <w:rsid w:val="002256C0"/>
    <w:rsid w:val="00225708"/>
    <w:rsid w:val="002257C9"/>
    <w:rsid w:val="0022587E"/>
    <w:rsid w:val="00225A4A"/>
    <w:rsid w:val="00225AEC"/>
    <w:rsid w:val="00225B89"/>
    <w:rsid w:val="00225CAC"/>
    <w:rsid w:val="00225D7A"/>
    <w:rsid w:val="00225E26"/>
    <w:rsid w:val="00225F2A"/>
    <w:rsid w:val="00225FF6"/>
    <w:rsid w:val="0022613C"/>
    <w:rsid w:val="00226154"/>
    <w:rsid w:val="002261B7"/>
    <w:rsid w:val="00226219"/>
    <w:rsid w:val="002262A8"/>
    <w:rsid w:val="002262E2"/>
    <w:rsid w:val="00226762"/>
    <w:rsid w:val="002267AB"/>
    <w:rsid w:val="00226936"/>
    <w:rsid w:val="00226939"/>
    <w:rsid w:val="002269FB"/>
    <w:rsid w:val="00226A2F"/>
    <w:rsid w:val="00226C54"/>
    <w:rsid w:val="00226D3E"/>
    <w:rsid w:val="00226D51"/>
    <w:rsid w:val="00226FBB"/>
    <w:rsid w:val="00227010"/>
    <w:rsid w:val="002271A0"/>
    <w:rsid w:val="002271E5"/>
    <w:rsid w:val="00227254"/>
    <w:rsid w:val="00227589"/>
    <w:rsid w:val="0022767E"/>
    <w:rsid w:val="0022789B"/>
    <w:rsid w:val="0022799E"/>
    <w:rsid w:val="00227A15"/>
    <w:rsid w:val="00227A46"/>
    <w:rsid w:val="00227B38"/>
    <w:rsid w:val="00227B7C"/>
    <w:rsid w:val="00227C2E"/>
    <w:rsid w:val="00227F10"/>
    <w:rsid w:val="00227F51"/>
    <w:rsid w:val="00230252"/>
    <w:rsid w:val="002307C3"/>
    <w:rsid w:val="00230847"/>
    <w:rsid w:val="00230B04"/>
    <w:rsid w:val="00230B2F"/>
    <w:rsid w:val="00230C88"/>
    <w:rsid w:val="00230CD4"/>
    <w:rsid w:val="00230DD9"/>
    <w:rsid w:val="00230E35"/>
    <w:rsid w:val="00230EF4"/>
    <w:rsid w:val="00230F21"/>
    <w:rsid w:val="00231558"/>
    <w:rsid w:val="002316D6"/>
    <w:rsid w:val="00231762"/>
    <w:rsid w:val="002317BF"/>
    <w:rsid w:val="00231997"/>
    <w:rsid w:val="002319BF"/>
    <w:rsid w:val="002319E6"/>
    <w:rsid w:val="00231A95"/>
    <w:rsid w:val="00231C9A"/>
    <w:rsid w:val="00231D10"/>
    <w:rsid w:val="002323EA"/>
    <w:rsid w:val="00232411"/>
    <w:rsid w:val="00232516"/>
    <w:rsid w:val="0023293D"/>
    <w:rsid w:val="00232A72"/>
    <w:rsid w:val="00232B0D"/>
    <w:rsid w:val="00232B7F"/>
    <w:rsid w:val="00232C69"/>
    <w:rsid w:val="00232FE6"/>
    <w:rsid w:val="00233180"/>
    <w:rsid w:val="0023321B"/>
    <w:rsid w:val="00233900"/>
    <w:rsid w:val="00233BED"/>
    <w:rsid w:val="00233D6E"/>
    <w:rsid w:val="00234032"/>
    <w:rsid w:val="0023405C"/>
    <w:rsid w:val="002340DC"/>
    <w:rsid w:val="00234189"/>
    <w:rsid w:val="002341B9"/>
    <w:rsid w:val="002346CA"/>
    <w:rsid w:val="002347C0"/>
    <w:rsid w:val="00234915"/>
    <w:rsid w:val="00234C6F"/>
    <w:rsid w:val="00235005"/>
    <w:rsid w:val="00235151"/>
    <w:rsid w:val="002351CC"/>
    <w:rsid w:val="0023545D"/>
    <w:rsid w:val="00235746"/>
    <w:rsid w:val="00235874"/>
    <w:rsid w:val="002358C1"/>
    <w:rsid w:val="002358DC"/>
    <w:rsid w:val="002359BD"/>
    <w:rsid w:val="00235B84"/>
    <w:rsid w:val="00235E79"/>
    <w:rsid w:val="00235EC8"/>
    <w:rsid w:val="00235FC4"/>
    <w:rsid w:val="002365C0"/>
    <w:rsid w:val="00236626"/>
    <w:rsid w:val="00236665"/>
    <w:rsid w:val="00236AD9"/>
    <w:rsid w:val="00236BF5"/>
    <w:rsid w:val="00236D94"/>
    <w:rsid w:val="00236DA4"/>
    <w:rsid w:val="00236DF2"/>
    <w:rsid w:val="0023702B"/>
    <w:rsid w:val="002370CD"/>
    <w:rsid w:val="00237177"/>
    <w:rsid w:val="002371B1"/>
    <w:rsid w:val="002373C2"/>
    <w:rsid w:val="002375E6"/>
    <w:rsid w:val="002376A2"/>
    <w:rsid w:val="002376E7"/>
    <w:rsid w:val="002376F5"/>
    <w:rsid w:val="00237B0D"/>
    <w:rsid w:val="00237B29"/>
    <w:rsid w:val="00237D90"/>
    <w:rsid w:val="00237EBF"/>
    <w:rsid w:val="0024002E"/>
    <w:rsid w:val="002402D9"/>
    <w:rsid w:val="0024035C"/>
    <w:rsid w:val="002403E7"/>
    <w:rsid w:val="00240444"/>
    <w:rsid w:val="0024051C"/>
    <w:rsid w:val="00240556"/>
    <w:rsid w:val="002405DE"/>
    <w:rsid w:val="0024075F"/>
    <w:rsid w:val="0024092B"/>
    <w:rsid w:val="00240B24"/>
    <w:rsid w:val="00240CDB"/>
    <w:rsid w:val="00240E1E"/>
    <w:rsid w:val="00240EDB"/>
    <w:rsid w:val="00240F3E"/>
    <w:rsid w:val="002410E3"/>
    <w:rsid w:val="002411BF"/>
    <w:rsid w:val="002412B7"/>
    <w:rsid w:val="002412ED"/>
    <w:rsid w:val="00241472"/>
    <w:rsid w:val="002416F6"/>
    <w:rsid w:val="00241751"/>
    <w:rsid w:val="002418BB"/>
    <w:rsid w:val="002419BC"/>
    <w:rsid w:val="00241A55"/>
    <w:rsid w:val="00241AD7"/>
    <w:rsid w:val="0024217D"/>
    <w:rsid w:val="002425A2"/>
    <w:rsid w:val="0024275A"/>
    <w:rsid w:val="00242C1E"/>
    <w:rsid w:val="00242CC5"/>
    <w:rsid w:val="00242FFB"/>
    <w:rsid w:val="00243295"/>
    <w:rsid w:val="00243B1A"/>
    <w:rsid w:val="00243B48"/>
    <w:rsid w:val="00243F3D"/>
    <w:rsid w:val="00244046"/>
    <w:rsid w:val="0024412C"/>
    <w:rsid w:val="0024420A"/>
    <w:rsid w:val="002447AA"/>
    <w:rsid w:val="0024492E"/>
    <w:rsid w:val="0024497A"/>
    <w:rsid w:val="00244DA0"/>
    <w:rsid w:val="00244EF3"/>
    <w:rsid w:val="002453B8"/>
    <w:rsid w:val="002458D6"/>
    <w:rsid w:val="0024593D"/>
    <w:rsid w:val="00245A06"/>
    <w:rsid w:val="00245A86"/>
    <w:rsid w:val="00245D16"/>
    <w:rsid w:val="00245D30"/>
    <w:rsid w:val="00245E44"/>
    <w:rsid w:val="00245F46"/>
    <w:rsid w:val="00245FDB"/>
    <w:rsid w:val="0024617F"/>
    <w:rsid w:val="002463B4"/>
    <w:rsid w:val="002464D1"/>
    <w:rsid w:val="0024659A"/>
    <w:rsid w:val="002467A9"/>
    <w:rsid w:val="002467DB"/>
    <w:rsid w:val="00246839"/>
    <w:rsid w:val="00246882"/>
    <w:rsid w:val="00246965"/>
    <w:rsid w:val="00247140"/>
    <w:rsid w:val="002471D4"/>
    <w:rsid w:val="00247250"/>
    <w:rsid w:val="002474F7"/>
    <w:rsid w:val="002476A1"/>
    <w:rsid w:val="002479A1"/>
    <w:rsid w:val="00247A50"/>
    <w:rsid w:val="00247A70"/>
    <w:rsid w:val="00247B05"/>
    <w:rsid w:val="00247C07"/>
    <w:rsid w:val="00247F26"/>
    <w:rsid w:val="00247F3F"/>
    <w:rsid w:val="00247F90"/>
    <w:rsid w:val="002500CC"/>
    <w:rsid w:val="002500E7"/>
    <w:rsid w:val="0025037E"/>
    <w:rsid w:val="0025053C"/>
    <w:rsid w:val="00250886"/>
    <w:rsid w:val="002508BD"/>
    <w:rsid w:val="00250A56"/>
    <w:rsid w:val="00250CC4"/>
    <w:rsid w:val="00250CCF"/>
    <w:rsid w:val="00250DFD"/>
    <w:rsid w:val="00250EE7"/>
    <w:rsid w:val="00251372"/>
    <w:rsid w:val="002515B3"/>
    <w:rsid w:val="0025165E"/>
    <w:rsid w:val="00251823"/>
    <w:rsid w:val="00251927"/>
    <w:rsid w:val="002519C8"/>
    <w:rsid w:val="00251A5A"/>
    <w:rsid w:val="00251ADF"/>
    <w:rsid w:val="00251BDB"/>
    <w:rsid w:val="00251D00"/>
    <w:rsid w:val="00251D0F"/>
    <w:rsid w:val="00251D81"/>
    <w:rsid w:val="00251E17"/>
    <w:rsid w:val="00251ED8"/>
    <w:rsid w:val="00251ED9"/>
    <w:rsid w:val="002520EB"/>
    <w:rsid w:val="00252724"/>
    <w:rsid w:val="002527AE"/>
    <w:rsid w:val="00252913"/>
    <w:rsid w:val="002529E6"/>
    <w:rsid w:val="002529F8"/>
    <w:rsid w:val="00252F35"/>
    <w:rsid w:val="00252F55"/>
    <w:rsid w:val="002532F6"/>
    <w:rsid w:val="002533BE"/>
    <w:rsid w:val="002537CB"/>
    <w:rsid w:val="00253B40"/>
    <w:rsid w:val="0025401F"/>
    <w:rsid w:val="002541A3"/>
    <w:rsid w:val="00254262"/>
    <w:rsid w:val="00254353"/>
    <w:rsid w:val="002543FD"/>
    <w:rsid w:val="002544E4"/>
    <w:rsid w:val="0025451D"/>
    <w:rsid w:val="002545D3"/>
    <w:rsid w:val="002547AB"/>
    <w:rsid w:val="0025481D"/>
    <w:rsid w:val="00254B28"/>
    <w:rsid w:val="00254B68"/>
    <w:rsid w:val="00254D96"/>
    <w:rsid w:val="00254FD5"/>
    <w:rsid w:val="0025501D"/>
    <w:rsid w:val="00255211"/>
    <w:rsid w:val="00255398"/>
    <w:rsid w:val="002553D4"/>
    <w:rsid w:val="002556BA"/>
    <w:rsid w:val="002559CF"/>
    <w:rsid w:val="00255AAA"/>
    <w:rsid w:val="00255B60"/>
    <w:rsid w:val="00255BDA"/>
    <w:rsid w:val="00255CE3"/>
    <w:rsid w:val="00255D75"/>
    <w:rsid w:val="00256141"/>
    <w:rsid w:val="00256158"/>
    <w:rsid w:val="00256390"/>
    <w:rsid w:val="00256653"/>
    <w:rsid w:val="0025677A"/>
    <w:rsid w:val="00256A29"/>
    <w:rsid w:val="00256AAE"/>
    <w:rsid w:val="00256B12"/>
    <w:rsid w:val="00256BAB"/>
    <w:rsid w:val="00256C7E"/>
    <w:rsid w:val="00256F72"/>
    <w:rsid w:val="00257397"/>
    <w:rsid w:val="002574BE"/>
    <w:rsid w:val="00257618"/>
    <w:rsid w:val="00257656"/>
    <w:rsid w:val="002577E7"/>
    <w:rsid w:val="00257811"/>
    <w:rsid w:val="0025797E"/>
    <w:rsid w:val="00257ACA"/>
    <w:rsid w:val="00257B60"/>
    <w:rsid w:val="00257B71"/>
    <w:rsid w:val="00257E19"/>
    <w:rsid w:val="00257F73"/>
    <w:rsid w:val="00257F92"/>
    <w:rsid w:val="002600C4"/>
    <w:rsid w:val="00260130"/>
    <w:rsid w:val="0026022A"/>
    <w:rsid w:val="00260231"/>
    <w:rsid w:val="002605B2"/>
    <w:rsid w:val="002606C9"/>
    <w:rsid w:val="00260795"/>
    <w:rsid w:val="002608AE"/>
    <w:rsid w:val="00260A3F"/>
    <w:rsid w:val="00260AB3"/>
    <w:rsid w:val="00260C49"/>
    <w:rsid w:val="00260DEF"/>
    <w:rsid w:val="00260EE8"/>
    <w:rsid w:val="00260F3B"/>
    <w:rsid w:val="00261300"/>
    <w:rsid w:val="0026152E"/>
    <w:rsid w:val="00261554"/>
    <w:rsid w:val="00261738"/>
    <w:rsid w:val="002619CD"/>
    <w:rsid w:val="00261CF9"/>
    <w:rsid w:val="00261D43"/>
    <w:rsid w:val="00262228"/>
    <w:rsid w:val="0026226B"/>
    <w:rsid w:val="002627D4"/>
    <w:rsid w:val="00262804"/>
    <w:rsid w:val="00262805"/>
    <w:rsid w:val="00262842"/>
    <w:rsid w:val="00262893"/>
    <w:rsid w:val="002628BA"/>
    <w:rsid w:val="00262924"/>
    <w:rsid w:val="00262A45"/>
    <w:rsid w:val="00262E12"/>
    <w:rsid w:val="00262F4F"/>
    <w:rsid w:val="00263072"/>
    <w:rsid w:val="00263359"/>
    <w:rsid w:val="0026348D"/>
    <w:rsid w:val="002634B6"/>
    <w:rsid w:val="0026355B"/>
    <w:rsid w:val="00263584"/>
    <w:rsid w:val="002637BE"/>
    <w:rsid w:val="002639F0"/>
    <w:rsid w:val="00263A32"/>
    <w:rsid w:val="00263A9D"/>
    <w:rsid w:val="00263AB0"/>
    <w:rsid w:val="00263B30"/>
    <w:rsid w:val="00263CA0"/>
    <w:rsid w:val="00263CF2"/>
    <w:rsid w:val="0026401C"/>
    <w:rsid w:val="0026408F"/>
    <w:rsid w:val="002641FE"/>
    <w:rsid w:val="0026428E"/>
    <w:rsid w:val="00264691"/>
    <w:rsid w:val="0026477C"/>
    <w:rsid w:val="002648AA"/>
    <w:rsid w:val="00264CE0"/>
    <w:rsid w:val="00264D8F"/>
    <w:rsid w:val="00264DCD"/>
    <w:rsid w:val="00264F12"/>
    <w:rsid w:val="00265210"/>
    <w:rsid w:val="00265306"/>
    <w:rsid w:val="00265359"/>
    <w:rsid w:val="00265455"/>
    <w:rsid w:val="00265516"/>
    <w:rsid w:val="00265894"/>
    <w:rsid w:val="002658D3"/>
    <w:rsid w:val="00265982"/>
    <w:rsid w:val="0026598C"/>
    <w:rsid w:val="00265B71"/>
    <w:rsid w:val="00265C35"/>
    <w:rsid w:val="00265D90"/>
    <w:rsid w:val="00265D9D"/>
    <w:rsid w:val="00265F09"/>
    <w:rsid w:val="00265FE3"/>
    <w:rsid w:val="00266089"/>
    <w:rsid w:val="002661A6"/>
    <w:rsid w:val="00266218"/>
    <w:rsid w:val="002662BE"/>
    <w:rsid w:val="00266424"/>
    <w:rsid w:val="00266732"/>
    <w:rsid w:val="00266785"/>
    <w:rsid w:val="002669BF"/>
    <w:rsid w:val="00266DF0"/>
    <w:rsid w:val="00266F30"/>
    <w:rsid w:val="00266F61"/>
    <w:rsid w:val="00266FD7"/>
    <w:rsid w:val="00267080"/>
    <w:rsid w:val="00267102"/>
    <w:rsid w:val="0026715A"/>
    <w:rsid w:val="00267298"/>
    <w:rsid w:val="002673BB"/>
    <w:rsid w:val="0026745E"/>
    <w:rsid w:val="002674E0"/>
    <w:rsid w:val="002678A8"/>
    <w:rsid w:val="00267A2F"/>
    <w:rsid w:val="00267B47"/>
    <w:rsid w:val="00267DB5"/>
    <w:rsid w:val="00267DD0"/>
    <w:rsid w:val="00267FB9"/>
    <w:rsid w:val="00270122"/>
    <w:rsid w:val="00270173"/>
    <w:rsid w:val="00270255"/>
    <w:rsid w:val="0027028B"/>
    <w:rsid w:val="00270465"/>
    <w:rsid w:val="002705A5"/>
    <w:rsid w:val="002705B1"/>
    <w:rsid w:val="00270799"/>
    <w:rsid w:val="00270BB4"/>
    <w:rsid w:val="00270D6B"/>
    <w:rsid w:val="00270D8F"/>
    <w:rsid w:val="002710CC"/>
    <w:rsid w:val="002710E5"/>
    <w:rsid w:val="00271245"/>
    <w:rsid w:val="002713A7"/>
    <w:rsid w:val="002715A7"/>
    <w:rsid w:val="00271688"/>
    <w:rsid w:val="002716BB"/>
    <w:rsid w:val="002717A6"/>
    <w:rsid w:val="00271A3C"/>
    <w:rsid w:val="00271ACD"/>
    <w:rsid w:val="00271D9D"/>
    <w:rsid w:val="00271E06"/>
    <w:rsid w:val="00271E8A"/>
    <w:rsid w:val="00271FB1"/>
    <w:rsid w:val="00272318"/>
    <w:rsid w:val="002723FB"/>
    <w:rsid w:val="002724AE"/>
    <w:rsid w:val="00272529"/>
    <w:rsid w:val="00272E92"/>
    <w:rsid w:val="00272F0A"/>
    <w:rsid w:val="00272F46"/>
    <w:rsid w:val="0027312B"/>
    <w:rsid w:val="00273234"/>
    <w:rsid w:val="0027329D"/>
    <w:rsid w:val="002732DA"/>
    <w:rsid w:val="00273393"/>
    <w:rsid w:val="00273394"/>
    <w:rsid w:val="002735D0"/>
    <w:rsid w:val="002736AE"/>
    <w:rsid w:val="002736E5"/>
    <w:rsid w:val="002738CA"/>
    <w:rsid w:val="00273A7D"/>
    <w:rsid w:val="00273B66"/>
    <w:rsid w:val="00273B89"/>
    <w:rsid w:val="00273C22"/>
    <w:rsid w:val="00273C9B"/>
    <w:rsid w:val="00273D13"/>
    <w:rsid w:val="00273D29"/>
    <w:rsid w:val="00273D2A"/>
    <w:rsid w:val="00273DD6"/>
    <w:rsid w:val="00274072"/>
    <w:rsid w:val="002740F7"/>
    <w:rsid w:val="00274120"/>
    <w:rsid w:val="002743FD"/>
    <w:rsid w:val="00274427"/>
    <w:rsid w:val="002745D1"/>
    <w:rsid w:val="0027467C"/>
    <w:rsid w:val="0027494A"/>
    <w:rsid w:val="00274E3D"/>
    <w:rsid w:val="00274F88"/>
    <w:rsid w:val="002751E6"/>
    <w:rsid w:val="00275280"/>
    <w:rsid w:val="002756B9"/>
    <w:rsid w:val="00275771"/>
    <w:rsid w:val="002758A0"/>
    <w:rsid w:val="00275D28"/>
    <w:rsid w:val="00275DDD"/>
    <w:rsid w:val="00275ED7"/>
    <w:rsid w:val="002762A7"/>
    <w:rsid w:val="00276797"/>
    <w:rsid w:val="002768B8"/>
    <w:rsid w:val="00276E6A"/>
    <w:rsid w:val="00276F28"/>
    <w:rsid w:val="0027706F"/>
    <w:rsid w:val="002773B5"/>
    <w:rsid w:val="00277518"/>
    <w:rsid w:val="00277570"/>
    <w:rsid w:val="00277710"/>
    <w:rsid w:val="00277F17"/>
    <w:rsid w:val="00277F67"/>
    <w:rsid w:val="002800CF"/>
    <w:rsid w:val="00280103"/>
    <w:rsid w:val="00280177"/>
    <w:rsid w:val="00280223"/>
    <w:rsid w:val="002802BD"/>
    <w:rsid w:val="002803AB"/>
    <w:rsid w:val="00280618"/>
    <w:rsid w:val="0028089F"/>
    <w:rsid w:val="00280D40"/>
    <w:rsid w:val="00281009"/>
    <w:rsid w:val="002810FD"/>
    <w:rsid w:val="0028120D"/>
    <w:rsid w:val="00281232"/>
    <w:rsid w:val="00281535"/>
    <w:rsid w:val="00281559"/>
    <w:rsid w:val="0028160E"/>
    <w:rsid w:val="00281648"/>
    <w:rsid w:val="002817DB"/>
    <w:rsid w:val="00281803"/>
    <w:rsid w:val="00281A5B"/>
    <w:rsid w:val="00281CE2"/>
    <w:rsid w:val="00281DD6"/>
    <w:rsid w:val="00281FE9"/>
    <w:rsid w:val="0028233D"/>
    <w:rsid w:val="00282632"/>
    <w:rsid w:val="0028269C"/>
    <w:rsid w:val="00282868"/>
    <w:rsid w:val="00282B45"/>
    <w:rsid w:val="00282BB7"/>
    <w:rsid w:val="00282DDF"/>
    <w:rsid w:val="00283162"/>
    <w:rsid w:val="00283202"/>
    <w:rsid w:val="00283262"/>
    <w:rsid w:val="00283726"/>
    <w:rsid w:val="002838B9"/>
    <w:rsid w:val="00283A10"/>
    <w:rsid w:val="00283AC1"/>
    <w:rsid w:val="00283BF2"/>
    <w:rsid w:val="00283DBA"/>
    <w:rsid w:val="0028410B"/>
    <w:rsid w:val="00284183"/>
    <w:rsid w:val="002843CE"/>
    <w:rsid w:val="002844C1"/>
    <w:rsid w:val="00284545"/>
    <w:rsid w:val="0028459B"/>
    <w:rsid w:val="00284646"/>
    <w:rsid w:val="002846A0"/>
    <w:rsid w:val="0028472B"/>
    <w:rsid w:val="00284753"/>
    <w:rsid w:val="00284A5D"/>
    <w:rsid w:val="00284B1E"/>
    <w:rsid w:val="00284C79"/>
    <w:rsid w:val="00284D8F"/>
    <w:rsid w:val="00285150"/>
    <w:rsid w:val="002852F2"/>
    <w:rsid w:val="002854D4"/>
    <w:rsid w:val="00285512"/>
    <w:rsid w:val="002859CD"/>
    <w:rsid w:val="00285ABA"/>
    <w:rsid w:val="00285C38"/>
    <w:rsid w:val="00285E29"/>
    <w:rsid w:val="00285E50"/>
    <w:rsid w:val="00285EE5"/>
    <w:rsid w:val="00285F30"/>
    <w:rsid w:val="002860C4"/>
    <w:rsid w:val="002861DA"/>
    <w:rsid w:val="00286870"/>
    <w:rsid w:val="00286898"/>
    <w:rsid w:val="0028690E"/>
    <w:rsid w:val="00286921"/>
    <w:rsid w:val="00286A81"/>
    <w:rsid w:val="00286B05"/>
    <w:rsid w:val="00286C74"/>
    <w:rsid w:val="00286F09"/>
    <w:rsid w:val="00287024"/>
    <w:rsid w:val="002870C3"/>
    <w:rsid w:val="0028739A"/>
    <w:rsid w:val="00287585"/>
    <w:rsid w:val="00287730"/>
    <w:rsid w:val="00287777"/>
    <w:rsid w:val="002878B4"/>
    <w:rsid w:val="00287977"/>
    <w:rsid w:val="00287B29"/>
    <w:rsid w:val="00287B9B"/>
    <w:rsid w:val="00287C98"/>
    <w:rsid w:val="00287DBC"/>
    <w:rsid w:val="00287E85"/>
    <w:rsid w:val="002901DF"/>
    <w:rsid w:val="002903D9"/>
    <w:rsid w:val="002903E0"/>
    <w:rsid w:val="00290453"/>
    <w:rsid w:val="002905FC"/>
    <w:rsid w:val="002906D7"/>
    <w:rsid w:val="00290728"/>
    <w:rsid w:val="0029076F"/>
    <w:rsid w:val="00290869"/>
    <w:rsid w:val="002909F2"/>
    <w:rsid w:val="00290A8A"/>
    <w:rsid w:val="00290D9B"/>
    <w:rsid w:val="00290F8B"/>
    <w:rsid w:val="00291449"/>
    <w:rsid w:val="00291528"/>
    <w:rsid w:val="002915AD"/>
    <w:rsid w:val="00291614"/>
    <w:rsid w:val="00291849"/>
    <w:rsid w:val="00291C45"/>
    <w:rsid w:val="00291CF2"/>
    <w:rsid w:val="00291F2F"/>
    <w:rsid w:val="00291F4A"/>
    <w:rsid w:val="00291FBD"/>
    <w:rsid w:val="00292043"/>
    <w:rsid w:val="002920A3"/>
    <w:rsid w:val="0029224B"/>
    <w:rsid w:val="002923C0"/>
    <w:rsid w:val="00292ABD"/>
    <w:rsid w:val="00292BFC"/>
    <w:rsid w:val="00292D6A"/>
    <w:rsid w:val="00293111"/>
    <w:rsid w:val="0029314E"/>
    <w:rsid w:val="00293339"/>
    <w:rsid w:val="0029344F"/>
    <w:rsid w:val="00293701"/>
    <w:rsid w:val="00293853"/>
    <w:rsid w:val="00293901"/>
    <w:rsid w:val="0029392B"/>
    <w:rsid w:val="00293B75"/>
    <w:rsid w:val="002940B7"/>
    <w:rsid w:val="002942A9"/>
    <w:rsid w:val="002946AF"/>
    <w:rsid w:val="00294881"/>
    <w:rsid w:val="002948C6"/>
    <w:rsid w:val="00294A00"/>
    <w:rsid w:val="00294B33"/>
    <w:rsid w:val="00294B74"/>
    <w:rsid w:val="00294BDB"/>
    <w:rsid w:val="00294CFE"/>
    <w:rsid w:val="00294DA9"/>
    <w:rsid w:val="00294DE9"/>
    <w:rsid w:val="00294E74"/>
    <w:rsid w:val="00294F87"/>
    <w:rsid w:val="00295023"/>
    <w:rsid w:val="002951DD"/>
    <w:rsid w:val="0029540D"/>
    <w:rsid w:val="00295444"/>
    <w:rsid w:val="0029575B"/>
    <w:rsid w:val="00295978"/>
    <w:rsid w:val="00295B21"/>
    <w:rsid w:val="00295BF1"/>
    <w:rsid w:val="00295D12"/>
    <w:rsid w:val="00295E0E"/>
    <w:rsid w:val="00295E33"/>
    <w:rsid w:val="00295ED6"/>
    <w:rsid w:val="00295EFB"/>
    <w:rsid w:val="0029612A"/>
    <w:rsid w:val="0029613E"/>
    <w:rsid w:val="00296382"/>
    <w:rsid w:val="0029684E"/>
    <w:rsid w:val="00296882"/>
    <w:rsid w:val="002968B9"/>
    <w:rsid w:val="0029695D"/>
    <w:rsid w:val="00296E77"/>
    <w:rsid w:val="00296F58"/>
    <w:rsid w:val="00297104"/>
    <w:rsid w:val="00297167"/>
    <w:rsid w:val="00297242"/>
    <w:rsid w:val="00297899"/>
    <w:rsid w:val="002979B0"/>
    <w:rsid w:val="00297A83"/>
    <w:rsid w:val="00297DE8"/>
    <w:rsid w:val="002A013D"/>
    <w:rsid w:val="002A02BD"/>
    <w:rsid w:val="002A0591"/>
    <w:rsid w:val="002A05B2"/>
    <w:rsid w:val="002A09F7"/>
    <w:rsid w:val="002A0A5C"/>
    <w:rsid w:val="002A0B81"/>
    <w:rsid w:val="002A0B85"/>
    <w:rsid w:val="002A0D12"/>
    <w:rsid w:val="002A10D8"/>
    <w:rsid w:val="002A11C9"/>
    <w:rsid w:val="002A1436"/>
    <w:rsid w:val="002A151E"/>
    <w:rsid w:val="002A15EB"/>
    <w:rsid w:val="002A16EC"/>
    <w:rsid w:val="002A1867"/>
    <w:rsid w:val="002A1981"/>
    <w:rsid w:val="002A1C1E"/>
    <w:rsid w:val="002A1F24"/>
    <w:rsid w:val="002A1F86"/>
    <w:rsid w:val="002A1FDB"/>
    <w:rsid w:val="002A223C"/>
    <w:rsid w:val="002A2291"/>
    <w:rsid w:val="002A244B"/>
    <w:rsid w:val="002A25F6"/>
    <w:rsid w:val="002A2722"/>
    <w:rsid w:val="002A2C52"/>
    <w:rsid w:val="002A2C61"/>
    <w:rsid w:val="002A2C8B"/>
    <w:rsid w:val="002A2CFA"/>
    <w:rsid w:val="002A2F64"/>
    <w:rsid w:val="002A2F8B"/>
    <w:rsid w:val="002A3392"/>
    <w:rsid w:val="002A33B0"/>
    <w:rsid w:val="002A33C0"/>
    <w:rsid w:val="002A36CD"/>
    <w:rsid w:val="002A394E"/>
    <w:rsid w:val="002A39EE"/>
    <w:rsid w:val="002A3A20"/>
    <w:rsid w:val="002A3AAC"/>
    <w:rsid w:val="002A3E71"/>
    <w:rsid w:val="002A3FC8"/>
    <w:rsid w:val="002A413B"/>
    <w:rsid w:val="002A42C8"/>
    <w:rsid w:val="002A431C"/>
    <w:rsid w:val="002A4352"/>
    <w:rsid w:val="002A45C5"/>
    <w:rsid w:val="002A462A"/>
    <w:rsid w:val="002A4656"/>
    <w:rsid w:val="002A4799"/>
    <w:rsid w:val="002A4AF2"/>
    <w:rsid w:val="002A4BC9"/>
    <w:rsid w:val="002A4CA5"/>
    <w:rsid w:val="002A4DB7"/>
    <w:rsid w:val="002A4F88"/>
    <w:rsid w:val="002A5055"/>
    <w:rsid w:val="002A50F7"/>
    <w:rsid w:val="002A52F7"/>
    <w:rsid w:val="002A533D"/>
    <w:rsid w:val="002A5680"/>
    <w:rsid w:val="002A5AD9"/>
    <w:rsid w:val="002A5AE3"/>
    <w:rsid w:val="002A5D51"/>
    <w:rsid w:val="002A5D75"/>
    <w:rsid w:val="002A5E8C"/>
    <w:rsid w:val="002A64A2"/>
    <w:rsid w:val="002A654D"/>
    <w:rsid w:val="002A68BD"/>
    <w:rsid w:val="002A6A60"/>
    <w:rsid w:val="002A7007"/>
    <w:rsid w:val="002A7043"/>
    <w:rsid w:val="002A7263"/>
    <w:rsid w:val="002A7403"/>
    <w:rsid w:val="002A74B6"/>
    <w:rsid w:val="002A75FE"/>
    <w:rsid w:val="002A7784"/>
    <w:rsid w:val="002A7AB4"/>
    <w:rsid w:val="002A7ADA"/>
    <w:rsid w:val="002B0088"/>
    <w:rsid w:val="002B0094"/>
    <w:rsid w:val="002B00E2"/>
    <w:rsid w:val="002B017A"/>
    <w:rsid w:val="002B02A9"/>
    <w:rsid w:val="002B0549"/>
    <w:rsid w:val="002B0614"/>
    <w:rsid w:val="002B0ABC"/>
    <w:rsid w:val="002B0BDF"/>
    <w:rsid w:val="002B0C18"/>
    <w:rsid w:val="002B0D10"/>
    <w:rsid w:val="002B0EA9"/>
    <w:rsid w:val="002B0F26"/>
    <w:rsid w:val="002B1008"/>
    <w:rsid w:val="002B1071"/>
    <w:rsid w:val="002B1146"/>
    <w:rsid w:val="002B12BC"/>
    <w:rsid w:val="002B16DE"/>
    <w:rsid w:val="002B173B"/>
    <w:rsid w:val="002B18EA"/>
    <w:rsid w:val="002B1960"/>
    <w:rsid w:val="002B1A64"/>
    <w:rsid w:val="002B1A87"/>
    <w:rsid w:val="002B1C35"/>
    <w:rsid w:val="002B1E2F"/>
    <w:rsid w:val="002B1F14"/>
    <w:rsid w:val="002B1F38"/>
    <w:rsid w:val="002B1F91"/>
    <w:rsid w:val="002B23C3"/>
    <w:rsid w:val="002B2476"/>
    <w:rsid w:val="002B253F"/>
    <w:rsid w:val="002B2547"/>
    <w:rsid w:val="002B27CB"/>
    <w:rsid w:val="002B281C"/>
    <w:rsid w:val="002B28E2"/>
    <w:rsid w:val="002B2BE6"/>
    <w:rsid w:val="002B3271"/>
    <w:rsid w:val="002B3499"/>
    <w:rsid w:val="002B35CF"/>
    <w:rsid w:val="002B3791"/>
    <w:rsid w:val="002B38EE"/>
    <w:rsid w:val="002B395D"/>
    <w:rsid w:val="002B3B0E"/>
    <w:rsid w:val="002B3D39"/>
    <w:rsid w:val="002B3DD7"/>
    <w:rsid w:val="002B3E16"/>
    <w:rsid w:val="002B3E34"/>
    <w:rsid w:val="002B413D"/>
    <w:rsid w:val="002B4168"/>
    <w:rsid w:val="002B4262"/>
    <w:rsid w:val="002B43AD"/>
    <w:rsid w:val="002B483D"/>
    <w:rsid w:val="002B4AB1"/>
    <w:rsid w:val="002B4D64"/>
    <w:rsid w:val="002B507D"/>
    <w:rsid w:val="002B5204"/>
    <w:rsid w:val="002B55E1"/>
    <w:rsid w:val="002B56B3"/>
    <w:rsid w:val="002B5730"/>
    <w:rsid w:val="002B5743"/>
    <w:rsid w:val="002B58F5"/>
    <w:rsid w:val="002B5951"/>
    <w:rsid w:val="002B5971"/>
    <w:rsid w:val="002B5B88"/>
    <w:rsid w:val="002B5C73"/>
    <w:rsid w:val="002B5E8B"/>
    <w:rsid w:val="002B608A"/>
    <w:rsid w:val="002B62E7"/>
    <w:rsid w:val="002B6415"/>
    <w:rsid w:val="002B661E"/>
    <w:rsid w:val="002B6690"/>
    <w:rsid w:val="002B68C7"/>
    <w:rsid w:val="002B69AD"/>
    <w:rsid w:val="002B69D3"/>
    <w:rsid w:val="002B6AE0"/>
    <w:rsid w:val="002B6D97"/>
    <w:rsid w:val="002B7018"/>
    <w:rsid w:val="002B707F"/>
    <w:rsid w:val="002B70F6"/>
    <w:rsid w:val="002B7179"/>
    <w:rsid w:val="002B7281"/>
    <w:rsid w:val="002B7627"/>
    <w:rsid w:val="002B76D6"/>
    <w:rsid w:val="002B7814"/>
    <w:rsid w:val="002B7832"/>
    <w:rsid w:val="002B78AD"/>
    <w:rsid w:val="002B7A06"/>
    <w:rsid w:val="002B7A81"/>
    <w:rsid w:val="002B7B0F"/>
    <w:rsid w:val="002B7DDD"/>
    <w:rsid w:val="002B7EC5"/>
    <w:rsid w:val="002C0319"/>
    <w:rsid w:val="002C03A7"/>
    <w:rsid w:val="002C0533"/>
    <w:rsid w:val="002C08E8"/>
    <w:rsid w:val="002C0D6B"/>
    <w:rsid w:val="002C11B2"/>
    <w:rsid w:val="002C124F"/>
    <w:rsid w:val="002C15D8"/>
    <w:rsid w:val="002C16BD"/>
    <w:rsid w:val="002C1816"/>
    <w:rsid w:val="002C1A61"/>
    <w:rsid w:val="002C1C52"/>
    <w:rsid w:val="002C1D0A"/>
    <w:rsid w:val="002C1E22"/>
    <w:rsid w:val="002C1E77"/>
    <w:rsid w:val="002C1FDF"/>
    <w:rsid w:val="002C22F5"/>
    <w:rsid w:val="002C230A"/>
    <w:rsid w:val="002C230D"/>
    <w:rsid w:val="002C2604"/>
    <w:rsid w:val="002C2612"/>
    <w:rsid w:val="002C2B99"/>
    <w:rsid w:val="002C2BA2"/>
    <w:rsid w:val="002C2D49"/>
    <w:rsid w:val="002C303E"/>
    <w:rsid w:val="002C3045"/>
    <w:rsid w:val="002C3465"/>
    <w:rsid w:val="002C367E"/>
    <w:rsid w:val="002C38B7"/>
    <w:rsid w:val="002C3A68"/>
    <w:rsid w:val="002C3A75"/>
    <w:rsid w:val="002C3ACA"/>
    <w:rsid w:val="002C3AD9"/>
    <w:rsid w:val="002C3BC7"/>
    <w:rsid w:val="002C3D38"/>
    <w:rsid w:val="002C3E54"/>
    <w:rsid w:val="002C3F5F"/>
    <w:rsid w:val="002C43BB"/>
    <w:rsid w:val="002C482C"/>
    <w:rsid w:val="002C4BE1"/>
    <w:rsid w:val="002C4C1E"/>
    <w:rsid w:val="002C4D24"/>
    <w:rsid w:val="002C4D51"/>
    <w:rsid w:val="002C4F05"/>
    <w:rsid w:val="002C51D3"/>
    <w:rsid w:val="002C528A"/>
    <w:rsid w:val="002C55B9"/>
    <w:rsid w:val="002C5675"/>
    <w:rsid w:val="002C5840"/>
    <w:rsid w:val="002C586A"/>
    <w:rsid w:val="002C5D07"/>
    <w:rsid w:val="002C5E5C"/>
    <w:rsid w:val="002C5EA0"/>
    <w:rsid w:val="002C5EA2"/>
    <w:rsid w:val="002C5EDB"/>
    <w:rsid w:val="002C6047"/>
    <w:rsid w:val="002C614A"/>
    <w:rsid w:val="002C6245"/>
    <w:rsid w:val="002C655A"/>
    <w:rsid w:val="002C6579"/>
    <w:rsid w:val="002C6672"/>
    <w:rsid w:val="002C66A2"/>
    <w:rsid w:val="002C6775"/>
    <w:rsid w:val="002C686F"/>
    <w:rsid w:val="002C6A6C"/>
    <w:rsid w:val="002C6BFA"/>
    <w:rsid w:val="002C6E17"/>
    <w:rsid w:val="002C6F73"/>
    <w:rsid w:val="002C6FDB"/>
    <w:rsid w:val="002C7192"/>
    <w:rsid w:val="002C7258"/>
    <w:rsid w:val="002C7486"/>
    <w:rsid w:val="002C7662"/>
    <w:rsid w:val="002C76FC"/>
    <w:rsid w:val="002C771F"/>
    <w:rsid w:val="002C78FC"/>
    <w:rsid w:val="002C7A09"/>
    <w:rsid w:val="002C7AFE"/>
    <w:rsid w:val="002C7C0F"/>
    <w:rsid w:val="002C7C19"/>
    <w:rsid w:val="002C7CA0"/>
    <w:rsid w:val="002C7CD8"/>
    <w:rsid w:val="002C7FAE"/>
    <w:rsid w:val="002D010E"/>
    <w:rsid w:val="002D0491"/>
    <w:rsid w:val="002D0494"/>
    <w:rsid w:val="002D0C44"/>
    <w:rsid w:val="002D0C51"/>
    <w:rsid w:val="002D0C5B"/>
    <w:rsid w:val="002D0D56"/>
    <w:rsid w:val="002D1124"/>
    <w:rsid w:val="002D11C4"/>
    <w:rsid w:val="002D13D8"/>
    <w:rsid w:val="002D1413"/>
    <w:rsid w:val="002D1446"/>
    <w:rsid w:val="002D145E"/>
    <w:rsid w:val="002D147A"/>
    <w:rsid w:val="002D1685"/>
    <w:rsid w:val="002D1769"/>
    <w:rsid w:val="002D184C"/>
    <w:rsid w:val="002D18AD"/>
    <w:rsid w:val="002D1FEE"/>
    <w:rsid w:val="002D214F"/>
    <w:rsid w:val="002D2255"/>
    <w:rsid w:val="002D2269"/>
    <w:rsid w:val="002D2287"/>
    <w:rsid w:val="002D231C"/>
    <w:rsid w:val="002D23EA"/>
    <w:rsid w:val="002D2927"/>
    <w:rsid w:val="002D2991"/>
    <w:rsid w:val="002D2A84"/>
    <w:rsid w:val="002D2B6A"/>
    <w:rsid w:val="002D2B8C"/>
    <w:rsid w:val="002D2FA8"/>
    <w:rsid w:val="002D3085"/>
    <w:rsid w:val="002D3275"/>
    <w:rsid w:val="002D3480"/>
    <w:rsid w:val="002D34CC"/>
    <w:rsid w:val="002D355A"/>
    <w:rsid w:val="002D35B0"/>
    <w:rsid w:val="002D36AE"/>
    <w:rsid w:val="002D387C"/>
    <w:rsid w:val="002D3EC4"/>
    <w:rsid w:val="002D403B"/>
    <w:rsid w:val="002D42E7"/>
    <w:rsid w:val="002D458B"/>
    <w:rsid w:val="002D481A"/>
    <w:rsid w:val="002D49C3"/>
    <w:rsid w:val="002D4B5F"/>
    <w:rsid w:val="002D4BD8"/>
    <w:rsid w:val="002D4C31"/>
    <w:rsid w:val="002D4DB7"/>
    <w:rsid w:val="002D55C7"/>
    <w:rsid w:val="002D55DD"/>
    <w:rsid w:val="002D55F6"/>
    <w:rsid w:val="002D56BC"/>
    <w:rsid w:val="002D5831"/>
    <w:rsid w:val="002D5A36"/>
    <w:rsid w:val="002D5D8B"/>
    <w:rsid w:val="002D5FC7"/>
    <w:rsid w:val="002D61C3"/>
    <w:rsid w:val="002D61DC"/>
    <w:rsid w:val="002D64EA"/>
    <w:rsid w:val="002D65AE"/>
    <w:rsid w:val="002D66B1"/>
    <w:rsid w:val="002D6912"/>
    <w:rsid w:val="002D6DA8"/>
    <w:rsid w:val="002D6EA9"/>
    <w:rsid w:val="002D7282"/>
    <w:rsid w:val="002D7448"/>
    <w:rsid w:val="002D745E"/>
    <w:rsid w:val="002D74B7"/>
    <w:rsid w:val="002D7614"/>
    <w:rsid w:val="002D786A"/>
    <w:rsid w:val="002D7AD2"/>
    <w:rsid w:val="002D7D47"/>
    <w:rsid w:val="002D7EF6"/>
    <w:rsid w:val="002D7F5F"/>
    <w:rsid w:val="002E0021"/>
    <w:rsid w:val="002E00B4"/>
    <w:rsid w:val="002E0181"/>
    <w:rsid w:val="002E0348"/>
    <w:rsid w:val="002E050C"/>
    <w:rsid w:val="002E0529"/>
    <w:rsid w:val="002E0721"/>
    <w:rsid w:val="002E0870"/>
    <w:rsid w:val="002E096F"/>
    <w:rsid w:val="002E0CA8"/>
    <w:rsid w:val="002E0DE4"/>
    <w:rsid w:val="002E0E72"/>
    <w:rsid w:val="002E0EDA"/>
    <w:rsid w:val="002E0F78"/>
    <w:rsid w:val="002E1403"/>
    <w:rsid w:val="002E140F"/>
    <w:rsid w:val="002E1642"/>
    <w:rsid w:val="002E170F"/>
    <w:rsid w:val="002E1937"/>
    <w:rsid w:val="002E1B8C"/>
    <w:rsid w:val="002E2085"/>
    <w:rsid w:val="002E222B"/>
    <w:rsid w:val="002E22A2"/>
    <w:rsid w:val="002E22B5"/>
    <w:rsid w:val="002E2509"/>
    <w:rsid w:val="002E2662"/>
    <w:rsid w:val="002E2708"/>
    <w:rsid w:val="002E28B6"/>
    <w:rsid w:val="002E2912"/>
    <w:rsid w:val="002E291D"/>
    <w:rsid w:val="002E299A"/>
    <w:rsid w:val="002E2AE5"/>
    <w:rsid w:val="002E2CBF"/>
    <w:rsid w:val="002E2CE3"/>
    <w:rsid w:val="002E2E3B"/>
    <w:rsid w:val="002E2F27"/>
    <w:rsid w:val="002E2FC4"/>
    <w:rsid w:val="002E30D2"/>
    <w:rsid w:val="002E3293"/>
    <w:rsid w:val="002E3401"/>
    <w:rsid w:val="002E3655"/>
    <w:rsid w:val="002E3722"/>
    <w:rsid w:val="002E3843"/>
    <w:rsid w:val="002E396F"/>
    <w:rsid w:val="002E398A"/>
    <w:rsid w:val="002E39A2"/>
    <w:rsid w:val="002E3AB1"/>
    <w:rsid w:val="002E3B21"/>
    <w:rsid w:val="002E3E94"/>
    <w:rsid w:val="002E3FC1"/>
    <w:rsid w:val="002E4488"/>
    <w:rsid w:val="002E44ED"/>
    <w:rsid w:val="002E46B4"/>
    <w:rsid w:val="002E49B2"/>
    <w:rsid w:val="002E4AF3"/>
    <w:rsid w:val="002E4B28"/>
    <w:rsid w:val="002E4D3B"/>
    <w:rsid w:val="002E5060"/>
    <w:rsid w:val="002E50CC"/>
    <w:rsid w:val="002E5115"/>
    <w:rsid w:val="002E535E"/>
    <w:rsid w:val="002E55A6"/>
    <w:rsid w:val="002E55C0"/>
    <w:rsid w:val="002E55C5"/>
    <w:rsid w:val="002E55DB"/>
    <w:rsid w:val="002E55DD"/>
    <w:rsid w:val="002E55F9"/>
    <w:rsid w:val="002E5666"/>
    <w:rsid w:val="002E56C6"/>
    <w:rsid w:val="002E5746"/>
    <w:rsid w:val="002E5767"/>
    <w:rsid w:val="002E580D"/>
    <w:rsid w:val="002E5914"/>
    <w:rsid w:val="002E5B37"/>
    <w:rsid w:val="002E5CB5"/>
    <w:rsid w:val="002E5D44"/>
    <w:rsid w:val="002E61C8"/>
    <w:rsid w:val="002E6277"/>
    <w:rsid w:val="002E62B6"/>
    <w:rsid w:val="002E636D"/>
    <w:rsid w:val="002E653C"/>
    <w:rsid w:val="002E661F"/>
    <w:rsid w:val="002E66B6"/>
    <w:rsid w:val="002E6718"/>
    <w:rsid w:val="002E69FC"/>
    <w:rsid w:val="002E6BC3"/>
    <w:rsid w:val="002E6BD7"/>
    <w:rsid w:val="002E6D46"/>
    <w:rsid w:val="002E6E2B"/>
    <w:rsid w:val="002E6F5F"/>
    <w:rsid w:val="002E721F"/>
    <w:rsid w:val="002E7362"/>
    <w:rsid w:val="002E7845"/>
    <w:rsid w:val="002E7BA4"/>
    <w:rsid w:val="002E7BB7"/>
    <w:rsid w:val="002E7F3E"/>
    <w:rsid w:val="002F0027"/>
    <w:rsid w:val="002F0069"/>
    <w:rsid w:val="002F041A"/>
    <w:rsid w:val="002F041F"/>
    <w:rsid w:val="002F0632"/>
    <w:rsid w:val="002F07E2"/>
    <w:rsid w:val="002F09E9"/>
    <w:rsid w:val="002F0C2C"/>
    <w:rsid w:val="002F0C34"/>
    <w:rsid w:val="002F0CC8"/>
    <w:rsid w:val="002F0CDD"/>
    <w:rsid w:val="002F0DB4"/>
    <w:rsid w:val="002F0EFA"/>
    <w:rsid w:val="002F1792"/>
    <w:rsid w:val="002F1A2B"/>
    <w:rsid w:val="002F1AD2"/>
    <w:rsid w:val="002F1B9C"/>
    <w:rsid w:val="002F2220"/>
    <w:rsid w:val="002F2232"/>
    <w:rsid w:val="002F2299"/>
    <w:rsid w:val="002F2428"/>
    <w:rsid w:val="002F2532"/>
    <w:rsid w:val="002F2834"/>
    <w:rsid w:val="002F2AD7"/>
    <w:rsid w:val="002F2AE7"/>
    <w:rsid w:val="002F2B1B"/>
    <w:rsid w:val="002F2BAB"/>
    <w:rsid w:val="002F2CB7"/>
    <w:rsid w:val="002F2D4F"/>
    <w:rsid w:val="002F2D81"/>
    <w:rsid w:val="002F3294"/>
    <w:rsid w:val="002F3306"/>
    <w:rsid w:val="002F3351"/>
    <w:rsid w:val="002F34D0"/>
    <w:rsid w:val="002F3652"/>
    <w:rsid w:val="002F3847"/>
    <w:rsid w:val="002F384C"/>
    <w:rsid w:val="002F389E"/>
    <w:rsid w:val="002F391C"/>
    <w:rsid w:val="002F3A71"/>
    <w:rsid w:val="002F3ACD"/>
    <w:rsid w:val="002F3C5B"/>
    <w:rsid w:val="002F3DED"/>
    <w:rsid w:val="002F3E7D"/>
    <w:rsid w:val="002F3F53"/>
    <w:rsid w:val="002F4027"/>
    <w:rsid w:val="002F41B4"/>
    <w:rsid w:val="002F423A"/>
    <w:rsid w:val="002F44F3"/>
    <w:rsid w:val="002F4882"/>
    <w:rsid w:val="002F4BA7"/>
    <w:rsid w:val="002F4EF5"/>
    <w:rsid w:val="002F4F30"/>
    <w:rsid w:val="002F505C"/>
    <w:rsid w:val="002F526F"/>
    <w:rsid w:val="002F53CF"/>
    <w:rsid w:val="002F5463"/>
    <w:rsid w:val="002F554B"/>
    <w:rsid w:val="002F554D"/>
    <w:rsid w:val="002F55F2"/>
    <w:rsid w:val="002F5603"/>
    <w:rsid w:val="002F5699"/>
    <w:rsid w:val="002F5852"/>
    <w:rsid w:val="002F5BA2"/>
    <w:rsid w:val="002F5C7B"/>
    <w:rsid w:val="002F5E2D"/>
    <w:rsid w:val="002F5FEE"/>
    <w:rsid w:val="002F626E"/>
    <w:rsid w:val="002F62A6"/>
    <w:rsid w:val="002F65C9"/>
    <w:rsid w:val="002F65DE"/>
    <w:rsid w:val="002F67BC"/>
    <w:rsid w:val="002F688A"/>
    <w:rsid w:val="002F68C5"/>
    <w:rsid w:val="002F68E6"/>
    <w:rsid w:val="002F6CE9"/>
    <w:rsid w:val="002F6DC4"/>
    <w:rsid w:val="002F6FFF"/>
    <w:rsid w:val="002F700D"/>
    <w:rsid w:val="002F701C"/>
    <w:rsid w:val="002F74DE"/>
    <w:rsid w:val="002F7677"/>
    <w:rsid w:val="002F7688"/>
    <w:rsid w:val="002F776E"/>
    <w:rsid w:val="002F79F2"/>
    <w:rsid w:val="002F7B26"/>
    <w:rsid w:val="002F7BFF"/>
    <w:rsid w:val="002F7C17"/>
    <w:rsid w:val="002F7EDE"/>
    <w:rsid w:val="0030048F"/>
    <w:rsid w:val="0030066D"/>
    <w:rsid w:val="003008D7"/>
    <w:rsid w:val="003008F2"/>
    <w:rsid w:val="003009BB"/>
    <w:rsid w:val="00300BF4"/>
    <w:rsid w:val="00300EC6"/>
    <w:rsid w:val="003011FD"/>
    <w:rsid w:val="00301475"/>
    <w:rsid w:val="00301497"/>
    <w:rsid w:val="00301636"/>
    <w:rsid w:val="0030165E"/>
    <w:rsid w:val="0030192B"/>
    <w:rsid w:val="00301A54"/>
    <w:rsid w:val="00301AE2"/>
    <w:rsid w:val="00301B2F"/>
    <w:rsid w:val="00301FDC"/>
    <w:rsid w:val="00302006"/>
    <w:rsid w:val="00302033"/>
    <w:rsid w:val="0030209E"/>
    <w:rsid w:val="0030216A"/>
    <w:rsid w:val="003023A1"/>
    <w:rsid w:val="00302488"/>
    <w:rsid w:val="003025DB"/>
    <w:rsid w:val="003025E3"/>
    <w:rsid w:val="003025F8"/>
    <w:rsid w:val="00302765"/>
    <w:rsid w:val="00302B5A"/>
    <w:rsid w:val="00302D42"/>
    <w:rsid w:val="00303039"/>
    <w:rsid w:val="00303252"/>
    <w:rsid w:val="003032CD"/>
    <w:rsid w:val="0030331F"/>
    <w:rsid w:val="00303399"/>
    <w:rsid w:val="003033A3"/>
    <w:rsid w:val="00303473"/>
    <w:rsid w:val="00303568"/>
    <w:rsid w:val="003038C1"/>
    <w:rsid w:val="00303AA9"/>
    <w:rsid w:val="00303AE3"/>
    <w:rsid w:val="00303BB6"/>
    <w:rsid w:val="00303C5C"/>
    <w:rsid w:val="00303CCA"/>
    <w:rsid w:val="00303CF6"/>
    <w:rsid w:val="00303D6D"/>
    <w:rsid w:val="00303D76"/>
    <w:rsid w:val="00303F4A"/>
    <w:rsid w:val="00303FA9"/>
    <w:rsid w:val="0030406F"/>
    <w:rsid w:val="003040CC"/>
    <w:rsid w:val="0030421D"/>
    <w:rsid w:val="00304337"/>
    <w:rsid w:val="00304B1F"/>
    <w:rsid w:val="00304BCC"/>
    <w:rsid w:val="00304D77"/>
    <w:rsid w:val="00304EFB"/>
    <w:rsid w:val="00304F54"/>
    <w:rsid w:val="00305016"/>
    <w:rsid w:val="003050E1"/>
    <w:rsid w:val="00305135"/>
    <w:rsid w:val="0030525E"/>
    <w:rsid w:val="0030534C"/>
    <w:rsid w:val="003053E3"/>
    <w:rsid w:val="00305503"/>
    <w:rsid w:val="00305600"/>
    <w:rsid w:val="00305824"/>
    <w:rsid w:val="0030587C"/>
    <w:rsid w:val="00305982"/>
    <w:rsid w:val="00305AB9"/>
    <w:rsid w:val="00305D0F"/>
    <w:rsid w:val="00305D10"/>
    <w:rsid w:val="00305DBB"/>
    <w:rsid w:val="00305EE1"/>
    <w:rsid w:val="00305EF9"/>
    <w:rsid w:val="00306127"/>
    <w:rsid w:val="00306181"/>
    <w:rsid w:val="003062AE"/>
    <w:rsid w:val="003066EB"/>
    <w:rsid w:val="003067F7"/>
    <w:rsid w:val="00306B3C"/>
    <w:rsid w:val="00306C28"/>
    <w:rsid w:val="00306C36"/>
    <w:rsid w:val="00306C66"/>
    <w:rsid w:val="00306D03"/>
    <w:rsid w:val="00306DCD"/>
    <w:rsid w:val="00306F92"/>
    <w:rsid w:val="00306FF9"/>
    <w:rsid w:val="00307020"/>
    <w:rsid w:val="00307039"/>
    <w:rsid w:val="003071B3"/>
    <w:rsid w:val="003073E4"/>
    <w:rsid w:val="00307481"/>
    <w:rsid w:val="003074DA"/>
    <w:rsid w:val="00307824"/>
    <w:rsid w:val="003079DC"/>
    <w:rsid w:val="00307C7B"/>
    <w:rsid w:val="003100A6"/>
    <w:rsid w:val="00310691"/>
    <w:rsid w:val="00310827"/>
    <w:rsid w:val="00310A9D"/>
    <w:rsid w:val="00310AF8"/>
    <w:rsid w:val="00310BF5"/>
    <w:rsid w:val="00310C38"/>
    <w:rsid w:val="003118A8"/>
    <w:rsid w:val="00311A93"/>
    <w:rsid w:val="00311CFF"/>
    <w:rsid w:val="00311F74"/>
    <w:rsid w:val="003120DA"/>
    <w:rsid w:val="0031216B"/>
    <w:rsid w:val="003122B1"/>
    <w:rsid w:val="00312388"/>
    <w:rsid w:val="003123FE"/>
    <w:rsid w:val="00312433"/>
    <w:rsid w:val="00312607"/>
    <w:rsid w:val="00312662"/>
    <w:rsid w:val="003129C3"/>
    <w:rsid w:val="00312B99"/>
    <w:rsid w:val="00312C8F"/>
    <w:rsid w:val="00312D01"/>
    <w:rsid w:val="00312D65"/>
    <w:rsid w:val="00312D92"/>
    <w:rsid w:val="00312E03"/>
    <w:rsid w:val="00312E2F"/>
    <w:rsid w:val="00312F8E"/>
    <w:rsid w:val="00312FDE"/>
    <w:rsid w:val="00313119"/>
    <w:rsid w:val="00313253"/>
    <w:rsid w:val="00313341"/>
    <w:rsid w:val="003133BE"/>
    <w:rsid w:val="0031351E"/>
    <w:rsid w:val="00313595"/>
    <w:rsid w:val="003137EC"/>
    <w:rsid w:val="0031389A"/>
    <w:rsid w:val="0031397B"/>
    <w:rsid w:val="00313B56"/>
    <w:rsid w:val="00313C28"/>
    <w:rsid w:val="00313E3E"/>
    <w:rsid w:val="00313F28"/>
    <w:rsid w:val="0031417F"/>
    <w:rsid w:val="0031426C"/>
    <w:rsid w:val="0031435B"/>
    <w:rsid w:val="0031437B"/>
    <w:rsid w:val="003143FA"/>
    <w:rsid w:val="003144B1"/>
    <w:rsid w:val="003146F6"/>
    <w:rsid w:val="00314761"/>
    <w:rsid w:val="003147D2"/>
    <w:rsid w:val="0031483E"/>
    <w:rsid w:val="003148CB"/>
    <w:rsid w:val="00314A83"/>
    <w:rsid w:val="00314C65"/>
    <w:rsid w:val="00314E04"/>
    <w:rsid w:val="00314E2E"/>
    <w:rsid w:val="003150D0"/>
    <w:rsid w:val="003150F3"/>
    <w:rsid w:val="00315125"/>
    <w:rsid w:val="003152AC"/>
    <w:rsid w:val="003152D4"/>
    <w:rsid w:val="00315586"/>
    <w:rsid w:val="003159B5"/>
    <w:rsid w:val="00315E1A"/>
    <w:rsid w:val="00315F23"/>
    <w:rsid w:val="003161C9"/>
    <w:rsid w:val="003163AC"/>
    <w:rsid w:val="003163CB"/>
    <w:rsid w:val="003164A4"/>
    <w:rsid w:val="00316703"/>
    <w:rsid w:val="003167AE"/>
    <w:rsid w:val="0031684F"/>
    <w:rsid w:val="003168C8"/>
    <w:rsid w:val="00316A7B"/>
    <w:rsid w:val="00316C6D"/>
    <w:rsid w:val="003171FA"/>
    <w:rsid w:val="0031723F"/>
    <w:rsid w:val="00317296"/>
    <w:rsid w:val="003172DA"/>
    <w:rsid w:val="00317866"/>
    <w:rsid w:val="00317903"/>
    <w:rsid w:val="00317940"/>
    <w:rsid w:val="003179ED"/>
    <w:rsid w:val="003179EF"/>
    <w:rsid w:val="00317B04"/>
    <w:rsid w:val="00317D2A"/>
    <w:rsid w:val="00317F32"/>
    <w:rsid w:val="00317FD5"/>
    <w:rsid w:val="00320079"/>
    <w:rsid w:val="00320166"/>
    <w:rsid w:val="00320330"/>
    <w:rsid w:val="0032033A"/>
    <w:rsid w:val="00320450"/>
    <w:rsid w:val="003204B2"/>
    <w:rsid w:val="003204B4"/>
    <w:rsid w:val="0032053D"/>
    <w:rsid w:val="003206DB"/>
    <w:rsid w:val="00320778"/>
    <w:rsid w:val="00320AF6"/>
    <w:rsid w:val="00320CBF"/>
    <w:rsid w:val="00320ECF"/>
    <w:rsid w:val="00321011"/>
    <w:rsid w:val="00321201"/>
    <w:rsid w:val="0032131C"/>
    <w:rsid w:val="003214C5"/>
    <w:rsid w:val="003215BC"/>
    <w:rsid w:val="00321691"/>
    <w:rsid w:val="0032186E"/>
    <w:rsid w:val="00321871"/>
    <w:rsid w:val="00321A8F"/>
    <w:rsid w:val="00321B3F"/>
    <w:rsid w:val="00321BCF"/>
    <w:rsid w:val="00321C38"/>
    <w:rsid w:val="00321FD4"/>
    <w:rsid w:val="00322162"/>
    <w:rsid w:val="00322652"/>
    <w:rsid w:val="00322929"/>
    <w:rsid w:val="003229AB"/>
    <w:rsid w:val="00322B04"/>
    <w:rsid w:val="00322D36"/>
    <w:rsid w:val="00322E05"/>
    <w:rsid w:val="00322EFF"/>
    <w:rsid w:val="00322F3E"/>
    <w:rsid w:val="00322F86"/>
    <w:rsid w:val="00322FEE"/>
    <w:rsid w:val="0032313B"/>
    <w:rsid w:val="003233DE"/>
    <w:rsid w:val="0032359F"/>
    <w:rsid w:val="003236F1"/>
    <w:rsid w:val="003239D9"/>
    <w:rsid w:val="00323D2A"/>
    <w:rsid w:val="00323EE6"/>
    <w:rsid w:val="003242D5"/>
    <w:rsid w:val="003247BC"/>
    <w:rsid w:val="003249D2"/>
    <w:rsid w:val="00324D2B"/>
    <w:rsid w:val="00324EA4"/>
    <w:rsid w:val="0032504A"/>
    <w:rsid w:val="0032516C"/>
    <w:rsid w:val="0032517C"/>
    <w:rsid w:val="003251A8"/>
    <w:rsid w:val="003251DC"/>
    <w:rsid w:val="003253D2"/>
    <w:rsid w:val="0032575C"/>
    <w:rsid w:val="00325815"/>
    <w:rsid w:val="0032587B"/>
    <w:rsid w:val="0032592D"/>
    <w:rsid w:val="00325E98"/>
    <w:rsid w:val="00325F12"/>
    <w:rsid w:val="00326132"/>
    <w:rsid w:val="003261A1"/>
    <w:rsid w:val="003263E0"/>
    <w:rsid w:val="0032643F"/>
    <w:rsid w:val="00326597"/>
    <w:rsid w:val="00326632"/>
    <w:rsid w:val="00326B77"/>
    <w:rsid w:val="00326D13"/>
    <w:rsid w:val="0032707A"/>
    <w:rsid w:val="003272FB"/>
    <w:rsid w:val="0032731A"/>
    <w:rsid w:val="00327353"/>
    <w:rsid w:val="003274BA"/>
    <w:rsid w:val="003276B4"/>
    <w:rsid w:val="00327AA8"/>
    <w:rsid w:val="00327CFB"/>
    <w:rsid w:val="00327D4A"/>
    <w:rsid w:val="00327D61"/>
    <w:rsid w:val="00327DD5"/>
    <w:rsid w:val="00327E80"/>
    <w:rsid w:val="00327E8F"/>
    <w:rsid w:val="00327EB3"/>
    <w:rsid w:val="00327FFB"/>
    <w:rsid w:val="0033033A"/>
    <w:rsid w:val="00330451"/>
    <w:rsid w:val="00330498"/>
    <w:rsid w:val="0033088B"/>
    <w:rsid w:val="003308D2"/>
    <w:rsid w:val="00330973"/>
    <w:rsid w:val="00330ADA"/>
    <w:rsid w:val="00330B50"/>
    <w:rsid w:val="00330CA6"/>
    <w:rsid w:val="00330D93"/>
    <w:rsid w:val="00330FBA"/>
    <w:rsid w:val="0033120B"/>
    <w:rsid w:val="00331316"/>
    <w:rsid w:val="0033139B"/>
    <w:rsid w:val="0033142E"/>
    <w:rsid w:val="0033153A"/>
    <w:rsid w:val="00331544"/>
    <w:rsid w:val="00331880"/>
    <w:rsid w:val="0033195B"/>
    <w:rsid w:val="00331A5A"/>
    <w:rsid w:val="00331AB1"/>
    <w:rsid w:val="00331BBA"/>
    <w:rsid w:val="00331C45"/>
    <w:rsid w:val="00331DE2"/>
    <w:rsid w:val="0033232A"/>
    <w:rsid w:val="003323E4"/>
    <w:rsid w:val="00332541"/>
    <w:rsid w:val="003325EF"/>
    <w:rsid w:val="003326D0"/>
    <w:rsid w:val="003327EA"/>
    <w:rsid w:val="00332828"/>
    <w:rsid w:val="003328ED"/>
    <w:rsid w:val="00332AB5"/>
    <w:rsid w:val="00332B38"/>
    <w:rsid w:val="00332B5A"/>
    <w:rsid w:val="00332BD9"/>
    <w:rsid w:val="00332C1B"/>
    <w:rsid w:val="00332C7F"/>
    <w:rsid w:val="00333080"/>
    <w:rsid w:val="003331C3"/>
    <w:rsid w:val="003334A0"/>
    <w:rsid w:val="003334D7"/>
    <w:rsid w:val="00333867"/>
    <w:rsid w:val="003338D6"/>
    <w:rsid w:val="00333A30"/>
    <w:rsid w:val="00333A39"/>
    <w:rsid w:val="00333B98"/>
    <w:rsid w:val="00333C40"/>
    <w:rsid w:val="00333EF9"/>
    <w:rsid w:val="003340FD"/>
    <w:rsid w:val="003342A7"/>
    <w:rsid w:val="0033454B"/>
    <w:rsid w:val="003345CB"/>
    <w:rsid w:val="00334682"/>
    <w:rsid w:val="003347DC"/>
    <w:rsid w:val="00334816"/>
    <w:rsid w:val="00334ADB"/>
    <w:rsid w:val="00334C0F"/>
    <w:rsid w:val="00334F3C"/>
    <w:rsid w:val="00335084"/>
    <w:rsid w:val="00335086"/>
    <w:rsid w:val="003352F5"/>
    <w:rsid w:val="00335417"/>
    <w:rsid w:val="00335442"/>
    <w:rsid w:val="003354C8"/>
    <w:rsid w:val="003357E2"/>
    <w:rsid w:val="00335873"/>
    <w:rsid w:val="003358AD"/>
    <w:rsid w:val="00335A3E"/>
    <w:rsid w:val="00335A96"/>
    <w:rsid w:val="00335CD5"/>
    <w:rsid w:val="00335D1C"/>
    <w:rsid w:val="0033618C"/>
    <w:rsid w:val="00336231"/>
    <w:rsid w:val="0033625D"/>
    <w:rsid w:val="003363DA"/>
    <w:rsid w:val="00336522"/>
    <w:rsid w:val="0033655C"/>
    <w:rsid w:val="00336718"/>
    <w:rsid w:val="00336876"/>
    <w:rsid w:val="003369B2"/>
    <w:rsid w:val="003369BD"/>
    <w:rsid w:val="00336F5F"/>
    <w:rsid w:val="00337456"/>
    <w:rsid w:val="0033746D"/>
    <w:rsid w:val="00337509"/>
    <w:rsid w:val="00337659"/>
    <w:rsid w:val="00337695"/>
    <w:rsid w:val="003376BD"/>
    <w:rsid w:val="003376F1"/>
    <w:rsid w:val="0033788A"/>
    <w:rsid w:val="003378D9"/>
    <w:rsid w:val="00337D3B"/>
    <w:rsid w:val="00337F3F"/>
    <w:rsid w:val="00340004"/>
    <w:rsid w:val="00340423"/>
    <w:rsid w:val="0034053E"/>
    <w:rsid w:val="00340679"/>
    <w:rsid w:val="00340766"/>
    <w:rsid w:val="0034076C"/>
    <w:rsid w:val="00340813"/>
    <w:rsid w:val="00340924"/>
    <w:rsid w:val="0034097F"/>
    <w:rsid w:val="0034098B"/>
    <w:rsid w:val="003409F6"/>
    <w:rsid w:val="00340A40"/>
    <w:rsid w:val="00340A79"/>
    <w:rsid w:val="00340A86"/>
    <w:rsid w:val="00340D36"/>
    <w:rsid w:val="003410E9"/>
    <w:rsid w:val="00341279"/>
    <w:rsid w:val="00341438"/>
    <w:rsid w:val="0034165F"/>
    <w:rsid w:val="00341714"/>
    <w:rsid w:val="003418CE"/>
    <w:rsid w:val="0034195B"/>
    <w:rsid w:val="00341DF0"/>
    <w:rsid w:val="0034269A"/>
    <w:rsid w:val="003426E1"/>
    <w:rsid w:val="003427F2"/>
    <w:rsid w:val="00342865"/>
    <w:rsid w:val="0034292C"/>
    <w:rsid w:val="003429BB"/>
    <w:rsid w:val="00342A9C"/>
    <w:rsid w:val="00342B1F"/>
    <w:rsid w:val="00342BCE"/>
    <w:rsid w:val="00342C94"/>
    <w:rsid w:val="00343103"/>
    <w:rsid w:val="00343173"/>
    <w:rsid w:val="00343780"/>
    <w:rsid w:val="00343893"/>
    <w:rsid w:val="003438BD"/>
    <w:rsid w:val="00343987"/>
    <w:rsid w:val="00343B55"/>
    <w:rsid w:val="00343CA9"/>
    <w:rsid w:val="00343CC4"/>
    <w:rsid w:val="00343DC0"/>
    <w:rsid w:val="00343E27"/>
    <w:rsid w:val="00343E39"/>
    <w:rsid w:val="00343EC2"/>
    <w:rsid w:val="00343F38"/>
    <w:rsid w:val="0034411B"/>
    <w:rsid w:val="003443CF"/>
    <w:rsid w:val="003449C8"/>
    <w:rsid w:val="00344BB8"/>
    <w:rsid w:val="00344E50"/>
    <w:rsid w:val="00344F24"/>
    <w:rsid w:val="00344F5E"/>
    <w:rsid w:val="00344FD7"/>
    <w:rsid w:val="003455E0"/>
    <w:rsid w:val="0034563C"/>
    <w:rsid w:val="00345670"/>
    <w:rsid w:val="003456F5"/>
    <w:rsid w:val="00345715"/>
    <w:rsid w:val="003459C7"/>
    <w:rsid w:val="003459DA"/>
    <w:rsid w:val="00345C51"/>
    <w:rsid w:val="00345DB6"/>
    <w:rsid w:val="0034638F"/>
    <w:rsid w:val="003463AE"/>
    <w:rsid w:val="0034646C"/>
    <w:rsid w:val="003465EA"/>
    <w:rsid w:val="00346645"/>
    <w:rsid w:val="003469ED"/>
    <w:rsid w:val="00346AEF"/>
    <w:rsid w:val="00346D8B"/>
    <w:rsid w:val="00346E1B"/>
    <w:rsid w:val="00346FAA"/>
    <w:rsid w:val="00347370"/>
    <w:rsid w:val="0034789F"/>
    <w:rsid w:val="003478B1"/>
    <w:rsid w:val="00347ADC"/>
    <w:rsid w:val="0035014B"/>
    <w:rsid w:val="003505F7"/>
    <w:rsid w:val="00350715"/>
    <w:rsid w:val="003507C4"/>
    <w:rsid w:val="003508C2"/>
    <w:rsid w:val="00350AB0"/>
    <w:rsid w:val="00350F5E"/>
    <w:rsid w:val="00351078"/>
    <w:rsid w:val="0035119A"/>
    <w:rsid w:val="0035133E"/>
    <w:rsid w:val="003513AD"/>
    <w:rsid w:val="0035165D"/>
    <w:rsid w:val="00351704"/>
    <w:rsid w:val="003518BD"/>
    <w:rsid w:val="00351F49"/>
    <w:rsid w:val="00352223"/>
    <w:rsid w:val="0035231E"/>
    <w:rsid w:val="003523B8"/>
    <w:rsid w:val="003523C8"/>
    <w:rsid w:val="00352467"/>
    <w:rsid w:val="003524DB"/>
    <w:rsid w:val="0035271C"/>
    <w:rsid w:val="00352941"/>
    <w:rsid w:val="00352B2E"/>
    <w:rsid w:val="00352BE6"/>
    <w:rsid w:val="00352C86"/>
    <w:rsid w:val="00352E2F"/>
    <w:rsid w:val="00352EE4"/>
    <w:rsid w:val="00353090"/>
    <w:rsid w:val="003530CF"/>
    <w:rsid w:val="0035318D"/>
    <w:rsid w:val="003531B8"/>
    <w:rsid w:val="003531E2"/>
    <w:rsid w:val="00353235"/>
    <w:rsid w:val="00353259"/>
    <w:rsid w:val="00353260"/>
    <w:rsid w:val="00353458"/>
    <w:rsid w:val="003534D7"/>
    <w:rsid w:val="00353644"/>
    <w:rsid w:val="0035366D"/>
    <w:rsid w:val="0035370B"/>
    <w:rsid w:val="003538B7"/>
    <w:rsid w:val="00353B88"/>
    <w:rsid w:val="00353B89"/>
    <w:rsid w:val="00353DBF"/>
    <w:rsid w:val="00353F33"/>
    <w:rsid w:val="00354209"/>
    <w:rsid w:val="003546AB"/>
    <w:rsid w:val="0035488B"/>
    <w:rsid w:val="0035493F"/>
    <w:rsid w:val="00354AD9"/>
    <w:rsid w:val="00354E4B"/>
    <w:rsid w:val="00354E53"/>
    <w:rsid w:val="00354EAD"/>
    <w:rsid w:val="00354EBB"/>
    <w:rsid w:val="0035507F"/>
    <w:rsid w:val="0035514B"/>
    <w:rsid w:val="00355152"/>
    <w:rsid w:val="0035516D"/>
    <w:rsid w:val="00355180"/>
    <w:rsid w:val="00355374"/>
    <w:rsid w:val="0035549A"/>
    <w:rsid w:val="00355595"/>
    <w:rsid w:val="00355804"/>
    <w:rsid w:val="00355944"/>
    <w:rsid w:val="00355978"/>
    <w:rsid w:val="003559C0"/>
    <w:rsid w:val="003559CE"/>
    <w:rsid w:val="00355AAB"/>
    <w:rsid w:val="00355E2C"/>
    <w:rsid w:val="00355F67"/>
    <w:rsid w:val="00355FF9"/>
    <w:rsid w:val="00356048"/>
    <w:rsid w:val="0035664F"/>
    <w:rsid w:val="00356679"/>
    <w:rsid w:val="00356719"/>
    <w:rsid w:val="003568EB"/>
    <w:rsid w:val="00356A2B"/>
    <w:rsid w:val="00356B0B"/>
    <w:rsid w:val="00356B65"/>
    <w:rsid w:val="00356E9F"/>
    <w:rsid w:val="00356EFF"/>
    <w:rsid w:val="00356FEC"/>
    <w:rsid w:val="003572F4"/>
    <w:rsid w:val="003574F0"/>
    <w:rsid w:val="00357758"/>
    <w:rsid w:val="00357874"/>
    <w:rsid w:val="00357A7C"/>
    <w:rsid w:val="00357BC4"/>
    <w:rsid w:val="00357BCA"/>
    <w:rsid w:val="00357CA8"/>
    <w:rsid w:val="00357D2C"/>
    <w:rsid w:val="00360187"/>
    <w:rsid w:val="0036022E"/>
    <w:rsid w:val="00360362"/>
    <w:rsid w:val="003603D2"/>
    <w:rsid w:val="003604A0"/>
    <w:rsid w:val="003605DD"/>
    <w:rsid w:val="00360680"/>
    <w:rsid w:val="00360801"/>
    <w:rsid w:val="00360901"/>
    <w:rsid w:val="00360E3B"/>
    <w:rsid w:val="00360FD5"/>
    <w:rsid w:val="00360FF0"/>
    <w:rsid w:val="00360FF8"/>
    <w:rsid w:val="003610AB"/>
    <w:rsid w:val="003611A0"/>
    <w:rsid w:val="003611F3"/>
    <w:rsid w:val="0036139D"/>
    <w:rsid w:val="003613F7"/>
    <w:rsid w:val="0036155C"/>
    <w:rsid w:val="00361568"/>
    <w:rsid w:val="00361594"/>
    <w:rsid w:val="00361AEF"/>
    <w:rsid w:val="00361CAA"/>
    <w:rsid w:val="00361D24"/>
    <w:rsid w:val="00361E8F"/>
    <w:rsid w:val="0036215B"/>
    <w:rsid w:val="0036217A"/>
    <w:rsid w:val="00362448"/>
    <w:rsid w:val="0036246C"/>
    <w:rsid w:val="00362618"/>
    <w:rsid w:val="0036275F"/>
    <w:rsid w:val="0036278F"/>
    <w:rsid w:val="00362ABF"/>
    <w:rsid w:val="00362E08"/>
    <w:rsid w:val="00362F54"/>
    <w:rsid w:val="0036355C"/>
    <w:rsid w:val="0036355F"/>
    <w:rsid w:val="0036385B"/>
    <w:rsid w:val="00363FB6"/>
    <w:rsid w:val="00364388"/>
    <w:rsid w:val="00364463"/>
    <w:rsid w:val="00364628"/>
    <w:rsid w:val="003649F7"/>
    <w:rsid w:val="00364F31"/>
    <w:rsid w:val="00365093"/>
    <w:rsid w:val="00365138"/>
    <w:rsid w:val="003651DF"/>
    <w:rsid w:val="00365326"/>
    <w:rsid w:val="0036543F"/>
    <w:rsid w:val="003655E0"/>
    <w:rsid w:val="003658B5"/>
    <w:rsid w:val="00365DE3"/>
    <w:rsid w:val="00365EAB"/>
    <w:rsid w:val="00365EE4"/>
    <w:rsid w:val="003665EB"/>
    <w:rsid w:val="003666D2"/>
    <w:rsid w:val="003666FD"/>
    <w:rsid w:val="00366A3C"/>
    <w:rsid w:val="00366BFF"/>
    <w:rsid w:val="00366C2C"/>
    <w:rsid w:val="00366E76"/>
    <w:rsid w:val="00367011"/>
    <w:rsid w:val="003671AE"/>
    <w:rsid w:val="003674C1"/>
    <w:rsid w:val="003675A8"/>
    <w:rsid w:val="00367A2C"/>
    <w:rsid w:val="00367B0F"/>
    <w:rsid w:val="00367D60"/>
    <w:rsid w:val="00367DAC"/>
    <w:rsid w:val="00367EA7"/>
    <w:rsid w:val="00367EDF"/>
    <w:rsid w:val="00367F37"/>
    <w:rsid w:val="00367F95"/>
    <w:rsid w:val="003700E9"/>
    <w:rsid w:val="00370126"/>
    <w:rsid w:val="0037048B"/>
    <w:rsid w:val="00370680"/>
    <w:rsid w:val="0037070D"/>
    <w:rsid w:val="00370726"/>
    <w:rsid w:val="003707ED"/>
    <w:rsid w:val="003709DB"/>
    <w:rsid w:val="003709F8"/>
    <w:rsid w:val="00370B33"/>
    <w:rsid w:val="00370EFD"/>
    <w:rsid w:val="00371070"/>
    <w:rsid w:val="003711D5"/>
    <w:rsid w:val="003712BD"/>
    <w:rsid w:val="00371442"/>
    <w:rsid w:val="003715B3"/>
    <w:rsid w:val="003716D5"/>
    <w:rsid w:val="003717D6"/>
    <w:rsid w:val="00371ACC"/>
    <w:rsid w:val="00371E41"/>
    <w:rsid w:val="00371E5F"/>
    <w:rsid w:val="00371E80"/>
    <w:rsid w:val="00371FF4"/>
    <w:rsid w:val="00372030"/>
    <w:rsid w:val="00372108"/>
    <w:rsid w:val="00372148"/>
    <w:rsid w:val="0037224E"/>
    <w:rsid w:val="003722B4"/>
    <w:rsid w:val="003724A1"/>
    <w:rsid w:val="00372650"/>
    <w:rsid w:val="003726CA"/>
    <w:rsid w:val="00372827"/>
    <w:rsid w:val="00372DCB"/>
    <w:rsid w:val="003730F2"/>
    <w:rsid w:val="00373145"/>
    <w:rsid w:val="003731C8"/>
    <w:rsid w:val="00373230"/>
    <w:rsid w:val="0037349E"/>
    <w:rsid w:val="003734CB"/>
    <w:rsid w:val="003734E5"/>
    <w:rsid w:val="0037351C"/>
    <w:rsid w:val="00373526"/>
    <w:rsid w:val="00373629"/>
    <w:rsid w:val="003736E5"/>
    <w:rsid w:val="0037378C"/>
    <w:rsid w:val="003738D5"/>
    <w:rsid w:val="00373A0C"/>
    <w:rsid w:val="00373E78"/>
    <w:rsid w:val="00373F1B"/>
    <w:rsid w:val="00374026"/>
    <w:rsid w:val="00374135"/>
    <w:rsid w:val="003743C9"/>
    <w:rsid w:val="00374465"/>
    <w:rsid w:val="00374618"/>
    <w:rsid w:val="003748EA"/>
    <w:rsid w:val="00374B20"/>
    <w:rsid w:val="00374E79"/>
    <w:rsid w:val="00374F10"/>
    <w:rsid w:val="00374FD7"/>
    <w:rsid w:val="0037503E"/>
    <w:rsid w:val="0037507C"/>
    <w:rsid w:val="003750D7"/>
    <w:rsid w:val="003750FF"/>
    <w:rsid w:val="0037582D"/>
    <w:rsid w:val="00375BE4"/>
    <w:rsid w:val="00375D99"/>
    <w:rsid w:val="00375DB8"/>
    <w:rsid w:val="00375F43"/>
    <w:rsid w:val="003760E8"/>
    <w:rsid w:val="003762AA"/>
    <w:rsid w:val="003765E2"/>
    <w:rsid w:val="003767B3"/>
    <w:rsid w:val="00376949"/>
    <w:rsid w:val="00376CBB"/>
    <w:rsid w:val="00376EE1"/>
    <w:rsid w:val="00376F86"/>
    <w:rsid w:val="00377071"/>
    <w:rsid w:val="00377378"/>
    <w:rsid w:val="003773A7"/>
    <w:rsid w:val="003773D0"/>
    <w:rsid w:val="00377501"/>
    <w:rsid w:val="0037770B"/>
    <w:rsid w:val="003777D8"/>
    <w:rsid w:val="00377814"/>
    <w:rsid w:val="003778C2"/>
    <w:rsid w:val="003779AD"/>
    <w:rsid w:val="00377A50"/>
    <w:rsid w:val="00377B15"/>
    <w:rsid w:val="00377BBD"/>
    <w:rsid w:val="00377BF6"/>
    <w:rsid w:val="00377D7A"/>
    <w:rsid w:val="00377E72"/>
    <w:rsid w:val="00377E88"/>
    <w:rsid w:val="0038019A"/>
    <w:rsid w:val="003805BC"/>
    <w:rsid w:val="003806B5"/>
    <w:rsid w:val="003806D1"/>
    <w:rsid w:val="00380875"/>
    <w:rsid w:val="00380AEE"/>
    <w:rsid w:val="00380DC8"/>
    <w:rsid w:val="00380ECC"/>
    <w:rsid w:val="00381018"/>
    <w:rsid w:val="00381101"/>
    <w:rsid w:val="00381702"/>
    <w:rsid w:val="0038193A"/>
    <w:rsid w:val="0038198C"/>
    <w:rsid w:val="00381B1C"/>
    <w:rsid w:val="003821BB"/>
    <w:rsid w:val="00382282"/>
    <w:rsid w:val="003822F3"/>
    <w:rsid w:val="00382401"/>
    <w:rsid w:val="00382924"/>
    <w:rsid w:val="003829B8"/>
    <w:rsid w:val="0038305B"/>
    <w:rsid w:val="0038324E"/>
    <w:rsid w:val="00383269"/>
    <w:rsid w:val="0038353F"/>
    <w:rsid w:val="003838ED"/>
    <w:rsid w:val="00383A45"/>
    <w:rsid w:val="00383A67"/>
    <w:rsid w:val="00383C2A"/>
    <w:rsid w:val="00383DB3"/>
    <w:rsid w:val="00383E4B"/>
    <w:rsid w:val="00383F24"/>
    <w:rsid w:val="00384182"/>
    <w:rsid w:val="003842BA"/>
    <w:rsid w:val="0038447D"/>
    <w:rsid w:val="003844E0"/>
    <w:rsid w:val="003845CB"/>
    <w:rsid w:val="003846B9"/>
    <w:rsid w:val="003847F0"/>
    <w:rsid w:val="0038480F"/>
    <w:rsid w:val="00384848"/>
    <w:rsid w:val="003848EB"/>
    <w:rsid w:val="00384A32"/>
    <w:rsid w:val="00384A63"/>
    <w:rsid w:val="00384B21"/>
    <w:rsid w:val="00384FC9"/>
    <w:rsid w:val="003852F8"/>
    <w:rsid w:val="003853CC"/>
    <w:rsid w:val="00385460"/>
    <w:rsid w:val="0038555F"/>
    <w:rsid w:val="00385634"/>
    <w:rsid w:val="003858CC"/>
    <w:rsid w:val="003859DB"/>
    <w:rsid w:val="00385ADC"/>
    <w:rsid w:val="00385C79"/>
    <w:rsid w:val="00385C85"/>
    <w:rsid w:val="00385C9F"/>
    <w:rsid w:val="00385E29"/>
    <w:rsid w:val="003861C3"/>
    <w:rsid w:val="0038622D"/>
    <w:rsid w:val="00386420"/>
    <w:rsid w:val="003864D9"/>
    <w:rsid w:val="00386511"/>
    <w:rsid w:val="003865E6"/>
    <w:rsid w:val="0038668D"/>
    <w:rsid w:val="003866D1"/>
    <w:rsid w:val="0038674F"/>
    <w:rsid w:val="0038686F"/>
    <w:rsid w:val="00386C2A"/>
    <w:rsid w:val="00387149"/>
    <w:rsid w:val="003872B9"/>
    <w:rsid w:val="00387354"/>
    <w:rsid w:val="00387539"/>
    <w:rsid w:val="0038763F"/>
    <w:rsid w:val="00387664"/>
    <w:rsid w:val="00387986"/>
    <w:rsid w:val="00387CB3"/>
    <w:rsid w:val="00387E8B"/>
    <w:rsid w:val="003901D2"/>
    <w:rsid w:val="003903A5"/>
    <w:rsid w:val="0039064A"/>
    <w:rsid w:val="00390909"/>
    <w:rsid w:val="00390962"/>
    <w:rsid w:val="00390A62"/>
    <w:rsid w:val="00390DDD"/>
    <w:rsid w:val="00390E17"/>
    <w:rsid w:val="00390F31"/>
    <w:rsid w:val="00391001"/>
    <w:rsid w:val="0039111D"/>
    <w:rsid w:val="00391172"/>
    <w:rsid w:val="0039122A"/>
    <w:rsid w:val="003912ED"/>
    <w:rsid w:val="00391371"/>
    <w:rsid w:val="00391466"/>
    <w:rsid w:val="0039181E"/>
    <w:rsid w:val="0039187D"/>
    <w:rsid w:val="003918E7"/>
    <w:rsid w:val="00391B9E"/>
    <w:rsid w:val="00391CD4"/>
    <w:rsid w:val="00391FC9"/>
    <w:rsid w:val="00392076"/>
    <w:rsid w:val="003922A7"/>
    <w:rsid w:val="003926A7"/>
    <w:rsid w:val="003926BE"/>
    <w:rsid w:val="003926ED"/>
    <w:rsid w:val="00392797"/>
    <w:rsid w:val="003927E8"/>
    <w:rsid w:val="00392B0C"/>
    <w:rsid w:val="00392BEC"/>
    <w:rsid w:val="00392BFE"/>
    <w:rsid w:val="00392ECD"/>
    <w:rsid w:val="00393052"/>
    <w:rsid w:val="003931A0"/>
    <w:rsid w:val="00393379"/>
    <w:rsid w:val="0039359C"/>
    <w:rsid w:val="003937F7"/>
    <w:rsid w:val="003938A6"/>
    <w:rsid w:val="003939D2"/>
    <w:rsid w:val="003939D5"/>
    <w:rsid w:val="00393A4C"/>
    <w:rsid w:val="00393C46"/>
    <w:rsid w:val="00393F33"/>
    <w:rsid w:val="00393F52"/>
    <w:rsid w:val="003940EF"/>
    <w:rsid w:val="00394105"/>
    <w:rsid w:val="0039416B"/>
    <w:rsid w:val="00394242"/>
    <w:rsid w:val="003943DB"/>
    <w:rsid w:val="00394405"/>
    <w:rsid w:val="003946FB"/>
    <w:rsid w:val="0039473D"/>
    <w:rsid w:val="00394786"/>
    <w:rsid w:val="00394879"/>
    <w:rsid w:val="00394A9F"/>
    <w:rsid w:val="00394B0A"/>
    <w:rsid w:val="00394B25"/>
    <w:rsid w:val="00394C1D"/>
    <w:rsid w:val="00394DB6"/>
    <w:rsid w:val="00394DBA"/>
    <w:rsid w:val="00394E11"/>
    <w:rsid w:val="0039501D"/>
    <w:rsid w:val="0039508D"/>
    <w:rsid w:val="0039528B"/>
    <w:rsid w:val="0039528D"/>
    <w:rsid w:val="0039528F"/>
    <w:rsid w:val="00395469"/>
    <w:rsid w:val="003955BF"/>
    <w:rsid w:val="00395942"/>
    <w:rsid w:val="00395A1F"/>
    <w:rsid w:val="00395A75"/>
    <w:rsid w:val="00395AC6"/>
    <w:rsid w:val="00395ADF"/>
    <w:rsid w:val="00395AFC"/>
    <w:rsid w:val="00395C43"/>
    <w:rsid w:val="00395E82"/>
    <w:rsid w:val="00395F5D"/>
    <w:rsid w:val="0039616F"/>
    <w:rsid w:val="003962B9"/>
    <w:rsid w:val="00396374"/>
    <w:rsid w:val="00396426"/>
    <w:rsid w:val="00396439"/>
    <w:rsid w:val="003965B4"/>
    <w:rsid w:val="003965D6"/>
    <w:rsid w:val="003967C4"/>
    <w:rsid w:val="00396893"/>
    <w:rsid w:val="00396956"/>
    <w:rsid w:val="0039699F"/>
    <w:rsid w:val="00396C85"/>
    <w:rsid w:val="00396F3A"/>
    <w:rsid w:val="00397139"/>
    <w:rsid w:val="003971C7"/>
    <w:rsid w:val="00397434"/>
    <w:rsid w:val="003977F1"/>
    <w:rsid w:val="003A01BC"/>
    <w:rsid w:val="003A0309"/>
    <w:rsid w:val="003A030E"/>
    <w:rsid w:val="003A037B"/>
    <w:rsid w:val="003A03D9"/>
    <w:rsid w:val="003A0705"/>
    <w:rsid w:val="003A091F"/>
    <w:rsid w:val="003A09C8"/>
    <w:rsid w:val="003A0B7F"/>
    <w:rsid w:val="003A0C5B"/>
    <w:rsid w:val="003A0CB5"/>
    <w:rsid w:val="003A0E43"/>
    <w:rsid w:val="003A0F54"/>
    <w:rsid w:val="003A11D8"/>
    <w:rsid w:val="003A15D0"/>
    <w:rsid w:val="003A160E"/>
    <w:rsid w:val="003A16C6"/>
    <w:rsid w:val="003A1839"/>
    <w:rsid w:val="003A1BEA"/>
    <w:rsid w:val="003A1BF4"/>
    <w:rsid w:val="003A1C68"/>
    <w:rsid w:val="003A1ED8"/>
    <w:rsid w:val="003A204B"/>
    <w:rsid w:val="003A22BC"/>
    <w:rsid w:val="003A2505"/>
    <w:rsid w:val="003A257C"/>
    <w:rsid w:val="003A2587"/>
    <w:rsid w:val="003A25EB"/>
    <w:rsid w:val="003A262F"/>
    <w:rsid w:val="003A272F"/>
    <w:rsid w:val="003A2A65"/>
    <w:rsid w:val="003A2CDB"/>
    <w:rsid w:val="003A2D1C"/>
    <w:rsid w:val="003A2EE1"/>
    <w:rsid w:val="003A3314"/>
    <w:rsid w:val="003A34E9"/>
    <w:rsid w:val="003A35D5"/>
    <w:rsid w:val="003A35FD"/>
    <w:rsid w:val="003A3778"/>
    <w:rsid w:val="003A3AC6"/>
    <w:rsid w:val="003A3C26"/>
    <w:rsid w:val="003A3C81"/>
    <w:rsid w:val="003A3CD0"/>
    <w:rsid w:val="003A3D42"/>
    <w:rsid w:val="003A3E31"/>
    <w:rsid w:val="003A3EA2"/>
    <w:rsid w:val="003A4130"/>
    <w:rsid w:val="003A4189"/>
    <w:rsid w:val="003A4197"/>
    <w:rsid w:val="003A427F"/>
    <w:rsid w:val="003A4293"/>
    <w:rsid w:val="003A43C4"/>
    <w:rsid w:val="003A443B"/>
    <w:rsid w:val="003A44EB"/>
    <w:rsid w:val="003A450D"/>
    <w:rsid w:val="003A4534"/>
    <w:rsid w:val="003A456B"/>
    <w:rsid w:val="003A46D0"/>
    <w:rsid w:val="003A4812"/>
    <w:rsid w:val="003A4988"/>
    <w:rsid w:val="003A4B08"/>
    <w:rsid w:val="003A4B37"/>
    <w:rsid w:val="003A4F8B"/>
    <w:rsid w:val="003A521C"/>
    <w:rsid w:val="003A523D"/>
    <w:rsid w:val="003A537A"/>
    <w:rsid w:val="003A555C"/>
    <w:rsid w:val="003A56CE"/>
    <w:rsid w:val="003A58B6"/>
    <w:rsid w:val="003A5ADA"/>
    <w:rsid w:val="003A5DF9"/>
    <w:rsid w:val="003A5E99"/>
    <w:rsid w:val="003A5FB2"/>
    <w:rsid w:val="003A6065"/>
    <w:rsid w:val="003A61E1"/>
    <w:rsid w:val="003A6215"/>
    <w:rsid w:val="003A625B"/>
    <w:rsid w:val="003A6311"/>
    <w:rsid w:val="003A6525"/>
    <w:rsid w:val="003A6782"/>
    <w:rsid w:val="003A6929"/>
    <w:rsid w:val="003A6C53"/>
    <w:rsid w:val="003A6E57"/>
    <w:rsid w:val="003A6F65"/>
    <w:rsid w:val="003A7041"/>
    <w:rsid w:val="003A71AB"/>
    <w:rsid w:val="003A7286"/>
    <w:rsid w:val="003A730C"/>
    <w:rsid w:val="003A73D8"/>
    <w:rsid w:val="003A7593"/>
    <w:rsid w:val="003A7685"/>
    <w:rsid w:val="003A7778"/>
    <w:rsid w:val="003A77C9"/>
    <w:rsid w:val="003A77E3"/>
    <w:rsid w:val="003A7817"/>
    <w:rsid w:val="003A7A82"/>
    <w:rsid w:val="003A7A85"/>
    <w:rsid w:val="003A7B43"/>
    <w:rsid w:val="003A7C9D"/>
    <w:rsid w:val="003A7CF5"/>
    <w:rsid w:val="003A7D79"/>
    <w:rsid w:val="003A7F54"/>
    <w:rsid w:val="003A7F89"/>
    <w:rsid w:val="003B017B"/>
    <w:rsid w:val="003B0211"/>
    <w:rsid w:val="003B0304"/>
    <w:rsid w:val="003B0319"/>
    <w:rsid w:val="003B0330"/>
    <w:rsid w:val="003B088A"/>
    <w:rsid w:val="003B0981"/>
    <w:rsid w:val="003B09D5"/>
    <w:rsid w:val="003B0B37"/>
    <w:rsid w:val="003B0C73"/>
    <w:rsid w:val="003B0F86"/>
    <w:rsid w:val="003B0FE7"/>
    <w:rsid w:val="003B1155"/>
    <w:rsid w:val="003B1288"/>
    <w:rsid w:val="003B169B"/>
    <w:rsid w:val="003B174D"/>
    <w:rsid w:val="003B17BC"/>
    <w:rsid w:val="003B192F"/>
    <w:rsid w:val="003B1954"/>
    <w:rsid w:val="003B1994"/>
    <w:rsid w:val="003B19D2"/>
    <w:rsid w:val="003B1CA6"/>
    <w:rsid w:val="003B1E9F"/>
    <w:rsid w:val="003B2065"/>
    <w:rsid w:val="003B2116"/>
    <w:rsid w:val="003B253B"/>
    <w:rsid w:val="003B256B"/>
    <w:rsid w:val="003B2579"/>
    <w:rsid w:val="003B2660"/>
    <w:rsid w:val="003B26BD"/>
    <w:rsid w:val="003B2735"/>
    <w:rsid w:val="003B2BCC"/>
    <w:rsid w:val="003B2EF1"/>
    <w:rsid w:val="003B2F29"/>
    <w:rsid w:val="003B2F94"/>
    <w:rsid w:val="003B312E"/>
    <w:rsid w:val="003B3272"/>
    <w:rsid w:val="003B3377"/>
    <w:rsid w:val="003B339F"/>
    <w:rsid w:val="003B3534"/>
    <w:rsid w:val="003B353E"/>
    <w:rsid w:val="003B362E"/>
    <w:rsid w:val="003B3654"/>
    <w:rsid w:val="003B389A"/>
    <w:rsid w:val="003B38F3"/>
    <w:rsid w:val="003B3915"/>
    <w:rsid w:val="003B3D4E"/>
    <w:rsid w:val="003B3FA5"/>
    <w:rsid w:val="003B4222"/>
    <w:rsid w:val="003B42A1"/>
    <w:rsid w:val="003B48EA"/>
    <w:rsid w:val="003B4A01"/>
    <w:rsid w:val="003B4C86"/>
    <w:rsid w:val="003B5188"/>
    <w:rsid w:val="003B521F"/>
    <w:rsid w:val="003B52B6"/>
    <w:rsid w:val="003B55FC"/>
    <w:rsid w:val="003B56AC"/>
    <w:rsid w:val="003B584F"/>
    <w:rsid w:val="003B593C"/>
    <w:rsid w:val="003B5C8E"/>
    <w:rsid w:val="003B5D2A"/>
    <w:rsid w:val="003B5D40"/>
    <w:rsid w:val="003B5D6E"/>
    <w:rsid w:val="003B5EFE"/>
    <w:rsid w:val="003B5F42"/>
    <w:rsid w:val="003B6121"/>
    <w:rsid w:val="003B6180"/>
    <w:rsid w:val="003B61B8"/>
    <w:rsid w:val="003B624D"/>
    <w:rsid w:val="003B628E"/>
    <w:rsid w:val="003B63BD"/>
    <w:rsid w:val="003B6460"/>
    <w:rsid w:val="003B655E"/>
    <w:rsid w:val="003B6572"/>
    <w:rsid w:val="003B68F7"/>
    <w:rsid w:val="003B692F"/>
    <w:rsid w:val="003B6A68"/>
    <w:rsid w:val="003B6ED0"/>
    <w:rsid w:val="003B705E"/>
    <w:rsid w:val="003B7245"/>
    <w:rsid w:val="003B74B8"/>
    <w:rsid w:val="003B74B9"/>
    <w:rsid w:val="003B7636"/>
    <w:rsid w:val="003B7A41"/>
    <w:rsid w:val="003B7A8B"/>
    <w:rsid w:val="003B7BA9"/>
    <w:rsid w:val="003C015E"/>
    <w:rsid w:val="003C01A4"/>
    <w:rsid w:val="003C023C"/>
    <w:rsid w:val="003C04C1"/>
    <w:rsid w:val="003C057E"/>
    <w:rsid w:val="003C05AB"/>
    <w:rsid w:val="003C0631"/>
    <w:rsid w:val="003C09E5"/>
    <w:rsid w:val="003C0A0C"/>
    <w:rsid w:val="003C0A26"/>
    <w:rsid w:val="003C0C6D"/>
    <w:rsid w:val="003C0D6E"/>
    <w:rsid w:val="003C0EED"/>
    <w:rsid w:val="003C0F29"/>
    <w:rsid w:val="003C1120"/>
    <w:rsid w:val="003C11C7"/>
    <w:rsid w:val="003C11EA"/>
    <w:rsid w:val="003C11FD"/>
    <w:rsid w:val="003C1201"/>
    <w:rsid w:val="003C127D"/>
    <w:rsid w:val="003C129C"/>
    <w:rsid w:val="003C132A"/>
    <w:rsid w:val="003C1488"/>
    <w:rsid w:val="003C153F"/>
    <w:rsid w:val="003C15E1"/>
    <w:rsid w:val="003C17C2"/>
    <w:rsid w:val="003C17DB"/>
    <w:rsid w:val="003C17F9"/>
    <w:rsid w:val="003C1A17"/>
    <w:rsid w:val="003C1A4C"/>
    <w:rsid w:val="003C1A70"/>
    <w:rsid w:val="003C1B0D"/>
    <w:rsid w:val="003C1B8C"/>
    <w:rsid w:val="003C1C15"/>
    <w:rsid w:val="003C2177"/>
    <w:rsid w:val="003C242C"/>
    <w:rsid w:val="003C24DB"/>
    <w:rsid w:val="003C26C3"/>
    <w:rsid w:val="003C2A14"/>
    <w:rsid w:val="003C2B20"/>
    <w:rsid w:val="003C2BA8"/>
    <w:rsid w:val="003C2CD1"/>
    <w:rsid w:val="003C30A4"/>
    <w:rsid w:val="003C3158"/>
    <w:rsid w:val="003C3274"/>
    <w:rsid w:val="003C3502"/>
    <w:rsid w:val="003C368D"/>
    <w:rsid w:val="003C3D44"/>
    <w:rsid w:val="003C3F1F"/>
    <w:rsid w:val="003C3FC8"/>
    <w:rsid w:val="003C400F"/>
    <w:rsid w:val="003C427F"/>
    <w:rsid w:val="003C4352"/>
    <w:rsid w:val="003C444D"/>
    <w:rsid w:val="003C4491"/>
    <w:rsid w:val="003C4521"/>
    <w:rsid w:val="003C4637"/>
    <w:rsid w:val="003C4739"/>
    <w:rsid w:val="003C47DC"/>
    <w:rsid w:val="003C4924"/>
    <w:rsid w:val="003C4984"/>
    <w:rsid w:val="003C4A77"/>
    <w:rsid w:val="003C4B3C"/>
    <w:rsid w:val="003C4B51"/>
    <w:rsid w:val="003C4B89"/>
    <w:rsid w:val="003C4B8A"/>
    <w:rsid w:val="003C4BAB"/>
    <w:rsid w:val="003C4BD4"/>
    <w:rsid w:val="003C4D73"/>
    <w:rsid w:val="003C4DAF"/>
    <w:rsid w:val="003C4FB0"/>
    <w:rsid w:val="003C4FBA"/>
    <w:rsid w:val="003C525F"/>
    <w:rsid w:val="003C526E"/>
    <w:rsid w:val="003C5311"/>
    <w:rsid w:val="003C541C"/>
    <w:rsid w:val="003C559E"/>
    <w:rsid w:val="003C5682"/>
    <w:rsid w:val="003C5840"/>
    <w:rsid w:val="003C58A0"/>
    <w:rsid w:val="003C5987"/>
    <w:rsid w:val="003C5A99"/>
    <w:rsid w:val="003C5B99"/>
    <w:rsid w:val="003C5CCC"/>
    <w:rsid w:val="003C5D1E"/>
    <w:rsid w:val="003C5DED"/>
    <w:rsid w:val="003C5F6C"/>
    <w:rsid w:val="003C606C"/>
    <w:rsid w:val="003C64E9"/>
    <w:rsid w:val="003C657D"/>
    <w:rsid w:val="003C6601"/>
    <w:rsid w:val="003C66B6"/>
    <w:rsid w:val="003C6702"/>
    <w:rsid w:val="003C674E"/>
    <w:rsid w:val="003C686C"/>
    <w:rsid w:val="003C6BE6"/>
    <w:rsid w:val="003C6C5A"/>
    <w:rsid w:val="003C6C9A"/>
    <w:rsid w:val="003C6CA8"/>
    <w:rsid w:val="003C6D0A"/>
    <w:rsid w:val="003C6DBD"/>
    <w:rsid w:val="003C6E60"/>
    <w:rsid w:val="003C7189"/>
    <w:rsid w:val="003C7464"/>
    <w:rsid w:val="003C74A3"/>
    <w:rsid w:val="003C76B4"/>
    <w:rsid w:val="003C79AE"/>
    <w:rsid w:val="003C7A59"/>
    <w:rsid w:val="003C7D8C"/>
    <w:rsid w:val="003C7EE2"/>
    <w:rsid w:val="003C7F58"/>
    <w:rsid w:val="003C7F84"/>
    <w:rsid w:val="003D0260"/>
    <w:rsid w:val="003D0262"/>
    <w:rsid w:val="003D04ED"/>
    <w:rsid w:val="003D0BAD"/>
    <w:rsid w:val="003D0C98"/>
    <w:rsid w:val="003D0F35"/>
    <w:rsid w:val="003D105A"/>
    <w:rsid w:val="003D1508"/>
    <w:rsid w:val="003D18FF"/>
    <w:rsid w:val="003D1B0C"/>
    <w:rsid w:val="003D1B0D"/>
    <w:rsid w:val="003D1B61"/>
    <w:rsid w:val="003D1BD6"/>
    <w:rsid w:val="003D1CAA"/>
    <w:rsid w:val="003D1D2A"/>
    <w:rsid w:val="003D1F04"/>
    <w:rsid w:val="003D21E6"/>
    <w:rsid w:val="003D226D"/>
    <w:rsid w:val="003D22F0"/>
    <w:rsid w:val="003D23CD"/>
    <w:rsid w:val="003D249F"/>
    <w:rsid w:val="003D25FF"/>
    <w:rsid w:val="003D2802"/>
    <w:rsid w:val="003D291C"/>
    <w:rsid w:val="003D29A9"/>
    <w:rsid w:val="003D2BAF"/>
    <w:rsid w:val="003D2DBF"/>
    <w:rsid w:val="003D2E98"/>
    <w:rsid w:val="003D2EEF"/>
    <w:rsid w:val="003D300E"/>
    <w:rsid w:val="003D3160"/>
    <w:rsid w:val="003D31AC"/>
    <w:rsid w:val="003D36F4"/>
    <w:rsid w:val="003D37E2"/>
    <w:rsid w:val="003D3939"/>
    <w:rsid w:val="003D3940"/>
    <w:rsid w:val="003D3954"/>
    <w:rsid w:val="003D396A"/>
    <w:rsid w:val="003D3EF8"/>
    <w:rsid w:val="003D4352"/>
    <w:rsid w:val="003D43C0"/>
    <w:rsid w:val="003D4402"/>
    <w:rsid w:val="003D4505"/>
    <w:rsid w:val="003D454E"/>
    <w:rsid w:val="003D4677"/>
    <w:rsid w:val="003D473C"/>
    <w:rsid w:val="003D47C8"/>
    <w:rsid w:val="003D4ACD"/>
    <w:rsid w:val="003D4CD5"/>
    <w:rsid w:val="003D4CDA"/>
    <w:rsid w:val="003D4F57"/>
    <w:rsid w:val="003D507F"/>
    <w:rsid w:val="003D52E8"/>
    <w:rsid w:val="003D5678"/>
    <w:rsid w:val="003D58D8"/>
    <w:rsid w:val="003D5BE8"/>
    <w:rsid w:val="003D5CB3"/>
    <w:rsid w:val="003D5D83"/>
    <w:rsid w:val="003D5DAC"/>
    <w:rsid w:val="003D629B"/>
    <w:rsid w:val="003D6457"/>
    <w:rsid w:val="003D660A"/>
    <w:rsid w:val="003D662B"/>
    <w:rsid w:val="003D6A65"/>
    <w:rsid w:val="003D6E93"/>
    <w:rsid w:val="003D710E"/>
    <w:rsid w:val="003D745D"/>
    <w:rsid w:val="003D79B4"/>
    <w:rsid w:val="003D7A55"/>
    <w:rsid w:val="003D7E8C"/>
    <w:rsid w:val="003E029B"/>
    <w:rsid w:val="003E0304"/>
    <w:rsid w:val="003E0325"/>
    <w:rsid w:val="003E04AC"/>
    <w:rsid w:val="003E0512"/>
    <w:rsid w:val="003E053F"/>
    <w:rsid w:val="003E05D4"/>
    <w:rsid w:val="003E0659"/>
    <w:rsid w:val="003E0916"/>
    <w:rsid w:val="003E095A"/>
    <w:rsid w:val="003E0B19"/>
    <w:rsid w:val="003E0C2A"/>
    <w:rsid w:val="003E0D4A"/>
    <w:rsid w:val="003E0FA6"/>
    <w:rsid w:val="003E0FF2"/>
    <w:rsid w:val="003E11F9"/>
    <w:rsid w:val="003E155A"/>
    <w:rsid w:val="003E159F"/>
    <w:rsid w:val="003E1D3F"/>
    <w:rsid w:val="003E1DD8"/>
    <w:rsid w:val="003E1E63"/>
    <w:rsid w:val="003E1EE4"/>
    <w:rsid w:val="003E1F2D"/>
    <w:rsid w:val="003E20E4"/>
    <w:rsid w:val="003E2439"/>
    <w:rsid w:val="003E2462"/>
    <w:rsid w:val="003E264F"/>
    <w:rsid w:val="003E2A82"/>
    <w:rsid w:val="003E2AEC"/>
    <w:rsid w:val="003E2B2D"/>
    <w:rsid w:val="003E2F9B"/>
    <w:rsid w:val="003E307B"/>
    <w:rsid w:val="003E315A"/>
    <w:rsid w:val="003E31DD"/>
    <w:rsid w:val="003E32DD"/>
    <w:rsid w:val="003E3314"/>
    <w:rsid w:val="003E34FC"/>
    <w:rsid w:val="003E35FE"/>
    <w:rsid w:val="003E3727"/>
    <w:rsid w:val="003E3963"/>
    <w:rsid w:val="003E3C78"/>
    <w:rsid w:val="003E3D34"/>
    <w:rsid w:val="003E3E7F"/>
    <w:rsid w:val="003E3F09"/>
    <w:rsid w:val="003E402A"/>
    <w:rsid w:val="003E4057"/>
    <w:rsid w:val="003E41E1"/>
    <w:rsid w:val="003E425E"/>
    <w:rsid w:val="003E42FB"/>
    <w:rsid w:val="003E43E7"/>
    <w:rsid w:val="003E448F"/>
    <w:rsid w:val="003E48A9"/>
    <w:rsid w:val="003E496A"/>
    <w:rsid w:val="003E49C2"/>
    <w:rsid w:val="003E4B0A"/>
    <w:rsid w:val="003E4BC7"/>
    <w:rsid w:val="003E4CA3"/>
    <w:rsid w:val="003E4F4A"/>
    <w:rsid w:val="003E520D"/>
    <w:rsid w:val="003E521D"/>
    <w:rsid w:val="003E523E"/>
    <w:rsid w:val="003E5332"/>
    <w:rsid w:val="003E556B"/>
    <w:rsid w:val="003E5571"/>
    <w:rsid w:val="003E55CB"/>
    <w:rsid w:val="003E583D"/>
    <w:rsid w:val="003E5E6B"/>
    <w:rsid w:val="003E5F58"/>
    <w:rsid w:val="003E5F9C"/>
    <w:rsid w:val="003E6062"/>
    <w:rsid w:val="003E6108"/>
    <w:rsid w:val="003E6192"/>
    <w:rsid w:val="003E61D4"/>
    <w:rsid w:val="003E625C"/>
    <w:rsid w:val="003E63F6"/>
    <w:rsid w:val="003E6659"/>
    <w:rsid w:val="003E6C28"/>
    <w:rsid w:val="003E6C46"/>
    <w:rsid w:val="003E6D49"/>
    <w:rsid w:val="003E6EF3"/>
    <w:rsid w:val="003E6F8D"/>
    <w:rsid w:val="003E6FFD"/>
    <w:rsid w:val="003E702F"/>
    <w:rsid w:val="003E72C0"/>
    <w:rsid w:val="003E75A8"/>
    <w:rsid w:val="003E778D"/>
    <w:rsid w:val="003E77AA"/>
    <w:rsid w:val="003E7811"/>
    <w:rsid w:val="003E786E"/>
    <w:rsid w:val="003E7CB1"/>
    <w:rsid w:val="003E7DB5"/>
    <w:rsid w:val="003E7DB7"/>
    <w:rsid w:val="003F0718"/>
    <w:rsid w:val="003F07C3"/>
    <w:rsid w:val="003F0966"/>
    <w:rsid w:val="003F0A49"/>
    <w:rsid w:val="003F0ADD"/>
    <w:rsid w:val="003F0AFF"/>
    <w:rsid w:val="003F0B13"/>
    <w:rsid w:val="003F0BB4"/>
    <w:rsid w:val="003F0C78"/>
    <w:rsid w:val="003F0D9B"/>
    <w:rsid w:val="003F0E15"/>
    <w:rsid w:val="003F0F54"/>
    <w:rsid w:val="003F0FBC"/>
    <w:rsid w:val="003F101E"/>
    <w:rsid w:val="003F10F7"/>
    <w:rsid w:val="003F138D"/>
    <w:rsid w:val="003F1607"/>
    <w:rsid w:val="003F1784"/>
    <w:rsid w:val="003F198E"/>
    <w:rsid w:val="003F1D56"/>
    <w:rsid w:val="003F1DD0"/>
    <w:rsid w:val="003F2208"/>
    <w:rsid w:val="003F24B0"/>
    <w:rsid w:val="003F2548"/>
    <w:rsid w:val="003F2626"/>
    <w:rsid w:val="003F262E"/>
    <w:rsid w:val="003F27E5"/>
    <w:rsid w:val="003F27EF"/>
    <w:rsid w:val="003F2920"/>
    <w:rsid w:val="003F2C7E"/>
    <w:rsid w:val="003F2E9C"/>
    <w:rsid w:val="003F2F0B"/>
    <w:rsid w:val="003F3193"/>
    <w:rsid w:val="003F3219"/>
    <w:rsid w:val="003F326F"/>
    <w:rsid w:val="003F3385"/>
    <w:rsid w:val="003F33AC"/>
    <w:rsid w:val="003F3470"/>
    <w:rsid w:val="003F3549"/>
    <w:rsid w:val="003F361D"/>
    <w:rsid w:val="003F378C"/>
    <w:rsid w:val="003F37B5"/>
    <w:rsid w:val="003F39BC"/>
    <w:rsid w:val="003F438A"/>
    <w:rsid w:val="003F44E9"/>
    <w:rsid w:val="003F44EE"/>
    <w:rsid w:val="003F4547"/>
    <w:rsid w:val="003F4690"/>
    <w:rsid w:val="003F47DC"/>
    <w:rsid w:val="003F4994"/>
    <w:rsid w:val="003F4A28"/>
    <w:rsid w:val="003F4C1E"/>
    <w:rsid w:val="003F4C57"/>
    <w:rsid w:val="003F4C7E"/>
    <w:rsid w:val="003F4D7A"/>
    <w:rsid w:val="003F4DEA"/>
    <w:rsid w:val="003F51BA"/>
    <w:rsid w:val="003F56EA"/>
    <w:rsid w:val="003F577B"/>
    <w:rsid w:val="003F57B7"/>
    <w:rsid w:val="003F5862"/>
    <w:rsid w:val="003F59FD"/>
    <w:rsid w:val="003F5BF0"/>
    <w:rsid w:val="003F5D15"/>
    <w:rsid w:val="003F5D60"/>
    <w:rsid w:val="003F5D8F"/>
    <w:rsid w:val="003F5DBC"/>
    <w:rsid w:val="003F5EB7"/>
    <w:rsid w:val="003F5EEF"/>
    <w:rsid w:val="003F5F78"/>
    <w:rsid w:val="003F6374"/>
    <w:rsid w:val="003F643E"/>
    <w:rsid w:val="003F673A"/>
    <w:rsid w:val="003F693C"/>
    <w:rsid w:val="003F6B63"/>
    <w:rsid w:val="003F6D2B"/>
    <w:rsid w:val="003F6D38"/>
    <w:rsid w:val="003F6DD9"/>
    <w:rsid w:val="003F6E21"/>
    <w:rsid w:val="003F6E25"/>
    <w:rsid w:val="003F7061"/>
    <w:rsid w:val="003F70AD"/>
    <w:rsid w:val="003F7306"/>
    <w:rsid w:val="003F7398"/>
    <w:rsid w:val="003F74D4"/>
    <w:rsid w:val="003F7856"/>
    <w:rsid w:val="003F7872"/>
    <w:rsid w:val="003F7892"/>
    <w:rsid w:val="003F79AD"/>
    <w:rsid w:val="003F79D7"/>
    <w:rsid w:val="003F7A00"/>
    <w:rsid w:val="003F7B82"/>
    <w:rsid w:val="003F7D63"/>
    <w:rsid w:val="003F7F88"/>
    <w:rsid w:val="003F7FD7"/>
    <w:rsid w:val="0040009A"/>
    <w:rsid w:val="00400109"/>
    <w:rsid w:val="0040023A"/>
    <w:rsid w:val="00400323"/>
    <w:rsid w:val="004005C2"/>
    <w:rsid w:val="0040073F"/>
    <w:rsid w:val="00400A2C"/>
    <w:rsid w:val="00400A7C"/>
    <w:rsid w:val="00400C86"/>
    <w:rsid w:val="00400E1D"/>
    <w:rsid w:val="00401173"/>
    <w:rsid w:val="0040117E"/>
    <w:rsid w:val="00401194"/>
    <w:rsid w:val="00401404"/>
    <w:rsid w:val="0040151D"/>
    <w:rsid w:val="004016AA"/>
    <w:rsid w:val="004016D4"/>
    <w:rsid w:val="004016DD"/>
    <w:rsid w:val="00401868"/>
    <w:rsid w:val="004018E3"/>
    <w:rsid w:val="00401A35"/>
    <w:rsid w:val="00401AFA"/>
    <w:rsid w:val="00401B69"/>
    <w:rsid w:val="00401D39"/>
    <w:rsid w:val="00401EAE"/>
    <w:rsid w:val="004021A4"/>
    <w:rsid w:val="0040220C"/>
    <w:rsid w:val="0040233C"/>
    <w:rsid w:val="00402450"/>
    <w:rsid w:val="00402475"/>
    <w:rsid w:val="004024E1"/>
    <w:rsid w:val="00402652"/>
    <w:rsid w:val="00402940"/>
    <w:rsid w:val="004029C7"/>
    <w:rsid w:val="00402A20"/>
    <w:rsid w:val="00402C42"/>
    <w:rsid w:val="00402EEB"/>
    <w:rsid w:val="0040338E"/>
    <w:rsid w:val="00403431"/>
    <w:rsid w:val="004034B0"/>
    <w:rsid w:val="004034C1"/>
    <w:rsid w:val="00403646"/>
    <w:rsid w:val="004036FC"/>
    <w:rsid w:val="0040393B"/>
    <w:rsid w:val="00403BCA"/>
    <w:rsid w:val="00403C1A"/>
    <w:rsid w:val="00403D0A"/>
    <w:rsid w:val="00403F52"/>
    <w:rsid w:val="004041FB"/>
    <w:rsid w:val="0040432B"/>
    <w:rsid w:val="00404388"/>
    <w:rsid w:val="00404390"/>
    <w:rsid w:val="004044AC"/>
    <w:rsid w:val="00404618"/>
    <w:rsid w:val="00404714"/>
    <w:rsid w:val="00404855"/>
    <w:rsid w:val="00404FF5"/>
    <w:rsid w:val="0040508F"/>
    <w:rsid w:val="0040515C"/>
    <w:rsid w:val="00405173"/>
    <w:rsid w:val="004052BB"/>
    <w:rsid w:val="00405387"/>
    <w:rsid w:val="0040539E"/>
    <w:rsid w:val="004054FD"/>
    <w:rsid w:val="00405738"/>
    <w:rsid w:val="00405746"/>
    <w:rsid w:val="0040582C"/>
    <w:rsid w:val="00405926"/>
    <w:rsid w:val="004059EF"/>
    <w:rsid w:val="00405B26"/>
    <w:rsid w:val="00405C11"/>
    <w:rsid w:val="00405DD1"/>
    <w:rsid w:val="00405FB9"/>
    <w:rsid w:val="00406696"/>
    <w:rsid w:val="004066D2"/>
    <w:rsid w:val="004066D9"/>
    <w:rsid w:val="00406800"/>
    <w:rsid w:val="00406A79"/>
    <w:rsid w:val="00406B97"/>
    <w:rsid w:val="00407006"/>
    <w:rsid w:val="004070AA"/>
    <w:rsid w:val="00407391"/>
    <w:rsid w:val="004073E4"/>
    <w:rsid w:val="00407574"/>
    <w:rsid w:val="00407784"/>
    <w:rsid w:val="004077E8"/>
    <w:rsid w:val="00407844"/>
    <w:rsid w:val="0040786E"/>
    <w:rsid w:val="00407CC4"/>
    <w:rsid w:val="00407D3F"/>
    <w:rsid w:val="00407D59"/>
    <w:rsid w:val="00407DDA"/>
    <w:rsid w:val="004100A7"/>
    <w:rsid w:val="00410286"/>
    <w:rsid w:val="00410368"/>
    <w:rsid w:val="004103CA"/>
    <w:rsid w:val="004105D9"/>
    <w:rsid w:val="00410AA3"/>
    <w:rsid w:val="00410C25"/>
    <w:rsid w:val="00410C6D"/>
    <w:rsid w:val="00410D5A"/>
    <w:rsid w:val="00410DED"/>
    <w:rsid w:val="00410E39"/>
    <w:rsid w:val="004110B3"/>
    <w:rsid w:val="00411249"/>
    <w:rsid w:val="004115D5"/>
    <w:rsid w:val="0041180C"/>
    <w:rsid w:val="004119C6"/>
    <w:rsid w:val="00411A79"/>
    <w:rsid w:val="00411D58"/>
    <w:rsid w:val="00411DD1"/>
    <w:rsid w:val="00411DE6"/>
    <w:rsid w:val="0041212E"/>
    <w:rsid w:val="00412480"/>
    <w:rsid w:val="0041252F"/>
    <w:rsid w:val="0041278F"/>
    <w:rsid w:val="004128E2"/>
    <w:rsid w:val="004129AB"/>
    <w:rsid w:val="004129C9"/>
    <w:rsid w:val="00412A25"/>
    <w:rsid w:val="00412B11"/>
    <w:rsid w:val="00412C24"/>
    <w:rsid w:val="00412F33"/>
    <w:rsid w:val="0041317A"/>
    <w:rsid w:val="004132AE"/>
    <w:rsid w:val="00413423"/>
    <w:rsid w:val="00413493"/>
    <w:rsid w:val="00413814"/>
    <w:rsid w:val="00413ADC"/>
    <w:rsid w:val="00413B34"/>
    <w:rsid w:val="00413FF6"/>
    <w:rsid w:val="00414003"/>
    <w:rsid w:val="004142E7"/>
    <w:rsid w:val="00414436"/>
    <w:rsid w:val="004146D7"/>
    <w:rsid w:val="00414798"/>
    <w:rsid w:val="004147A2"/>
    <w:rsid w:val="00414837"/>
    <w:rsid w:val="00414870"/>
    <w:rsid w:val="0041488C"/>
    <w:rsid w:val="00414ADA"/>
    <w:rsid w:val="00414B4B"/>
    <w:rsid w:val="00414CA1"/>
    <w:rsid w:val="00414D9B"/>
    <w:rsid w:val="00414E54"/>
    <w:rsid w:val="0041514C"/>
    <w:rsid w:val="004153D8"/>
    <w:rsid w:val="004157F1"/>
    <w:rsid w:val="004158C6"/>
    <w:rsid w:val="00415A0D"/>
    <w:rsid w:val="00415A2B"/>
    <w:rsid w:val="00415D3B"/>
    <w:rsid w:val="00415D4D"/>
    <w:rsid w:val="00415E5B"/>
    <w:rsid w:val="00415F21"/>
    <w:rsid w:val="004160E2"/>
    <w:rsid w:val="00416125"/>
    <w:rsid w:val="0041632C"/>
    <w:rsid w:val="00416551"/>
    <w:rsid w:val="00416720"/>
    <w:rsid w:val="0041677B"/>
    <w:rsid w:val="00416BC1"/>
    <w:rsid w:val="00416C52"/>
    <w:rsid w:val="00416E35"/>
    <w:rsid w:val="00416FD5"/>
    <w:rsid w:val="004172CA"/>
    <w:rsid w:val="004173BF"/>
    <w:rsid w:val="00417469"/>
    <w:rsid w:val="004174B4"/>
    <w:rsid w:val="004176EE"/>
    <w:rsid w:val="00417810"/>
    <w:rsid w:val="004179E4"/>
    <w:rsid w:val="00417A0F"/>
    <w:rsid w:val="00417B54"/>
    <w:rsid w:val="00417C70"/>
    <w:rsid w:val="00417DC6"/>
    <w:rsid w:val="00417DF1"/>
    <w:rsid w:val="00417E55"/>
    <w:rsid w:val="00420042"/>
    <w:rsid w:val="00420070"/>
    <w:rsid w:val="00420158"/>
    <w:rsid w:val="00420176"/>
    <w:rsid w:val="004201F3"/>
    <w:rsid w:val="004202E1"/>
    <w:rsid w:val="004204A0"/>
    <w:rsid w:val="00420604"/>
    <w:rsid w:val="0042061E"/>
    <w:rsid w:val="0042084D"/>
    <w:rsid w:val="004209AA"/>
    <w:rsid w:val="00420AEB"/>
    <w:rsid w:val="00420B24"/>
    <w:rsid w:val="00420C62"/>
    <w:rsid w:val="00420DF6"/>
    <w:rsid w:val="00420DFD"/>
    <w:rsid w:val="00420E1E"/>
    <w:rsid w:val="00420F1F"/>
    <w:rsid w:val="00420FAD"/>
    <w:rsid w:val="0042104A"/>
    <w:rsid w:val="00421098"/>
    <w:rsid w:val="00421208"/>
    <w:rsid w:val="00421283"/>
    <w:rsid w:val="004214AB"/>
    <w:rsid w:val="00421598"/>
    <w:rsid w:val="0042172F"/>
    <w:rsid w:val="00421828"/>
    <w:rsid w:val="004218B5"/>
    <w:rsid w:val="004218E1"/>
    <w:rsid w:val="00421AE1"/>
    <w:rsid w:val="00421E07"/>
    <w:rsid w:val="00421E12"/>
    <w:rsid w:val="004220FD"/>
    <w:rsid w:val="0042218D"/>
    <w:rsid w:val="004221C9"/>
    <w:rsid w:val="00422563"/>
    <w:rsid w:val="004229D1"/>
    <w:rsid w:val="00422A32"/>
    <w:rsid w:val="00422A7C"/>
    <w:rsid w:val="00422D30"/>
    <w:rsid w:val="00422D6B"/>
    <w:rsid w:val="00422F27"/>
    <w:rsid w:val="00422F95"/>
    <w:rsid w:val="004233CE"/>
    <w:rsid w:val="004233F8"/>
    <w:rsid w:val="00423627"/>
    <w:rsid w:val="0042385A"/>
    <w:rsid w:val="004238C6"/>
    <w:rsid w:val="00423982"/>
    <w:rsid w:val="004239C6"/>
    <w:rsid w:val="00423AD6"/>
    <w:rsid w:val="00423C5E"/>
    <w:rsid w:val="00423C93"/>
    <w:rsid w:val="00423D3E"/>
    <w:rsid w:val="00423D4A"/>
    <w:rsid w:val="00424155"/>
    <w:rsid w:val="004242C7"/>
    <w:rsid w:val="00424708"/>
    <w:rsid w:val="004248F6"/>
    <w:rsid w:val="0042497E"/>
    <w:rsid w:val="00424AAA"/>
    <w:rsid w:val="00424B2A"/>
    <w:rsid w:val="00424E26"/>
    <w:rsid w:val="00424EE9"/>
    <w:rsid w:val="004250E5"/>
    <w:rsid w:val="0042538E"/>
    <w:rsid w:val="00425714"/>
    <w:rsid w:val="0042584D"/>
    <w:rsid w:val="0042592D"/>
    <w:rsid w:val="00425D93"/>
    <w:rsid w:val="00425E71"/>
    <w:rsid w:val="0042614F"/>
    <w:rsid w:val="0042642A"/>
    <w:rsid w:val="00426505"/>
    <w:rsid w:val="0042666D"/>
    <w:rsid w:val="004266EF"/>
    <w:rsid w:val="00426794"/>
    <w:rsid w:val="00426856"/>
    <w:rsid w:val="00426864"/>
    <w:rsid w:val="004268ED"/>
    <w:rsid w:val="00426ABC"/>
    <w:rsid w:val="00426AEA"/>
    <w:rsid w:val="00426B42"/>
    <w:rsid w:val="00426BA1"/>
    <w:rsid w:val="00426CA2"/>
    <w:rsid w:val="00426D77"/>
    <w:rsid w:val="00426EE5"/>
    <w:rsid w:val="004270B8"/>
    <w:rsid w:val="0042721C"/>
    <w:rsid w:val="0042722E"/>
    <w:rsid w:val="0042734E"/>
    <w:rsid w:val="0042736B"/>
    <w:rsid w:val="004273C6"/>
    <w:rsid w:val="004275A7"/>
    <w:rsid w:val="00427667"/>
    <w:rsid w:val="004277FE"/>
    <w:rsid w:val="00427894"/>
    <w:rsid w:val="00427990"/>
    <w:rsid w:val="00427A7B"/>
    <w:rsid w:val="00427C16"/>
    <w:rsid w:val="00427D7E"/>
    <w:rsid w:val="00427E06"/>
    <w:rsid w:val="00427F0B"/>
    <w:rsid w:val="00427FEF"/>
    <w:rsid w:val="004300B0"/>
    <w:rsid w:val="00430441"/>
    <w:rsid w:val="004305A4"/>
    <w:rsid w:val="00430864"/>
    <w:rsid w:val="004308C2"/>
    <w:rsid w:val="0043095B"/>
    <w:rsid w:val="00430BA3"/>
    <w:rsid w:val="00430C28"/>
    <w:rsid w:val="00430D8F"/>
    <w:rsid w:val="00430E6F"/>
    <w:rsid w:val="00430E94"/>
    <w:rsid w:val="00430FC5"/>
    <w:rsid w:val="00431204"/>
    <w:rsid w:val="004312DA"/>
    <w:rsid w:val="00431367"/>
    <w:rsid w:val="00431378"/>
    <w:rsid w:val="004313C0"/>
    <w:rsid w:val="004316B4"/>
    <w:rsid w:val="004318A4"/>
    <w:rsid w:val="004318CE"/>
    <w:rsid w:val="00431BFA"/>
    <w:rsid w:val="00431C0E"/>
    <w:rsid w:val="00431E64"/>
    <w:rsid w:val="00431ED7"/>
    <w:rsid w:val="00432012"/>
    <w:rsid w:val="004325DA"/>
    <w:rsid w:val="004326EE"/>
    <w:rsid w:val="00432724"/>
    <w:rsid w:val="004328B1"/>
    <w:rsid w:val="00432AFC"/>
    <w:rsid w:val="00432B18"/>
    <w:rsid w:val="00432BF8"/>
    <w:rsid w:val="004330D5"/>
    <w:rsid w:val="004333F8"/>
    <w:rsid w:val="00433656"/>
    <w:rsid w:val="0043374A"/>
    <w:rsid w:val="00433822"/>
    <w:rsid w:val="00433A03"/>
    <w:rsid w:val="00433B83"/>
    <w:rsid w:val="00433B94"/>
    <w:rsid w:val="00433C39"/>
    <w:rsid w:val="00433C5B"/>
    <w:rsid w:val="00433C88"/>
    <w:rsid w:val="00433DA7"/>
    <w:rsid w:val="00433E03"/>
    <w:rsid w:val="00434040"/>
    <w:rsid w:val="0043408E"/>
    <w:rsid w:val="0043428A"/>
    <w:rsid w:val="0043429F"/>
    <w:rsid w:val="0043441E"/>
    <w:rsid w:val="00434613"/>
    <w:rsid w:val="00434658"/>
    <w:rsid w:val="004347FC"/>
    <w:rsid w:val="00434943"/>
    <w:rsid w:val="00434AA5"/>
    <w:rsid w:val="00434B2E"/>
    <w:rsid w:val="00435278"/>
    <w:rsid w:val="004353B8"/>
    <w:rsid w:val="00435469"/>
    <w:rsid w:val="00435533"/>
    <w:rsid w:val="0043558B"/>
    <w:rsid w:val="004356B1"/>
    <w:rsid w:val="00435732"/>
    <w:rsid w:val="004357FD"/>
    <w:rsid w:val="00435851"/>
    <w:rsid w:val="00435AC8"/>
    <w:rsid w:val="00435BD7"/>
    <w:rsid w:val="00435C74"/>
    <w:rsid w:val="00435EAF"/>
    <w:rsid w:val="00435FE0"/>
    <w:rsid w:val="004360A5"/>
    <w:rsid w:val="004360C5"/>
    <w:rsid w:val="004361D1"/>
    <w:rsid w:val="004363ED"/>
    <w:rsid w:val="00436A56"/>
    <w:rsid w:val="00436A97"/>
    <w:rsid w:val="0043701A"/>
    <w:rsid w:val="00437077"/>
    <w:rsid w:val="00437406"/>
    <w:rsid w:val="00437F4D"/>
    <w:rsid w:val="00437FDB"/>
    <w:rsid w:val="00440054"/>
    <w:rsid w:val="004401AB"/>
    <w:rsid w:val="004404C1"/>
    <w:rsid w:val="004407D3"/>
    <w:rsid w:val="0044092C"/>
    <w:rsid w:val="00440990"/>
    <w:rsid w:val="00440AA0"/>
    <w:rsid w:val="00440B54"/>
    <w:rsid w:val="00440DAC"/>
    <w:rsid w:val="00440DF0"/>
    <w:rsid w:val="00440E55"/>
    <w:rsid w:val="00440FCC"/>
    <w:rsid w:val="0044117D"/>
    <w:rsid w:val="0044158C"/>
    <w:rsid w:val="004418E6"/>
    <w:rsid w:val="00442209"/>
    <w:rsid w:val="0044226B"/>
    <w:rsid w:val="0044257C"/>
    <w:rsid w:val="0044272D"/>
    <w:rsid w:val="0044287E"/>
    <w:rsid w:val="00442890"/>
    <w:rsid w:val="00442929"/>
    <w:rsid w:val="00442992"/>
    <w:rsid w:val="00442C5B"/>
    <w:rsid w:val="00443583"/>
    <w:rsid w:val="00443677"/>
    <w:rsid w:val="004436BF"/>
    <w:rsid w:val="004436E4"/>
    <w:rsid w:val="0044379E"/>
    <w:rsid w:val="0044384D"/>
    <w:rsid w:val="00443893"/>
    <w:rsid w:val="0044395C"/>
    <w:rsid w:val="004439AE"/>
    <w:rsid w:val="00443C80"/>
    <w:rsid w:val="00443C9C"/>
    <w:rsid w:val="00443D54"/>
    <w:rsid w:val="00443E68"/>
    <w:rsid w:val="00443F50"/>
    <w:rsid w:val="0044447F"/>
    <w:rsid w:val="00444505"/>
    <w:rsid w:val="004446E6"/>
    <w:rsid w:val="0044482F"/>
    <w:rsid w:val="00444849"/>
    <w:rsid w:val="00444AA0"/>
    <w:rsid w:val="00444AA9"/>
    <w:rsid w:val="00444C81"/>
    <w:rsid w:val="00444DA6"/>
    <w:rsid w:val="0044526B"/>
    <w:rsid w:val="004453AF"/>
    <w:rsid w:val="004454CE"/>
    <w:rsid w:val="0044566A"/>
    <w:rsid w:val="00445A69"/>
    <w:rsid w:val="00445ACC"/>
    <w:rsid w:val="00445AD0"/>
    <w:rsid w:val="00445D14"/>
    <w:rsid w:val="004460CE"/>
    <w:rsid w:val="004461ED"/>
    <w:rsid w:val="00446259"/>
    <w:rsid w:val="004462CF"/>
    <w:rsid w:val="004463DD"/>
    <w:rsid w:val="0044655A"/>
    <w:rsid w:val="00446637"/>
    <w:rsid w:val="00446765"/>
    <w:rsid w:val="00446836"/>
    <w:rsid w:val="00446863"/>
    <w:rsid w:val="00446A18"/>
    <w:rsid w:val="00446A97"/>
    <w:rsid w:val="00446B11"/>
    <w:rsid w:val="00446D8B"/>
    <w:rsid w:val="00446E90"/>
    <w:rsid w:val="00446EBF"/>
    <w:rsid w:val="00446F38"/>
    <w:rsid w:val="00446FC8"/>
    <w:rsid w:val="00447017"/>
    <w:rsid w:val="004470DC"/>
    <w:rsid w:val="004473E7"/>
    <w:rsid w:val="00447429"/>
    <w:rsid w:val="00447477"/>
    <w:rsid w:val="004479FB"/>
    <w:rsid w:val="004479FC"/>
    <w:rsid w:val="00447A15"/>
    <w:rsid w:val="00447AF3"/>
    <w:rsid w:val="00447D0E"/>
    <w:rsid w:val="00447E88"/>
    <w:rsid w:val="00447F4C"/>
    <w:rsid w:val="00447FDB"/>
    <w:rsid w:val="00450350"/>
    <w:rsid w:val="004504D6"/>
    <w:rsid w:val="004506CA"/>
    <w:rsid w:val="004508C1"/>
    <w:rsid w:val="00450A27"/>
    <w:rsid w:val="00450AF6"/>
    <w:rsid w:val="0045114D"/>
    <w:rsid w:val="004513C9"/>
    <w:rsid w:val="00451622"/>
    <w:rsid w:val="00451732"/>
    <w:rsid w:val="004517D5"/>
    <w:rsid w:val="0045194F"/>
    <w:rsid w:val="0045197A"/>
    <w:rsid w:val="00451AB4"/>
    <w:rsid w:val="004521E8"/>
    <w:rsid w:val="004522A3"/>
    <w:rsid w:val="004522F4"/>
    <w:rsid w:val="00452327"/>
    <w:rsid w:val="00452466"/>
    <w:rsid w:val="004524B9"/>
    <w:rsid w:val="00452516"/>
    <w:rsid w:val="0045253C"/>
    <w:rsid w:val="00452769"/>
    <w:rsid w:val="00452785"/>
    <w:rsid w:val="004527CA"/>
    <w:rsid w:val="00452930"/>
    <w:rsid w:val="00452A7B"/>
    <w:rsid w:val="00452BD9"/>
    <w:rsid w:val="00452C7B"/>
    <w:rsid w:val="00452C94"/>
    <w:rsid w:val="00452CB4"/>
    <w:rsid w:val="00452D8E"/>
    <w:rsid w:val="00452E28"/>
    <w:rsid w:val="00452FAE"/>
    <w:rsid w:val="0045318B"/>
    <w:rsid w:val="0045329D"/>
    <w:rsid w:val="00453317"/>
    <w:rsid w:val="0045333C"/>
    <w:rsid w:val="00453691"/>
    <w:rsid w:val="0045375C"/>
    <w:rsid w:val="00453FD2"/>
    <w:rsid w:val="0045415B"/>
    <w:rsid w:val="004541F0"/>
    <w:rsid w:val="00454214"/>
    <w:rsid w:val="00454243"/>
    <w:rsid w:val="00454282"/>
    <w:rsid w:val="00454467"/>
    <w:rsid w:val="00454488"/>
    <w:rsid w:val="0045457B"/>
    <w:rsid w:val="004545A7"/>
    <w:rsid w:val="00454666"/>
    <w:rsid w:val="00454685"/>
    <w:rsid w:val="004546FC"/>
    <w:rsid w:val="00454720"/>
    <w:rsid w:val="004547A4"/>
    <w:rsid w:val="00454888"/>
    <w:rsid w:val="00454F47"/>
    <w:rsid w:val="00455069"/>
    <w:rsid w:val="004550F5"/>
    <w:rsid w:val="0045522D"/>
    <w:rsid w:val="00455375"/>
    <w:rsid w:val="0045548A"/>
    <w:rsid w:val="00455811"/>
    <w:rsid w:val="00455C63"/>
    <w:rsid w:val="00455E09"/>
    <w:rsid w:val="00455F29"/>
    <w:rsid w:val="00456048"/>
    <w:rsid w:val="004560AA"/>
    <w:rsid w:val="004561DC"/>
    <w:rsid w:val="00456249"/>
    <w:rsid w:val="00456311"/>
    <w:rsid w:val="00456444"/>
    <w:rsid w:val="004564BA"/>
    <w:rsid w:val="004566CC"/>
    <w:rsid w:val="00456713"/>
    <w:rsid w:val="004567AD"/>
    <w:rsid w:val="00456945"/>
    <w:rsid w:val="0045695E"/>
    <w:rsid w:val="00456DE6"/>
    <w:rsid w:val="00456E68"/>
    <w:rsid w:val="004571F7"/>
    <w:rsid w:val="004573E0"/>
    <w:rsid w:val="004577E9"/>
    <w:rsid w:val="004578BE"/>
    <w:rsid w:val="00457C6B"/>
    <w:rsid w:val="00457C7E"/>
    <w:rsid w:val="00457CF1"/>
    <w:rsid w:val="00457DDF"/>
    <w:rsid w:val="00457EA9"/>
    <w:rsid w:val="0046010C"/>
    <w:rsid w:val="0046046C"/>
    <w:rsid w:val="0046048B"/>
    <w:rsid w:val="00460509"/>
    <w:rsid w:val="004605A7"/>
    <w:rsid w:val="004609B2"/>
    <w:rsid w:val="00460D13"/>
    <w:rsid w:val="00460F05"/>
    <w:rsid w:val="00460F57"/>
    <w:rsid w:val="00460F70"/>
    <w:rsid w:val="004610FF"/>
    <w:rsid w:val="00461153"/>
    <w:rsid w:val="0046117F"/>
    <w:rsid w:val="004611E3"/>
    <w:rsid w:val="0046127B"/>
    <w:rsid w:val="004612AE"/>
    <w:rsid w:val="004612F3"/>
    <w:rsid w:val="00461348"/>
    <w:rsid w:val="00461458"/>
    <w:rsid w:val="00461470"/>
    <w:rsid w:val="004614DD"/>
    <w:rsid w:val="004614E0"/>
    <w:rsid w:val="00461592"/>
    <w:rsid w:val="004616F1"/>
    <w:rsid w:val="0046185F"/>
    <w:rsid w:val="004619DB"/>
    <w:rsid w:val="00461B2F"/>
    <w:rsid w:val="00461D4D"/>
    <w:rsid w:val="00461D53"/>
    <w:rsid w:val="00461FA4"/>
    <w:rsid w:val="00461FF7"/>
    <w:rsid w:val="00462071"/>
    <w:rsid w:val="004620D2"/>
    <w:rsid w:val="00462344"/>
    <w:rsid w:val="004623AC"/>
    <w:rsid w:val="004624FD"/>
    <w:rsid w:val="004625B8"/>
    <w:rsid w:val="004625C4"/>
    <w:rsid w:val="004625EB"/>
    <w:rsid w:val="00462696"/>
    <w:rsid w:val="00462885"/>
    <w:rsid w:val="004628A1"/>
    <w:rsid w:val="0046294A"/>
    <w:rsid w:val="00462E2D"/>
    <w:rsid w:val="00463189"/>
    <w:rsid w:val="00463274"/>
    <w:rsid w:val="00463588"/>
    <w:rsid w:val="004635E0"/>
    <w:rsid w:val="00463610"/>
    <w:rsid w:val="00463633"/>
    <w:rsid w:val="00463675"/>
    <w:rsid w:val="00463708"/>
    <w:rsid w:val="004637A9"/>
    <w:rsid w:val="00463F53"/>
    <w:rsid w:val="00464124"/>
    <w:rsid w:val="00464309"/>
    <w:rsid w:val="0046443A"/>
    <w:rsid w:val="004646D3"/>
    <w:rsid w:val="004646D8"/>
    <w:rsid w:val="00464829"/>
    <w:rsid w:val="0046483D"/>
    <w:rsid w:val="00464957"/>
    <w:rsid w:val="00464BD5"/>
    <w:rsid w:val="00464D29"/>
    <w:rsid w:val="004651AA"/>
    <w:rsid w:val="00465211"/>
    <w:rsid w:val="004652EC"/>
    <w:rsid w:val="00465446"/>
    <w:rsid w:val="00465660"/>
    <w:rsid w:val="00465666"/>
    <w:rsid w:val="004657D8"/>
    <w:rsid w:val="00465868"/>
    <w:rsid w:val="004659FE"/>
    <w:rsid w:val="00465B66"/>
    <w:rsid w:val="00465BE8"/>
    <w:rsid w:val="00465CC4"/>
    <w:rsid w:val="00465D31"/>
    <w:rsid w:val="00465E19"/>
    <w:rsid w:val="00465F3D"/>
    <w:rsid w:val="0046609D"/>
    <w:rsid w:val="004660B7"/>
    <w:rsid w:val="004660C7"/>
    <w:rsid w:val="004660EA"/>
    <w:rsid w:val="0046638C"/>
    <w:rsid w:val="004663E1"/>
    <w:rsid w:val="004665DF"/>
    <w:rsid w:val="00466622"/>
    <w:rsid w:val="00466822"/>
    <w:rsid w:val="00466884"/>
    <w:rsid w:val="00466A5E"/>
    <w:rsid w:val="00466B89"/>
    <w:rsid w:val="00466C07"/>
    <w:rsid w:val="00466FAB"/>
    <w:rsid w:val="0046728A"/>
    <w:rsid w:val="004672F6"/>
    <w:rsid w:val="004673AC"/>
    <w:rsid w:val="004675AA"/>
    <w:rsid w:val="004675B8"/>
    <w:rsid w:val="004676AB"/>
    <w:rsid w:val="004677E3"/>
    <w:rsid w:val="00467A35"/>
    <w:rsid w:val="0047005E"/>
    <w:rsid w:val="0047008C"/>
    <w:rsid w:val="00470137"/>
    <w:rsid w:val="00470501"/>
    <w:rsid w:val="00470643"/>
    <w:rsid w:val="004706B3"/>
    <w:rsid w:val="00470744"/>
    <w:rsid w:val="00470794"/>
    <w:rsid w:val="00470846"/>
    <w:rsid w:val="00470A8C"/>
    <w:rsid w:val="00470BE6"/>
    <w:rsid w:val="00470CC4"/>
    <w:rsid w:val="00470D95"/>
    <w:rsid w:val="00470F29"/>
    <w:rsid w:val="00470FBE"/>
    <w:rsid w:val="004711B3"/>
    <w:rsid w:val="004712A8"/>
    <w:rsid w:val="0047176A"/>
    <w:rsid w:val="00471A8C"/>
    <w:rsid w:val="00471C5B"/>
    <w:rsid w:val="00471CCB"/>
    <w:rsid w:val="00471E59"/>
    <w:rsid w:val="00472070"/>
    <w:rsid w:val="00472210"/>
    <w:rsid w:val="004722EE"/>
    <w:rsid w:val="00472495"/>
    <w:rsid w:val="00472508"/>
    <w:rsid w:val="0047261E"/>
    <w:rsid w:val="0047273A"/>
    <w:rsid w:val="004727BE"/>
    <w:rsid w:val="00472879"/>
    <w:rsid w:val="00472A4B"/>
    <w:rsid w:val="00472A53"/>
    <w:rsid w:val="00472BD2"/>
    <w:rsid w:val="00472D8C"/>
    <w:rsid w:val="00472DDC"/>
    <w:rsid w:val="00472E70"/>
    <w:rsid w:val="00473457"/>
    <w:rsid w:val="0047350B"/>
    <w:rsid w:val="004735E8"/>
    <w:rsid w:val="0047397A"/>
    <w:rsid w:val="004739CD"/>
    <w:rsid w:val="00473A66"/>
    <w:rsid w:val="00473AEB"/>
    <w:rsid w:val="00473D51"/>
    <w:rsid w:val="00473D9A"/>
    <w:rsid w:val="00473E43"/>
    <w:rsid w:val="00473F38"/>
    <w:rsid w:val="004740F8"/>
    <w:rsid w:val="00474225"/>
    <w:rsid w:val="004743B5"/>
    <w:rsid w:val="0047451F"/>
    <w:rsid w:val="0047457F"/>
    <w:rsid w:val="00474A95"/>
    <w:rsid w:val="00474AB0"/>
    <w:rsid w:val="00474FD9"/>
    <w:rsid w:val="00475187"/>
    <w:rsid w:val="004752AD"/>
    <w:rsid w:val="0047534F"/>
    <w:rsid w:val="0047536A"/>
    <w:rsid w:val="00475489"/>
    <w:rsid w:val="00475634"/>
    <w:rsid w:val="004756DA"/>
    <w:rsid w:val="00475892"/>
    <w:rsid w:val="0047595F"/>
    <w:rsid w:val="00475B13"/>
    <w:rsid w:val="00475B36"/>
    <w:rsid w:val="00475BD8"/>
    <w:rsid w:val="00475F28"/>
    <w:rsid w:val="0047605D"/>
    <w:rsid w:val="00476137"/>
    <w:rsid w:val="004761CC"/>
    <w:rsid w:val="00476277"/>
    <w:rsid w:val="0047636F"/>
    <w:rsid w:val="00476401"/>
    <w:rsid w:val="00476473"/>
    <w:rsid w:val="0047652E"/>
    <w:rsid w:val="00476568"/>
    <w:rsid w:val="00476679"/>
    <w:rsid w:val="004766CB"/>
    <w:rsid w:val="00476717"/>
    <w:rsid w:val="00476B65"/>
    <w:rsid w:val="00476F29"/>
    <w:rsid w:val="0047706F"/>
    <w:rsid w:val="00477232"/>
    <w:rsid w:val="0047738E"/>
    <w:rsid w:val="00477430"/>
    <w:rsid w:val="0047756E"/>
    <w:rsid w:val="00477577"/>
    <w:rsid w:val="004775F8"/>
    <w:rsid w:val="00477757"/>
    <w:rsid w:val="004778F8"/>
    <w:rsid w:val="00477927"/>
    <w:rsid w:val="004779D6"/>
    <w:rsid w:val="004779E9"/>
    <w:rsid w:val="00477B83"/>
    <w:rsid w:val="00477BED"/>
    <w:rsid w:val="00477D52"/>
    <w:rsid w:val="00477DB5"/>
    <w:rsid w:val="00477E0B"/>
    <w:rsid w:val="00477E6C"/>
    <w:rsid w:val="00477E6E"/>
    <w:rsid w:val="00477F40"/>
    <w:rsid w:val="00477FF0"/>
    <w:rsid w:val="004800F7"/>
    <w:rsid w:val="004801E3"/>
    <w:rsid w:val="004805C8"/>
    <w:rsid w:val="0048070D"/>
    <w:rsid w:val="00480737"/>
    <w:rsid w:val="00480863"/>
    <w:rsid w:val="00480870"/>
    <w:rsid w:val="00480C40"/>
    <w:rsid w:val="00480ED4"/>
    <w:rsid w:val="00480ED9"/>
    <w:rsid w:val="00480F6E"/>
    <w:rsid w:val="0048106C"/>
    <w:rsid w:val="00481232"/>
    <w:rsid w:val="00481236"/>
    <w:rsid w:val="0048127E"/>
    <w:rsid w:val="004813CD"/>
    <w:rsid w:val="0048156C"/>
    <w:rsid w:val="004817D3"/>
    <w:rsid w:val="00481906"/>
    <w:rsid w:val="00481AA3"/>
    <w:rsid w:val="00481B5F"/>
    <w:rsid w:val="00481C85"/>
    <w:rsid w:val="00481E74"/>
    <w:rsid w:val="00481EB4"/>
    <w:rsid w:val="00481F10"/>
    <w:rsid w:val="00482142"/>
    <w:rsid w:val="0048222B"/>
    <w:rsid w:val="0048239F"/>
    <w:rsid w:val="004825D6"/>
    <w:rsid w:val="004826A7"/>
    <w:rsid w:val="0048287F"/>
    <w:rsid w:val="00482920"/>
    <w:rsid w:val="00482973"/>
    <w:rsid w:val="00482BC4"/>
    <w:rsid w:val="00482DDF"/>
    <w:rsid w:val="00483005"/>
    <w:rsid w:val="00483033"/>
    <w:rsid w:val="00483113"/>
    <w:rsid w:val="004831CB"/>
    <w:rsid w:val="0048341E"/>
    <w:rsid w:val="004838B2"/>
    <w:rsid w:val="00483C17"/>
    <w:rsid w:val="00483C9D"/>
    <w:rsid w:val="00483EB0"/>
    <w:rsid w:val="00483FD7"/>
    <w:rsid w:val="004841CA"/>
    <w:rsid w:val="00484223"/>
    <w:rsid w:val="0048459A"/>
    <w:rsid w:val="0048461A"/>
    <w:rsid w:val="00484B30"/>
    <w:rsid w:val="00484C3D"/>
    <w:rsid w:val="00484E71"/>
    <w:rsid w:val="00484F21"/>
    <w:rsid w:val="00485019"/>
    <w:rsid w:val="00485096"/>
    <w:rsid w:val="00485110"/>
    <w:rsid w:val="0048525A"/>
    <w:rsid w:val="0048529C"/>
    <w:rsid w:val="004852F5"/>
    <w:rsid w:val="0048532C"/>
    <w:rsid w:val="00485568"/>
    <w:rsid w:val="0048562E"/>
    <w:rsid w:val="0048588C"/>
    <w:rsid w:val="004858CB"/>
    <w:rsid w:val="00485C5A"/>
    <w:rsid w:val="00485C7C"/>
    <w:rsid w:val="00485F5F"/>
    <w:rsid w:val="00486033"/>
    <w:rsid w:val="00486426"/>
    <w:rsid w:val="00486513"/>
    <w:rsid w:val="00486532"/>
    <w:rsid w:val="004865CD"/>
    <w:rsid w:val="004868E2"/>
    <w:rsid w:val="004869E3"/>
    <w:rsid w:val="00486A38"/>
    <w:rsid w:val="00486D7A"/>
    <w:rsid w:val="00486E32"/>
    <w:rsid w:val="004870A8"/>
    <w:rsid w:val="004870E9"/>
    <w:rsid w:val="0048726A"/>
    <w:rsid w:val="004872D5"/>
    <w:rsid w:val="004879F9"/>
    <w:rsid w:val="00487A4D"/>
    <w:rsid w:val="00487D3E"/>
    <w:rsid w:val="00487E9A"/>
    <w:rsid w:val="0049006E"/>
    <w:rsid w:val="00490081"/>
    <w:rsid w:val="004900AB"/>
    <w:rsid w:val="00490207"/>
    <w:rsid w:val="00490490"/>
    <w:rsid w:val="0049049A"/>
    <w:rsid w:val="004905FB"/>
    <w:rsid w:val="0049072D"/>
    <w:rsid w:val="00490A37"/>
    <w:rsid w:val="00490AA5"/>
    <w:rsid w:val="00490ABD"/>
    <w:rsid w:val="00490CE7"/>
    <w:rsid w:val="00490F73"/>
    <w:rsid w:val="004911B4"/>
    <w:rsid w:val="00491203"/>
    <w:rsid w:val="0049120F"/>
    <w:rsid w:val="004913D2"/>
    <w:rsid w:val="0049141C"/>
    <w:rsid w:val="00491644"/>
    <w:rsid w:val="00491738"/>
    <w:rsid w:val="004918A1"/>
    <w:rsid w:val="0049195C"/>
    <w:rsid w:val="00491B1D"/>
    <w:rsid w:val="00491B9F"/>
    <w:rsid w:val="00491D93"/>
    <w:rsid w:val="00492113"/>
    <w:rsid w:val="004924A6"/>
    <w:rsid w:val="004924EF"/>
    <w:rsid w:val="0049253E"/>
    <w:rsid w:val="0049260B"/>
    <w:rsid w:val="0049264B"/>
    <w:rsid w:val="00492792"/>
    <w:rsid w:val="004927DF"/>
    <w:rsid w:val="0049297D"/>
    <w:rsid w:val="00492A4B"/>
    <w:rsid w:val="00493327"/>
    <w:rsid w:val="004933C6"/>
    <w:rsid w:val="0049343F"/>
    <w:rsid w:val="00493920"/>
    <w:rsid w:val="00493A8E"/>
    <w:rsid w:val="00493A9F"/>
    <w:rsid w:val="00493C01"/>
    <w:rsid w:val="00493D9D"/>
    <w:rsid w:val="00493E1D"/>
    <w:rsid w:val="004940D1"/>
    <w:rsid w:val="0049410A"/>
    <w:rsid w:val="00494417"/>
    <w:rsid w:val="0049467E"/>
    <w:rsid w:val="00494889"/>
    <w:rsid w:val="004948DD"/>
    <w:rsid w:val="00494C33"/>
    <w:rsid w:val="00494CEA"/>
    <w:rsid w:val="00494F76"/>
    <w:rsid w:val="00494F7D"/>
    <w:rsid w:val="00495633"/>
    <w:rsid w:val="0049581C"/>
    <w:rsid w:val="0049586E"/>
    <w:rsid w:val="0049593B"/>
    <w:rsid w:val="00495F80"/>
    <w:rsid w:val="00496065"/>
    <w:rsid w:val="004960F1"/>
    <w:rsid w:val="00496123"/>
    <w:rsid w:val="00496151"/>
    <w:rsid w:val="004961A9"/>
    <w:rsid w:val="004961D5"/>
    <w:rsid w:val="0049672B"/>
    <w:rsid w:val="004967E3"/>
    <w:rsid w:val="00496B45"/>
    <w:rsid w:val="00496D0D"/>
    <w:rsid w:val="004973B6"/>
    <w:rsid w:val="00497629"/>
    <w:rsid w:val="00497676"/>
    <w:rsid w:val="0049769A"/>
    <w:rsid w:val="0049782F"/>
    <w:rsid w:val="0049798D"/>
    <w:rsid w:val="00497B5F"/>
    <w:rsid w:val="00497D47"/>
    <w:rsid w:val="00497DA9"/>
    <w:rsid w:val="00497E41"/>
    <w:rsid w:val="00497E6A"/>
    <w:rsid w:val="004A0251"/>
    <w:rsid w:val="004A0535"/>
    <w:rsid w:val="004A053F"/>
    <w:rsid w:val="004A0799"/>
    <w:rsid w:val="004A0810"/>
    <w:rsid w:val="004A0886"/>
    <w:rsid w:val="004A08AD"/>
    <w:rsid w:val="004A092F"/>
    <w:rsid w:val="004A0959"/>
    <w:rsid w:val="004A0AE8"/>
    <w:rsid w:val="004A1123"/>
    <w:rsid w:val="004A1237"/>
    <w:rsid w:val="004A1432"/>
    <w:rsid w:val="004A147A"/>
    <w:rsid w:val="004A1678"/>
    <w:rsid w:val="004A16EA"/>
    <w:rsid w:val="004A17D6"/>
    <w:rsid w:val="004A1897"/>
    <w:rsid w:val="004A18C4"/>
    <w:rsid w:val="004A191E"/>
    <w:rsid w:val="004A19AA"/>
    <w:rsid w:val="004A1A50"/>
    <w:rsid w:val="004A1AC7"/>
    <w:rsid w:val="004A1B63"/>
    <w:rsid w:val="004A1C34"/>
    <w:rsid w:val="004A1CFD"/>
    <w:rsid w:val="004A1D67"/>
    <w:rsid w:val="004A1E58"/>
    <w:rsid w:val="004A2201"/>
    <w:rsid w:val="004A226B"/>
    <w:rsid w:val="004A23E5"/>
    <w:rsid w:val="004A241E"/>
    <w:rsid w:val="004A25B7"/>
    <w:rsid w:val="004A268F"/>
    <w:rsid w:val="004A2AB5"/>
    <w:rsid w:val="004A2E18"/>
    <w:rsid w:val="004A2F8D"/>
    <w:rsid w:val="004A3176"/>
    <w:rsid w:val="004A34AF"/>
    <w:rsid w:val="004A35A5"/>
    <w:rsid w:val="004A369B"/>
    <w:rsid w:val="004A3753"/>
    <w:rsid w:val="004A38FF"/>
    <w:rsid w:val="004A3AA3"/>
    <w:rsid w:val="004A3B1A"/>
    <w:rsid w:val="004A3B23"/>
    <w:rsid w:val="004A3C0A"/>
    <w:rsid w:val="004A3C10"/>
    <w:rsid w:val="004A3C5D"/>
    <w:rsid w:val="004A3C5E"/>
    <w:rsid w:val="004A3D47"/>
    <w:rsid w:val="004A3F04"/>
    <w:rsid w:val="004A40D4"/>
    <w:rsid w:val="004A45AC"/>
    <w:rsid w:val="004A45F4"/>
    <w:rsid w:val="004A4621"/>
    <w:rsid w:val="004A469F"/>
    <w:rsid w:val="004A49E7"/>
    <w:rsid w:val="004A4B0E"/>
    <w:rsid w:val="004A4B6B"/>
    <w:rsid w:val="004A4CFE"/>
    <w:rsid w:val="004A4DC0"/>
    <w:rsid w:val="004A4F1A"/>
    <w:rsid w:val="004A4F7E"/>
    <w:rsid w:val="004A52C7"/>
    <w:rsid w:val="004A53C3"/>
    <w:rsid w:val="004A56F9"/>
    <w:rsid w:val="004A5981"/>
    <w:rsid w:val="004A5B09"/>
    <w:rsid w:val="004A5B94"/>
    <w:rsid w:val="004A6061"/>
    <w:rsid w:val="004A64CD"/>
    <w:rsid w:val="004A66C7"/>
    <w:rsid w:val="004A6833"/>
    <w:rsid w:val="004A6889"/>
    <w:rsid w:val="004A6DD8"/>
    <w:rsid w:val="004A6ECF"/>
    <w:rsid w:val="004A6F66"/>
    <w:rsid w:val="004A6FC8"/>
    <w:rsid w:val="004A701B"/>
    <w:rsid w:val="004A7058"/>
    <w:rsid w:val="004A747B"/>
    <w:rsid w:val="004A7552"/>
    <w:rsid w:val="004A75D7"/>
    <w:rsid w:val="004A77BC"/>
    <w:rsid w:val="004A786A"/>
    <w:rsid w:val="004A7904"/>
    <w:rsid w:val="004A7A18"/>
    <w:rsid w:val="004A7B6B"/>
    <w:rsid w:val="004A7BC6"/>
    <w:rsid w:val="004A7F47"/>
    <w:rsid w:val="004B0031"/>
    <w:rsid w:val="004B00AC"/>
    <w:rsid w:val="004B0129"/>
    <w:rsid w:val="004B02E0"/>
    <w:rsid w:val="004B0338"/>
    <w:rsid w:val="004B0680"/>
    <w:rsid w:val="004B079F"/>
    <w:rsid w:val="004B0A67"/>
    <w:rsid w:val="004B0B29"/>
    <w:rsid w:val="004B0C76"/>
    <w:rsid w:val="004B0CDA"/>
    <w:rsid w:val="004B0D91"/>
    <w:rsid w:val="004B0EFC"/>
    <w:rsid w:val="004B0F1D"/>
    <w:rsid w:val="004B0FC1"/>
    <w:rsid w:val="004B1411"/>
    <w:rsid w:val="004B1647"/>
    <w:rsid w:val="004B16EA"/>
    <w:rsid w:val="004B1EDE"/>
    <w:rsid w:val="004B207D"/>
    <w:rsid w:val="004B20F2"/>
    <w:rsid w:val="004B2165"/>
    <w:rsid w:val="004B2256"/>
    <w:rsid w:val="004B230F"/>
    <w:rsid w:val="004B25D0"/>
    <w:rsid w:val="004B2758"/>
    <w:rsid w:val="004B28B5"/>
    <w:rsid w:val="004B28F3"/>
    <w:rsid w:val="004B2B38"/>
    <w:rsid w:val="004B2C55"/>
    <w:rsid w:val="004B2CB1"/>
    <w:rsid w:val="004B2CB8"/>
    <w:rsid w:val="004B2DAC"/>
    <w:rsid w:val="004B30F4"/>
    <w:rsid w:val="004B3219"/>
    <w:rsid w:val="004B329A"/>
    <w:rsid w:val="004B369F"/>
    <w:rsid w:val="004B372D"/>
    <w:rsid w:val="004B3785"/>
    <w:rsid w:val="004B3813"/>
    <w:rsid w:val="004B3A62"/>
    <w:rsid w:val="004B3AFD"/>
    <w:rsid w:val="004B3BD8"/>
    <w:rsid w:val="004B3BEF"/>
    <w:rsid w:val="004B3C58"/>
    <w:rsid w:val="004B3C68"/>
    <w:rsid w:val="004B3CA5"/>
    <w:rsid w:val="004B3CAB"/>
    <w:rsid w:val="004B3D2A"/>
    <w:rsid w:val="004B3E1B"/>
    <w:rsid w:val="004B3E40"/>
    <w:rsid w:val="004B4489"/>
    <w:rsid w:val="004B46ED"/>
    <w:rsid w:val="004B46F6"/>
    <w:rsid w:val="004B4752"/>
    <w:rsid w:val="004B47DA"/>
    <w:rsid w:val="004B48CC"/>
    <w:rsid w:val="004B49F1"/>
    <w:rsid w:val="004B4C40"/>
    <w:rsid w:val="004B4D2B"/>
    <w:rsid w:val="004B4ECF"/>
    <w:rsid w:val="004B5092"/>
    <w:rsid w:val="004B50C2"/>
    <w:rsid w:val="004B5119"/>
    <w:rsid w:val="004B511C"/>
    <w:rsid w:val="004B51AC"/>
    <w:rsid w:val="004B51BB"/>
    <w:rsid w:val="004B54E0"/>
    <w:rsid w:val="004B5641"/>
    <w:rsid w:val="004B5818"/>
    <w:rsid w:val="004B5AFE"/>
    <w:rsid w:val="004B619A"/>
    <w:rsid w:val="004B6235"/>
    <w:rsid w:val="004B62A2"/>
    <w:rsid w:val="004B6314"/>
    <w:rsid w:val="004B6C6C"/>
    <w:rsid w:val="004B6D58"/>
    <w:rsid w:val="004B70D0"/>
    <w:rsid w:val="004B711E"/>
    <w:rsid w:val="004B7128"/>
    <w:rsid w:val="004B7658"/>
    <w:rsid w:val="004B7821"/>
    <w:rsid w:val="004B7953"/>
    <w:rsid w:val="004B7BD1"/>
    <w:rsid w:val="004B7CDF"/>
    <w:rsid w:val="004B7E1E"/>
    <w:rsid w:val="004C011B"/>
    <w:rsid w:val="004C017A"/>
    <w:rsid w:val="004C020C"/>
    <w:rsid w:val="004C028C"/>
    <w:rsid w:val="004C0453"/>
    <w:rsid w:val="004C092F"/>
    <w:rsid w:val="004C0A6B"/>
    <w:rsid w:val="004C0B8F"/>
    <w:rsid w:val="004C0CC6"/>
    <w:rsid w:val="004C0F85"/>
    <w:rsid w:val="004C0FB8"/>
    <w:rsid w:val="004C1142"/>
    <w:rsid w:val="004C134C"/>
    <w:rsid w:val="004C1604"/>
    <w:rsid w:val="004C184E"/>
    <w:rsid w:val="004C192C"/>
    <w:rsid w:val="004C1FA1"/>
    <w:rsid w:val="004C2093"/>
    <w:rsid w:val="004C20FE"/>
    <w:rsid w:val="004C2155"/>
    <w:rsid w:val="004C2288"/>
    <w:rsid w:val="004C243E"/>
    <w:rsid w:val="004C25BA"/>
    <w:rsid w:val="004C2629"/>
    <w:rsid w:val="004C266A"/>
    <w:rsid w:val="004C2682"/>
    <w:rsid w:val="004C27C4"/>
    <w:rsid w:val="004C2A09"/>
    <w:rsid w:val="004C2BA8"/>
    <w:rsid w:val="004C2D10"/>
    <w:rsid w:val="004C2E72"/>
    <w:rsid w:val="004C3084"/>
    <w:rsid w:val="004C30B4"/>
    <w:rsid w:val="004C3368"/>
    <w:rsid w:val="004C359F"/>
    <w:rsid w:val="004C3840"/>
    <w:rsid w:val="004C39B4"/>
    <w:rsid w:val="004C3A06"/>
    <w:rsid w:val="004C3B7C"/>
    <w:rsid w:val="004C3F91"/>
    <w:rsid w:val="004C40AA"/>
    <w:rsid w:val="004C4257"/>
    <w:rsid w:val="004C4360"/>
    <w:rsid w:val="004C441B"/>
    <w:rsid w:val="004C45B1"/>
    <w:rsid w:val="004C45B2"/>
    <w:rsid w:val="004C4621"/>
    <w:rsid w:val="004C4808"/>
    <w:rsid w:val="004C4F5D"/>
    <w:rsid w:val="004C504E"/>
    <w:rsid w:val="004C530A"/>
    <w:rsid w:val="004C53A9"/>
    <w:rsid w:val="004C53AB"/>
    <w:rsid w:val="004C5827"/>
    <w:rsid w:val="004C59BC"/>
    <w:rsid w:val="004C5A81"/>
    <w:rsid w:val="004C5D57"/>
    <w:rsid w:val="004C5E1B"/>
    <w:rsid w:val="004C6138"/>
    <w:rsid w:val="004C619B"/>
    <w:rsid w:val="004C6406"/>
    <w:rsid w:val="004C6517"/>
    <w:rsid w:val="004C65F3"/>
    <w:rsid w:val="004C69E6"/>
    <w:rsid w:val="004C6E71"/>
    <w:rsid w:val="004C6F44"/>
    <w:rsid w:val="004C6FD1"/>
    <w:rsid w:val="004C7222"/>
    <w:rsid w:val="004C739F"/>
    <w:rsid w:val="004C77B7"/>
    <w:rsid w:val="004C78D9"/>
    <w:rsid w:val="004C7B6F"/>
    <w:rsid w:val="004C7C24"/>
    <w:rsid w:val="004C7CFE"/>
    <w:rsid w:val="004C7DE8"/>
    <w:rsid w:val="004D014D"/>
    <w:rsid w:val="004D02BC"/>
    <w:rsid w:val="004D02FB"/>
    <w:rsid w:val="004D045A"/>
    <w:rsid w:val="004D0556"/>
    <w:rsid w:val="004D0763"/>
    <w:rsid w:val="004D0B94"/>
    <w:rsid w:val="004D0FB3"/>
    <w:rsid w:val="004D1168"/>
    <w:rsid w:val="004D131F"/>
    <w:rsid w:val="004D152F"/>
    <w:rsid w:val="004D1654"/>
    <w:rsid w:val="004D167D"/>
    <w:rsid w:val="004D174C"/>
    <w:rsid w:val="004D180B"/>
    <w:rsid w:val="004D1943"/>
    <w:rsid w:val="004D1B12"/>
    <w:rsid w:val="004D1C5F"/>
    <w:rsid w:val="004D22E8"/>
    <w:rsid w:val="004D253F"/>
    <w:rsid w:val="004D2AB3"/>
    <w:rsid w:val="004D2BF2"/>
    <w:rsid w:val="004D2C7E"/>
    <w:rsid w:val="004D2DFF"/>
    <w:rsid w:val="004D2E91"/>
    <w:rsid w:val="004D2EED"/>
    <w:rsid w:val="004D31AF"/>
    <w:rsid w:val="004D321B"/>
    <w:rsid w:val="004D3295"/>
    <w:rsid w:val="004D336B"/>
    <w:rsid w:val="004D358C"/>
    <w:rsid w:val="004D362B"/>
    <w:rsid w:val="004D3BB4"/>
    <w:rsid w:val="004D3C66"/>
    <w:rsid w:val="004D3ED2"/>
    <w:rsid w:val="004D3F1B"/>
    <w:rsid w:val="004D3F7F"/>
    <w:rsid w:val="004D3FC3"/>
    <w:rsid w:val="004D41B2"/>
    <w:rsid w:val="004D43C5"/>
    <w:rsid w:val="004D4518"/>
    <w:rsid w:val="004D462D"/>
    <w:rsid w:val="004D4680"/>
    <w:rsid w:val="004D47E2"/>
    <w:rsid w:val="004D49BD"/>
    <w:rsid w:val="004D49E2"/>
    <w:rsid w:val="004D4BBD"/>
    <w:rsid w:val="004D4F7E"/>
    <w:rsid w:val="004D4FE0"/>
    <w:rsid w:val="004D5175"/>
    <w:rsid w:val="004D5263"/>
    <w:rsid w:val="004D5578"/>
    <w:rsid w:val="004D56F7"/>
    <w:rsid w:val="004D58E1"/>
    <w:rsid w:val="004D5BA6"/>
    <w:rsid w:val="004D5E44"/>
    <w:rsid w:val="004D5E99"/>
    <w:rsid w:val="004D605A"/>
    <w:rsid w:val="004D6176"/>
    <w:rsid w:val="004D6205"/>
    <w:rsid w:val="004D6487"/>
    <w:rsid w:val="004D654E"/>
    <w:rsid w:val="004D67E5"/>
    <w:rsid w:val="004D695A"/>
    <w:rsid w:val="004D6AF3"/>
    <w:rsid w:val="004D6C32"/>
    <w:rsid w:val="004D6EBB"/>
    <w:rsid w:val="004D7027"/>
    <w:rsid w:val="004D716E"/>
    <w:rsid w:val="004D7592"/>
    <w:rsid w:val="004D769D"/>
    <w:rsid w:val="004D79B3"/>
    <w:rsid w:val="004D79E2"/>
    <w:rsid w:val="004D7AA6"/>
    <w:rsid w:val="004D7BF5"/>
    <w:rsid w:val="004D7D3F"/>
    <w:rsid w:val="004D7DB7"/>
    <w:rsid w:val="004E01FD"/>
    <w:rsid w:val="004E02D8"/>
    <w:rsid w:val="004E0377"/>
    <w:rsid w:val="004E038B"/>
    <w:rsid w:val="004E098C"/>
    <w:rsid w:val="004E0AA8"/>
    <w:rsid w:val="004E0DAE"/>
    <w:rsid w:val="004E1216"/>
    <w:rsid w:val="004E1437"/>
    <w:rsid w:val="004E1762"/>
    <w:rsid w:val="004E183E"/>
    <w:rsid w:val="004E1C30"/>
    <w:rsid w:val="004E1C33"/>
    <w:rsid w:val="004E1C5D"/>
    <w:rsid w:val="004E1C65"/>
    <w:rsid w:val="004E1CD2"/>
    <w:rsid w:val="004E1DE8"/>
    <w:rsid w:val="004E1E53"/>
    <w:rsid w:val="004E20B6"/>
    <w:rsid w:val="004E24EA"/>
    <w:rsid w:val="004E260F"/>
    <w:rsid w:val="004E276F"/>
    <w:rsid w:val="004E27C9"/>
    <w:rsid w:val="004E27E0"/>
    <w:rsid w:val="004E28F0"/>
    <w:rsid w:val="004E299E"/>
    <w:rsid w:val="004E2AFA"/>
    <w:rsid w:val="004E2B49"/>
    <w:rsid w:val="004E2D6E"/>
    <w:rsid w:val="004E32E4"/>
    <w:rsid w:val="004E3423"/>
    <w:rsid w:val="004E3680"/>
    <w:rsid w:val="004E38A2"/>
    <w:rsid w:val="004E3991"/>
    <w:rsid w:val="004E3B0A"/>
    <w:rsid w:val="004E3C4A"/>
    <w:rsid w:val="004E3D3E"/>
    <w:rsid w:val="004E3DC3"/>
    <w:rsid w:val="004E3DED"/>
    <w:rsid w:val="004E3E34"/>
    <w:rsid w:val="004E3EF4"/>
    <w:rsid w:val="004E42A4"/>
    <w:rsid w:val="004E438B"/>
    <w:rsid w:val="004E469D"/>
    <w:rsid w:val="004E4978"/>
    <w:rsid w:val="004E4B29"/>
    <w:rsid w:val="004E4B7D"/>
    <w:rsid w:val="004E4D83"/>
    <w:rsid w:val="004E4DE3"/>
    <w:rsid w:val="004E4E5D"/>
    <w:rsid w:val="004E4F1A"/>
    <w:rsid w:val="004E4FB0"/>
    <w:rsid w:val="004E50BC"/>
    <w:rsid w:val="004E51FD"/>
    <w:rsid w:val="004E52D0"/>
    <w:rsid w:val="004E5316"/>
    <w:rsid w:val="004E544D"/>
    <w:rsid w:val="004E54A1"/>
    <w:rsid w:val="004E555A"/>
    <w:rsid w:val="004E5803"/>
    <w:rsid w:val="004E584D"/>
    <w:rsid w:val="004E5D81"/>
    <w:rsid w:val="004E5DAC"/>
    <w:rsid w:val="004E5EC2"/>
    <w:rsid w:val="004E5ED2"/>
    <w:rsid w:val="004E6084"/>
    <w:rsid w:val="004E63B9"/>
    <w:rsid w:val="004E63BB"/>
    <w:rsid w:val="004E6414"/>
    <w:rsid w:val="004E64BB"/>
    <w:rsid w:val="004E68CA"/>
    <w:rsid w:val="004E6C21"/>
    <w:rsid w:val="004E6E10"/>
    <w:rsid w:val="004E6EF0"/>
    <w:rsid w:val="004E70F2"/>
    <w:rsid w:val="004E70FB"/>
    <w:rsid w:val="004E71D7"/>
    <w:rsid w:val="004E7250"/>
    <w:rsid w:val="004E7324"/>
    <w:rsid w:val="004E74CD"/>
    <w:rsid w:val="004E75A7"/>
    <w:rsid w:val="004E75EF"/>
    <w:rsid w:val="004E79C8"/>
    <w:rsid w:val="004E7B48"/>
    <w:rsid w:val="004E7B75"/>
    <w:rsid w:val="004E7BDD"/>
    <w:rsid w:val="004E7D10"/>
    <w:rsid w:val="004E7D33"/>
    <w:rsid w:val="004E7E90"/>
    <w:rsid w:val="004E7EED"/>
    <w:rsid w:val="004E7F3D"/>
    <w:rsid w:val="004F0050"/>
    <w:rsid w:val="004F02AA"/>
    <w:rsid w:val="004F05D0"/>
    <w:rsid w:val="004F064B"/>
    <w:rsid w:val="004F0659"/>
    <w:rsid w:val="004F067E"/>
    <w:rsid w:val="004F0A13"/>
    <w:rsid w:val="004F0A31"/>
    <w:rsid w:val="004F0C6A"/>
    <w:rsid w:val="004F0D28"/>
    <w:rsid w:val="004F0D8A"/>
    <w:rsid w:val="004F0FA8"/>
    <w:rsid w:val="004F15F0"/>
    <w:rsid w:val="004F1660"/>
    <w:rsid w:val="004F178B"/>
    <w:rsid w:val="004F1DA3"/>
    <w:rsid w:val="004F2054"/>
    <w:rsid w:val="004F2129"/>
    <w:rsid w:val="004F2250"/>
    <w:rsid w:val="004F2472"/>
    <w:rsid w:val="004F28A9"/>
    <w:rsid w:val="004F28AA"/>
    <w:rsid w:val="004F2CF5"/>
    <w:rsid w:val="004F2DDD"/>
    <w:rsid w:val="004F2EEF"/>
    <w:rsid w:val="004F2F7F"/>
    <w:rsid w:val="004F372E"/>
    <w:rsid w:val="004F3B43"/>
    <w:rsid w:val="004F3C1E"/>
    <w:rsid w:val="004F3C98"/>
    <w:rsid w:val="004F3E13"/>
    <w:rsid w:val="004F40A2"/>
    <w:rsid w:val="004F4122"/>
    <w:rsid w:val="004F4165"/>
    <w:rsid w:val="004F4345"/>
    <w:rsid w:val="004F435A"/>
    <w:rsid w:val="004F438D"/>
    <w:rsid w:val="004F448A"/>
    <w:rsid w:val="004F4549"/>
    <w:rsid w:val="004F45DD"/>
    <w:rsid w:val="004F4675"/>
    <w:rsid w:val="004F480D"/>
    <w:rsid w:val="004F4867"/>
    <w:rsid w:val="004F49BE"/>
    <w:rsid w:val="004F4AE4"/>
    <w:rsid w:val="004F4B08"/>
    <w:rsid w:val="004F4DE5"/>
    <w:rsid w:val="004F4E5F"/>
    <w:rsid w:val="004F5133"/>
    <w:rsid w:val="004F5156"/>
    <w:rsid w:val="004F5267"/>
    <w:rsid w:val="004F52AA"/>
    <w:rsid w:val="004F53B3"/>
    <w:rsid w:val="004F5404"/>
    <w:rsid w:val="004F5561"/>
    <w:rsid w:val="004F58FA"/>
    <w:rsid w:val="004F5900"/>
    <w:rsid w:val="004F5A83"/>
    <w:rsid w:val="004F5A86"/>
    <w:rsid w:val="004F5B66"/>
    <w:rsid w:val="004F5B73"/>
    <w:rsid w:val="004F5D5C"/>
    <w:rsid w:val="004F60D8"/>
    <w:rsid w:val="004F622C"/>
    <w:rsid w:val="004F63AD"/>
    <w:rsid w:val="004F66D1"/>
    <w:rsid w:val="004F6A4F"/>
    <w:rsid w:val="004F6A5A"/>
    <w:rsid w:val="004F6BC6"/>
    <w:rsid w:val="004F6C7A"/>
    <w:rsid w:val="004F6D60"/>
    <w:rsid w:val="004F6F82"/>
    <w:rsid w:val="004F6FA5"/>
    <w:rsid w:val="004F7007"/>
    <w:rsid w:val="004F7175"/>
    <w:rsid w:val="004F72E6"/>
    <w:rsid w:val="004F7363"/>
    <w:rsid w:val="004F742A"/>
    <w:rsid w:val="004F74A1"/>
    <w:rsid w:val="004F7517"/>
    <w:rsid w:val="004F7579"/>
    <w:rsid w:val="004F79EC"/>
    <w:rsid w:val="004F7E2F"/>
    <w:rsid w:val="004F7EDC"/>
    <w:rsid w:val="00500189"/>
    <w:rsid w:val="0050028A"/>
    <w:rsid w:val="00500431"/>
    <w:rsid w:val="00500559"/>
    <w:rsid w:val="005005FE"/>
    <w:rsid w:val="00500A39"/>
    <w:rsid w:val="00500E8D"/>
    <w:rsid w:val="00501049"/>
    <w:rsid w:val="00501109"/>
    <w:rsid w:val="0050164D"/>
    <w:rsid w:val="005016C9"/>
    <w:rsid w:val="005018C3"/>
    <w:rsid w:val="0050191C"/>
    <w:rsid w:val="00501972"/>
    <w:rsid w:val="00501A82"/>
    <w:rsid w:val="00501CB3"/>
    <w:rsid w:val="00501D39"/>
    <w:rsid w:val="00501D43"/>
    <w:rsid w:val="00501F24"/>
    <w:rsid w:val="00502263"/>
    <w:rsid w:val="005024FC"/>
    <w:rsid w:val="0050278E"/>
    <w:rsid w:val="0050292F"/>
    <w:rsid w:val="00502A2E"/>
    <w:rsid w:val="00502C08"/>
    <w:rsid w:val="00502E03"/>
    <w:rsid w:val="00502E64"/>
    <w:rsid w:val="00502FB0"/>
    <w:rsid w:val="00503004"/>
    <w:rsid w:val="005031A6"/>
    <w:rsid w:val="00503297"/>
    <w:rsid w:val="005032F4"/>
    <w:rsid w:val="00503425"/>
    <w:rsid w:val="00503578"/>
    <w:rsid w:val="005037D6"/>
    <w:rsid w:val="00503A74"/>
    <w:rsid w:val="00503ADE"/>
    <w:rsid w:val="00503B54"/>
    <w:rsid w:val="00503BDE"/>
    <w:rsid w:val="005041A6"/>
    <w:rsid w:val="005041F7"/>
    <w:rsid w:val="00504598"/>
    <w:rsid w:val="005047D7"/>
    <w:rsid w:val="0050492E"/>
    <w:rsid w:val="00504B99"/>
    <w:rsid w:val="00504C44"/>
    <w:rsid w:val="00504DB3"/>
    <w:rsid w:val="00504E36"/>
    <w:rsid w:val="00504E51"/>
    <w:rsid w:val="00504F88"/>
    <w:rsid w:val="005051D2"/>
    <w:rsid w:val="0050520F"/>
    <w:rsid w:val="00505278"/>
    <w:rsid w:val="00505812"/>
    <w:rsid w:val="00505924"/>
    <w:rsid w:val="00505994"/>
    <w:rsid w:val="00505C83"/>
    <w:rsid w:val="00506123"/>
    <w:rsid w:val="0050635D"/>
    <w:rsid w:val="00506425"/>
    <w:rsid w:val="0050645F"/>
    <w:rsid w:val="0050649C"/>
    <w:rsid w:val="00506738"/>
    <w:rsid w:val="00506A7E"/>
    <w:rsid w:val="00506B65"/>
    <w:rsid w:val="00506CF5"/>
    <w:rsid w:val="00506E00"/>
    <w:rsid w:val="00506EDD"/>
    <w:rsid w:val="0050722F"/>
    <w:rsid w:val="005072FB"/>
    <w:rsid w:val="00507445"/>
    <w:rsid w:val="00507556"/>
    <w:rsid w:val="00507A5B"/>
    <w:rsid w:val="00507DFC"/>
    <w:rsid w:val="00510288"/>
    <w:rsid w:val="0051044F"/>
    <w:rsid w:val="005105EE"/>
    <w:rsid w:val="00510D51"/>
    <w:rsid w:val="00510E14"/>
    <w:rsid w:val="00511052"/>
    <w:rsid w:val="0051118B"/>
    <w:rsid w:val="005112B5"/>
    <w:rsid w:val="005112DA"/>
    <w:rsid w:val="005113F7"/>
    <w:rsid w:val="00511732"/>
    <w:rsid w:val="005117E5"/>
    <w:rsid w:val="00511876"/>
    <w:rsid w:val="00511E66"/>
    <w:rsid w:val="00511E6A"/>
    <w:rsid w:val="00511F51"/>
    <w:rsid w:val="00511FF5"/>
    <w:rsid w:val="00512012"/>
    <w:rsid w:val="0051204D"/>
    <w:rsid w:val="0051204F"/>
    <w:rsid w:val="0051218A"/>
    <w:rsid w:val="005123D2"/>
    <w:rsid w:val="00512479"/>
    <w:rsid w:val="0051251E"/>
    <w:rsid w:val="0051254D"/>
    <w:rsid w:val="00512ACD"/>
    <w:rsid w:val="00512B5D"/>
    <w:rsid w:val="00512B99"/>
    <w:rsid w:val="00512FA4"/>
    <w:rsid w:val="005132C3"/>
    <w:rsid w:val="005132E6"/>
    <w:rsid w:val="005132EA"/>
    <w:rsid w:val="00513789"/>
    <w:rsid w:val="00513964"/>
    <w:rsid w:val="00513B00"/>
    <w:rsid w:val="00513C76"/>
    <w:rsid w:val="00513FA6"/>
    <w:rsid w:val="00514005"/>
    <w:rsid w:val="00514092"/>
    <w:rsid w:val="005142BB"/>
    <w:rsid w:val="005143B8"/>
    <w:rsid w:val="00514702"/>
    <w:rsid w:val="0051476B"/>
    <w:rsid w:val="0051494E"/>
    <w:rsid w:val="00514D9E"/>
    <w:rsid w:val="00514DE2"/>
    <w:rsid w:val="00514F22"/>
    <w:rsid w:val="00514F42"/>
    <w:rsid w:val="00514F82"/>
    <w:rsid w:val="0051510B"/>
    <w:rsid w:val="00515359"/>
    <w:rsid w:val="005157B2"/>
    <w:rsid w:val="005157C8"/>
    <w:rsid w:val="005159C1"/>
    <w:rsid w:val="00515A30"/>
    <w:rsid w:val="00515D4C"/>
    <w:rsid w:val="00515DEB"/>
    <w:rsid w:val="00515E09"/>
    <w:rsid w:val="00515FB9"/>
    <w:rsid w:val="00515FEE"/>
    <w:rsid w:val="0051601F"/>
    <w:rsid w:val="00516020"/>
    <w:rsid w:val="00516150"/>
    <w:rsid w:val="005161E1"/>
    <w:rsid w:val="00516250"/>
    <w:rsid w:val="0051642E"/>
    <w:rsid w:val="0051644D"/>
    <w:rsid w:val="0051646D"/>
    <w:rsid w:val="00516519"/>
    <w:rsid w:val="00516645"/>
    <w:rsid w:val="0051665F"/>
    <w:rsid w:val="00516720"/>
    <w:rsid w:val="00516731"/>
    <w:rsid w:val="00516886"/>
    <w:rsid w:val="00516AAC"/>
    <w:rsid w:val="00516B52"/>
    <w:rsid w:val="00516D08"/>
    <w:rsid w:val="00516DFF"/>
    <w:rsid w:val="00516E7A"/>
    <w:rsid w:val="00516EA1"/>
    <w:rsid w:val="00517050"/>
    <w:rsid w:val="005172E8"/>
    <w:rsid w:val="005175F5"/>
    <w:rsid w:val="00517679"/>
    <w:rsid w:val="0051781B"/>
    <w:rsid w:val="0051791E"/>
    <w:rsid w:val="00517967"/>
    <w:rsid w:val="00517B8F"/>
    <w:rsid w:val="00517EF1"/>
    <w:rsid w:val="00520530"/>
    <w:rsid w:val="00520676"/>
    <w:rsid w:val="0052069E"/>
    <w:rsid w:val="00520883"/>
    <w:rsid w:val="00520C1B"/>
    <w:rsid w:val="00520CB6"/>
    <w:rsid w:val="00520D4D"/>
    <w:rsid w:val="00520D9A"/>
    <w:rsid w:val="00520E21"/>
    <w:rsid w:val="00520F2D"/>
    <w:rsid w:val="00521056"/>
    <w:rsid w:val="0052106A"/>
    <w:rsid w:val="005211B5"/>
    <w:rsid w:val="005212F9"/>
    <w:rsid w:val="0052144F"/>
    <w:rsid w:val="0052156C"/>
    <w:rsid w:val="005215D8"/>
    <w:rsid w:val="0052160E"/>
    <w:rsid w:val="005216F4"/>
    <w:rsid w:val="00521B24"/>
    <w:rsid w:val="00521CD4"/>
    <w:rsid w:val="0052230F"/>
    <w:rsid w:val="00522557"/>
    <w:rsid w:val="00522737"/>
    <w:rsid w:val="00522A79"/>
    <w:rsid w:val="00522A82"/>
    <w:rsid w:val="00522AD3"/>
    <w:rsid w:val="00522B20"/>
    <w:rsid w:val="00522C55"/>
    <w:rsid w:val="00522E04"/>
    <w:rsid w:val="0052304C"/>
    <w:rsid w:val="0052325B"/>
    <w:rsid w:val="005232D3"/>
    <w:rsid w:val="00523538"/>
    <w:rsid w:val="0052358B"/>
    <w:rsid w:val="005236EC"/>
    <w:rsid w:val="00523AC3"/>
    <w:rsid w:val="00523B06"/>
    <w:rsid w:val="00523B77"/>
    <w:rsid w:val="00523C8A"/>
    <w:rsid w:val="00523D4F"/>
    <w:rsid w:val="00523E35"/>
    <w:rsid w:val="00523EF6"/>
    <w:rsid w:val="005240FB"/>
    <w:rsid w:val="0052414D"/>
    <w:rsid w:val="00524419"/>
    <w:rsid w:val="0052448F"/>
    <w:rsid w:val="005244AB"/>
    <w:rsid w:val="00524606"/>
    <w:rsid w:val="0052474B"/>
    <w:rsid w:val="00524818"/>
    <w:rsid w:val="0052481E"/>
    <w:rsid w:val="00524F03"/>
    <w:rsid w:val="0052516A"/>
    <w:rsid w:val="00525314"/>
    <w:rsid w:val="00525356"/>
    <w:rsid w:val="00525AE7"/>
    <w:rsid w:val="00525B05"/>
    <w:rsid w:val="00525DE2"/>
    <w:rsid w:val="00525FD3"/>
    <w:rsid w:val="00526153"/>
    <w:rsid w:val="005262BC"/>
    <w:rsid w:val="00526443"/>
    <w:rsid w:val="005264A9"/>
    <w:rsid w:val="00526683"/>
    <w:rsid w:val="005266C2"/>
    <w:rsid w:val="00526830"/>
    <w:rsid w:val="00526918"/>
    <w:rsid w:val="00526960"/>
    <w:rsid w:val="005269E9"/>
    <w:rsid w:val="00526A4B"/>
    <w:rsid w:val="00526AE5"/>
    <w:rsid w:val="00526CD2"/>
    <w:rsid w:val="00526DF7"/>
    <w:rsid w:val="00526EC8"/>
    <w:rsid w:val="00526F8B"/>
    <w:rsid w:val="00527065"/>
    <w:rsid w:val="00527139"/>
    <w:rsid w:val="005271E0"/>
    <w:rsid w:val="00527279"/>
    <w:rsid w:val="005272B3"/>
    <w:rsid w:val="00527DC8"/>
    <w:rsid w:val="00527E5C"/>
    <w:rsid w:val="005303C3"/>
    <w:rsid w:val="00530471"/>
    <w:rsid w:val="005304A6"/>
    <w:rsid w:val="0053057B"/>
    <w:rsid w:val="005307C9"/>
    <w:rsid w:val="005308B1"/>
    <w:rsid w:val="005308BB"/>
    <w:rsid w:val="005309E1"/>
    <w:rsid w:val="00530C24"/>
    <w:rsid w:val="00530D75"/>
    <w:rsid w:val="00530DE8"/>
    <w:rsid w:val="00530E7A"/>
    <w:rsid w:val="00530E9D"/>
    <w:rsid w:val="00530F3C"/>
    <w:rsid w:val="00531271"/>
    <w:rsid w:val="00531349"/>
    <w:rsid w:val="0053145B"/>
    <w:rsid w:val="005314F8"/>
    <w:rsid w:val="005314FC"/>
    <w:rsid w:val="0053152C"/>
    <w:rsid w:val="0053164E"/>
    <w:rsid w:val="00531717"/>
    <w:rsid w:val="00531AD1"/>
    <w:rsid w:val="00531B7E"/>
    <w:rsid w:val="00531BFD"/>
    <w:rsid w:val="00531CBA"/>
    <w:rsid w:val="00532039"/>
    <w:rsid w:val="005320E6"/>
    <w:rsid w:val="0053215C"/>
    <w:rsid w:val="00532226"/>
    <w:rsid w:val="00532249"/>
    <w:rsid w:val="005323FE"/>
    <w:rsid w:val="0053253A"/>
    <w:rsid w:val="005325A9"/>
    <w:rsid w:val="0053267B"/>
    <w:rsid w:val="005326BB"/>
    <w:rsid w:val="005326FD"/>
    <w:rsid w:val="005327E9"/>
    <w:rsid w:val="0053281D"/>
    <w:rsid w:val="00532D6C"/>
    <w:rsid w:val="00532E45"/>
    <w:rsid w:val="00532F1B"/>
    <w:rsid w:val="005330EF"/>
    <w:rsid w:val="005330FB"/>
    <w:rsid w:val="00533191"/>
    <w:rsid w:val="00533229"/>
    <w:rsid w:val="0053324B"/>
    <w:rsid w:val="0053357A"/>
    <w:rsid w:val="00533589"/>
    <w:rsid w:val="005335DD"/>
    <w:rsid w:val="00533654"/>
    <w:rsid w:val="005336BA"/>
    <w:rsid w:val="0053376E"/>
    <w:rsid w:val="00533A15"/>
    <w:rsid w:val="00533A47"/>
    <w:rsid w:val="00533BD4"/>
    <w:rsid w:val="00533C33"/>
    <w:rsid w:val="00533DAA"/>
    <w:rsid w:val="00533DC0"/>
    <w:rsid w:val="00533DC8"/>
    <w:rsid w:val="00533ED6"/>
    <w:rsid w:val="00533F8D"/>
    <w:rsid w:val="0053406E"/>
    <w:rsid w:val="005340B0"/>
    <w:rsid w:val="005349D1"/>
    <w:rsid w:val="00534C68"/>
    <w:rsid w:val="00534C6C"/>
    <w:rsid w:val="00534C83"/>
    <w:rsid w:val="0053525E"/>
    <w:rsid w:val="00535350"/>
    <w:rsid w:val="0053535C"/>
    <w:rsid w:val="00535542"/>
    <w:rsid w:val="00535A52"/>
    <w:rsid w:val="00535C85"/>
    <w:rsid w:val="00535DA9"/>
    <w:rsid w:val="0053605B"/>
    <w:rsid w:val="0053607D"/>
    <w:rsid w:val="005362D8"/>
    <w:rsid w:val="00536313"/>
    <w:rsid w:val="0053634E"/>
    <w:rsid w:val="005367BB"/>
    <w:rsid w:val="00536863"/>
    <w:rsid w:val="005369F2"/>
    <w:rsid w:val="00536A57"/>
    <w:rsid w:val="00536B09"/>
    <w:rsid w:val="00536C26"/>
    <w:rsid w:val="0053710A"/>
    <w:rsid w:val="00537296"/>
    <w:rsid w:val="005372E8"/>
    <w:rsid w:val="00537523"/>
    <w:rsid w:val="005376B3"/>
    <w:rsid w:val="00537714"/>
    <w:rsid w:val="00537B7A"/>
    <w:rsid w:val="00537D0D"/>
    <w:rsid w:val="00537E0E"/>
    <w:rsid w:val="00537E28"/>
    <w:rsid w:val="00537EEA"/>
    <w:rsid w:val="00537F29"/>
    <w:rsid w:val="00537FF6"/>
    <w:rsid w:val="00540190"/>
    <w:rsid w:val="005402B4"/>
    <w:rsid w:val="005402BC"/>
    <w:rsid w:val="0054041F"/>
    <w:rsid w:val="0054047E"/>
    <w:rsid w:val="0054052C"/>
    <w:rsid w:val="00540A23"/>
    <w:rsid w:val="00540B9C"/>
    <w:rsid w:val="00540BB2"/>
    <w:rsid w:val="00540C1D"/>
    <w:rsid w:val="00540C8D"/>
    <w:rsid w:val="00540D8A"/>
    <w:rsid w:val="00540E74"/>
    <w:rsid w:val="00540F7C"/>
    <w:rsid w:val="00541000"/>
    <w:rsid w:val="00541044"/>
    <w:rsid w:val="00541517"/>
    <w:rsid w:val="00541713"/>
    <w:rsid w:val="005418D8"/>
    <w:rsid w:val="00541E03"/>
    <w:rsid w:val="00541E2B"/>
    <w:rsid w:val="00541EB9"/>
    <w:rsid w:val="00541F74"/>
    <w:rsid w:val="005420B0"/>
    <w:rsid w:val="005422D3"/>
    <w:rsid w:val="00542A43"/>
    <w:rsid w:val="00542B70"/>
    <w:rsid w:val="00542BAC"/>
    <w:rsid w:val="00542D14"/>
    <w:rsid w:val="00542D36"/>
    <w:rsid w:val="00542F28"/>
    <w:rsid w:val="00543091"/>
    <w:rsid w:val="0054325B"/>
    <w:rsid w:val="005432BC"/>
    <w:rsid w:val="00543336"/>
    <w:rsid w:val="00543338"/>
    <w:rsid w:val="00543437"/>
    <w:rsid w:val="0054370B"/>
    <w:rsid w:val="00543898"/>
    <w:rsid w:val="005438A9"/>
    <w:rsid w:val="005438E4"/>
    <w:rsid w:val="005438E6"/>
    <w:rsid w:val="00543AE6"/>
    <w:rsid w:val="00543B5E"/>
    <w:rsid w:val="00543E33"/>
    <w:rsid w:val="00543F0F"/>
    <w:rsid w:val="00543FAD"/>
    <w:rsid w:val="005440B8"/>
    <w:rsid w:val="0054436D"/>
    <w:rsid w:val="00544853"/>
    <w:rsid w:val="005448A6"/>
    <w:rsid w:val="005448B9"/>
    <w:rsid w:val="00544976"/>
    <w:rsid w:val="00544ABC"/>
    <w:rsid w:val="00544B1B"/>
    <w:rsid w:val="00544B7B"/>
    <w:rsid w:val="00544BEC"/>
    <w:rsid w:val="00544F74"/>
    <w:rsid w:val="00544FBC"/>
    <w:rsid w:val="00544FE0"/>
    <w:rsid w:val="00545127"/>
    <w:rsid w:val="005451DD"/>
    <w:rsid w:val="0054555B"/>
    <w:rsid w:val="005456AA"/>
    <w:rsid w:val="0054588A"/>
    <w:rsid w:val="00545B9C"/>
    <w:rsid w:val="00545E67"/>
    <w:rsid w:val="00545F15"/>
    <w:rsid w:val="005460B3"/>
    <w:rsid w:val="005461EF"/>
    <w:rsid w:val="005461FE"/>
    <w:rsid w:val="0054653B"/>
    <w:rsid w:val="00546574"/>
    <w:rsid w:val="00546739"/>
    <w:rsid w:val="00546869"/>
    <w:rsid w:val="005468D8"/>
    <w:rsid w:val="00546A5D"/>
    <w:rsid w:val="00546DEF"/>
    <w:rsid w:val="00546DF1"/>
    <w:rsid w:val="00546F8F"/>
    <w:rsid w:val="00547344"/>
    <w:rsid w:val="00547855"/>
    <w:rsid w:val="00547B91"/>
    <w:rsid w:val="00547BD5"/>
    <w:rsid w:val="00547BF2"/>
    <w:rsid w:val="00547CDC"/>
    <w:rsid w:val="00547D6C"/>
    <w:rsid w:val="005500A1"/>
    <w:rsid w:val="00550262"/>
    <w:rsid w:val="0055034C"/>
    <w:rsid w:val="005508C7"/>
    <w:rsid w:val="0055099A"/>
    <w:rsid w:val="005509FE"/>
    <w:rsid w:val="00550A9A"/>
    <w:rsid w:val="00550F5F"/>
    <w:rsid w:val="00550FCA"/>
    <w:rsid w:val="00551051"/>
    <w:rsid w:val="005511DB"/>
    <w:rsid w:val="00551245"/>
    <w:rsid w:val="0055128A"/>
    <w:rsid w:val="00551335"/>
    <w:rsid w:val="00551A22"/>
    <w:rsid w:val="00551A8F"/>
    <w:rsid w:val="00551B26"/>
    <w:rsid w:val="00551C2A"/>
    <w:rsid w:val="00551FF6"/>
    <w:rsid w:val="005523FC"/>
    <w:rsid w:val="00552525"/>
    <w:rsid w:val="005526EF"/>
    <w:rsid w:val="0055283B"/>
    <w:rsid w:val="00552859"/>
    <w:rsid w:val="00552952"/>
    <w:rsid w:val="00552B13"/>
    <w:rsid w:val="00552B53"/>
    <w:rsid w:val="00552C05"/>
    <w:rsid w:val="00552CD3"/>
    <w:rsid w:val="005530CF"/>
    <w:rsid w:val="0055332F"/>
    <w:rsid w:val="0055337C"/>
    <w:rsid w:val="00553743"/>
    <w:rsid w:val="00553749"/>
    <w:rsid w:val="005537BF"/>
    <w:rsid w:val="00553AA2"/>
    <w:rsid w:val="00553B0A"/>
    <w:rsid w:val="00553CD7"/>
    <w:rsid w:val="00553CFE"/>
    <w:rsid w:val="00553F03"/>
    <w:rsid w:val="00553F23"/>
    <w:rsid w:val="00554001"/>
    <w:rsid w:val="005542E6"/>
    <w:rsid w:val="005544B6"/>
    <w:rsid w:val="00554621"/>
    <w:rsid w:val="00554767"/>
    <w:rsid w:val="005547DA"/>
    <w:rsid w:val="005548B3"/>
    <w:rsid w:val="00554A3E"/>
    <w:rsid w:val="00554A5C"/>
    <w:rsid w:val="00554BEE"/>
    <w:rsid w:val="00554C96"/>
    <w:rsid w:val="005552BA"/>
    <w:rsid w:val="005554B3"/>
    <w:rsid w:val="005555F6"/>
    <w:rsid w:val="00555671"/>
    <w:rsid w:val="00555871"/>
    <w:rsid w:val="005558E3"/>
    <w:rsid w:val="00555B1B"/>
    <w:rsid w:val="0055601B"/>
    <w:rsid w:val="00556079"/>
    <w:rsid w:val="005562F1"/>
    <w:rsid w:val="005563AD"/>
    <w:rsid w:val="005563F0"/>
    <w:rsid w:val="005565EF"/>
    <w:rsid w:val="005567E8"/>
    <w:rsid w:val="005568B8"/>
    <w:rsid w:val="00556BB0"/>
    <w:rsid w:val="00556E0E"/>
    <w:rsid w:val="00556E84"/>
    <w:rsid w:val="00557002"/>
    <w:rsid w:val="00557066"/>
    <w:rsid w:val="0055716A"/>
    <w:rsid w:val="00557261"/>
    <w:rsid w:val="0055729F"/>
    <w:rsid w:val="005572AB"/>
    <w:rsid w:val="005577BE"/>
    <w:rsid w:val="00557800"/>
    <w:rsid w:val="00557995"/>
    <w:rsid w:val="00557A67"/>
    <w:rsid w:val="00557AE8"/>
    <w:rsid w:val="00557AFB"/>
    <w:rsid w:val="00557CDD"/>
    <w:rsid w:val="00557E3C"/>
    <w:rsid w:val="00557E58"/>
    <w:rsid w:val="005600D4"/>
    <w:rsid w:val="00560173"/>
    <w:rsid w:val="00560603"/>
    <w:rsid w:val="005607D6"/>
    <w:rsid w:val="0056080C"/>
    <w:rsid w:val="00560910"/>
    <w:rsid w:val="00560C22"/>
    <w:rsid w:val="00560C40"/>
    <w:rsid w:val="00560CB1"/>
    <w:rsid w:val="00560FBD"/>
    <w:rsid w:val="00561057"/>
    <w:rsid w:val="005610BF"/>
    <w:rsid w:val="00561340"/>
    <w:rsid w:val="005613E3"/>
    <w:rsid w:val="005616FB"/>
    <w:rsid w:val="00561A06"/>
    <w:rsid w:val="00561ABB"/>
    <w:rsid w:val="00561F2B"/>
    <w:rsid w:val="00562337"/>
    <w:rsid w:val="005623C6"/>
    <w:rsid w:val="00562621"/>
    <w:rsid w:val="005626EC"/>
    <w:rsid w:val="0056273D"/>
    <w:rsid w:val="005627AA"/>
    <w:rsid w:val="00562954"/>
    <w:rsid w:val="00562CB9"/>
    <w:rsid w:val="00562F24"/>
    <w:rsid w:val="00562FF9"/>
    <w:rsid w:val="0056301E"/>
    <w:rsid w:val="00563264"/>
    <w:rsid w:val="005635CF"/>
    <w:rsid w:val="005636F4"/>
    <w:rsid w:val="005638B7"/>
    <w:rsid w:val="005638B8"/>
    <w:rsid w:val="00563B71"/>
    <w:rsid w:val="00563CE0"/>
    <w:rsid w:val="00563DF4"/>
    <w:rsid w:val="00563ED8"/>
    <w:rsid w:val="00563EF1"/>
    <w:rsid w:val="00563F9D"/>
    <w:rsid w:val="005640F6"/>
    <w:rsid w:val="00564444"/>
    <w:rsid w:val="0056446F"/>
    <w:rsid w:val="005644FB"/>
    <w:rsid w:val="0056451F"/>
    <w:rsid w:val="005646D6"/>
    <w:rsid w:val="00564784"/>
    <w:rsid w:val="005647CA"/>
    <w:rsid w:val="0056487C"/>
    <w:rsid w:val="0056497B"/>
    <w:rsid w:val="00564A6D"/>
    <w:rsid w:val="00564ABF"/>
    <w:rsid w:val="00564BCA"/>
    <w:rsid w:val="00564C1C"/>
    <w:rsid w:val="00564C4F"/>
    <w:rsid w:val="00564D1D"/>
    <w:rsid w:val="00564D2D"/>
    <w:rsid w:val="00564DEC"/>
    <w:rsid w:val="00564F58"/>
    <w:rsid w:val="00564FFC"/>
    <w:rsid w:val="0056500B"/>
    <w:rsid w:val="005653CC"/>
    <w:rsid w:val="0056551C"/>
    <w:rsid w:val="0056554C"/>
    <w:rsid w:val="00565594"/>
    <w:rsid w:val="005655AC"/>
    <w:rsid w:val="005655B5"/>
    <w:rsid w:val="005656C1"/>
    <w:rsid w:val="00565853"/>
    <w:rsid w:val="0056597C"/>
    <w:rsid w:val="00565A53"/>
    <w:rsid w:val="00565E57"/>
    <w:rsid w:val="00565ED9"/>
    <w:rsid w:val="00565F4F"/>
    <w:rsid w:val="00565FB6"/>
    <w:rsid w:val="00566124"/>
    <w:rsid w:val="005661AA"/>
    <w:rsid w:val="00566277"/>
    <w:rsid w:val="0056671C"/>
    <w:rsid w:val="00566AF7"/>
    <w:rsid w:val="00566D46"/>
    <w:rsid w:val="00566DC8"/>
    <w:rsid w:val="00566F51"/>
    <w:rsid w:val="005671BD"/>
    <w:rsid w:val="005675CF"/>
    <w:rsid w:val="005677E2"/>
    <w:rsid w:val="0056787F"/>
    <w:rsid w:val="005678D4"/>
    <w:rsid w:val="00567BBF"/>
    <w:rsid w:val="00567C63"/>
    <w:rsid w:val="00567DD3"/>
    <w:rsid w:val="00567EBA"/>
    <w:rsid w:val="00567F2F"/>
    <w:rsid w:val="00567F97"/>
    <w:rsid w:val="0057002B"/>
    <w:rsid w:val="00570053"/>
    <w:rsid w:val="0057032A"/>
    <w:rsid w:val="005704E4"/>
    <w:rsid w:val="0057054A"/>
    <w:rsid w:val="005705BA"/>
    <w:rsid w:val="00570733"/>
    <w:rsid w:val="005707E1"/>
    <w:rsid w:val="005707F9"/>
    <w:rsid w:val="0057080D"/>
    <w:rsid w:val="00570885"/>
    <w:rsid w:val="00570A0D"/>
    <w:rsid w:val="00570B8D"/>
    <w:rsid w:val="00570E0E"/>
    <w:rsid w:val="00571692"/>
    <w:rsid w:val="005716C4"/>
    <w:rsid w:val="0057184D"/>
    <w:rsid w:val="00571850"/>
    <w:rsid w:val="00571956"/>
    <w:rsid w:val="005719CD"/>
    <w:rsid w:val="00571BAB"/>
    <w:rsid w:val="00571CD6"/>
    <w:rsid w:val="00571CFB"/>
    <w:rsid w:val="00571D9D"/>
    <w:rsid w:val="00571F10"/>
    <w:rsid w:val="00571FB7"/>
    <w:rsid w:val="00571FD7"/>
    <w:rsid w:val="00572006"/>
    <w:rsid w:val="00572077"/>
    <w:rsid w:val="00572119"/>
    <w:rsid w:val="0057219D"/>
    <w:rsid w:val="005721BF"/>
    <w:rsid w:val="00572306"/>
    <w:rsid w:val="00572450"/>
    <w:rsid w:val="00572481"/>
    <w:rsid w:val="00572492"/>
    <w:rsid w:val="005725A5"/>
    <w:rsid w:val="005727E5"/>
    <w:rsid w:val="00572991"/>
    <w:rsid w:val="00572A23"/>
    <w:rsid w:val="00572AE3"/>
    <w:rsid w:val="00572D6D"/>
    <w:rsid w:val="00572E04"/>
    <w:rsid w:val="0057309A"/>
    <w:rsid w:val="005731FE"/>
    <w:rsid w:val="00573390"/>
    <w:rsid w:val="00573396"/>
    <w:rsid w:val="005734CA"/>
    <w:rsid w:val="00573519"/>
    <w:rsid w:val="00573644"/>
    <w:rsid w:val="0057370E"/>
    <w:rsid w:val="00573843"/>
    <w:rsid w:val="00573C31"/>
    <w:rsid w:val="00573D05"/>
    <w:rsid w:val="00573E06"/>
    <w:rsid w:val="0057417B"/>
    <w:rsid w:val="0057428F"/>
    <w:rsid w:val="005742F6"/>
    <w:rsid w:val="00574330"/>
    <w:rsid w:val="0057456A"/>
    <w:rsid w:val="005747A7"/>
    <w:rsid w:val="00574809"/>
    <w:rsid w:val="00574847"/>
    <w:rsid w:val="005748BA"/>
    <w:rsid w:val="005748BE"/>
    <w:rsid w:val="005748E4"/>
    <w:rsid w:val="005749F4"/>
    <w:rsid w:val="0057513E"/>
    <w:rsid w:val="00575253"/>
    <w:rsid w:val="00575504"/>
    <w:rsid w:val="0057554E"/>
    <w:rsid w:val="00575557"/>
    <w:rsid w:val="00575604"/>
    <w:rsid w:val="00575AE1"/>
    <w:rsid w:val="00575BAB"/>
    <w:rsid w:val="00575FE8"/>
    <w:rsid w:val="0057602D"/>
    <w:rsid w:val="00576120"/>
    <w:rsid w:val="005761AB"/>
    <w:rsid w:val="005761E3"/>
    <w:rsid w:val="00576543"/>
    <w:rsid w:val="00576662"/>
    <w:rsid w:val="0057684B"/>
    <w:rsid w:val="00576C87"/>
    <w:rsid w:val="00576D9A"/>
    <w:rsid w:val="00576E88"/>
    <w:rsid w:val="00576ED3"/>
    <w:rsid w:val="0057704B"/>
    <w:rsid w:val="005770EC"/>
    <w:rsid w:val="0057713A"/>
    <w:rsid w:val="00577163"/>
    <w:rsid w:val="00577336"/>
    <w:rsid w:val="0057760F"/>
    <w:rsid w:val="00577613"/>
    <w:rsid w:val="00577830"/>
    <w:rsid w:val="00577A0D"/>
    <w:rsid w:val="00577A54"/>
    <w:rsid w:val="00577C22"/>
    <w:rsid w:val="00577CAB"/>
    <w:rsid w:val="00577DAC"/>
    <w:rsid w:val="00577F0E"/>
    <w:rsid w:val="00577F1A"/>
    <w:rsid w:val="00577FBC"/>
    <w:rsid w:val="00580264"/>
    <w:rsid w:val="00580370"/>
    <w:rsid w:val="00580478"/>
    <w:rsid w:val="005804D1"/>
    <w:rsid w:val="0058073B"/>
    <w:rsid w:val="0058079D"/>
    <w:rsid w:val="0058085F"/>
    <w:rsid w:val="00580D3E"/>
    <w:rsid w:val="00580F0C"/>
    <w:rsid w:val="00580F43"/>
    <w:rsid w:val="00580F66"/>
    <w:rsid w:val="00580FB3"/>
    <w:rsid w:val="00581241"/>
    <w:rsid w:val="00581587"/>
    <w:rsid w:val="00581682"/>
    <w:rsid w:val="005817B0"/>
    <w:rsid w:val="005818C3"/>
    <w:rsid w:val="00581977"/>
    <w:rsid w:val="00581E2D"/>
    <w:rsid w:val="00582031"/>
    <w:rsid w:val="005824E8"/>
    <w:rsid w:val="00582734"/>
    <w:rsid w:val="0058298B"/>
    <w:rsid w:val="005829C4"/>
    <w:rsid w:val="00582A07"/>
    <w:rsid w:val="00582A9B"/>
    <w:rsid w:val="00582BE6"/>
    <w:rsid w:val="00582DBA"/>
    <w:rsid w:val="00582F29"/>
    <w:rsid w:val="00582F79"/>
    <w:rsid w:val="00582FA2"/>
    <w:rsid w:val="0058306E"/>
    <w:rsid w:val="005830FA"/>
    <w:rsid w:val="00583117"/>
    <w:rsid w:val="00583318"/>
    <w:rsid w:val="00583399"/>
    <w:rsid w:val="005833DD"/>
    <w:rsid w:val="00583446"/>
    <w:rsid w:val="005835D4"/>
    <w:rsid w:val="00583CC3"/>
    <w:rsid w:val="00583D65"/>
    <w:rsid w:val="00583D67"/>
    <w:rsid w:val="0058403E"/>
    <w:rsid w:val="0058406E"/>
    <w:rsid w:val="005840AB"/>
    <w:rsid w:val="0058412D"/>
    <w:rsid w:val="005841B2"/>
    <w:rsid w:val="0058423C"/>
    <w:rsid w:val="005843B9"/>
    <w:rsid w:val="005843D2"/>
    <w:rsid w:val="00584887"/>
    <w:rsid w:val="0058497D"/>
    <w:rsid w:val="00584B09"/>
    <w:rsid w:val="00584CF2"/>
    <w:rsid w:val="00585035"/>
    <w:rsid w:val="005850D4"/>
    <w:rsid w:val="005851F6"/>
    <w:rsid w:val="00585413"/>
    <w:rsid w:val="005855FB"/>
    <w:rsid w:val="005857A3"/>
    <w:rsid w:val="005858B6"/>
    <w:rsid w:val="005858CF"/>
    <w:rsid w:val="0058593C"/>
    <w:rsid w:val="00585998"/>
    <w:rsid w:val="00585CEB"/>
    <w:rsid w:val="00585FE7"/>
    <w:rsid w:val="00586089"/>
    <w:rsid w:val="00586445"/>
    <w:rsid w:val="00586538"/>
    <w:rsid w:val="00586809"/>
    <w:rsid w:val="00586B43"/>
    <w:rsid w:val="00586FFE"/>
    <w:rsid w:val="0058708F"/>
    <w:rsid w:val="00587399"/>
    <w:rsid w:val="005873D8"/>
    <w:rsid w:val="005873F8"/>
    <w:rsid w:val="00587508"/>
    <w:rsid w:val="005876D8"/>
    <w:rsid w:val="0058773E"/>
    <w:rsid w:val="005877D7"/>
    <w:rsid w:val="005877F6"/>
    <w:rsid w:val="00587D10"/>
    <w:rsid w:val="00587D2E"/>
    <w:rsid w:val="00587E03"/>
    <w:rsid w:val="00587F37"/>
    <w:rsid w:val="0059019A"/>
    <w:rsid w:val="005901AC"/>
    <w:rsid w:val="00590237"/>
    <w:rsid w:val="00590398"/>
    <w:rsid w:val="00590465"/>
    <w:rsid w:val="0059050E"/>
    <w:rsid w:val="005905E0"/>
    <w:rsid w:val="00590702"/>
    <w:rsid w:val="00590895"/>
    <w:rsid w:val="00590A33"/>
    <w:rsid w:val="00590BD0"/>
    <w:rsid w:val="00590CB6"/>
    <w:rsid w:val="00590DF7"/>
    <w:rsid w:val="00590E24"/>
    <w:rsid w:val="00590ED6"/>
    <w:rsid w:val="0059156D"/>
    <w:rsid w:val="0059161A"/>
    <w:rsid w:val="00591875"/>
    <w:rsid w:val="00591996"/>
    <w:rsid w:val="005919FD"/>
    <w:rsid w:val="00591A75"/>
    <w:rsid w:val="00591BFF"/>
    <w:rsid w:val="00591C09"/>
    <w:rsid w:val="00591ECE"/>
    <w:rsid w:val="00591F54"/>
    <w:rsid w:val="00591FD1"/>
    <w:rsid w:val="0059210E"/>
    <w:rsid w:val="00592201"/>
    <w:rsid w:val="0059242F"/>
    <w:rsid w:val="0059252B"/>
    <w:rsid w:val="00592678"/>
    <w:rsid w:val="00592778"/>
    <w:rsid w:val="00592946"/>
    <w:rsid w:val="0059298D"/>
    <w:rsid w:val="00592A31"/>
    <w:rsid w:val="00592B9D"/>
    <w:rsid w:val="00592C1D"/>
    <w:rsid w:val="00592DBA"/>
    <w:rsid w:val="0059306F"/>
    <w:rsid w:val="005930E2"/>
    <w:rsid w:val="0059316F"/>
    <w:rsid w:val="005933D5"/>
    <w:rsid w:val="00593573"/>
    <w:rsid w:val="00593710"/>
    <w:rsid w:val="005937A2"/>
    <w:rsid w:val="005938F8"/>
    <w:rsid w:val="00593B33"/>
    <w:rsid w:val="00593B95"/>
    <w:rsid w:val="0059408E"/>
    <w:rsid w:val="005941DD"/>
    <w:rsid w:val="005942B1"/>
    <w:rsid w:val="00594422"/>
    <w:rsid w:val="00594445"/>
    <w:rsid w:val="0059454B"/>
    <w:rsid w:val="005946F5"/>
    <w:rsid w:val="00594717"/>
    <w:rsid w:val="00594A8E"/>
    <w:rsid w:val="00594C9F"/>
    <w:rsid w:val="00594D7A"/>
    <w:rsid w:val="00594DE5"/>
    <w:rsid w:val="0059534C"/>
    <w:rsid w:val="00595386"/>
    <w:rsid w:val="00595911"/>
    <w:rsid w:val="005959FE"/>
    <w:rsid w:val="00595AEB"/>
    <w:rsid w:val="00595C64"/>
    <w:rsid w:val="00595CF9"/>
    <w:rsid w:val="00595D2C"/>
    <w:rsid w:val="00595F05"/>
    <w:rsid w:val="005961C0"/>
    <w:rsid w:val="0059640A"/>
    <w:rsid w:val="0059687D"/>
    <w:rsid w:val="00596A76"/>
    <w:rsid w:val="00596AA9"/>
    <w:rsid w:val="00596AEF"/>
    <w:rsid w:val="00596B69"/>
    <w:rsid w:val="00596BBA"/>
    <w:rsid w:val="00596DBB"/>
    <w:rsid w:val="00596F16"/>
    <w:rsid w:val="00597011"/>
    <w:rsid w:val="00597097"/>
    <w:rsid w:val="005973ED"/>
    <w:rsid w:val="005974CB"/>
    <w:rsid w:val="00597611"/>
    <w:rsid w:val="00597645"/>
    <w:rsid w:val="0059773F"/>
    <w:rsid w:val="0059778C"/>
    <w:rsid w:val="005978B9"/>
    <w:rsid w:val="005978E4"/>
    <w:rsid w:val="00597946"/>
    <w:rsid w:val="00597A37"/>
    <w:rsid w:val="00597AC6"/>
    <w:rsid w:val="00597C88"/>
    <w:rsid w:val="00597E07"/>
    <w:rsid w:val="00597F06"/>
    <w:rsid w:val="005A00E1"/>
    <w:rsid w:val="005A018F"/>
    <w:rsid w:val="005A02BB"/>
    <w:rsid w:val="005A02F1"/>
    <w:rsid w:val="005A02FF"/>
    <w:rsid w:val="005A033D"/>
    <w:rsid w:val="005A0344"/>
    <w:rsid w:val="005A05AE"/>
    <w:rsid w:val="005A06AE"/>
    <w:rsid w:val="005A07FB"/>
    <w:rsid w:val="005A08B8"/>
    <w:rsid w:val="005A0AC2"/>
    <w:rsid w:val="005A0F9E"/>
    <w:rsid w:val="005A0FF2"/>
    <w:rsid w:val="005A1325"/>
    <w:rsid w:val="005A133D"/>
    <w:rsid w:val="005A1455"/>
    <w:rsid w:val="005A14AE"/>
    <w:rsid w:val="005A1840"/>
    <w:rsid w:val="005A192E"/>
    <w:rsid w:val="005A1A3E"/>
    <w:rsid w:val="005A1ABA"/>
    <w:rsid w:val="005A1B3E"/>
    <w:rsid w:val="005A1C9C"/>
    <w:rsid w:val="005A1E5D"/>
    <w:rsid w:val="005A205D"/>
    <w:rsid w:val="005A25E4"/>
    <w:rsid w:val="005A2825"/>
    <w:rsid w:val="005A289D"/>
    <w:rsid w:val="005A2AEE"/>
    <w:rsid w:val="005A2EE3"/>
    <w:rsid w:val="005A31C6"/>
    <w:rsid w:val="005A3299"/>
    <w:rsid w:val="005A333D"/>
    <w:rsid w:val="005A36C4"/>
    <w:rsid w:val="005A3733"/>
    <w:rsid w:val="005A39C0"/>
    <w:rsid w:val="005A3A08"/>
    <w:rsid w:val="005A3AD6"/>
    <w:rsid w:val="005A3D3B"/>
    <w:rsid w:val="005A3E41"/>
    <w:rsid w:val="005A3F21"/>
    <w:rsid w:val="005A4288"/>
    <w:rsid w:val="005A4319"/>
    <w:rsid w:val="005A4489"/>
    <w:rsid w:val="005A448F"/>
    <w:rsid w:val="005A44B0"/>
    <w:rsid w:val="005A44DB"/>
    <w:rsid w:val="005A44DD"/>
    <w:rsid w:val="005A48E6"/>
    <w:rsid w:val="005A4B47"/>
    <w:rsid w:val="005A4B94"/>
    <w:rsid w:val="005A4CA7"/>
    <w:rsid w:val="005A5025"/>
    <w:rsid w:val="005A50BF"/>
    <w:rsid w:val="005A5200"/>
    <w:rsid w:val="005A55A3"/>
    <w:rsid w:val="005A55FD"/>
    <w:rsid w:val="005A5614"/>
    <w:rsid w:val="005A5B2E"/>
    <w:rsid w:val="005A5B31"/>
    <w:rsid w:val="005A5B5C"/>
    <w:rsid w:val="005A5D1B"/>
    <w:rsid w:val="005A606F"/>
    <w:rsid w:val="005A6138"/>
    <w:rsid w:val="005A6258"/>
    <w:rsid w:val="005A6601"/>
    <w:rsid w:val="005A668D"/>
    <w:rsid w:val="005A66B9"/>
    <w:rsid w:val="005A6717"/>
    <w:rsid w:val="005A67B5"/>
    <w:rsid w:val="005A67D7"/>
    <w:rsid w:val="005A69E1"/>
    <w:rsid w:val="005A6C48"/>
    <w:rsid w:val="005A6C9B"/>
    <w:rsid w:val="005A6E73"/>
    <w:rsid w:val="005A6E83"/>
    <w:rsid w:val="005A7089"/>
    <w:rsid w:val="005A71EF"/>
    <w:rsid w:val="005A72B9"/>
    <w:rsid w:val="005A7301"/>
    <w:rsid w:val="005A7500"/>
    <w:rsid w:val="005A75AF"/>
    <w:rsid w:val="005A75B9"/>
    <w:rsid w:val="005A79AB"/>
    <w:rsid w:val="005A7D78"/>
    <w:rsid w:val="005A7E34"/>
    <w:rsid w:val="005A7FA6"/>
    <w:rsid w:val="005B000F"/>
    <w:rsid w:val="005B0022"/>
    <w:rsid w:val="005B00DD"/>
    <w:rsid w:val="005B0684"/>
    <w:rsid w:val="005B0CE8"/>
    <w:rsid w:val="005B1201"/>
    <w:rsid w:val="005B1237"/>
    <w:rsid w:val="005B1386"/>
    <w:rsid w:val="005B1758"/>
    <w:rsid w:val="005B17B7"/>
    <w:rsid w:val="005B1885"/>
    <w:rsid w:val="005B1AD1"/>
    <w:rsid w:val="005B2751"/>
    <w:rsid w:val="005B290B"/>
    <w:rsid w:val="005B2B18"/>
    <w:rsid w:val="005B2C72"/>
    <w:rsid w:val="005B2D87"/>
    <w:rsid w:val="005B2E09"/>
    <w:rsid w:val="005B308A"/>
    <w:rsid w:val="005B3263"/>
    <w:rsid w:val="005B330B"/>
    <w:rsid w:val="005B3878"/>
    <w:rsid w:val="005B3897"/>
    <w:rsid w:val="005B3996"/>
    <w:rsid w:val="005B39B9"/>
    <w:rsid w:val="005B3B54"/>
    <w:rsid w:val="005B3BB7"/>
    <w:rsid w:val="005B3C76"/>
    <w:rsid w:val="005B3DF2"/>
    <w:rsid w:val="005B3EF5"/>
    <w:rsid w:val="005B422C"/>
    <w:rsid w:val="005B441E"/>
    <w:rsid w:val="005B4625"/>
    <w:rsid w:val="005B48DB"/>
    <w:rsid w:val="005B49FA"/>
    <w:rsid w:val="005B4D1D"/>
    <w:rsid w:val="005B4E02"/>
    <w:rsid w:val="005B4E78"/>
    <w:rsid w:val="005B5367"/>
    <w:rsid w:val="005B5760"/>
    <w:rsid w:val="005B5831"/>
    <w:rsid w:val="005B5CD6"/>
    <w:rsid w:val="005B5DC3"/>
    <w:rsid w:val="005B6063"/>
    <w:rsid w:val="005B6085"/>
    <w:rsid w:val="005B60AA"/>
    <w:rsid w:val="005B6144"/>
    <w:rsid w:val="005B619D"/>
    <w:rsid w:val="005B6271"/>
    <w:rsid w:val="005B6568"/>
    <w:rsid w:val="005B65A9"/>
    <w:rsid w:val="005B6BA4"/>
    <w:rsid w:val="005B6DE3"/>
    <w:rsid w:val="005B70AD"/>
    <w:rsid w:val="005B70B8"/>
    <w:rsid w:val="005B7142"/>
    <w:rsid w:val="005B71E8"/>
    <w:rsid w:val="005B7219"/>
    <w:rsid w:val="005B72F4"/>
    <w:rsid w:val="005B73A2"/>
    <w:rsid w:val="005B785A"/>
    <w:rsid w:val="005B7870"/>
    <w:rsid w:val="005B7902"/>
    <w:rsid w:val="005B797B"/>
    <w:rsid w:val="005B7C8F"/>
    <w:rsid w:val="005B7CDC"/>
    <w:rsid w:val="005B7D48"/>
    <w:rsid w:val="005B7DD4"/>
    <w:rsid w:val="005B7F41"/>
    <w:rsid w:val="005C05D1"/>
    <w:rsid w:val="005C0652"/>
    <w:rsid w:val="005C0978"/>
    <w:rsid w:val="005C09A2"/>
    <w:rsid w:val="005C0A8F"/>
    <w:rsid w:val="005C0E76"/>
    <w:rsid w:val="005C0F54"/>
    <w:rsid w:val="005C0FC2"/>
    <w:rsid w:val="005C13AE"/>
    <w:rsid w:val="005C1D20"/>
    <w:rsid w:val="005C1DD9"/>
    <w:rsid w:val="005C1DDE"/>
    <w:rsid w:val="005C1DFA"/>
    <w:rsid w:val="005C1E72"/>
    <w:rsid w:val="005C1F0B"/>
    <w:rsid w:val="005C2004"/>
    <w:rsid w:val="005C204E"/>
    <w:rsid w:val="005C2090"/>
    <w:rsid w:val="005C242E"/>
    <w:rsid w:val="005C2510"/>
    <w:rsid w:val="005C26CE"/>
    <w:rsid w:val="005C2701"/>
    <w:rsid w:val="005C276C"/>
    <w:rsid w:val="005C2840"/>
    <w:rsid w:val="005C2883"/>
    <w:rsid w:val="005C29FC"/>
    <w:rsid w:val="005C2BA4"/>
    <w:rsid w:val="005C2FD2"/>
    <w:rsid w:val="005C2FEC"/>
    <w:rsid w:val="005C306C"/>
    <w:rsid w:val="005C31BF"/>
    <w:rsid w:val="005C31CE"/>
    <w:rsid w:val="005C3230"/>
    <w:rsid w:val="005C354B"/>
    <w:rsid w:val="005C358D"/>
    <w:rsid w:val="005C3789"/>
    <w:rsid w:val="005C3886"/>
    <w:rsid w:val="005C3B51"/>
    <w:rsid w:val="005C3BE5"/>
    <w:rsid w:val="005C3C30"/>
    <w:rsid w:val="005C3FFA"/>
    <w:rsid w:val="005C40D2"/>
    <w:rsid w:val="005C42FC"/>
    <w:rsid w:val="005C44D8"/>
    <w:rsid w:val="005C4685"/>
    <w:rsid w:val="005C472B"/>
    <w:rsid w:val="005C474F"/>
    <w:rsid w:val="005C4875"/>
    <w:rsid w:val="005C496F"/>
    <w:rsid w:val="005C4AA6"/>
    <w:rsid w:val="005C4E0A"/>
    <w:rsid w:val="005C516D"/>
    <w:rsid w:val="005C5665"/>
    <w:rsid w:val="005C56A0"/>
    <w:rsid w:val="005C582C"/>
    <w:rsid w:val="005C597F"/>
    <w:rsid w:val="005C5A9F"/>
    <w:rsid w:val="005C5AEB"/>
    <w:rsid w:val="005C5C04"/>
    <w:rsid w:val="005C5CB2"/>
    <w:rsid w:val="005C5F1A"/>
    <w:rsid w:val="005C6063"/>
    <w:rsid w:val="005C61A1"/>
    <w:rsid w:val="005C638E"/>
    <w:rsid w:val="005C63B7"/>
    <w:rsid w:val="005C6687"/>
    <w:rsid w:val="005C68DA"/>
    <w:rsid w:val="005C68E8"/>
    <w:rsid w:val="005C699F"/>
    <w:rsid w:val="005C6A9B"/>
    <w:rsid w:val="005C6AFE"/>
    <w:rsid w:val="005C6BE4"/>
    <w:rsid w:val="005C6C61"/>
    <w:rsid w:val="005C718B"/>
    <w:rsid w:val="005C742A"/>
    <w:rsid w:val="005C7451"/>
    <w:rsid w:val="005C7640"/>
    <w:rsid w:val="005C7789"/>
    <w:rsid w:val="005C79F1"/>
    <w:rsid w:val="005C7A46"/>
    <w:rsid w:val="005C7BEA"/>
    <w:rsid w:val="005D0110"/>
    <w:rsid w:val="005D069F"/>
    <w:rsid w:val="005D06C9"/>
    <w:rsid w:val="005D0912"/>
    <w:rsid w:val="005D0AD7"/>
    <w:rsid w:val="005D0BD5"/>
    <w:rsid w:val="005D0CA2"/>
    <w:rsid w:val="005D0CEA"/>
    <w:rsid w:val="005D0E0E"/>
    <w:rsid w:val="005D13C3"/>
    <w:rsid w:val="005D15EA"/>
    <w:rsid w:val="005D1694"/>
    <w:rsid w:val="005D17CE"/>
    <w:rsid w:val="005D19F4"/>
    <w:rsid w:val="005D1A6C"/>
    <w:rsid w:val="005D1DEB"/>
    <w:rsid w:val="005D1E71"/>
    <w:rsid w:val="005D1F01"/>
    <w:rsid w:val="005D1FB1"/>
    <w:rsid w:val="005D2160"/>
    <w:rsid w:val="005D2196"/>
    <w:rsid w:val="005D222D"/>
    <w:rsid w:val="005D22A6"/>
    <w:rsid w:val="005D22B1"/>
    <w:rsid w:val="005D2339"/>
    <w:rsid w:val="005D2487"/>
    <w:rsid w:val="005D2494"/>
    <w:rsid w:val="005D24E0"/>
    <w:rsid w:val="005D251E"/>
    <w:rsid w:val="005D259C"/>
    <w:rsid w:val="005D2D06"/>
    <w:rsid w:val="005D2F07"/>
    <w:rsid w:val="005D3014"/>
    <w:rsid w:val="005D315F"/>
    <w:rsid w:val="005D3272"/>
    <w:rsid w:val="005D32E1"/>
    <w:rsid w:val="005D36FD"/>
    <w:rsid w:val="005D396F"/>
    <w:rsid w:val="005D3989"/>
    <w:rsid w:val="005D3B81"/>
    <w:rsid w:val="005D3CE8"/>
    <w:rsid w:val="005D3D89"/>
    <w:rsid w:val="005D3DA8"/>
    <w:rsid w:val="005D3ECE"/>
    <w:rsid w:val="005D3F5B"/>
    <w:rsid w:val="005D4147"/>
    <w:rsid w:val="005D42E2"/>
    <w:rsid w:val="005D4506"/>
    <w:rsid w:val="005D4535"/>
    <w:rsid w:val="005D4544"/>
    <w:rsid w:val="005D467C"/>
    <w:rsid w:val="005D478F"/>
    <w:rsid w:val="005D48B6"/>
    <w:rsid w:val="005D4A77"/>
    <w:rsid w:val="005D4F38"/>
    <w:rsid w:val="005D4FC5"/>
    <w:rsid w:val="005D50C9"/>
    <w:rsid w:val="005D5211"/>
    <w:rsid w:val="005D526F"/>
    <w:rsid w:val="005D5A4E"/>
    <w:rsid w:val="005D5BEF"/>
    <w:rsid w:val="005D5BF8"/>
    <w:rsid w:val="005D5CDA"/>
    <w:rsid w:val="005D5DAE"/>
    <w:rsid w:val="005D5DCB"/>
    <w:rsid w:val="005D5EE4"/>
    <w:rsid w:val="005D5EF4"/>
    <w:rsid w:val="005D61A1"/>
    <w:rsid w:val="005D6225"/>
    <w:rsid w:val="005D623B"/>
    <w:rsid w:val="005D6399"/>
    <w:rsid w:val="005D642B"/>
    <w:rsid w:val="005D6735"/>
    <w:rsid w:val="005D6740"/>
    <w:rsid w:val="005D6868"/>
    <w:rsid w:val="005D68A1"/>
    <w:rsid w:val="005D6C2E"/>
    <w:rsid w:val="005D6CA4"/>
    <w:rsid w:val="005D6D89"/>
    <w:rsid w:val="005D6DA6"/>
    <w:rsid w:val="005D7001"/>
    <w:rsid w:val="005D70CF"/>
    <w:rsid w:val="005D722F"/>
    <w:rsid w:val="005D72BE"/>
    <w:rsid w:val="005D734C"/>
    <w:rsid w:val="005D74A0"/>
    <w:rsid w:val="005D74BC"/>
    <w:rsid w:val="005D7503"/>
    <w:rsid w:val="005D762B"/>
    <w:rsid w:val="005D7B08"/>
    <w:rsid w:val="005D7B5F"/>
    <w:rsid w:val="005D7BA0"/>
    <w:rsid w:val="005D7C12"/>
    <w:rsid w:val="005D7C76"/>
    <w:rsid w:val="005E017F"/>
    <w:rsid w:val="005E0234"/>
    <w:rsid w:val="005E049B"/>
    <w:rsid w:val="005E0685"/>
    <w:rsid w:val="005E0A3C"/>
    <w:rsid w:val="005E0AA8"/>
    <w:rsid w:val="005E0C68"/>
    <w:rsid w:val="005E0C74"/>
    <w:rsid w:val="005E0CF2"/>
    <w:rsid w:val="005E1110"/>
    <w:rsid w:val="005E1555"/>
    <w:rsid w:val="005E16F7"/>
    <w:rsid w:val="005E18B9"/>
    <w:rsid w:val="005E192F"/>
    <w:rsid w:val="005E1A35"/>
    <w:rsid w:val="005E1BF0"/>
    <w:rsid w:val="005E1C26"/>
    <w:rsid w:val="005E1CD4"/>
    <w:rsid w:val="005E1D1A"/>
    <w:rsid w:val="005E1EF3"/>
    <w:rsid w:val="005E1F55"/>
    <w:rsid w:val="005E20EE"/>
    <w:rsid w:val="005E2528"/>
    <w:rsid w:val="005E25E2"/>
    <w:rsid w:val="005E2661"/>
    <w:rsid w:val="005E27C3"/>
    <w:rsid w:val="005E27F8"/>
    <w:rsid w:val="005E2AB3"/>
    <w:rsid w:val="005E2BCE"/>
    <w:rsid w:val="005E2C28"/>
    <w:rsid w:val="005E2D5D"/>
    <w:rsid w:val="005E2DA5"/>
    <w:rsid w:val="005E2DBD"/>
    <w:rsid w:val="005E2F71"/>
    <w:rsid w:val="005E2FE4"/>
    <w:rsid w:val="005E3185"/>
    <w:rsid w:val="005E33DF"/>
    <w:rsid w:val="005E34AE"/>
    <w:rsid w:val="005E3729"/>
    <w:rsid w:val="005E372A"/>
    <w:rsid w:val="005E37FB"/>
    <w:rsid w:val="005E3869"/>
    <w:rsid w:val="005E3B28"/>
    <w:rsid w:val="005E3C01"/>
    <w:rsid w:val="005E3E87"/>
    <w:rsid w:val="005E3F3E"/>
    <w:rsid w:val="005E3FFC"/>
    <w:rsid w:val="005E4115"/>
    <w:rsid w:val="005E4196"/>
    <w:rsid w:val="005E41C5"/>
    <w:rsid w:val="005E42BA"/>
    <w:rsid w:val="005E42FA"/>
    <w:rsid w:val="005E440B"/>
    <w:rsid w:val="005E44C0"/>
    <w:rsid w:val="005E44CC"/>
    <w:rsid w:val="005E47AF"/>
    <w:rsid w:val="005E4AAF"/>
    <w:rsid w:val="005E4B06"/>
    <w:rsid w:val="005E4C5E"/>
    <w:rsid w:val="005E4D3D"/>
    <w:rsid w:val="005E5233"/>
    <w:rsid w:val="005E55B1"/>
    <w:rsid w:val="005E59C8"/>
    <w:rsid w:val="005E5BC1"/>
    <w:rsid w:val="005E5BC2"/>
    <w:rsid w:val="005E5E17"/>
    <w:rsid w:val="005E5E45"/>
    <w:rsid w:val="005E6323"/>
    <w:rsid w:val="005E6347"/>
    <w:rsid w:val="005E63D6"/>
    <w:rsid w:val="005E6457"/>
    <w:rsid w:val="005E6543"/>
    <w:rsid w:val="005E6571"/>
    <w:rsid w:val="005E6749"/>
    <w:rsid w:val="005E6885"/>
    <w:rsid w:val="005E6A84"/>
    <w:rsid w:val="005E6AC5"/>
    <w:rsid w:val="005E6BA0"/>
    <w:rsid w:val="005E6BB7"/>
    <w:rsid w:val="005E6E2E"/>
    <w:rsid w:val="005E6E8A"/>
    <w:rsid w:val="005E6EB5"/>
    <w:rsid w:val="005E6FCA"/>
    <w:rsid w:val="005E6FE3"/>
    <w:rsid w:val="005E702D"/>
    <w:rsid w:val="005E752F"/>
    <w:rsid w:val="005E75AD"/>
    <w:rsid w:val="005E75E5"/>
    <w:rsid w:val="005E7751"/>
    <w:rsid w:val="005E77D3"/>
    <w:rsid w:val="005E7864"/>
    <w:rsid w:val="005E7AE6"/>
    <w:rsid w:val="005E7B13"/>
    <w:rsid w:val="005E7B2D"/>
    <w:rsid w:val="005E7B55"/>
    <w:rsid w:val="005E7BB2"/>
    <w:rsid w:val="005E7C51"/>
    <w:rsid w:val="005E7C7D"/>
    <w:rsid w:val="005E7DD3"/>
    <w:rsid w:val="005E7F08"/>
    <w:rsid w:val="005F0143"/>
    <w:rsid w:val="005F056B"/>
    <w:rsid w:val="005F06C5"/>
    <w:rsid w:val="005F080E"/>
    <w:rsid w:val="005F0819"/>
    <w:rsid w:val="005F0AE9"/>
    <w:rsid w:val="005F0D87"/>
    <w:rsid w:val="005F0F59"/>
    <w:rsid w:val="005F11D3"/>
    <w:rsid w:val="005F121A"/>
    <w:rsid w:val="005F1337"/>
    <w:rsid w:val="005F13F2"/>
    <w:rsid w:val="005F15C3"/>
    <w:rsid w:val="005F16B4"/>
    <w:rsid w:val="005F179A"/>
    <w:rsid w:val="005F1B7C"/>
    <w:rsid w:val="005F1C58"/>
    <w:rsid w:val="005F1D58"/>
    <w:rsid w:val="005F1ED0"/>
    <w:rsid w:val="005F2192"/>
    <w:rsid w:val="005F219F"/>
    <w:rsid w:val="005F221B"/>
    <w:rsid w:val="005F222B"/>
    <w:rsid w:val="005F238B"/>
    <w:rsid w:val="005F247F"/>
    <w:rsid w:val="005F2738"/>
    <w:rsid w:val="005F27A9"/>
    <w:rsid w:val="005F2811"/>
    <w:rsid w:val="005F28AF"/>
    <w:rsid w:val="005F2A5A"/>
    <w:rsid w:val="005F2B1C"/>
    <w:rsid w:val="005F2C49"/>
    <w:rsid w:val="005F2CF2"/>
    <w:rsid w:val="005F2D13"/>
    <w:rsid w:val="005F2D31"/>
    <w:rsid w:val="005F30B4"/>
    <w:rsid w:val="005F31E8"/>
    <w:rsid w:val="005F33A4"/>
    <w:rsid w:val="005F340D"/>
    <w:rsid w:val="005F3450"/>
    <w:rsid w:val="005F34EA"/>
    <w:rsid w:val="005F35E6"/>
    <w:rsid w:val="005F360D"/>
    <w:rsid w:val="005F364E"/>
    <w:rsid w:val="005F3791"/>
    <w:rsid w:val="005F38CE"/>
    <w:rsid w:val="005F3926"/>
    <w:rsid w:val="005F3B71"/>
    <w:rsid w:val="005F3CA4"/>
    <w:rsid w:val="005F405A"/>
    <w:rsid w:val="005F412D"/>
    <w:rsid w:val="005F436F"/>
    <w:rsid w:val="005F4450"/>
    <w:rsid w:val="005F44E5"/>
    <w:rsid w:val="005F4566"/>
    <w:rsid w:val="005F4574"/>
    <w:rsid w:val="005F470C"/>
    <w:rsid w:val="005F4994"/>
    <w:rsid w:val="005F4B92"/>
    <w:rsid w:val="005F4E06"/>
    <w:rsid w:val="005F4E11"/>
    <w:rsid w:val="005F4FF3"/>
    <w:rsid w:val="005F5039"/>
    <w:rsid w:val="005F510A"/>
    <w:rsid w:val="005F5184"/>
    <w:rsid w:val="005F5240"/>
    <w:rsid w:val="005F5378"/>
    <w:rsid w:val="005F547A"/>
    <w:rsid w:val="005F54A0"/>
    <w:rsid w:val="005F55BB"/>
    <w:rsid w:val="005F5835"/>
    <w:rsid w:val="005F5998"/>
    <w:rsid w:val="005F5A4F"/>
    <w:rsid w:val="005F5D53"/>
    <w:rsid w:val="005F5DD5"/>
    <w:rsid w:val="005F5EE4"/>
    <w:rsid w:val="005F5FB9"/>
    <w:rsid w:val="005F64C1"/>
    <w:rsid w:val="005F66A1"/>
    <w:rsid w:val="005F67E9"/>
    <w:rsid w:val="005F6857"/>
    <w:rsid w:val="005F6AFC"/>
    <w:rsid w:val="005F6C10"/>
    <w:rsid w:val="005F6D80"/>
    <w:rsid w:val="005F6F6E"/>
    <w:rsid w:val="005F7274"/>
    <w:rsid w:val="005F73F0"/>
    <w:rsid w:val="005F74A1"/>
    <w:rsid w:val="005F75AF"/>
    <w:rsid w:val="005F77BB"/>
    <w:rsid w:val="005F77D4"/>
    <w:rsid w:val="005F7891"/>
    <w:rsid w:val="005F79F3"/>
    <w:rsid w:val="005F7ABA"/>
    <w:rsid w:val="005F7B0F"/>
    <w:rsid w:val="005F7E24"/>
    <w:rsid w:val="005F7EB2"/>
    <w:rsid w:val="005F7FC9"/>
    <w:rsid w:val="00600046"/>
    <w:rsid w:val="00600189"/>
    <w:rsid w:val="00600286"/>
    <w:rsid w:val="00600287"/>
    <w:rsid w:val="00600378"/>
    <w:rsid w:val="00600402"/>
    <w:rsid w:val="00600418"/>
    <w:rsid w:val="00600450"/>
    <w:rsid w:val="00600526"/>
    <w:rsid w:val="0060056D"/>
    <w:rsid w:val="006007B2"/>
    <w:rsid w:val="0060080B"/>
    <w:rsid w:val="006008F6"/>
    <w:rsid w:val="006009D4"/>
    <w:rsid w:val="00600BC0"/>
    <w:rsid w:val="00600D62"/>
    <w:rsid w:val="00600DA1"/>
    <w:rsid w:val="00600F67"/>
    <w:rsid w:val="006011F8"/>
    <w:rsid w:val="006012C9"/>
    <w:rsid w:val="006013E5"/>
    <w:rsid w:val="00601575"/>
    <w:rsid w:val="0060179F"/>
    <w:rsid w:val="00601A80"/>
    <w:rsid w:val="00601A89"/>
    <w:rsid w:val="00601CD6"/>
    <w:rsid w:val="00601D01"/>
    <w:rsid w:val="00601D8C"/>
    <w:rsid w:val="00601E68"/>
    <w:rsid w:val="00601E8B"/>
    <w:rsid w:val="00601F02"/>
    <w:rsid w:val="00601FCD"/>
    <w:rsid w:val="0060202B"/>
    <w:rsid w:val="006020EB"/>
    <w:rsid w:val="006022DF"/>
    <w:rsid w:val="0060236D"/>
    <w:rsid w:val="0060243A"/>
    <w:rsid w:val="00602571"/>
    <w:rsid w:val="0060282B"/>
    <w:rsid w:val="006028F4"/>
    <w:rsid w:val="006031BA"/>
    <w:rsid w:val="00603537"/>
    <w:rsid w:val="006036D2"/>
    <w:rsid w:val="006037FA"/>
    <w:rsid w:val="006038F0"/>
    <w:rsid w:val="00603D20"/>
    <w:rsid w:val="00603D98"/>
    <w:rsid w:val="00603DF8"/>
    <w:rsid w:val="00603E69"/>
    <w:rsid w:val="00603F22"/>
    <w:rsid w:val="00604534"/>
    <w:rsid w:val="006049F5"/>
    <w:rsid w:val="00604A48"/>
    <w:rsid w:val="00604ADE"/>
    <w:rsid w:val="00604BFD"/>
    <w:rsid w:val="00604C3D"/>
    <w:rsid w:val="00605133"/>
    <w:rsid w:val="006053D1"/>
    <w:rsid w:val="0060542F"/>
    <w:rsid w:val="00605538"/>
    <w:rsid w:val="00605923"/>
    <w:rsid w:val="00605A12"/>
    <w:rsid w:val="00605A72"/>
    <w:rsid w:val="00605A9E"/>
    <w:rsid w:val="00605B95"/>
    <w:rsid w:val="0060607F"/>
    <w:rsid w:val="0060636E"/>
    <w:rsid w:val="00606374"/>
    <w:rsid w:val="0060646A"/>
    <w:rsid w:val="006064A7"/>
    <w:rsid w:val="0060672C"/>
    <w:rsid w:val="00606854"/>
    <w:rsid w:val="006069EB"/>
    <w:rsid w:val="00606BE1"/>
    <w:rsid w:val="006070A2"/>
    <w:rsid w:val="00607119"/>
    <w:rsid w:val="006074C5"/>
    <w:rsid w:val="00607547"/>
    <w:rsid w:val="0060757C"/>
    <w:rsid w:val="00607A02"/>
    <w:rsid w:val="00607A0B"/>
    <w:rsid w:val="00607AD1"/>
    <w:rsid w:val="00607BEC"/>
    <w:rsid w:val="00607C44"/>
    <w:rsid w:val="00607E6B"/>
    <w:rsid w:val="00607FAC"/>
    <w:rsid w:val="0061006D"/>
    <w:rsid w:val="00610123"/>
    <w:rsid w:val="006102C8"/>
    <w:rsid w:val="0061041D"/>
    <w:rsid w:val="006104D2"/>
    <w:rsid w:val="00610533"/>
    <w:rsid w:val="0061069F"/>
    <w:rsid w:val="006106CE"/>
    <w:rsid w:val="00610704"/>
    <w:rsid w:val="0061081A"/>
    <w:rsid w:val="006108DE"/>
    <w:rsid w:val="00610989"/>
    <w:rsid w:val="00610A42"/>
    <w:rsid w:val="00610BC7"/>
    <w:rsid w:val="00610BE2"/>
    <w:rsid w:val="00610BF9"/>
    <w:rsid w:val="00610C4A"/>
    <w:rsid w:val="00610EC8"/>
    <w:rsid w:val="00611072"/>
    <w:rsid w:val="00611169"/>
    <w:rsid w:val="00611179"/>
    <w:rsid w:val="00611310"/>
    <w:rsid w:val="00611350"/>
    <w:rsid w:val="00611620"/>
    <w:rsid w:val="0061187F"/>
    <w:rsid w:val="006118FB"/>
    <w:rsid w:val="00611CE7"/>
    <w:rsid w:val="00611E66"/>
    <w:rsid w:val="0061216B"/>
    <w:rsid w:val="0061227E"/>
    <w:rsid w:val="006122AD"/>
    <w:rsid w:val="006123E7"/>
    <w:rsid w:val="00612420"/>
    <w:rsid w:val="0061245B"/>
    <w:rsid w:val="00612475"/>
    <w:rsid w:val="006125C2"/>
    <w:rsid w:val="00612A92"/>
    <w:rsid w:val="00612C01"/>
    <w:rsid w:val="00612C2C"/>
    <w:rsid w:val="00612D3C"/>
    <w:rsid w:val="00612DD6"/>
    <w:rsid w:val="00612EE4"/>
    <w:rsid w:val="00612EE5"/>
    <w:rsid w:val="00612F35"/>
    <w:rsid w:val="006130D1"/>
    <w:rsid w:val="006133C3"/>
    <w:rsid w:val="006134D5"/>
    <w:rsid w:val="0061369B"/>
    <w:rsid w:val="00613B4B"/>
    <w:rsid w:val="00613E5F"/>
    <w:rsid w:val="00614527"/>
    <w:rsid w:val="006149A6"/>
    <w:rsid w:val="0061539D"/>
    <w:rsid w:val="0061568C"/>
    <w:rsid w:val="006156EF"/>
    <w:rsid w:val="006158A4"/>
    <w:rsid w:val="006158D7"/>
    <w:rsid w:val="006159AD"/>
    <w:rsid w:val="00615ADA"/>
    <w:rsid w:val="00615C2B"/>
    <w:rsid w:val="00615C3A"/>
    <w:rsid w:val="00615C40"/>
    <w:rsid w:val="00615D91"/>
    <w:rsid w:val="00615DC1"/>
    <w:rsid w:val="00615DDE"/>
    <w:rsid w:val="00615F6D"/>
    <w:rsid w:val="006161EA"/>
    <w:rsid w:val="00616254"/>
    <w:rsid w:val="00616305"/>
    <w:rsid w:val="00616395"/>
    <w:rsid w:val="0061643B"/>
    <w:rsid w:val="0061648B"/>
    <w:rsid w:val="006164F1"/>
    <w:rsid w:val="006165A7"/>
    <w:rsid w:val="00616804"/>
    <w:rsid w:val="00616939"/>
    <w:rsid w:val="00616BCD"/>
    <w:rsid w:val="00616CB7"/>
    <w:rsid w:val="00616CD7"/>
    <w:rsid w:val="0061704E"/>
    <w:rsid w:val="0061705B"/>
    <w:rsid w:val="00617346"/>
    <w:rsid w:val="0061750D"/>
    <w:rsid w:val="006176B5"/>
    <w:rsid w:val="006177DD"/>
    <w:rsid w:val="00617A18"/>
    <w:rsid w:val="00617BB1"/>
    <w:rsid w:val="00617CA3"/>
    <w:rsid w:val="00617CB3"/>
    <w:rsid w:val="00617CBD"/>
    <w:rsid w:val="00617F8E"/>
    <w:rsid w:val="006202DE"/>
    <w:rsid w:val="00620325"/>
    <w:rsid w:val="006205CA"/>
    <w:rsid w:val="006206E4"/>
    <w:rsid w:val="006208DC"/>
    <w:rsid w:val="00620A66"/>
    <w:rsid w:val="00620FA1"/>
    <w:rsid w:val="00620FCB"/>
    <w:rsid w:val="00621146"/>
    <w:rsid w:val="00621520"/>
    <w:rsid w:val="00621662"/>
    <w:rsid w:val="006216EA"/>
    <w:rsid w:val="006217A1"/>
    <w:rsid w:val="00621816"/>
    <w:rsid w:val="00621886"/>
    <w:rsid w:val="00621A01"/>
    <w:rsid w:val="00621B3D"/>
    <w:rsid w:val="00621B5E"/>
    <w:rsid w:val="00621B64"/>
    <w:rsid w:val="00621F40"/>
    <w:rsid w:val="006220BE"/>
    <w:rsid w:val="0062212D"/>
    <w:rsid w:val="0062218D"/>
    <w:rsid w:val="006222CB"/>
    <w:rsid w:val="0062256F"/>
    <w:rsid w:val="006227D1"/>
    <w:rsid w:val="00622A05"/>
    <w:rsid w:val="00622AD1"/>
    <w:rsid w:val="00622F7A"/>
    <w:rsid w:val="00623029"/>
    <w:rsid w:val="0062306D"/>
    <w:rsid w:val="0062370C"/>
    <w:rsid w:val="0062377F"/>
    <w:rsid w:val="00623C3A"/>
    <w:rsid w:val="00623D06"/>
    <w:rsid w:val="00623D8B"/>
    <w:rsid w:val="00624048"/>
    <w:rsid w:val="00624183"/>
    <w:rsid w:val="006241F1"/>
    <w:rsid w:val="0062435B"/>
    <w:rsid w:val="00624A58"/>
    <w:rsid w:val="00624B74"/>
    <w:rsid w:val="00624B88"/>
    <w:rsid w:val="00624BC2"/>
    <w:rsid w:val="00624CC4"/>
    <w:rsid w:val="00624E9A"/>
    <w:rsid w:val="00624EB6"/>
    <w:rsid w:val="00624EFC"/>
    <w:rsid w:val="00625189"/>
    <w:rsid w:val="0062587C"/>
    <w:rsid w:val="006259B0"/>
    <w:rsid w:val="00625A22"/>
    <w:rsid w:val="00625A79"/>
    <w:rsid w:val="00625A82"/>
    <w:rsid w:val="00625A83"/>
    <w:rsid w:val="00625ABE"/>
    <w:rsid w:val="00625AD9"/>
    <w:rsid w:val="00625B97"/>
    <w:rsid w:val="00625C16"/>
    <w:rsid w:val="00625CA3"/>
    <w:rsid w:val="00625CBD"/>
    <w:rsid w:val="00625CEE"/>
    <w:rsid w:val="00625E71"/>
    <w:rsid w:val="00625F4E"/>
    <w:rsid w:val="00626176"/>
    <w:rsid w:val="006263C3"/>
    <w:rsid w:val="00626630"/>
    <w:rsid w:val="006268CC"/>
    <w:rsid w:val="0062692D"/>
    <w:rsid w:val="00626971"/>
    <w:rsid w:val="00626977"/>
    <w:rsid w:val="00626B4E"/>
    <w:rsid w:val="00626C3B"/>
    <w:rsid w:val="00626CFD"/>
    <w:rsid w:val="00626DCC"/>
    <w:rsid w:val="00626EDC"/>
    <w:rsid w:val="00626F73"/>
    <w:rsid w:val="00626F8D"/>
    <w:rsid w:val="00626FF2"/>
    <w:rsid w:val="00627000"/>
    <w:rsid w:val="006270FC"/>
    <w:rsid w:val="00627322"/>
    <w:rsid w:val="00627923"/>
    <w:rsid w:val="00627A03"/>
    <w:rsid w:val="00627DD9"/>
    <w:rsid w:val="00627EF6"/>
    <w:rsid w:val="00627F1D"/>
    <w:rsid w:val="00630099"/>
    <w:rsid w:val="00630138"/>
    <w:rsid w:val="00630139"/>
    <w:rsid w:val="006301D6"/>
    <w:rsid w:val="0063022C"/>
    <w:rsid w:val="00630278"/>
    <w:rsid w:val="00630391"/>
    <w:rsid w:val="00630442"/>
    <w:rsid w:val="0063057B"/>
    <w:rsid w:val="00630652"/>
    <w:rsid w:val="0063080A"/>
    <w:rsid w:val="006308D7"/>
    <w:rsid w:val="00630B56"/>
    <w:rsid w:val="00630E00"/>
    <w:rsid w:val="006312A4"/>
    <w:rsid w:val="00631310"/>
    <w:rsid w:val="00631531"/>
    <w:rsid w:val="00631592"/>
    <w:rsid w:val="0063160E"/>
    <w:rsid w:val="006316CD"/>
    <w:rsid w:val="00631758"/>
    <w:rsid w:val="00631784"/>
    <w:rsid w:val="00631879"/>
    <w:rsid w:val="0063187E"/>
    <w:rsid w:val="0063192C"/>
    <w:rsid w:val="006319D3"/>
    <w:rsid w:val="00631A61"/>
    <w:rsid w:val="00631E33"/>
    <w:rsid w:val="00631E97"/>
    <w:rsid w:val="00632107"/>
    <w:rsid w:val="00632266"/>
    <w:rsid w:val="006322D3"/>
    <w:rsid w:val="00632553"/>
    <w:rsid w:val="006325FE"/>
    <w:rsid w:val="006328A0"/>
    <w:rsid w:val="006329F4"/>
    <w:rsid w:val="00632B31"/>
    <w:rsid w:val="00632C14"/>
    <w:rsid w:val="00632CF3"/>
    <w:rsid w:val="00633786"/>
    <w:rsid w:val="00633995"/>
    <w:rsid w:val="00633B52"/>
    <w:rsid w:val="00633BF4"/>
    <w:rsid w:val="00634387"/>
    <w:rsid w:val="00634414"/>
    <w:rsid w:val="00634702"/>
    <w:rsid w:val="006347CB"/>
    <w:rsid w:val="00634899"/>
    <w:rsid w:val="006348A7"/>
    <w:rsid w:val="0063494F"/>
    <w:rsid w:val="00634B13"/>
    <w:rsid w:val="00634C68"/>
    <w:rsid w:val="00634D9D"/>
    <w:rsid w:val="00634E62"/>
    <w:rsid w:val="00634EF1"/>
    <w:rsid w:val="006350E3"/>
    <w:rsid w:val="00635297"/>
    <w:rsid w:val="0063567A"/>
    <w:rsid w:val="006359A0"/>
    <w:rsid w:val="006359A5"/>
    <w:rsid w:val="006359C0"/>
    <w:rsid w:val="00635A0C"/>
    <w:rsid w:val="00635A45"/>
    <w:rsid w:val="00635C4F"/>
    <w:rsid w:val="00635EAD"/>
    <w:rsid w:val="00636102"/>
    <w:rsid w:val="00636131"/>
    <w:rsid w:val="00636262"/>
    <w:rsid w:val="006363C6"/>
    <w:rsid w:val="00636445"/>
    <w:rsid w:val="0063671B"/>
    <w:rsid w:val="0063689B"/>
    <w:rsid w:val="006368F6"/>
    <w:rsid w:val="00636A3F"/>
    <w:rsid w:val="00636C0E"/>
    <w:rsid w:val="00636CCE"/>
    <w:rsid w:val="00636DD4"/>
    <w:rsid w:val="00636E17"/>
    <w:rsid w:val="00636F54"/>
    <w:rsid w:val="00637308"/>
    <w:rsid w:val="00637458"/>
    <w:rsid w:val="00637F4F"/>
    <w:rsid w:val="00637F83"/>
    <w:rsid w:val="00640188"/>
    <w:rsid w:val="006401B0"/>
    <w:rsid w:val="00640212"/>
    <w:rsid w:val="006402B9"/>
    <w:rsid w:val="00640564"/>
    <w:rsid w:val="006405EC"/>
    <w:rsid w:val="006407EF"/>
    <w:rsid w:val="00640A13"/>
    <w:rsid w:val="00640B67"/>
    <w:rsid w:val="00640E04"/>
    <w:rsid w:val="006410D7"/>
    <w:rsid w:val="00641150"/>
    <w:rsid w:val="0064130B"/>
    <w:rsid w:val="0064136B"/>
    <w:rsid w:val="006414F0"/>
    <w:rsid w:val="006416FF"/>
    <w:rsid w:val="0064172F"/>
    <w:rsid w:val="006417DA"/>
    <w:rsid w:val="006419EB"/>
    <w:rsid w:val="00641B5F"/>
    <w:rsid w:val="00641DCA"/>
    <w:rsid w:val="00641F32"/>
    <w:rsid w:val="00641F3D"/>
    <w:rsid w:val="00641F79"/>
    <w:rsid w:val="00641FE8"/>
    <w:rsid w:val="00642076"/>
    <w:rsid w:val="006425F2"/>
    <w:rsid w:val="00642C5F"/>
    <w:rsid w:val="00642D1D"/>
    <w:rsid w:val="00642DA5"/>
    <w:rsid w:val="00642EAA"/>
    <w:rsid w:val="00643007"/>
    <w:rsid w:val="00643099"/>
    <w:rsid w:val="006431CB"/>
    <w:rsid w:val="0064362A"/>
    <w:rsid w:val="006436E8"/>
    <w:rsid w:val="00643A24"/>
    <w:rsid w:val="00643C9A"/>
    <w:rsid w:val="00643DF8"/>
    <w:rsid w:val="00643DFF"/>
    <w:rsid w:val="00644006"/>
    <w:rsid w:val="0064415E"/>
    <w:rsid w:val="006441C2"/>
    <w:rsid w:val="00644391"/>
    <w:rsid w:val="00644702"/>
    <w:rsid w:val="006448B1"/>
    <w:rsid w:val="00644C3D"/>
    <w:rsid w:val="00644D15"/>
    <w:rsid w:val="00645268"/>
    <w:rsid w:val="006453A5"/>
    <w:rsid w:val="006455E5"/>
    <w:rsid w:val="00645926"/>
    <w:rsid w:val="00645BB4"/>
    <w:rsid w:val="00645D85"/>
    <w:rsid w:val="00645E89"/>
    <w:rsid w:val="00645F3B"/>
    <w:rsid w:val="00645F5D"/>
    <w:rsid w:val="00646099"/>
    <w:rsid w:val="00646256"/>
    <w:rsid w:val="006462AB"/>
    <w:rsid w:val="00646341"/>
    <w:rsid w:val="00646772"/>
    <w:rsid w:val="0064680F"/>
    <w:rsid w:val="00646AD0"/>
    <w:rsid w:val="00646B42"/>
    <w:rsid w:val="00646DD0"/>
    <w:rsid w:val="00647127"/>
    <w:rsid w:val="006471FA"/>
    <w:rsid w:val="0064737F"/>
    <w:rsid w:val="00647564"/>
    <w:rsid w:val="006476A7"/>
    <w:rsid w:val="00647838"/>
    <w:rsid w:val="0064783E"/>
    <w:rsid w:val="0064793F"/>
    <w:rsid w:val="00647980"/>
    <w:rsid w:val="00647A81"/>
    <w:rsid w:val="00647D37"/>
    <w:rsid w:val="00647D82"/>
    <w:rsid w:val="00647DBC"/>
    <w:rsid w:val="00647E9B"/>
    <w:rsid w:val="00647F84"/>
    <w:rsid w:val="00650086"/>
    <w:rsid w:val="0065050B"/>
    <w:rsid w:val="006506EC"/>
    <w:rsid w:val="0065086E"/>
    <w:rsid w:val="006508D9"/>
    <w:rsid w:val="006508E6"/>
    <w:rsid w:val="00650925"/>
    <w:rsid w:val="00650B15"/>
    <w:rsid w:val="00650B71"/>
    <w:rsid w:val="00650F4F"/>
    <w:rsid w:val="0065103B"/>
    <w:rsid w:val="00651205"/>
    <w:rsid w:val="00651286"/>
    <w:rsid w:val="0065128A"/>
    <w:rsid w:val="006513D0"/>
    <w:rsid w:val="00651535"/>
    <w:rsid w:val="00651737"/>
    <w:rsid w:val="0065192A"/>
    <w:rsid w:val="00651953"/>
    <w:rsid w:val="0065198A"/>
    <w:rsid w:val="00651AB7"/>
    <w:rsid w:val="00651C7E"/>
    <w:rsid w:val="00651DF2"/>
    <w:rsid w:val="00652005"/>
    <w:rsid w:val="0065213A"/>
    <w:rsid w:val="00652367"/>
    <w:rsid w:val="0065253D"/>
    <w:rsid w:val="00652828"/>
    <w:rsid w:val="00652905"/>
    <w:rsid w:val="00652B4D"/>
    <w:rsid w:val="00652D24"/>
    <w:rsid w:val="00652DE3"/>
    <w:rsid w:val="00652F3C"/>
    <w:rsid w:val="00653209"/>
    <w:rsid w:val="00653333"/>
    <w:rsid w:val="0065339A"/>
    <w:rsid w:val="00653482"/>
    <w:rsid w:val="00653589"/>
    <w:rsid w:val="0065369A"/>
    <w:rsid w:val="006537AE"/>
    <w:rsid w:val="006539AB"/>
    <w:rsid w:val="00653A4E"/>
    <w:rsid w:val="00653BB0"/>
    <w:rsid w:val="00653CDC"/>
    <w:rsid w:val="00653FCD"/>
    <w:rsid w:val="00654017"/>
    <w:rsid w:val="006543FF"/>
    <w:rsid w:val="006544B0"/>
    <w:rsid w:val="006544D5"/>
    <w:rsid w:val="006544E3"/>
    <w:rsid w:val="00654511"/>
    <w:rsid w:val="0065457C"/>
    <w:rsid w:val="006549D3"/>
    <w:rsid w:val="00654B94"/>
    <w:rsid w:val="00654C71"/>
    <w:rsid w:val="00654CE8"/>
    <w:rsid w:val="00654FEC"/>
    <w:rsid w:val="00655043"/>
    <w:rsid w:val="006550B4"/>
    <w:rsid w:val="00655567"/>
    <w:rsid w:val="006556CC"/>
    <w:rsid w:val="0065582D"/>
    <w:rsid w:val="00655834"/>
    <w:rsid w:val="0065584D"/>
    <w:rsid w:val="0065589D"/>
    <w:rsid w:val="00655A8B"/>
    <w:rsid w:val="00655B2D"/>
    <w:rsid w:val="00655BD5"/>
    <w:rsid w:val="00655C56"/>
    <w:rsid w:val="00655E76"/>
    <w:rsid w:val="00655FA9"/>
    <w:rsid w:val="006563F4"/>
    <w:rsid w:val="00656492"/>
    <w:rsid w:val="00656613"/>
    <w:rsid w:val="0065680C"/>
    <w:rsid w:val="0065684E"/>
    <w:rsid w:val="00656A2D"/>
    <w:rsid w:val="00656CE4"/>
    <w:rsid w:val="00656D1C"/>
    <w:rsid w:val="00656EAA"/>
    <w:rsid w:val="00656F5C"/>
    <w:rsid w:val="00657042"/>
    <w:rsid w:val="00657588"/>
    <w:rsid w:val="0065759C"/>
    <w:rsid w:val="006576F1"/>
    <w:rsid w:val="00657883"/>
    <w:rsid w:val="006578D7"/>
    <w:rsid w:val="00657AF9"/>
    <w:rsid w:val="00657D65"/>
    <w:rsid w:val="00657EDD"/>
    <w:rsid w:val="00657F43"/>
    <w:rsid w:val="00657FE8"/>
    <w:rsid w:val="0066012D"/>
    <w:rsid w:val="006601BE"/>
    <w:rsid w:val="0066022C"/>
    <w:rsid w:val="006604D8"/>
    <w:rsid w:val="0066072F"/>
    <w:rsid w:val="006607F4"/>
    <w:rsid w:val="00660B5A"/>
    <w:rsid w:val="00660EF2"/>
    <w:rsid w:val="006611B0"/>
    <w:rsid w:val="0066133A"/>
    <w:rsid w:val="0066137D"/>
    <w:rsid w:val="00661778"/>
    <w:rsid w:val="00661CB2"/>
    <w:rsid w:val="00661CCE"/>
    <w:rsid w:val="00661E1B"/>
    <w:rsid w:val="00661E95"/>
    <w:rsid w:val="00661F91"/>
    <w:rsid w:val="0066207E"/>
    <w:rsid w:val="0066244E"/>
    <w:rsid w:val="00662784"/>
    <w:rsid w:val="006629FD"/>
    <w:rsid w:val="00662A72"/>
    <w:rsid w:val="00662B5A"/>
    <w:rsid w:val="00662CC2"/>
    <w:rsid w:val="00662CCC"/>
    <w:rsid w:val="00662F9A"/>
    <w:rsid w:val="00662FBD"/>
    <w:rsid w:val="00662FE0"/>
    <w:rsid w:val="00663040"/>
    <w:rsid w:val="006630D6"/>
    <w:rsid w:val="006632A7"/>
    <w:rsid w:val="006632CD"/>
    <w:rsid w:val="00663339"/>
    <w:rsid w:val="006635C2"/>
    <w:rsid w:val="006635E3"/>
    <w:rsid w:val="006636E3"/>
    <w:rsid w:val="0066382D"/>
    <w:rsid w:val="006639FC"/>
    <w:rsid w:val="00663B55"/>
    <w:rsid w:val="00663CF5"/>
    <w:rsid w:val="0066400C"/>
    <w:rsid w:val="0066431E"/>
    <w:rsid w:val="006645AA"/>
    <w:rsid w:val="006646AE"/>
    <w:rsid w:val="006646E8"/>
    <w:rsid w:val="0066471F"/>
    <w:rsid w:val="006648B1"/>
    <w:rsid w:val="00664948"/>
    <w:rsid w:val="00664BE2"/>
    <w:rsid w:val="00664C1C"/>
    <w:rsid w:val="00664CB2"/>
    <w:rsid w:val="00664D0D"/>
    <w:rsid w:val="00664E49"/>
    <w:rsid w:val="00665193"/>
    <w:rsid w:val="00665215"/>
    <w:rsid w:val="0066522D"/>
    <w:rsid w:val="00665256"/>
    <w:rsid w:val="006652BB"/>
    <w:rsid w:val="006652F6"/>
    <w:rsid w:val="0066536D"/>
    <w:rsid w:val="00665512"/>
    <w:rsid w:val="00665529"/>
    <w:rsid w:val="006657A6"/>
    <w:rsid w:val="00665816"/>
    <w:rsid w:val="006659EF"/>
    <w:rsid w:val="00665B82"/>
    <w:rsid w:val="00665C3D"/>
    <w:rsid w:val="00666265"/>
    <w:rsid w:val="006663F1"/>
    <w:rsid w:val="00666471"/>
    <w:rsid w:val="006664DC"/>
    <w:rsid w:val="0066658B"/>
    <w:rsid w:val="00666731"/>
    <w:rsid w:val="0066681B"/>
    <w:rsid w:val="00666904"/>
    <w:rsid w:val="00666924"/>
    <w:rsid w:val="00666979"/>
    <w:rsid w:val="00666C0E"/>
    <w:rsid w:val="00666D7F"/>
    <w:rsid w:val="00666DFE"/>
    <w:rsid w:val="00666E8F"/>
    <w:rsid w:val="00667179"/>
    <w:rsid w:val="0066756B"/>
    <w:rsid w:val="0066778E"/>
    <w:rsid w:val="00667B62"/>
    <w:rsid w:val="00667EE7"/>
    <w:rsid w:val="00667F05"/>
    <w:rsid w:val="00667F28"/>
    <w:rsid w:val="00670306"/>
    <w:rsid w:val="006704DC"/>
    <w:rsid w:val="006706D1"/>
    <w:rsid w:val="0067075A"/>
    <w:rsid w:val="0067085B"/>
    <w:rsid w:val="00670890"/>
    <w:rsid w:val="006709C7"/>
    <w:rsid w:val="00670AF2"/>
    <w:rsid w:val="00670B99"/>
    <w:rsid w:val="00670E9C"/>
    <w:rsid w:val="00670F16"/>
    <w:rsid w:val="00671248"/>
    <w:rsid w:val="006712EB"/>
    <w:rsid w:val="00671363"/>
    <w:rsid w:val="0067140A"/>
    <w:rsid w:val="00671473"/>
    <w:rsid w:val="00671609"/>
    <w:rsid w:val="00671654"/>
    <w:rsid w:val="006718D2"/>
    <w:rsid w:val="006719C1"/>
    <w:rsid w:val="00671A2A"/>
    <w:rsid w:val="00671A6B"/>
    <w:rsid w:val="00671BD4"/>
    <w:rsid w:val="00671F60"/>
    <w:rsid w:val="0067204D"/>
    <w:rsid w:val="006720ED"/>
    <w:rsid w:val="00672140"/>
    <w:rsid w:val="006721B5"/>
    <w:rsid w:val="00672267"/>
    <w:rsid w:val="006722A7"/>
    <w:rsid w:val="00672379"/>
    <w:rsid w:val="00672517"/>
    <w:rsid w:val="00672565"/>
    <w:rsid w:val="0067265A"/>
    <w:rsid w:val="00672744"/>
    <w:rsid w:val="0067297A"/>
    <w:rsid w:val="00672CC4"/>
    <w:rsid w:val="00672E16"/>
    <w:rsid w:val="00672E5A"/>
    <w:rsid w:val="00672EAA"/>
    <w:rsid w:val="00672F3E"/>
    <w:rsid w:val="006732C6"/>
    <w:rsid w:val="00673446"/>
    <w:rsid w:val="006734C2"/>
    <w:rsid w:val="00673521"/>
    <w:rsid w:val="0067362C"/>
    <w:rsid w:val="00673777"/>
    <w:rsid w:val="006739F7"/>
    <w:rsid w:val="00673AFA"/>
    <w:rsid w:val="00673C23"/>
    <w:rsid w:val="00673C6F"/>
    <w:rsid w:val="00673DF1"/>
    <w:rsid w:val="006743AD"/>
    <w:rsid w:val="00674436"/>
    <w:rsid w:val="0067492E"/>
    <w:rsid w:val="00674AEE"/>
    <w:rsid w:val="00674B97"/>
    <w:rsid w:val="00674BAE"/>
    <w:rsid w:val="00674CBE"/>
    <w:rsid w:val="00674D2B"/>
    <w:rsid w:val="006752E1"/>
    <w:rsid w:val="0067540B"/>
    <w:rsid w:val="00675467"/>
    <w:rsid w:val="0067574C"/>
    <w:rsid w:val="00675954"/>
    <w:rsid w:val="006759FC"/>
    <w:rsid w:val="00675B0E"/>
    <w:rsid w:val="006760DC"/>
    <w:rsid w:val="006762BA"/>
    <w:rsid w:val="006762E5"/>
    <w:rsid w:val="00676517"/>
    <w:rsid w:val="0067665C"/>
    <w:rsid w:val="0067692F"/>
    <w:rsid w:val="00676C82"/>
    <w:rsid w:val="00676D86"/>
    <w:rsid w:val="00676E42"/>
    <w:rsid w:val="00677191"/>
    <w:rsid w:val="0067724C"/>
    <w:rsid w:val="0067726D"/>
    <w:rsid w:val="006772B3"/>
    <w:rsid w:val="006774ED"/>
    <w:rsid w:val="00677552"/>
    <w:rsid w:val="0067757D"/>
    <w:rsid w:val="006775A1"/>
    <w:rsid w:val="006776B3"/>
    <w:rsid w:val="00677888"/>
    <w:rsid w:val="00677933"/>
    <w:rsid w:val="00677967"/>
    <w:rsid w:val="00677A8A"/>
    <w:rsid w:val="00677C3F"/>
    <w:rsid w:val="00677C45"/>
    <w:rsid w:val="00677E0B"/>
    <w:rsid w:val="00677EE4"/>
    <w:rsid w:val="00680341"/>
    <w:rsid w:val="00680397"/>
    <w:rsid w:val="00680508"/>
    <w:rsid w:val="00680729"/>
    <w:rsid w:val="00680761"/>
    <w:rsid w:val="006807B7"/>
    <w:rsid w:val="0068080C"/>
    <w:rsid w:val="006808E8"/>
    <w:rsid w:val="00680965"/>
    <w:rsid w:val="00680AFC"/>
    <w:rsid w:val="00680BB7"/>
    <w:rsid w:val="00680E17"/>
    <w:rsid w:val="00680E7B"/>
    <w:rsid w:val="00680E90"/>
    <w:rsid w:val="00681003"/>
    <w:rsid w:val="0068103C"/>
    <w:rsid w:val="00681054"/>
    <w:rsid w:val="006810DC"/>
    <w:rsid w:val="0068160F"/>
    <w:rsid w:val="0068179F"/>
    <w:rsid w:val="006817F5"/>
    <w:rsid w:val="006819E5"/>
    <w:rsid w:val="00681B13"/>
    <w:rsid w:val="00681BF5"/>
    <w:rsid w:val="00681DFC"/>
    <w:rsid w:val="00682092"/>
    <w:rsid w:val="0068212E"/>
    <w:rsid w:val="006822FC"/>
    <w:rsid w:val="0068245F"/>
    <w:rsid w:val="00682591"/>
    <w:rsid w:val="0068276F"/>
    <w:rsid w:val="006827B8"/>
    <w:rsid w:val="00682859"/>
    <w:rsid w:val="00682AE5"/>
    <w:rsid w:val="00682DF2"/>
    <w:rsid w:val="00682F88"/>
    <w:rsid w:val="006830BA"/>
    <w:rsid w:val="00683147"/>
    <w:rsid w:val="006832A9"/>
    <w:rsid w:val="006838CF"/>
    <w:rsid w:val="00683A53"/>
    <w:rsid w:val="00683B6F"/>
    <w:rsid w:val="00683B86"/>
    <w:rsid w:val="00683B8D"/>
    <w:rsid w:val="00683C14"/>
    <w:rsid w:val="00683C71"/>
    <w:rsid w:val="00683D0F"/>
    <w:rsid w:val="00683F44"/>
    <w:rsid w:val="00683FAB"/>
    <w:rsid w:val="00684055"/>
    <w:rsid w:val="006840B3"/>
    <w:rsid w:val="006843B4"/>
    <w:rsid w:val="006843C9"/>
    <w:rsid w:val="00684580"/>
    <w:rsid w:val="006845A2"/>
    <w:rsid w:val="006846CB"/>
    <w:rsid w:val="006848D1"/>
    <w:rsid w:val="00684957"/>
    <w:rsid w:val="006849D3"/>
    <w:rsid w:val="006849D8"/>
    <w:rsid w:val="00684C2D"/>
    <w:rsid w:val="00684C53"/>
    <w:rsid w:val="00684D79"/>
    <w:rsid w:val="00684FC3"/>
    <w:rsid w:val="006850CF"/>
    <w:rsid w:val="00685299"/>
    <w:rsid w:val="006853CA"/>
    <w:rsid w:val="0068560F"/>
    <w:rsid w:val="006857EA"/>
    <w:rsid w:val="00685A9B"/>
    <w:rsid w:val="00685CC6"/>
    <w:rsid w:val="00685DAC"/>
    <w:rsid w:val="00685DE4"/>
    <w:rsid w:val="00685E12"/>
    <w:rsid w:val="00686403"/>
    <w:rsid w:val="0068653F"/>
    <w:rsid w:val="006865D0"/>
    <w:rsid w:val="0068662D"/>
    <w:rsid w:val="00686A66"/>
    <w:rsid w:val="00686AD2"/>
    <w:rsid w:val="00686BD0"/>
    <w:rsid w:val="00686C51"/>
    <w:rsid w:val="00686EAF"/>
    <w:rsid w:val="00686F62"/>
    <w:rsid w:val="00687025"/>
    <w:rsid w:val="006870B7"/>
    <w:rsid w:val="00687B4D"/>
    <w:rsid w:val="00687C5E"/>
    <w:rsid w:val="00690008"/>
    <w:rsid w:val="006902FD"/>
    <w:rsid w:val="00690708"/>
    <w:rsid w:val="00690864"/>
    <w:rsid w:val="006908AB"/>
    <w:rsid w:val="00690988"/>
    <w:rsid w:val="0069099F"/>
    <w:rsid w:val="006909F2"/>
    <w:rsid w:val="00690CDD"/>
    <w:rsid w:val="00690EF1"/>
    <w:rsid w:val="00691046"/>
    <w:rsid w:val="006910EB"/>
    <w:rsid w:val="00691134"/>
    <w:rsid w:val="006911B8"/>
    <w:rsid w:val="006911FF"/>
    <w:rsid w:val="006912E3"/>
    <w:rsid w:val="0069150D"/>
    <w:rsid w:val="006915C0"/>
    <w:rsid w:val="006918D9"/>
    <w:rsid w:val="00691A6D"/>
    <w:rsid w:val="00691BFD"/>
    <w:rsid w:val="00691EB1"/>
    <w:rsid w:val="00691F16"/>
    <w:rsid w:val="006920D6"/>
    <w:rsid w:val="006921BE"/>
    <w:rsid w:val="006922A0"/>
    <w:rsid w:val="00692342"/>
    <w:rsid w:val="00692496"/>
    <w:rsid w:val="006926ED"/>
    <w:rsid w:val="0069274B"/>
    <w:rsid w:val="00692A45"/>
    <w:rsid w:val="00692F38"/>
    <w:rsid w:val="0069321A"/>
    <w:rsid w:val="00693311"/>
    <w:rsid w:val="00693331"/>
    <w:rsid w:val="0069343E"/>
    <w:rsid w:val="0069359D"/>
    <w:rsid w:val="0069368C"/>
    <w:rsid w:val="00693AD1"/>
    <w:rsid w:val="00693BC6"/>
    <w:rsid w:val="00693CF4"/>
    <w:rsid w:val="00693DC5"/>
    <w:rsid w:val="00693DD2"/>
    <w:rsid w:val="00693F1F"/>
    <w:rsid w:val="00693F49"/>
    <w:rsid w:val="00693FC2"/>
    <w:rsid w:val="0069408C"/>
    <w:rsid w:val="00694183"/>
    <w:rsid w:val="006941CE"/>
    <w:rsid w:val="00694474"/>
    <w:rsid w:val="00694583"/>
    <w:rsid w:val="00694714"/>
    <w:rsid w:val="0069483B"/>
    <w:rsid w:val="00694A21"/>
    <w:rsid w:val="00694AB3"/>
    <w:rsid w:val="00694AF3"/>
    <w:rsid w:val="00694B51"/>
    <w:rsid w:val="00694C6F"/>
    <w:rsid w:val="00694E34"/>
    <w:rsid w:val="0069504B"/>
    <w:rsid w:val="006950D4"/>
    <w:rsid w:val="00695645"/>
    <w:rsid w:val="00695904"/>
    <w:rsid w:val="0069593F"/>
    <w:rsid w:val="006959C5"/>
    <w:rsid w:val="00695C08"/>
    <w:rsid w:val="00695E61"/>
    <w:rsid w:val="00696000"/>
    <w:rsid w:val="00696124"/>
    <w:rsid w:val="00696393"/>
    <w:rsid w:val="006964E3"/>
    <w:rsid w:val="00696A17"/>
    <w:rsid w:val="00696C26"/>
    <w:rsid w:val="00696D1E"/>
    <w:rsid w:val="00696D96"/>
    <w:rsid w:val="00697001"/>
    <w:rsid w:val="0069712A"/>
    <w:rsid w:val="0069713D"/>
    <w:rsid w:val="0069736C"/>
    <w:rsid w:val="00697455"/>
    <w:rsid w:val="006975BB"/>
    <w:rsid w:val="006975FF"/>
    <w:rsid w:val="006977C5"/>
    <w:rsid w:val="00697CB2"/>
    <w:rsid w:val="00697E81"/>
    <w:rsid w:val="00697E89"/>
    <w:rsid w:val="00697F60"/>
    <w:rsid w:val="006A003E"/>
    <w:rsid w:val="006A08E7"/>
    <w:rsid w:val="006A09DD"/>
    <w:rsid w:val="006A0A06"/>
    <w:rsid w:val="006A0A9B"/>
    <w:rsid w:val="006A0D34"/>
    <w:rsid w:val="006A103C"/>
    <w:rsid w:val="006A105F"/>
    <w:rsid w:val="006A1178"/>
    <w:rsid w:val="006A1433"/>
    <w:rsid w:val="006A1568"/>
    <w:rsid w:val="006A181F"/>
    <w:rsid w:val="006A1988"/>
    <w:rsid w:val="006A1A7E"/>
    <w:rsid w:val="006A1C55"/>
    <w:rsid w:val="006A1EB4"/>
    <w:rsid w:val="006A2012"/>
    <w:rsid w:val="006A20DF"/>
    <w:rsid w:val="006A2705"/>
    <w:rsid w:val="006A2795"/>
    <w:rsid w:val="006A286C"/>
    <w:rsid w:val="006A28EB"/>
    <w:rsid w:val="006A29B8"/>
    <w:rsid w:val="006A2A14"/>
    <w:rsid w:val="006A2B59"/>
    <w:rsid w:val="006A396B"/>
    <w:rsid w:val="006A39AF"/>
    <w:rsid w:val="006A4089"/>
    <w:rsid w:val="006A4096"/>
    <w:rsid w:val="006A4140"/>
    <w:rsid w:val="006A4142"/>
    <w:rsid w:val="006A41CC"/>
    <w:rsid w:val="006A41E6"/>
    <w:rsid w:val="006A435F"/>
    <w:rsid w:val="006A442B"/>
    <w:rsid w:val="006A4476"/>
    <w:rsid w:val="006A4543"/>
    <w:rsid w:val="006A45FA"/>
    <w:rsid w:val="006A4632"/>
    <w:rsid w:val="006A478F"/>
    <w:rsid w:val="006A4890"/>
    <w:rsid w:val="006A48ED"/>
    <w:rsid w:val="006A49A1"/>
    <w:rsid w:val="006A4A61"/>
    <w:rsid w:val="006A4AF4"/>
    <w:rsid w:val="006A4CD2"/>
    <w:rsid w:val="006A4CDE"/>
    <w:rsid w:val="006A4D0D"/>
    <w:rsid w:val="006A4D0F"/>
    <w:rsid w:val="006A4D61"/>
    <w:rsid w:val="006A4F06"/>
    <w:rsid w:val="006A4F2E"/>
    <w:rsid w:val="006A510A"/>
    <w:rsid w:val="006A5163"/>
    <w:rsid w:val="006A5284"/>
    <w:rsid w:val="006A5801"/>
    <w:rsid w:val="006A58CA"/>
    <w:rsid w:val="006A5A11"/>
    <w:rsid w:val="006A5B0E"/>
    <w:rsid w:val="006A5C7B"/>
    <w:rsid w:val="006A5E14"/>
    <w:rsid w:val="006A61E4"/>
    <w:rsid w:val="006A635B"/>
    <w:rsid w:val="006A650A"/>
    <w:rsid w:val="006A652C"/>
    <w:rsid w:val="006A6612"/>
    <w:rsid w:val="006A6692"/>
    <w:rsid w:val="006A6706"/>
    <w:rsid w:val="006A679D"/>
    <w:rsid w:val="006A68D3"/>
    <w:rsid w:val="006A68DE"/>
    <w:rsid w:val="006A6A02"/>
    <w:rsid w:val="006A6A54"/>
    <w:rsid w:val="006A6A6E"/>
    <w:rsid w:val="006A7017"/>
    <w:rsid w:val="006A71EE"/>
    <w:rsid w:val="006A75FA"/>
    <w:rsid w:val="006A7631"/>
    <w:rsid w:val="006A763A"/>
    <w:rsid w:val="006A76A1"/>
    <w:rsid w:val="006A76B7"/>
    <w:rsid w:val="006A76D2"/>
    <w:rsid w:val="006A7865"/>
    <w:rsid w:val="006A7A16"/>
    <w:rsid w:val="006A7A95"/>
    <w:rsid w:val="006A7AEF"/>
    <w:rsid w:val="006A7B83"/>
    <w:rsid w:val="006A7FE8"/>
    <w:rsid w:val="006B0073"/>
    <w:rsid w:val="006B0136"/>
    <w:rsid w:val="006B01DD"/>
    <w:rsid w:val="006B05CE"/>
    <w:rsid w:val="006B06A0"/>
    <w:rsid w:val="006B0847"/>
    <w:rsid w:val="006B089A"/>
    <w:rsid w:val="006B0A06"/>
    <w:rsid w:val="006B0AD9"/>
    <w:rsid w:val="006B0BD6"/>
    <w:rsid w:val="006B0CDF"/>
    <w:rsid w:val="006B0DF6"/>
    <w:rsid w:val="006B0DFE"/>
    <w:rsid w:val="006B0E0C"/>
    <w:rsid w:val="006B0ED4"/>
    <w:rsid w:val="006B0FD8"/>
    <w:rsid w:val="006B1007"/>
    <w:rsid w:val="006B10E4"/>
    <w:rsid w:val="006B136A"/>
    <w:rsid w:val="006B14BA"/>
    <w:rsid w:val="006B1517"/>
    <w:rsid w:val="006B17B5"/>
    <w:rsid w:val="006B1A31"/>
    <w:rsid w:val="006B1A98"/>
    <w:rsid w:val="006B1AA8"/>
    <w:rsid w:val="006B1CF9"/>
    <w:rsid w:val="006B1D8E"/>
    <w:rsid w:val="006B207F"/>
    <w:rsid w:val="006B21FE"/>
    <w:rsid w:val="006B246B"/>
    <w:rsid w:val="006B2739"/>
    <w:rsid w:val="006B292C"/>
    <w:rsid w:val="006B29D1"/>
    <w:rsid w:val="006B2A4A"/>
    <w:rsid w:val="006B2B3A"/>
    <w:rsid w:val="006B2C33"/>
    <w:rsid w:val="006B2C98"/>
    <w:rsid w:val="006B2CFC"/>
    <w:rsid w:val="006B2ED6"/>
    <w:rsid w:val="006B30FC"/>
    <w:rsid w:val="006B325C"/>
    <w:rsid w:val="006B35CB"/>
    <w:rsid w:val="006B35E6"/>
    <w:rsid w:val="006B36C4"/>
    <w:rsid w:val="006B3795"/>
    <w:rsid w:val="006B3837"/>
    <w:rsid w:val="006B38E6"/>
    <w:rsid w:val="006B3998"/>
    <w:rsid w:val="006B39C4"/>
    <w:rsid w:val="006B3B41"/>
    <w:rsid w:val="006B3D18"/>
    <w:rsid w:val="006B3D92"/>
    <w:rsid w:val="006B3E75"/>
    <w:rsid w:val="006B3E9A"/>
    <w:rsid w:val="006B4100"/>
    <w:rsid w:val="006B411A"/>
    <w:rsid w:val="006B45CB"/>
    <w:rsid w:val="006B47B9"/>
    <w:rsid w:val="006B47E0"/>
    <w:rsid w:val="006B4899"/>
    <w:rsid w:val="006B49BB"/>
    <w:rsid w:val="006B4D38"/>
    <w:rsid w:val="006B4E59"/>
    <w:rsid w:val="006B4F8E"/>
    <w:rsid w:val="006B5013"/>
    <w:rsid w:val="006B5259"/>
    <w:rsid w:val="006B526E"/>
    <w:rsid w:val="006B535D"/>
    <w:rsid w:val="006B558E"/>
    <w:rsid w:val="006B592D"/>
    <w:rsid w:val="006B5951"/>
    <w:rsid w:val="006B5AC7"/>
    <w:rsid w:val="006B5ACA"/>
    <w:rsid w:val="006B5B21"/>
    <w:rsid w:val="006B5D7E"/>
    <w:rsid w:val="006B6133"/>
    <w:rsid w:val="006B6205"/>
    <w:rsid w:val="006B6462"/>
    <w:rsid w:val="006B649F"/>
    <w:rsid w:val="006B65FA"/>
    <w:rsid w:val="006B6607"/>
    <w:rsid w:val="006B6737"/>
    <w:rsid w:val="006B67D6"/>
    <w:rsid w:val="006B68DD"/>
    <w:rsid w:val="006B6A44"/>
    <w:rsid w:val="006B6CCE"/>
    <w:rsid w:val="006B6D6A"/>
    <w:rsid w:val="006B6D8F"/>
    <w:rsid w:val="006B6E80"/>
    <w:rsid w:val="006B6EE7"/>
    <w:rsid w:val="006B6FA4"/>
    <w:rsid w:val="006B707D"/>
    <w:rsid w:val="006B70C9"/>
    <w:rsid w:val="006B7149"/>
    <w:rsid w:val="006B7386"/>
    <w:rsid w:val="006B7802"/>
    <w:rsid w:val="006B79CD"/>
    <w:rsid w:val="006B7CC3"/>
    <w:rsid w:val="006B7CE1"/>
    <w:rsid w:val="006B7EF6"/>
    <w:rsid w:val="006B7F0E"/>
    <w:rsid w:val="006B7FC4"/>
    <w:rsid w:val="006C00B3"/>
    <w:rsid w:val="006C00D7"/>
    <w:rsid w:val="006C01DA"/>
    <w:rsid w:val="006C0327"/>
    <w:rsid w:val="006C03AA"/>
    <w:rsid w:val="006C0479"/>
    <w:rsid w:val="006C05D1"/>
    <w:rsid w:val="006C066C"/>
    <w:rsid w:val="006C0730"/>
    <w:rsid w:val="006C08BA"/>
    <w:rsid w:val="006C0B07"/>
    <w:rsid w:val="006C0D63"/>
    <w:rsid w:val="006C1016"/>
    <w:rsid w:val="006C1120"/>
    <w:rsid w:val="006C1209"/>
    <w:rsid w:val="006C1317"/>
    <w:rsid w:val="006C194D"/>
    <w:rsid w:val="006C1B2F"/>
    <w:rsid w:val="006C1C78"/>
    <w:rsid w:val="006C1D32"/>
    <w:rsid w:val="006C1E77"/>
    <w:rsid w:val="006C23C2"/>
    <w:rsid w:val="006C23C7"/>
    <w:rsid w:val="006C2537"/>
    <w:rsid w:val="006C2BFA"/>
    <w:rsid w:val="006C2C3C"/>
    <w:rsid w:val="006C2D51"/>
    <w:rsid w:val="006C2E26"/>
    <w:rsid w:val="006C2F3D"/>
    <w:rsid w:val="006C316E"/>
    <w:rsid w:val="006C35E9"/>
    <w:rsid w:val="006C3811"/>
    <w:rsid w:val="006C39E7"/>
    <w:rsid w:val="006C3D2E"/>
    <w:rsid w:val="006C3EEF"/>
    <w:rsid w:val="006C4053"/>
    <w:rsid w:val="006C412A"/>
    <w:rsid w:val="006C43A5"/>
    <w:rsid w:val="006C45EA"/>
    <w:rsid w:val="006C47E2"/>
    <w:rsid w:val="006C4AEE"/>
    <w:rsid w:val="006C52A4"/>
    <w:rsid w:val="006C5890"/>
    <w:rsid w:val="006C58AA"/>
    <w:rsid w:val="006C59A4"/>
    <w:rsid w:val="006C5AEC"/>
    <w:rsid w:val="006C5CF1"/>
    <w:rsid w:val="006C5E5A"/>
    <w:rsid w:val="006C5EA9"/>
    <w:rsid w:val="006C6142"/>
    <w:rsid w:val="006C62D0"/>
    <w:rsid w:val="006C633C"/>
    <w:rsid w:val="006C6378"/>
    <w:rsid w:val="006C6463"/>
    <w:rsid w:val="006C669A"/>
    <w:rsid w:val="006C6706"/>
    <w:rsid w:val="006C6774"/>
    <w:rsid w:val="006C684C"/>
    <w:rsid w:val="006C696D"/>
    <w:rsid w:val="006C6AFD"/>
    <w:rsid w:val="006C6B67"/>
    <w:rsid w:val="006C6C88"/>
    <w:rsid w:val="006C7286"/>
    <w:rsid w:val="006C7317"/>
    <w:rsid w:val="006C7577"/>
    <w:rsid w:val="006C7A33"/>
    <w:rsid w:val="006C7A59"/>
    <w:rsid w:val="006C7B90"/>
    <w:rsid w:val="006C7EEE"/>
    <w:rsid w:val="006D0032"/>
    <w:rsid w:val="006D0035"/>
    <w:rsid w:val="006D00A2"/>
    <w:rsid w:val="006D010D"/>
    <w:rsid w:val="006D01B7"/>
    <w:rsid w:val="006D01F6"/>
    <w:rsid w:val="006D03D0"/>
    <w:rsid w:val="006D0630"/>
    <w:rsid w:val="006D0820"/>
    <w:rsid w:val="006D0858"/>
    <w:rsid w:val="006D0B01"/>
    <w:rsid w:val="006D106B"/>
    <w:rsid w:val="006D1124"/>
    <w:rsid w:val="006D1311"/>
    <w:rsid w:val="006D1375"/>
    <w:rsid w:val="006D13B8"/>
    <w:rsid w:val="006D1518"/>
    <w:rsid w:val="006D1645"/>
    <w:rsid w:val="006D176F"/>
    <w:rsid w:val="006D1A4A"/>
    <w:rsid w:val="006D1A54"/>
    <w:rsid w:val="006D1A72"/>
    <w:rsid w:val="006D1F39"/>
    <w:rsid w:val="006D1FCA"/>
    <w:rsid w:val="006D2120"/>
    <w:rsid w:val="006D2247"/>
    <w:rsid w:val="006D22A9"/>
    <w:rsid w:val="006D2631"/>
    <w:rsid w:val="006D287E"/>
    <w:rsid w:val="006D2B7D"/>
    <w:rsid w:val="006D2C8F"/>
    <w:rsid w:val="006D2E21"/>
    <w:rsid w:val="006D2FEE"/>
    <w:rsid w:val="006D31A7"/>
    <w:rsid w:val="006D33FC"/>
    <w:rsid w:val="006D35AE"/>
    <w:rsid w:val="006D362C"/>
    <w:rsid w:val="006D3A51"/>
    <w:rsid w:val="006D3AF1"/>
    <w:rsid w:val="006D3BBA"/>
    <w:rsid w:val="006D3D11"/>
    <w:rsid w:val="006D3F3E"/>
    <w:rsid w:val="006D4206"/>
    <w:rsid w:val="006D4318"/>
    <w:rsid w:val="006D43BC"/>
    <w:rsid w:val="006D4475"/>
    <w:rsid w:val="006D452F"/>
    <w:rsid w:val="006D4572"/>
    <w:rsid w:val="006D4817"/>
    <w:rsid w:val="006D4B58"/>
    <w:rsid w:val="006D4DF9"/>
    <w:rsid w:val="006D4F79"/>
    <w:rsid w:val="006D4FC6"/>
    <w:rsid w:val="006D512C"/>
    <w:rsid w:val="006D512E"/>
    <w:rsid w:val="006D51B0"/>
    <w:rsid w:val="006D55BC"/>
    <w:rsid w:val="006D5735"/>
    <w:rsid w:val="006D5961"/>
    <w:rsid w:val="006D5AD8"/>
    <w:rsid w:val="006D5B0B"/>
    <w:rsid w:val="006D5B68"/>
    <w:rsid w:val="006D5BAD"/>
    <w:rsid w:val="006D5F9A"/>
    <w:rsid w:val="006D60E1"/>
    <w:rsid w:val="006D612F"/>
    <w:rsid w:val="006D644F"/>
    <w:rsid w:val="006D64F4"/>
    <w:rsid w:val="006D6848"/>
    <w:rsid w:val="006D68CE"/>
    <w:rsid w:val="006D69CD"/>
    <w:rsid w:val="006D6AD8"/>
    <w:rsid w:val="006D6B46"/>
    <w:rsid w:val="006D6D40"/>
    <w:rsid w:val="006D6DB0"/>
    <w:rsid w:val="006D6DD7"/>
    <w:rsid w:val="006D722B"/>
    <w:rsid w:val="006D72E4"/>
    <w:rsid w:val="006D736C"/>
    <w:rsid w:val="006D747A"/>
    <w:rsid w:val="006D7594"/>
    <w:rsid w:val="006D75AC"/>
    <w:rsid w:val="006D7848"/>
    <w:rsid w:val="006D7919"/>
    <w:rsid w:val="006D7C9C"/>
    <w:rsid w:val="006D7DD2"/>
    <w:rsid w:val="006E0025"/>
    <w:rsid w:val="006E0203"/>
    <w:rsid w:val="006E0787"/>
    <w:rsid w:val="006E07F3"/>
    <w:rsid w:val="006E0ED3"/>
    <w:rsid w:val="006E147D"/>
    <w:rsid w:val="006E158C"/>
    <w:rsid w:val="006E15AF"/>
    <w:rsid w:val="006E15D1"/>
    <w:rsid w:val="006E16F5"/>
    <w:rsid w:val="006E170B"/>
    <w:rsid w:val="006E17E1"/>
    <w:rsid w:val="006E1B0E"/>
    <w:rsid w:val="006E1B3D"/>
    <w:rsid w:val="006E1CF3"/>
    <w:rsid w:val="006E1D24"/>
    <w:rsid w:val="006E1D68"/>
    <w:rsid w:val="006E1DFD"/>
    <w:rsid w:val="006E2042"/>
    <w:rsid w:val="006E206B"/>
    <w:rsid w:val="006E2202"/>
    <w:rsid w:val="006E228A"/>
    <w:rsid w:val="006E22B2"/>
    <w:rsid w:val="006E22DE"/>
    <w:rsid w:val="006E2373"/>
    <w:rsid w:val="006E24D5"/>
    <w:rsid w:val="006E27B8"/>
    <w:rsid w:val="006E28A9"/>
    <w:rsid w:val="006E2992"/>
    <w:rsid w:val="006E2C1B"/>
    <w:rsid w:val="006E2CD5"/>
    <w:rsid w:val="006E2CD8"/>
    <w:rsid w:val="006E2EA5"/>
    <w:rsid w:val="006E3173"/>
    <w:rsid w:val="006E3C86"/>
    <w:rsid w:val="006E3CA1"/>
    <w:rsid w:val="006E40CC"/>
    <w:rsid w:val="006E43AE"/>
    <w:rsid w:val="006E4472"/>
    <w:rsid w:val="006E4A2E"/>
    <w:rsid w:val="006E4A66"/>
    <w:rsid w:val="006E4AF7"/>
    <w:rsid w:val="006E4C4D"/>
    <w:rsid w:val="006E4E81"/>
    <w:rsid w:val="006E4FDE"/>
    <w:rsid w:val="006E501C"/>
    <w:rsid w:val="006E5262"/>
    <w:rsid w:val="006E5267"/>
    <w:rsid w:val="006E53A9"/>
    <w:rsid w:val="006E5747"/>
    <w:rsid w:val="006E5BC1"/>
    <w:rsid w:val="006E5CC9"/>
    <w:rsid w:val="006E5D64"/>
    <w:rsid w:val="006E5F68"/>
    <w:rsid w:val="006E600E"/>
    <w:rsid w:val="006E61FD"/>
    <w:rsid w:val="006E62DD"/>
    <w:rsid w:val="006E6453"/>
    <w:rsid w:val="006E6619"/>
    <w:rsid w:val="006E6731"/>
    <w:rsid w:val="006E6893"/>
    <w:rsid w:val="006E6A73"/>
    <w:rsid w:val="006E6A8F"/>
    <w:rsid w:val="006E6B1F"/>
    <w:rsid w:val="006E6B28"/>
    <w:rsid w:val="006E6CD7"/>
    <w:rsid w:val="006E6E8A"/>
    <w:rsid w:val="006E6F73"/>
    <w:rsid w:val="006E73D9"/>
    <w:rsid w:val="006E76B3"/>
    <w:rsid w:val="006E7B2B"/>
    <w:rsid w:val="006E7BE8"/>
    <w:rsid w:val="006E7E42"/>
    <w:rsid w:val="006E7F59"/>
    <w:rsid w:val="006F0141"/>
    <w:rsid w:val="006F017F"/>
    <w:rsid w:val="006F0269"/>
    <w:rsid w:val="006F027D"/>
    <w:rsid w:val="006F02E1"/>
    <w:rsid w:val="006F0525"/>
    <w:rsid w:val="006F059D"/>
    <w:rsid w:val="006F066E"/>
    <w:rsid w:val="006F06B4"/>
    <w:rsid w:val="006F0765"/>
    <w:rsid w:val="006F0C94"/>
    <w:rsid w:val="006F1054"/>
    <w:rsid w:val="006F12AB"/>
    <w:rsid w:val="006F133F"/>
    <w:rsid w:val="006F137E"/>
    <w:rsid w:val="006F13F4"/>
    <w:rsid w:val="006F14A6"/>
    <w:rsid w:val="006F16BF"/>
    <w:rsid w:val="006F1D5A"/>
    <w:rsid w:val="006F1DF4"/>
    <w:rsid w:val="006F1EBB"/>
    <w:rsid w:val="006F1F11"/>
    <w:rsid w:val="006F1F37"/>
    <w:rsid w:val="006F1FBD"/>
    <w:rsid w:val="006F21A9"/>
    <w:rsid w:val="006F22E1"/>
    <w:rsid w:val="006F22FA"/>
    <w:rsid w:val="006F25E8"/>
    <w:rsid w:val="006F263B"/>
    <w:rsid w:val="006F267F"/>
    <w:rsid w:val="006F272A"/>
    <w:rsid w:val="006F278F"/>
    <w:rsid w:val="006F2A1B"/>
    <w:rsid w:val="006F2CC9"/>
    <w:rsid w:val="006F2CE5"/>
    <w:rsid w:val="006F2DB1"/>
    <w:rsid w:val="006F2EB2"/>
    <w:rsid w:val="006F31F9"/>
    <w:rsid w:val="006F3298"/>
    <w:rsid w:val="006F330E"/>
    <w:rsid w:val="006F34DE"/>
    <w:rsid w:val="006F3511"/>
    <w:rsid w:val="006F37EA"/>
    <w:rsid w:val="006F3820"/>
    <w:rsid w:val="006F38AE"/>
    <w:rsid w:val="006F39FD"/>
    <w:rsid w:val="006F3A01"/>
    <w:rsid w:val="006F3A3E"/>
    <w:rsid w:val="006F3A64"/>
    <w:rsid w:val="006F3C74"/>
    <w:rsid w:val="006F3CFF"/>
    <w:rsid w:val="006F3E60"/>
    <w:rsid w:val="006F4158"/>
    <w:rsid w:val="006F427B"/>
    <w:rsid w:val="006F4295"/>
    <w:rsid w:val="006F458E"/>
    <w:rsid w:val="006F48D8"/>
    <w:rsid w:val="006F492B"/>
    <w:rsid w:val="006F4B0F"/>
    <w:rsid w:val="006F4D9A"/>
    <w:rsid w:val="006F4E7D"/>
    <w:rsid w:val="006F505E"/>
    <w:rsid w:val="006F51B6"/>
    <w:rsid w:val="006F52C1"/>
    <w:rsid w:val="006F5327"/>
    <w:rsid w:val="006F53A5"/>
    <w:rsid w:val="006F544B"/>
    <w:rsid w:val="006F54DC"/>
    <w:rsid w:val="006F5666"/>
    <w:rsid w:val="006F5725"/>
    <w:rsid w:val="006F5D69"/>
    <w:rsid w:val="006F5E8E"/>
    <w:rsid w:val="006F5ECE"/>
    <w:rsid w:val="006F6048"/>
    <w:rsid w:val="006F6249"/>
    <w:rsid w:val="006F66B5"/>
    <w:rsid w:val="006F6820"/>
    <w:rsid w:val="006F694B"/>
    <w:rsid w:val="006F6AF0"/>
    <w:rsid w:val="006F6B06"/>
    <w:rsid w:val="006F6D07"/>
    <w:rsid w:val="006F6D28"/>
    <w:rsid w:val="006F6E58"/>
    <w:rsid w:val="006F6E7A"/>
    <w:rsid w:val="006F6F4E"/>
    <w:rsid w:val="006F7008"/>
    <w:rsid w:val="006F7452"/>
    <w:rsid w:val="006F756D"/>
    <w:rsid w:val="006F7624"/>
    <w:rsid w:val="006F768E"/>
    <w:rsid w:val="006F7704"/>
    <w:rsid w:val="006F7C71"/>
    <w:rsid w:val="006F7F41"/>
    <w:rsid w:val="006F7F94"/>
    <w:rsid w:val="0070002A"/>
    <w:rsid w:val="0070009D"/>
    <w:rsid w:val="0070022F"/>
    <w:rsid w:val="00700671"/>
    <w:rsid w:val="007008A5"/>
    <w:rsid w:val="00700901"/>
    <w:rsid w:val="00700A03"/>
    <w:rsid w:val="00700B2A"/>
    <w:rsid w:val="00700B76"/>
    <w:rsid w:val="00700F42"/>
    <w:rsid w:val="0070116E"/>
    <w:rsid w:val="00701377"/>
    <w:rsid w:val="0070140F"/>
    <w:rsid w:val="0070149B"/>
    <w:rsid w:val="0070156E"/>
    <w:rsid w:val="00701792"/>
    <w:rsid w:val="007017FE"/>
    <w:rsid w:val="00701836"/>
    <w:rsid w:val="00701997"/>
    <w:rsid w:val="00701A0E"/>
    <w:rsid w:val="00702178"/>
    <w:rsid w:val="007022C3"/>
    <w:rsid w:val="00702364"/>
    <w:rsid w:val="00702482"/>
    <w:rsid w:val="007025BE"/>
    <w:rsid w:val="0070263B"/>
    <w:rsid w:val="00702705"/>
    <w:rsid w:val="00702711"/>
    <w:rsid w:val="007027F1"/>
    <w:rsid w:val="00702844"/>
    <w:rsid w:val="007028C9"/>
    <w:rsid w:val="00702B68"/>
    <w:rsid w:val="00702BD9"/>
    <w:rsid w:val="00702BE2"/>
    <w:rsid w:val="00702CD1"/>
    <w:rsid w:val="00702CF4"/>
    <w:rsid w:val="00702E28"/>
    <w:rsid w:val="00702FDF"/>
    <w:rsid w:val="00703034"/>
    <w:rsid w:val="007030DB"/>
    <w:rsid w:val="00703113"/>
    <w:rsid w:val="007031D9"/>
    <w:rsid w:val="007034A5"/>
    <w:rsid w:val="007035E3"/>
    <w:rsid w:val="00703737"/>
    <w:rsid w:val="00703738"/>
    <w:rsid w:val="00703774"/>
    <w:rsid w:val="00703802"/>
    <w:rsid w:val="0070387A"/>
    <w:rsid w:val="00703984"/>
    <w:rsid w:val="007039B5"/>
    <w:rsid w:val="00703B33"/>
    <w:rsid w:val="0070437F"/>
    <w:rsid w:val="007043E9"/>
    <w:rsid w:val="0070440F"/>
    <w:rsid w:val="00704656"/>
    <w:rsid w:val="00704871"/>
    <w:rsid w:val="007049E9"/>
    <w:rsid w:val="00704AF5"/>
    <w:rsid w:val="00704C91"/>
    <w:rsid w:val="00704D62"/>
    <w:rsid w:val="00704FE4"/>
    <w:rsid w:val="007052F1"/>
    <w:rsid w:val="007055D8"/>
    <w:rsid w:val="0070568D"/>
    <w:rsid w:val="007057FE"/>
    <w:rsid w:val="007058D1"/>
    <w:rsid w:val="00705A19"/>
    <w:rsid w:val="00705B10"/>
    <w:rsid w:val="00705B98"/>
    <w:rsid w:val="00705E85"/>
    <w:rsid w:val="0070604B"/>
    <w:rsid w:val="00706150"/>
    <w:rsid w:val="007061F3"/>
    <w:rsid w:val="007063D9"/>
    <w:rsid w:val="007063DA"/>
    <w:rsid w:val="00706524"/>
    <w:rsid w:val="00706A2D"/>
    <w:rsid w:val="00706CFE"/>
    <w:rsid w:val="00706E4F"/>
    <w:rsid w:val="00706F2F"/>
    <w:rsid w:val="00706FA7"/>
    <w:rsid w:val="0070714C"/>
    <w:rsid w:val="007071E1"/>
    <w:rsid w:val="00707436"/>
    <w:rsid w:val="007074B4"/>
    <w:rsid w:val="00707566"/>
    <w:rsid w:val="00707664"/>
    <w:rsid w:val="007076AE"/>
    <w:rsid w:val="0070798A"/>
    <w:rsid w:val="00707A4B"/>
    <w:rsid w:val="00707AB8"/>
    <w:rsid w:val="0071017A"/>
    <w:rsid w:val="007103D7"/>
    <w:rsid w:val="0071078A"/>
    <w:rsid w:val="00710827"/>
    <w:rsid w:val="007108F0"/>
    <w:rsid w:val="00710B36"/>
    <w:rsid w:val="00710B86"/>
    <w:rsid w:val="00710C16"/>
    <w:rsid w:val="00710EF4"/>
    <w:rsid w:val="00711081"/>
    <w:rsid w:val="00711220"/>
    <w:rsid w:val="00711227"/>
    <w:rsid w:val="0071127C"/>
    <w:rsid w:val="00711425"/>
    <w:rsid w:val="007114EC"/>
    <w:rsid w:val="007116B6"/>
    <w:rsid w:val="007118DE"/>
    <w:rsid w:val="00711972"/>
    <w:rsid w:val="00711A10"/>
    <w:rsid w:val="00711A46"/>
    <w:rsid w:val="00711A96"/>
    <w:rsid w:val="00711BC9"/>
    <w:rsid w:val="00711DBE"/>
    <w:rsid w:val="00711E00"/>
    <w:rsid w:val="00711E3C"/>
    <w:rsid w:val="00711FB6"/>
    <w:rsid w:val="00712119"/>
    <w:rsid w:val="00712171"/>
    <w:rsid w:val="00712377"/>
    <w:rsid w:val="00712642"/>
    <w:rsid w:val="0071273C"/>
    <w:rsid w:val="00712C5F"/>
    <w:rsid w:val="00712D70"/>
    <w:rsid w:val="00712EBE"/>
    <w:rsid w:val="007130E8"/>
    <w:rsid w:val="007130F8"/>
    <w:rsid w:val="0071314A"/>
    <w:rsid w:val="00713241"/>
    <w:rsid w:val="007135C1"/>
    <w:rsid w:val="007135F5"/>
    <w:rsid w:val="00713631"/>
    <w:rsid w:val="0071367E"/>
    <w:rsid w:val="00713697"/>
    <w:rsid w:val="007137B8"/>
    <w:rsid w:val="00713832"/>
    <w:rsid w:val="00713ACC"/>
    <w:rsid w:val="00713C88"/>
    <w:rsid w:val="00713F77"/>
    <w:rsid w:val="00714030"/>
    <w:rsid w:val="007140C6"/>
    <w:rsid w:val="00714331"/>
    <w:rsid w:val="007143AB"/>
    <w:rsid w:val="007144C1"/>
    <w:rsid w:val="0071453D"/>
    <w:rsid w:val="0071458A"/>
    <w:rsid w:val="00714639"/>
    <w:rsid w:val="00714777"/>
    <w:rsid w:val="007148CE"/>
    <w:rsid w:val="0071495F"/>
    <w:rsid w:val="007149E7"/>
    <w:rsid w:val="00714F33"/>
    <w:rsid w:val="00714F37"/>
    <w:rsid w:val="00715079"/>
    <w:rsid w:val="00715192"/>
    <w:rsid w:val="007152D1"/>
    <w:rsid w:val="0071531E"/>
    <w:rsid w:val="00715380"/>
    <w:rsid w:val="00715476"/>
    <w:rsid w:val="007155C6"/>
    <w:rsid w:val="00715629"/>
    <w:rsid w:val="007156BF"/>
    <w:rsid w:val="007158DC"/>
    <w:rsid w:val="00715B33"/>
    <w:rsid w:val="00715B56"/>
    <w:rsid w:val="00715E7B"/>
    <w:rsid w:val="00715EE3"/>
    <w:rsid w:val="00715F26"/>
    <w:rsid w:val="007168EC"/>
    <w:rsid w:val="00716956"/>
    <w:rsid w:val="00716A2D"/>
    <w:rsid w:val="00716BDE"/>
    <w:rsid w:val="00716DDF"/>
    <w:rsid w:val="007171B2"/>
    <w:rsid w:val="0071732D"/>
    <w:rsid w:val="007173EB"/>
    <w:rsid w:val="007175ED"/>
    <w:rsid w:val="00717707"/>
    <w:rsid w:val="00717C7E"/>
    <w:rsid w:val="007200BF"/>
    <w:rsid w:val="0072024A"/>
    <w:rsid w:val="00720250"/>
    <w:rsid w:val="0072050A"/>
    <w:rsid w:val="00720533"/>
    <w:rsid w:val="00720699"/>
    <w:rsid w:val="007207D4"/>
    <w:rsid w:val="007209FB"/>
    <w:rsid w:val="00720B49"/>
    <w:rsid w:val="00720EA4"/>
    <w:rsid w:val="00720F8B"/>
    <w:rsid w:val="0072100C"/>
    <w:rsid w:val="00721121"/>
    <w:rsid w:val="00721191"/>
    <w:rsid w:val="007212C3"/>
    <w:rsid w:val="0072131C"/>
    <w:rsid w:val="00721858"/>
    <w:rsid w:val="0072202B"/>
    <w:rsid w:val="00722122"/>
    <w:rsid w:val="00722243"/>
    <w:rsid w:val="00722264"/>
    <w:rsid w:val="00722303"/>
    <w:rsid w:val="007224D2"/>
    <w:rsid w:val="007225D1"/>
    <w:rsid w:val="007227E1"/>
    <w:rsid w:val="00722914"/>
    <w:rsid w:val="00722B61"/>
    <w:rsid w:val="00722C3A"/>
    <w:rsid w:val="00722CBC"/>
    <w:rsid w:val="00722F6D"/>
    <w:rsid w:val="00722FA6"/>
    <w:rsid w:val="0072301C"/>
    <w:rsid w:val="00723188"/>
    <w:rsid w:val="00723196"/>
    <w:rsid w:val="0072321B"/>
    <w:rsid w:val="0072329A"/>
    <w:rsid w:val="007234C9"/>
    <w:rsid w:val="00723592"/>
    <w:rsid w:val="007235F8"/>
    <w:rsid w:val="007237D1"/>
    <w:rsid w:val="007237F1"/>
    <w:rsid w:val="00723A99"/>
    <w:rsid w:val="00723B02"/>
    <w:rsid w:val="007241ED"/>
    <w:rsid w:val="00724378"/>
    <w:rsid w:val="0072437B"/>
    <w:rsid w:val="0072460E"/>
    <w:rsid w:val="00724675"/>
    <w:rsid w:val="007247B0"/>
    <w:rsid w:val="00724A2E"/>
    <w:rsid w:val="00724B18"/>
    <w:rsid w:val="00724DDE"/>
    <w:rsid w:val="00724F9C"/>
    <w:rsid w:val="007250B8"/>
    <w:rsid w:val="007253C8"/>
    <w:rsid w:val="00725576"/>
    <w:rsid w:val="0072577B"/>
    <w:rsid w:val="007258F1"/>
    <w:rsid w:val="00725B45"/>
    <w:rsid w:val="00725C29"/>
    <w:rsid w:val="00725FBA"/>
    <w:rsid w:val="0072618C"/>
    <w:rsid w:val="0072619F"/>
    <w:rsid w:val="007261EB"/>
    <w:rsid w:val="00726272"/>
    <w:rsid w:val="0072637C"/>
    <w:rsid w:val="00726706"/>
    <w:rsid w:val="0072676F"/>
    <w:rsid w:val="00726891"/>
    <w:rsid w:val="007268FB"/>
    <w:rsid w:val="007269A9"/>
    <w:rsid w:val="007269EF"/>
    <w:rsid w:val="007269FA"/>
    <w:rsid w:val="00726A53"/>
    <w:rsid w:val="00726AF6"/>
    <w:rsid w:val="00726BD6"/>
    <w:rsid w:val="00726DC0"/>
    <w:rsid w:val="00726FE0"/>
    <w:rsid w:val="0072702E"/>
    <w:rsid w:val="00727263"/>
    <w:rsid w:val="007273AE"/>
    <w:rsid w:val="00727447"/>
    <w:rsid w:val="00727483"/>
    <w:rsid w:val="0072758E"/>
    <w:rsid w:val="0072773D"/>
    <w:rsid w:val="007279D4"/>
    <w:rsid w:val="00727DF5"/>
    <w:rsid w:val="00727FE9"/>
    <w:rsid w:val="00730031"/>
    <w:rsid w:val="007303BC"/>
    <w:rsid w:val="0073041B"/>
    <w:rsid w:val="007304E0"/>
    <w:rsid w:val="00730538"/>
    <w:rsid w:val="007309F2"/>
    <w:rsid w:val="00730D35"/>
    <w:rsid w:val="00730FA6"/>
    <w:rsid w:val="0073103D"/>
    <w:rsid w:val="007310A8"/>
    <w:rsid w:val="007310F8"/>
    <w:rsid w:val="007311F0"/>
    <w:rsid w:val="0073121D"/>
    <w:rsid w:val="00731327"/>
    <w:rsid w:val="007313EF"/>
    <w:rsid w:val="0073150F"/>
    <w:rsid w:val="00731A0F"/>
    <w:rsid w:val="00731D37"/>
    <w:rsid w:val="00731F20"/>
    <w:rsid w:val="00732552"/>
    <w:rsid w:val="00732580"/>
    <w:rsid w:val="007325FE"/>
    <w:rsid w:val="00732659"/>
    <w:rsid w:val="00732992"/>
    <w:rsid w:val="007329F9"/>
    <w:rsid w:val="00732B91"/>
    <w:rsid w:val="00732E19"/>
    <w:rsid w:val="00733278"/>
    <w:rsid w:val="00733401"/>
    <w:rsid w:val="00733591"/>
    <w:rsid w:val="00733759"/>
    <w:rsid w:val="00733A12"/>
    <w:rsid w:val="00733C1A"/>
    <w:rsid w:val="00733C43"/>
    <w:rsid w:val="00733D6A"/>
    <w:rsid w:val="00734141"/>
    <w:rsid w:val="00734335"/>
    <w:rsid w:val="007344DB"/>
    <w:rsid w:val="0073451F"/>
    <w:rsid w:val="007345E6"/>
    <w:rsid w:val="0073477B"/>
    <w:rsid w:val="00734A15"/>
    <w:rsid w:val="00734BB9"/>
    <w:rsid w:val="00734E0B"/>
    <w:rsid w:val="0073505D"/>
    <w:rsid w:val="0073509F"/>
    <w:rsid w:val="00735111"/>
    <w:rsid w:val="0073512B"/>
    <w:rsid w:val="007351CD"/>
    <w:rsid w:val="00735295"/>
    <w:rsid w:val="007354EC"/>
    <w:rsid w:val="007356E5"/>
    <w:rsid w:val="00735754"/>
    <w:rsid w:val="007357F7"/>
    <w:rsid w:val="007359D2"/>
    <w:rsid w:val="00735AE5"/>
    <w:rsid w:val="00735B0D"/>
    <w:rsid w:val="00736091"/>
    <w:rsid w:val="007360D7"/>
    <w:rsid w:val="0073625B"/>
    <w:rsid w:val="00736352"/>
    <w:rsid w:val="00736382"/>
    <w:rsid w:val="00736522"/>
    <w:rsid w:val="007367E0"/>
    <w:rsid w:val="00736829"/>
    <w:rsid w:val="00736899"/>
    <w:rsid w:val="00736914"/>
    <w:rsid w:val="00736964"/>
    <w:rsid w:val="00737009"/>
    <w:rsid w:val="00737064"/>
    <w:rsid w:val="007370F7"/>
    <w:rsid w:val="007373B2"/>
    <w:rsid w:val="007373C8"/>
    <w:rsid w:val="00737CF5"/>
    <w:rsid w:val="00737D67"/>
    <w:rsid w:val="00737E3A"/>
    <w:rsid w:val="00737F5B"/>
    <w:rsid w:val="00740017"/>
    <w:rsid w:val="0074001E"/>
    <w:rsid w:val="00740606"/>
    <w:rsid w:val="007406A2"/>
    <w:rsid w:val="007406E6"/>
    <w:rsid w:val="00740879"/>
    <w:rsid w:val="0074090F"/>
    <w:rsid w:val="00740A9C"/>
    <w:rsid w:val="00740C03"/>
    <w:rsid w:val="00740C56"/>
    <w:rsid w:val="00740D20"/>
    <w:rsid w:val="00740DF1"/>
    <w:rsid w:val="00740E34"/>
    <w:rsid w:val="00740EE4"/>
    <w:rsid w:val="00741038"/>
    <w:rsid w:val="00741064"/>
    <w:rsid w:val="00741255"/>
    <w:rsid w:val="00741636"/>
    <w:rsid w:val="0074172F"/>
    <w:rsid w:val="00741833"/>
    <w:rsid w:val="00741A24"/>
    <w:rsid w:val="00741C83"/>
    <w:rsid w:val="00741D37"/>
    <w:rsid w:val="00741D5C"/>
    <w:rsid w:val="00741D87"/>
    <w:rsid w:val="00742096"/>
    <w:rsid w:val="0074209C"/>
    <w:rsid w:val="0074228F"/>
    <w:rsid w:val="007425F8"/>
    <w:rsid w:val="007427A4"/>
    <w:rsid w:val="007427B7"/>
    <w:rsid w:val="007427EE"/>
    <w:rsid w:val="0074287C"/>
    <w:rsid w:val="00742896"/>
    <w:rsid w:val="0074292B"/>
    <w:rsid w:val="00742EF4"/>
    <w:rsid w:val="00742F21"/>
    <w:rsid w:val="0074348D"/>
    <w:rsid w:val="007436D9"/>
    <w:rsid w:val="007439D6"/>
    <w:rsid w:val="00743B9E"/>
    <w:rsid w:val="00743DC4"/>
    <w:rsid w:val="00743E9A"/>
    <w:rsid w:val="00744001"/>
    <w:rsid w:val="007441C2"/>
    <w:rsid w:val="00744343"/>
    <w:rsid w:val="00744914"/>
    <w:rsid w:val="00744944"/>
    <w:rsid w:val="007449DF"/>
    <w:rsid w:val="00744A36"/>
    <w:rsid w:val="00744ABC"/>
    <w:rsid w:val="00744B80"/>
    <w:rsid w:val="00744C3E"/>
    <w:rsid w:val="00744D29"/>
    <w:rsid w:val="00744E81"/>
    <w:rsid w:val="00744F5E"/>
    <w:rsid w:val="00744FD7"/>
    <w:rsid w:val="00745171"/>
    <w:rsid w:val="0074517F"/>
    <w:rsid w:val="0074565A"/>
    <w:rsid w:val="0074588E"/>
    <w:rsid w:val="007459A8"/>
    <w:rsid w:val="007459F5"/>
    <w:rsid w:val="00746026"/>
    <w:rsid w:val="0074643D"/>
    <w:rsid w:val="00746635"/>
    <w:rsid w:val="007466ED"/>
    <w:rsid w:val="00746734"/>
    <w:rsid w:val="007467B9"/>
    <w:rsid w:val="007469A8"/>
    <w:rsid w:val="00746B7F"/>
    <w:rsid w:val="00746CCA"/>
    <w:rsid w:val="00746EAD"/>
    <w:rsid w:val="00747056"/>
    <w:rsid w:val="0074705C"/>
    <w:rsid w:val="00747658"/>
    <w:rsid w:val="00747832"/>
    <w:rsid w:val="00747B17"/>
    <w:rsid w:val="00747B84"/>
    <w:rsid w:val="00747C5E"/>
    <w:rsid w:val="00747CC0"/>
    <w:rsid w:val="00747D98"/>
    <w:rsid w:val="00750656"/>
    <w:rsid w:val="007507D9"/>
    <w:rsid w:val="007508E0"/>
    <w:rsid w:val="007509B9"/>
    <w:rsid w:val="00750BB0"/>
    <w:rsid w:val="00750BCB"/>
    <w:rsid w:val="00750CE9"/>
    <w:rsid w:val="00750DA3"/>
    <w:rsid w:val="00750E51"/>
    <w:rsid w:val="00750FFB"/>
    <w:rsid w:val="00751072"/>
    <w:rsid w:val="00751502"/>
    <w:rsid w:val="00751AB9"/>
    <w:rsid w:val="00751BD9"/>
    <w:rsid w:val="00751EF9"/>
    <w:rsid w:val="007521DE"/>
    <w:rsid w:val="00752298"/>
    <w:rsid w:val="0075236E"/>
    <w:rsid w:val="00752592"/>
    <w:rsid w:val="00752752"/>
    <w:rsid w:val="007527B5"/>
    <w:rsid w:val="007527BE"/>
    <w:rsid w:val="00752813"/>
    <w:rsid w:val="0075281C"/>
    <w:rsid w:val="0075288B"/>
    <w:rsid w:val="007528BE"/>
    <w:rsid w:val="0075293A"/>
    <w:rsid w:val="00752940"/>
    <w:rsid w:val="00752B61"/>
    <w:rsid w:val="00752CD3"/>
    <w:rsid w:val="00752D66"/>
    <w:rsid w:val="00752DE4"/>
    <w:rsid w:val="00752EC0"/>
    <w:rsid w:val="00753599"/>
    <w:rsid w:val="0075369D"/>
    <w:rsid w:val="007536A4"/>
    <w:rsid w:val="007539EA"/>
    <w:rsid w:val="00753A02"/>
    <w:rsid w:val="00753C1D"/>
    <w:rsid w:val="00753DB2"/>
    <w:rsid w:val="00753F14"/>
    <w:rsid w:val="00753F8E"/>
    <w:rsid w:val="007541B3"/>
    <w:rsid w:val="007541E5"/>
    <w:rsid w:val="007542BE"/>
    <w:rsid w:val="007542E3"/>
    <w:rsid w:val="00754443"/>
    <w:rsid w:val="00754648"/>
    <w:rsid w:val="00754A83"/>
    <w:rsid w:val="00754B89"/>
    <w:rsid w:val="00754DB3"/>
    <w:rsid w:val="00754E9F"/>
    <w:rsid w:val="00754EE5"/>
    <w:rsid w:val="00755012"/>
    <w:rsid w:val="00755351"/>
    <w:rsid w:val="0075559D"/>
    <w:rsid w:val="00755663"/>
    <w:rsid w:val="007557CE"/>
    <w:rsid w:val="00755C6D"/>
    <w:rsid w:val="00755CAF"/>
    <w:rsid w:val="00755D81"/>
    <w:rsid w:val="007561D0"/>
    <w:rsid w:val="007564E9"/>
    <w:rsid w:val="00756620"/>
    <w:rsid w:val="007566BD"/>
    <w:rsid w:val="00756799"/>
    <w:rsid w:val="00756854"/>
    <w:rsid w:val="00756A1F"/>
    <w:rsid w:val="00756BAE"/>
    <w:rsid w:val="00756BCC"/>
    <w:rsid w:val="00756D07"/>
    <w:rsid w:val="00756E03"/>
    <w:rsid w:val="00756E6F"/>
    <w:rsid w:val="0075702F"/>
    <w:rsid w:val="00757039"/>
    <w:rsid w:val="007570B7"/>
    <w:rsid w:val="00757253"/>
    <w:rsid w:val="007574F3"/>
    <w:rsid w:val="007575FC"/>
    <w:rsid w:val="00757739"/>
    <w:rsid w:val="0075787D"/>
    <w:rsid w:val="007578A2"/>
    <w:rsid w:val="00757BEF"/>
    <w:rsid w:val="00757E17"/>
    <w:rsid w:val="00757E64"/>
    <w:rsid w:val="00757EF5"/>
    <w:rsid w:val="00757FF3"/>
    <w:rsid w:val="007601CB"/>
    <w:rsid w:val="00760251"/>
    <w:rsid w:val="0076032C"/>
    <w:rsid w:val="0076059D"/>
    <w:rsid w:val="0076081A"/>
    <w:rsid w:val="007608D4"/>
    <w:rsid w:val="00760D01"/>
    <w:rsid w:val="00761183"/>
    <w:rsid w:val="007612F9"/>
    <w:rsid w:val="0076133D"/>
    <w:rsid w:val="00761515"/>
    <w:rsid w:val="00761558"/>
    <w:rsid w:val="007615C4"/>
    <w:rsid w:val="00761788"/>
    <w:rsid w:val="007617AF"/>
    <w:rsid w:val="007617F0"/>
    <w:rsid w:val="00761841"/>
    <w:rsid w:val="007618D1"/>
    <w:rsid w:val="00761CCC"/>
    <w:rsid w:val="00761D52"/>
    <w:rsid w:val="00761EC4"/>
    <w:rsid w:val="007620E8"/>
    <w:rsid w:val="007622C0"/>
    <w:rsid w:val="007623CC"/>
    <w:rsid w:val="00762565"/>
    <w:rsid w:val="0076269C"/>
    <w:rsid w:val="0076282C"/>
    <w:rsid w:val="0076285B"/>
    <w:rsid w:val="0076286D"/>
    <w:rsid w:val="0076288E"/>
    <w:rsid w:val="00762906"/>
    <w:rsid w:val="0076294D"/>
    <w:rsid w:val="00762A3D"/>
    <w:rsid w:val="00762ADA"/>
    <w:rsid w:val="00762B93"/>
    <w:rsid w:val="00762BCD"/>
    <w:rsid w:val="00762D1D"/>
    <w:rsid w:val="00763385"/>
    <w:rsid w:val="00763432"/>
    <w:rsid w:val="007634FA"/>
    <w:rsid w:val="007636DA"/>
    <w:rsid w:val="00763863"/>
    <w:rsid w:val="00763956"/>
    <w:rsid w:val="00763964"/>
    <w:rsid w:val="00763A2E"/>
    <w:rsid w:val="00763A3A"/>
    <w:rsid w:val="00763C08"/>
    <w:rsid w:val="00763D74"/>
    <w:rsid w:val="00763E43"/>
    <w:rsid w:val="0076418B"/>
    <w:rsid w:val="00764205"/>
    <w:rsid w:val="0076424D"/>
    <w:rsid w:val="00764546"/>
    <w:rsid w:val="007645BB"/>
    <w:rsid w:val="0076468B"/>
    <w:rsid w:val="007647CA"/>
    <w:rsid w:val="0076480A"/>
    <w:rsid w:val="007648B1"/>
    <w:rsid w:val="00764CAD"/>
    <w:rsid w:val="00764D51"/>
    <w:rsid w:val="00764DBE"/>
    <w:rsid w:val="0076524C"/>
    <w:rsid w:val="0076526F"/>
    <w:rsid w:val="0076527C"/>
    <w:rsid w:val="00765353"/>
    <w:rsid w:val="0076548E"/>
    <w:rsid w:val="00765755"/>
    <w:rsid w:val="0076578D"/>
    <w:rsid w:val="007658C6"/>
    <w:rsid w:val="007658FF"/>
    <w:rsid w:val="0076595D"/>
    <w:rsid w:val="00765A36"/>
    <w:rsid w:val="00765D46"/>
    <w:rsid w:val="00765D55"/>
    <w:rsid w:val="00765E54"/>
    <w:rsid w:val="00765F2D"/>
    <w:rsid w:val="00765F31"/>
    <w:rsid w:val="007661E4"/>
    <w:rsid w:val="00766242"/>
    <w:rsid w:val="007662E7"/>
    <w:rsid w:val="00766364"/>
    <w:rsid w:val="00766375"/>
    <w:rsid w:val="00766429"/>
    <w:rsid w:val="00766454"/>
    <w:rsid w:val="007665BA"/>
    <w:rsid w:val="007668C6"/>
    <w:rsid w:val="0076693E"/>
    <w:rsid w:val="00766B62"/>
    <w:rsid w:val="00766BA7"/>
    <w:rsid w:val="00766BED"/>
    <w:rsid w:val="00766CDD"/>
    <w:rsid w:val="00766CFD"/>
    <w:rsid w:val="00766D8B"/>
    <w:rsid w:val="00766DA9"/>
    <w:rsid w:val="00766E9C"/>
    <w:rsid w:val="00767342"/>
    <w:rsid w:val="00767492"/>
    <w:rsid w:val="007676C4"/>
    <w:rsid w:val="00767923"/>
    <w:rsid w:val="007679C3"/>
    <w:rsid w:val="00767A64"/>
    <w:rsid w:val="00767F40"/>
    <w:rsid w:val="00770141"/>
    <w:rsid w:val="00770437"/>
    <w:rsid w:val="00770524"/>
    <w:rsid w:val="00770589"/>
    <w:rsid w:val="0077099D"/>
    <w:rsid w:val="00770A80"/>
    <w:rsid w:val="00770B42"/>
    <w:rsid w:val="00770F03"/>
    <w:rsid w:val="007713DE"/>
    <w:rsid w:val="007715CF"/>
    <w:rsid w:val="00771792"/>
    <w:rsid w:val="007718A7"/>
    <w:rsid w:val="00771921"/>
    <w:rsid w:val="0077194D"/>
    <w:rsid w:val="00771A93"/>
    <w:rsid w:val="00771BCD"/>
    <w:rsid w:val="00772211"/>
    <w:rsid w:val="00772243"/>
    <w:rsid w:val="007722D5"/>
    <w:rsid w:val="00772323"/>
    <w:rsid w:val="00772329"/>
    <w:rsid w:val="00772367"/>
    <w:rsid w:val="00772453"/>
    <w:rsid w:val="00772479"/>
    <w:rsid w:val="0077250C"/>
    <w:rsid w:val="0077279B"/>
    <w:rsid w:val="00772850"/>
    <w:rsid w:val="00772A68"/>
    <w:rsid w:val="00772EFD"/>
    <w:rsid w:val="00772F10"/>
    <w:rsid w:val="0077339C"/>
    <w:rsid w:val="007733DF"/>
    <w:rsid w:val="0077347B"/>
    <w:rsid w:val="00773486"/>
    <w:rsid w:val="007734E4"/>
    <w:rsid w:val="00773543"/>
    <w:rsid w:val="0077354B"/>
    <w:rsid w:val="00773649"/>
    <w:rsid w:val="0077364D"/>
    <w:rsid w:val="0077376C"/>
    <w:rsid w:val="007737DB"/>
    <w:rsid w:val="00773ED7"/>
    <w:rsid w:val="00773F0F"/>
    <w:rsid w:val="0077437D"/>
    <w:rsid w:val="007744EA"/>
    <w:rsid w:val="00774781"/>
    <w:rsid w:val="007747DD"/>
    <w:rsid w:val="007748DB"/>
    <w:rsid w:val="007749C8"/>
    <w:rsid w:val="00774BE5"/>
    <w:rsid w:val="00774CC6"/>
    <w:rsid w:val="00774E08"/>
    <w:rsid w:val="00774E0A"/>
    <w:rsid w:val="00774E22"/>
    <w:rsid w:val="00774E73"/>
    <w:rsid w:val="00775171"/>
    <w:rsid w:val="007752F1"/>
    <w:rsid w:val="00775415"/>
    <w:rsid w:val="00775571"/>
    <w:rsid w:val="007755B4"/>
    <w:rsid w:val="007756E1"/>
    <w:rsid w:val="00775897"/>
    <w:rsid w:val="00775C95"/>
    <w:rsid w:val="00775D0E"/>
    <w:rsid w:val="00775E7D"/>
    <w:rsid w:val="00775EA0"/>
    <w:rsid w:val="007763CC"/>
    <w:rsid w:val="0077644E"/>
    <w:rsid w:val="007764E3"/>
    <w:rsid w:val="00776513"/>
    <w:rsid w:val="007767A5"/>
    <w:rsid w:val="00776B67"/>
    <w:rsid w:val="00776BA2"/>
    <w:rsid w:val="00776CFF"/>
    <w:rsid w:val="00776E76"/>
    <w:rsid w:val="00776F10"/>
    <w:rsid w:val="00777086"/>
    <w:rsid w:val="007771E2"/>
    <w:rsid w:val="00777216"/>
    <w:rsid w:val="007773AC"/>
    <w:rsid w:val="00777462"/>
    <w:rsid w:val="00777693"/>
    <w:rsid w:val="00777976"/>
    <w:rsid w:val="007779DB"/>
    <w:rsid w:val="007779FD"/>
    <w:rsid w:val="00777A80"/>
    <w:rsid w:val="00777B22"/>
    <w:rsid w:val="00777B97"/>
    <w:rsid w:val="00777CA6"/>
    <w:rsid w:val="00777D74"/>
    <w:rsid w:val="00777E83"/>
    <w:rsid w:val="00777F2F"/>
    <w:rsid w:val="00780179"/>
    <w:rsid w:val="00780181"/>
    <w:rsid w:val="00780210"/>
    <w:rsid w:val="00780452"/>
    <w:rsid w:val="007804FA"/>
    <w:rsid w:val="007805D9"/>
    <w:rsid w:val="00780615"/>
    <w:rsid w:val="0078061D"/>
    <w:rsid w:val="00780652"/>
    <w:rsid w:val="0078070E"/>
    <w:rsid w:val="007807F0"/>
    <w:rsid w:val="00780930"/>
    <w:rsid w:val="00780E57"/>
    <w:rsid w:val="00781044"/>
    <w:rsid w:val="007810F5"/>
    <w:rsid w:val="007812B0"/>
    <w:rsid w:val="0078160D"/>
    <w:rsid w:val="00781724"/>
    <w:rsid w:val="0078172B"/>
    <w:rsid w:val="0078184A"/>
    <w:rsid w:val="00781981"/>
    <w:rsid w:val="00781A2E"/>
    <w:rsid w:val="00781A7D"/>
    <w:rsid w:val="00781AC3"/>
    <w:rsid w:val="00781B06"/>
    <w:rsid w:val="00781B62"/>
    <w:rsid w:val="00781C5D"/>
    <w:rsid w:val="00781C9F"/>
    <w:rsid w:val="00781D57"/>
    <w:rsid w:val="00781DB9"/>
    <w:rsid w:val="00781F55"/>
    <w:rsid w:val="00781FF2"/>
    <w:rsid w:val="00782004"/>
    <w:rsid w:val="00782594"/>
    <w:rsid w:val="00782A6C"/>
    <w:rsid w:val="00782AA8"/>
    <w:rsid w:val="00783049"/>
    <w:rsid w:val="00783431"/>
    <w:rsid w:val="007836A5"/>
    <w:rsid w:val="007837A3"/>
    <w:rsid w:val="007837F5"/>
    <w:rsid w:val="00783A21"/>
    <w:rsid w:val="00783A34"/>
    <w:rsid w:val="00783AAA"/>
    <w:rsid w:val="00783AD0"/>
    <w:rsid w:val="00783AE0"/>
    <w:rsid w:val="00783D9D"/>
    <w:rsid w:val="00783DBA"/>
    <w:rsid w:val="00783DD8"/>
    <w:rsid w:val="00783E7E"/>
    <w:rsid w:val="00784229"/>
    <w:rsid w:val="007842C7"/>
    <w:rsid w:val="00784302"/>
    <w:rsid w:val="00784511"/>
    <w:rsid w:val="007845FF"/>
    <w:rsid w:val="007847AB"/>
    <w:rsid w:val="00784825"/>
    <w:rsid w:val="007849DB"/>
    <w:rsid w:val="00784B8D"/>
    <w:rsid w:val="007852F6"/>
    <w:rsid w:val="007854E0"/>
    <w:rsid w:val="00785627"/>
    <w:rsid w:val="007856E5"/>
    <w:rsid w:val="00785778"/>
    <w:rsid w:val="00785AE5"/>
    <w:rsid w:val="00785B74"/>
    <w:rsid w:val="00785BC5"/>
    <w:rsid w:val="00785C83"/>
    <w:rsid w:val="00785D77"/>
    <w:rsid w:val="00785F6F"/>
    <w:rsid w:val="0078608E"/>
    <w:rsid w:val="007860B9"/>
    <w:rsid w:val="0078622F"/>
    <w:rsid w:val="0078630C"/>
    <w:rsid w:val="00786362"/>
    <w:rsid w:val="007863D3"/>
    <w:rsid w:val="00786564"/>
    <w:rsid w:val="00786631"/>
    <w:rsid w:val="0078677B"/>
    <w:rsid w:val="0078685F"/>
    <w:rsid w:val="00786F2B"/>
    <w:rsid w:val="00787074"/>
    <w:rsid w:val="00787080"/>
    <w:rsid w:val="00787436"/>
    <w:rsid w:val="007874D6"/>
    <w:rsid w:val="007874E0"/>
    <w:rsid w:val="007875DF"/>
    <w:rsid w:val="00787923"/>
    <w:rsid w:val="0078794C"/>
    <w:rsid w:val="007879E4"/>
    <w:rsid w:val="00787B17"/>
    <w:rsid w:val="00787D2D"/>
    <w:rsid w:val="00787DCA"/>
    <w:rsid w:val="00787F86"/>
    <w:rsid w:val="00790147"/>
    <w:rsid w:val="00790450"/>
    <w:rsid w:val="00790989"/>
    <w:rsid w:val="0079116E"/>
    <w:rsid w:val="0079141F"/>
    <w:rsid w:val="00791B37"/>
    <w:rsid w:val="00791C10"/>
    <w:rsid w:val="00791C24"/>
    <w:rsid w:val="00791F4D"/>
    <w:rsid w:val="007920D7"/>
    <w:rsid w:val="00792138"/>
    <w:rsid w:val="00792169"/>
    <w:rsid w:val="0079232E"/>
    <w:rsid w:val="007925FA"/>
    <w:rsid w:val="00792701"/>
    <w:rsid w:val="007927C9"/>
    <w:rsid w:val="00792AC2"/>
    <w:rsid w:val="00792ADC"/>
    <w:rsid w:val="00792C30"/>
    <w:rsid w:val="00792C6C"/>
    <w:rsid w:val="00792DAA"/>
    <w:rsid w:val="00792F3C"/>
    <w:rsid w:val="00793039"/>
    <w:rsid w:val="007931BD"/>
    <w:rsid w:val="007932A2"/>
    <w:rsid w:val="00793593"/>
    <w:rsid w:val="007935AD"/>
    <w:rsid w:val="007935F8"/>
    <w:rsid w:val="0079376D"/>
    <w:rsid w:val="0079380F"/>
    <w:rsid w:val="007939C6"/>
    <w:rsid w:val="00793BB4"/>
    <w:rsid w:val="00793CA5"/>
    <w:rsid w:val="00793CBA"/>
    <w:rsid w:val="00793DEC"/>
    <w:rsid w:val="00793F50"/>
    <w:rsid w:val="00793F55"/>
    <w:rsid w:val="00793F80"/>
    <w:rsid w:val="007940D7"/>
    <w:rsid w:val="00794694"/>
    <w:rsid w:val="007947CD"/>
    <w:rsid w:val="00794841"/>
    <w:rsid w:val="007948CE"/>
    <w:rsid w:val="007950B7"/>
    <w:rsid w:val="00795209"/>
    <w:rsid w:val="00795624"/>
    <w:rsid w:val="00795909"/>
    <w:rsid w:val="00795AD4"/>
    <w:rsid w:val="00795B39"/>
    <w:rsid w:val="00795BA9"/>
    <w:rsid w:val="00795E16"/>
    <w:rsid w:val="00795F03"/>
    <w:rsid w:val="00796182"/>
    <w:rsid w:val="00796416"/>
    <w:rsid w:val="00796486"/>
    <w:rsid w:val="007966B3"/>
    <w:rsid w:val="00796783"/>
    <w:rsid w:val="007967C0"/>
    <w:rsid w:val="00796A17"/>
    <w:rsid w:val="00796AF9"/>
    <w:rsid w:val="00796D08"/>
    <w:rsid w:val="007971A2"/>
    <w:rsid w:val="007975BD"/>
    <w:rsid w:val="00797625"/>
    <w:rsid w:val="0079767C"/>
    <w:rsid w:val="007979A5"/>
    <w:rsid w:val="00797B8C"/>
    <w:rsid w:val="00797BF2"/>
    <w:rsid w:val="00797C9C"/>
    <w:rsid w:val="00797E2F"/>
    <w:rsid w:val="007A011C"/>
    <w:rsid w:val="007A0288"/>
    <w:rsid w:val="007A04BE"/>
    <w:rsid w:val="007A04D0"/>
    <w:rsid w:val="007A04F4"/>
    <w:rsid w:val="007A050A"/>
    <w:rsid w:val="007A06FE"/>
    <w:rsid w:val="007A0930"/>
    <w:rsid w:val="007A09FB"/>
    <w:rsid w:val="007A0BCA"/>
    <w:rsid w:val="007A0D8E"/>
    <w:rsid w:val="007A11AE"/>
    <w:rsid w:val="007A12B1"/>
    <w:rsid w:val="007A13DC"/>
    <w:rsid w:val="007A13DE"/>
    <w:rsid w:val="007A18A9"/>
    <w:rsid w:val="007A18BF"/>
    <w:rsid w:val="007A2133"/>
    <w:rsid w:val="007A216F"/>
    <w:rsid w:val="007A22DD"/>
    <w:rsid w:val="007A27CE"/>
    <w:rsid w:val="007A2A87"/>
    <w:rsid w:val="007A2A9F"/>
    <w:rsid w:val="007A2C34"/>
    <w:rsid w:val="007A2C4C"/>
    <w:rsid w:val="007A2C70"/>
    <w:rsid w:val="007A2CEB"/>
    <w:rsid w:val="007A2E99"/>
    <w:rsid w:val="007A2F0C"/>
    <w:rsid w:val="007A2FB2"/>
    <w:rsid w:val="007A3016"/>
    <w:rsid w:val="007A3039"/>
    <w:rsid w:val="007A324D"/>
    <w:rsid w:val="007A3282"/>
    <w:rsid w:val="007A33B9"/>
    <w:rsid w:val="007A3674"/>
    <w:rsid w:val="007A3813"/>
    <w:rsid w:val="007A3B87"/>
    <w:rsid w:val="007A4352"/>
    <w:rsid w:val="007A4369"/>
    <w:rsid w:val="007A443E"/>
    <w:rsid w:val="007A4484"/>
    <w:rsid w:val="007A4549"/>
    <w:rsid w:val="007A4A51"/>
    <w:rsid w:val="007A4B1A"/>
    <w:rsid w:val="007A4CE2"/>
    <w:rsid w:val="007A4D04"/>
    <w:rsid w:val="007A4EBC"/>
    <w:rsid w:val="007A4FB2"/>
    <w:rsid w:val="007A5004"/>
    <w:rsid w:val="007A506D"/>
    <w:rsid w:val="007A5262"/>
    <w:rsid w:val="007A52DC"/>
    <w:rsid w:val="007A5702"/>
    <w:rsid w:val="007A587F"/>
    <w:rsid w:val="007A5A8D"/>
    <w:rsid w:val="007A5C00"/>
    <w:rsid w:val="007A5D74"/>
    <w:rsid w:val="007A5D8E"/>
    <w:rsid w:val="007A5DF7"/>
    <w:rsid w:val="007A5E80"/>
    <w:rsid w:val="007A5ED9"/>
    <w:rsid w:val="007A608E"/>
    <w:rsid w:val="007A6142"/>
    <w:rsid w:val="007A632D"/>
    <w:rsid w:val="007A63A1"/>
    <w:rsid w:val="007A647E"/>
    <w:rsid w:val="007A649A"/>
    <w:rsid w:val="007A6792"/>
    <w:rsid w:val="007A679E"/>
    <w:rsid w:val="007A683D"/>
    <w:rsid w:val="007A6C47"/>
    <w:rsid w:val="007A6CE3"/>
    <w:rsid w:val="007A6DD7"/>
    <w:rsid w:val="007A6EFF"/>
    <w:rsid w:val="007A6F3C"/>
    <w:rsid w:val="007A7283"/>
    <w:rsid w:val="007A72D0"/>
    <w:rsid w:val="007A7324"/>
    <w:rsid w:val="007A746D"/>
    <w:rsid w:val="007A7709"/>
    <w:rsid w:val="007A7827"/>
    <w:rsid w:val="007A7851"/>
    <w:rsid w:val="007A7BC5"/>
    <w:rsid w:val="007B0011"/>
    <w:rsid w:val="007B00D9"/>
    <w:rsid w:val="007B0178"/>
    <w:rsid w:val="007B03D8"/>
    <w:rsid w:val="007B0411"/>
    <w:rsid w:val="007B0418"/>
    <w:rsid w:val="007B0533"/>
    <w:rsid w:val="007B062E"/>
    <w:rsid w:val="007B09F4"/>
    <w:rsid w:val="007B0E18"/>
    <w:rsid w:val="007B0F24"/>
    <w:rsid w:val="007B0F96"/>
    <w:rsid w:val="007B0FD4"/>
    <w:rsid w:val="007B1114"/>
    <w:rsid w:val="007B11E8"/>
    <w:rsid w:val="007B135E"/>
    <w:rsid w:val="007B1622"/>
    <w:rsid w:val="007B16ED"/>
    <w:rsid w:val="007B1945"/>
    <w:rsid w:val="007B194C"/>
    <w:rsid w:val="007B1AD9"/>
    <w:rsid w:val="007B1AE6"/>
    <w:rsid w:val="007B1B8E"/>
    <w:rsid w:val="007B1F2D"/>
    <w:rsid w:val="007B1F78"/>
    <w:rsid w:val="007B2126"/>
    <w:rsid w:val="007B2267"/>
    <w:rsid w:val="007B22B0"/>
    <w:rsid w:val="007B23FE"/>
    <w:rsid w:val="007B23FF"/>
    <w:rsid w:val="007B27B6"/>
    <w:rsid w:val="007B2906"/>
    <w:rsid w:val="007B2CAD"/>
    <w:rsid w:val="007B2D9C"/>
    <w:rsid w:val="007B2F57"/>
    <w:rsid w:val="007B2FF8"/>
    <w:rsid w:val="007B32D7"/>
    <w:rsid w:val="007B34C6"/>
    <w:rsid w:val="007B359F"/>
    <w:rsid w:val="007B388E"/>
    <w:rsid w:val="007B38B3"/>
    <w:rsid w:val="007B3B27"/>
    <w:rsid w:val="007B3CC6"/>
    <w:rsid w:val="007B3D95"/>
    <w:rsid w:val="007B3F48"/>
    <w:rsid w:val="007B4106"/>
    <w:rsid w:val="007B4122"/>
    <w:rsid w:val="007B419C"/>
    <w:rsid w:val="007B4343"/>
    <w:rsid w:val="007B436B"/>
    <w:rsid w:val="007B47CE"/>
    <w:rsid w:val="007B49FE"/>
    <w:rsid w:val="007B4BC3"/>
    <w:rsid w:val="007B4CB7"/>
    <w:rsid w:val="007B4CBB"/>
    <w:rsid w:val="007B4D1F"/>
    <w:rsid w:val="007B4F61"/>
    <w:rsid w:val="007B5005"/>
    <w:rsid w:val="007B522F"/>
    <w:rsid w:val="007B5374"/>
    <w:rsid w:val="007B5411"/>
    <w:rsid w:val="007B5465"/>
    <w:rsid w:val="007B56D7"/>
    <w:rsid w:val="007B580B"/>
    <w:rsid w:val="007B587A"/>
    <w:rsid w:val="007B5897"/>
    <w:rsid w:val="007B5977"/>
    <w:rsid w:val="007B59A6"/>
    <w:rsid w:val="007B5A69"/>
    <w:rsid w:val="007B5B3A"/>
    <w:rsid w:val="007B5B66"/>
    <w:rsid w:val="007B5C26"/>
    <w:rsid w:val="007B5CB3"/>
    <w:rsid w:val="007B5D12"/>
    <w:rsid w:val="007B6068"/>
    <w:rsid w:val="007B607E"/>
    <w:rsid w:val="007B6172"/>
    <w:rsid w:val="007B63A6"/>
    <w:rsid w:val="007B63E0"/>
    <w:rsid w:val="007B64C7"/>
    <w:rsid w:val="007B64F4"/>
    <w:rsid w:val="007B650A"/>
    <w:rsid w:val="007B6599"/>
    <w:rsid w:val="007B668C"/>
    <w:rsid w:val="007B6987"/>
    <w:rsid w:val="007B6D0D"/>
    <w:rsid w:val="007B6DBC"/>
    <w:rsid w:val="007B6E75"/>
    <w:rsid w:val="007B6F9A"/>
    <w:rsid w:val="007B70E3"/>
    <w:rsid w:val="007B7139"/>
    <w:rsid w:val="007B723B"/>
    <w:rsid w:val="007B7388"/>
    <w:rsid w:val="007B7443"/>
    <w:rsid w:val="007B7501"/>
    <w:rsid w:val="007B752C"/>
    <w:rsid w:val="007B754E"/>
    <w:rsid w:val="007B77C3"/>
    <w:rsid w:val="007B7827"/>
    <w:rsid w:val="007B79B9"/>
    <w:rsid w:val="007B7A08"/>
    <w:rsid w:val="007B7BE6"/>
    <w:rsid w:val="007B7BFB"/>
    <w:rsid w:val="007B7D52"/>
    <w:rsid w:val="007C01DB"/>
    <w:rsid w:val="007C0210"/>
    <w:rsid w:val="007C023B"/>
    <w:rsid w:val="007C0309"/>
    <w:rsid w:val="007C0489"/>
    <w:rsid w:val="007C0713"/>
    <w:rsid w:val="007C0812"/>
    <w:rsid w:val="007C0AAB"/>
    <w:rsid w:val="007C0B44"/>
    <w:rsid w:val="007C1224"/>
    <w:rsid w:val="007C14B6"/>
    <w:rsid w:val="007C164C"/>
    <w:rsid w:val="007C169F"/>
    <w:rsid w:val="007C181E"/>
    <w:rsid w:val="007C1E3D"/>
    <w:rsid w:val="007C2055"/>
    <w:rsid w:val="007C20C7"/>
    <w:rsid w:val="007C2169"/>
    <w:rsid w:val="007C2505"/>
    <w:rsid w:val="007C26CD"/>
    <w:rsid w:val="007C26FC"/>
    <w:rsid w:val="007C2BF6"/>
    <w:rsid w:val="007C2D3E"/>
    <w:rsid w:val="007C2DB1"/>
    <w:rsid w:val="007C2EF3"/>
    <w:rsid w:val="007C2FB8"/>
    <w:rsid w:val="007C3028"/>
    <w:rsid w:val="007C3178"/>
    <w:rsid w:val="007C330E"/>
    <w:rsid w:val="007C3324"/>
    <w:rsid w:val="007C350F"/>
    <w:rsid w:val="007C35D7"/>
    <w:rsid w:val="007C364F"/>
    <w:rsid w:val="007C38D1"/>
    <w:rsid w:val="007C399E"/>
    <w:rsid w:val="007C3A8C"/>
    <w:rsid w:val="007C3B23"/>
    <w:rsid w:val="007C3E79"/>
    <w:rsid w:val="007C4044"/>
    <w:rsid w:val="007C4144"/>
    <w:rsid w:val="007C4410"/>
    <w:rsid w:val="007C4497"/>
    <w:rsid w:val="007C48A0"/>
    <w:rsid w:val="007C49F5"/>
    <w:rsid w:val="007C4A60"/>
    <w:rsid w:val="007C4A7B"/>
    <w:rsid w:val="007C4ADF"/>
    <w:rsid w:val="007C4B2C"/>
    <w:rsid w:val="007C4B79"/>
    <w:rsid w:val="007C4CDE"/>
    <w:rsid w:val="007C4D9A"/>
    <w:rsid w:val="007C518A"/>
    <w:rsid w:val="007C5218"/>
    <w:rsid w:val="007C5226"/>
    <w:rsid w:val="007C545B"/>
    <w:rsid w:val="007C5489"/>
    <w:rsid w:val="007C55E3"/>
    <w:rsid w:val="007C56A0"/>
    <w:rsid w:val="007C5B49"/>
    <w:rsid w:val="007C5BE5"/>
    <w:rsid w:val="007C5BF8"/>
    <w:rsid w:val="007C5CCE"/>
    <w:rsid w:val="007C5D17"/>
    <w:rsid w:val="007C6046"/>
    <w:rsid w:val="007C6336"/>
    <w:rsid w:val="007C6367"/>
    <w:rsid w:val="007C6383"/>
    <w:rsid w:val="007C63B3"/>
    <w:rsid w:val="007C63E3"/>
    <w:rsid w:val="007C655B"/>
    <w:rsid w:val="007C6648"/>
    <w:rsid w:val="007C6A52"/>
    <w:rsid w:val="007C6B0F"/>
    <w:rsid w:val="007C6D3B"/>
    <w:rsid w:val="007C6E97"/>
    <w:rsid w:val="007C72CC"/>
    <w:rsid w:val="007C7462"/>
    <w:rsid w:val="007C74D1"/>
    <w:rsid w:val="007C766C"/>
    <w:rsid w:val="007C7811"/>
    <w:rsid w:val="007C7A99"/>
    <w:rsid w:val="007C7E59"/>
    <w:rsid w:val="007D0019"/>
    <w:rsid w:val="007D0254"/>
    <w:rsid w:val="007D0322"/>
    <w:rsid w:val="007D042F"/>
    <w:rsid w:val="007D0522"/>
    <w:rsid w:val="007D058A"/>
    <w:rsid w:val="007D05C7"/>
    <w:rsid w:val="007D0688"/>
    <w:rsid w:val="007D0BEB"/>
    <w:rsid w:val="007D0D55"/>
    <w:rsid w:val="007D1056"/>
    <w:rsid w:val="007D105F"/>
    <w:rsid w:val="007D117B"/>
    <w:rsid w:val="007D148A"/>
    <w:rsid w:val="007D166B"/>
    <w:rsid w:val="007D17F1"/>
    <w:rsid w:val="007D1823"/>
    <w:rsid w:val="007D1928"/>
    <w:rsid w:val="007D196E"/>
    <w:rsid w:val="007D1A70"/>
    <w:rsid w:val="007D1ABE"/>
    <w:rsid w:val="007D1C9A"/>
    <w:rsid w:val="007D1EE5"/>
    <w:rsid w:val="007D201A"/>
    <w:rsid w:val="007D21C4"/>
    <w:rsid w:val="007D2272"/>
    <w:rsid w:val="007D23E0"/>
    <w:rsid w:val="007D24F4"/>
    <w:rsid w:val="007D26C9"/>
    <w:rsid w:val="007D2729"/>
    <w:rsid w:val="007D2B2C"/>
    <w:rsid w:val="007D2B4C"/>
    <w:rsid w:val="007D2BAC"/>
    <w:rsid w:val="007D2D4E"/>
    <w:rsid w:val="007D33E0"/>
    <w:rsid w:val="007D347C"/>
    <w:rsid w:val="007D34BB"/>
    <w:rsid w:val="007D351A"/>
    <w:rsid w:val="007D3571"/>
    <w:rsid w:val="007D3780"/>
    <w:rsid w:val="007D3817"/>
    <w:rsid w:val="007D3887"/>
    <w:rsid w:val="007D38B6"/>
    <w:rsid w:val="007D397B"/>
    <w:rsid w:val="007D39D8"/>
    <w:rsid w:val="007D3C11"/>
    <w:rsid w:val="007D3CE1"/>
    <w:rsid w:val="007D3CF4"/>
    <w:rsid w:val="007D40A3"/>
    <w:rsid w:val="007D40B2"/>
    <w:rsid w:val="007D4166"/>
    <w:rsid w:val="007D443E"/>
    <w:rsid w:val="007D4EB0"/>
    <w:rsid w:val="007D4F75"/>
    <w:rsid w:val="007D4FB2"/>
    <w:rsid w:val="007D5041"/>
    <w:rsid w:val="007D50B7"/>
    <w:rsid w:val="007D50FF"/>
    <w:rsid w:val="007D52E1"/>
    <w:rsid w:val="007D557A"/>
    <w:rsid w:val="007D56B1"/>
    <w:rsid w:val="007D56D6"/>
    <w:rsid w:val="007D578F"/>
    <w:rsid w:val="007D587B"/>
    <w:rsid w:val="007D59CF"/>
    <w:rsid w:val="007D5A26"/>
    <w:rsid w:val="007D5C1B"/>
    <w:rsid w:val="007D5EFD"/>
    <w:rsid w:val="007D5F92"/>
    <w:rsid w:val="007D60DE"/>
    <w:rsid w:val="007D617B"/>
    <w:rsid w:val="007D64E1"/>
    <w:rsid w:val="007D6530"/>
    <w:rsid w:val="007D6602"/>
    <w:rsid w:val="007D670C"/>
    <w:rsid w:val="007D6777"/>
    <w:rsid w:val="007D6963"/>
    <w:rsid w:val="007D7106"/>
    <w:rsid w:val="007D720A"/>
    <w:rsid w:val="007D7262"/>
    <w:rsid w:val="007D74E1"/>
    <w:rsid w:val="007D782A"/>
    <w:rsid w:val="007D7ACF"/>
    <w:rsid w:val="007D7ADB"/>
    <w:rsid w:val="007D7C0C"/>
    <w:rsid w:val="007D7D1E"/>
    <w:rsid w:val="007D7D24"/>
    <w:rsid w:val="007D7D35"/>
    <w:rsid w:val="007D7F94"/>
    <w:rsid w:val="007E00C1"/>
    <w:rsid w:val="007E025C"/>
    <w:rsid w:val="007E03A0"/>
    <w:rsid w:val="007E03DF"/>
    <w:rsid w:val="007E0567"/>
    <w:rsid w:val="007E07F1"/>
    <w:rsid w:val="007E090C"/>
    <w:rsid w:val="007E09CA"/>
    <w:rsid w:val="007E0BF2"/>
    <w:rsid w:val="007E0D8C"/>
    <w:rsid w:val="007E0E1E"/>
    <w:rsid w:val="007E0F19"/>
    <w:rsid w:val="007E10A4"/>
    <w:rsid w:val="007E1476"/>
    <w:rsid w:val="007E155F"/>
    <w:rsid w:val="007E15AE"/>
    <w:rsid w:val="007E1691"/>
    <w:rsid w:val="007E1825"/>
    <w:rsid w:val="007E189F"/>
    <w:rsid w:val="007E195B"/>
    <w:rsid w:val="007E1BC8"/>
    <w:rsid w:val="007E1D95"/>
    <w:rsid w:val="007E1E88"/>
    <w:rsid w:val="007E1F3E"/>
    <w:rsid w:val="007E2144"/>
    <w:rsid w:val="007E2277"/>
    <w:rsid w:val="007E2284"/>
    <w:rsid w:val="007E22AC"/>
    <w:rsid w:val="007E23F5"/>
    <w:rsid w:val="007E26A0"/>
    <w:rsid w:val="007E28D9"/>
    <w:rsid w:val="007E298B"/>
    <w:rsid w:val="007E2AB7"/>
    <w:rsid w:val="007E2BF5"/>
    <w:rsid w:val="007E2C4F"/>
    <w:rsid w:val="007E2F50"/>
    <w:rsid w:val="007E30F4"/>
    <w:rsid w:val="007E36B7"/>
    <w:rsid w:val="007E37D6"/>
    <w:rsid w:val="007E384B"/>
    <w:rsid w:val="007E38D3"/>
    <w:rsid w:val="007E3D9B"/>
    <w:rsid w:val="007E419F"/>
    <w:rsid w:val="007E41B3"/>
    <w:rsid w:val="007E41EA"/>
    <w:rsid w:val="007E42CF"/>
    <w:rsid w:val="007E435F"/>
    <w:rsid w:val="007E475C"/>
    <w:rsid w:val="007E5313"/>
    <w:rsid w:val="007E541C"/>
    <w:rsid w:val="007E5549"/>
    <w:rsid w:val="007E5906"/>
    <w:rsid w:val="007E5FC5"/>
    <w:rsid w:val="007E625E"/>
    <w:rsid w:val="007E63E8"/>
    <w:rsid w:val="007E665C"/>
    <w:rsid w:val="007E67BC"/>
    <w:rsid w:val="007E69DD"/>
    <w:rsid w:val="007E6A4F"/>
    <w:rsid w:val="007E6ADC"/>
    <w:rsid w:val="007E6EB9"/>
    <w:rsid w:val="007E6F01"/>
    <w:rsid w:val="007E6F7C"/>
    <w:rsid w:val="007E74A9"/>
    <w:rsid w:val="007E755A"/>
    <w:rsid w:val="007E75FA"/>
    <w:rsid w:val="007E764A"/>
    <w:rsid w:val="007E78CE"/>
    <w:rsid w:val="007E7B78"/>
    <w:rsid w:val="007E7C1E"/>
    <w:rsid w:val="007E7FAF"/>
    <w:rsid w:val="007F00E5"/>
    <w:rsid w:val="007F017A"/>
    <w:rsid w:val="007F025D"/>
    <w:rsid w:val="007F02E6"/>
    <w:rsid w:val="007F080F"/>
    <w:rsid w:val="007F08A9"/>
    <w:rsid w:val="007F0907"/>
    <w:rsid w:val="007F0A2B"/>
    <w:rsid w:val="007F0C3A"/>
    <w:rsid w:val="007F0CFA"/>
    <w:rsid w:val="007F0D28"/>
    <w:rsid w:val="007F0E29"/>
    <w:rsid w:val="007F0ED9"/>
    <w:rsid w:val="007F0F35"/>
    <w:rsid w:val="007F0F8C"/>
    <w:rsid w:val="007F1108"/>
    <w:rsid w:val="007F133C"/>
    <w:rsid w:val="007F1378"/>
    <w:rsid w:val="007F139A"/>
    <w:rsid w:val="007F139B"/>
    <w:rsid w:val="007F13F8"/>
    <w:rsid w:val="007F146B"/>
    <w:rsid w:val="007F1815"/>
    <w:rsid w:val="007F18E2"/>
    <w:rsid w:val="007F1AA3"/>
    <w:rsid w:val="007F1BD7"/>
    <w:rsid w:val="007F1DB9"/>
    <w:rsid w:val="007F1E76"/>
    <w:rsid w:val="007F1FEA"/>
    <w:rsid w:val="007F2057"/>
    <w:rsid w:val="007F207A"/>
    <w:rsid w:val="007F207C"/>
    <w:rsid w:val="007F2494"/>
    <w:rsid w:val="007F2507"/>
    <w:rsid w:val="007F26E4"/>
    <w:rsid w:val="007F27FB"/>
    <w:rsid w:val="007F29B1"/>
    <w:rsid w:val="007F2BA9"/>
    <w:rsid w:val="007F2BB5"/>
    <w:rsid w:val="007F2D41"/>
    <w:rsid w:val="007F2E29"/>
    <w:rsid w:val="007F2FCB"/>
    <w:rsid w:val="007F30DD"/>
    <w:rsid w:val="007F327B"/>
    <w:rsid w:val="007F3289"/>
    <w:rsid w:val="007F3328"/>
    <w:rsid w:val="007F34C4"/>
    <w:rsid w:val="007F3515"/>
    <w:rsid w:val="007F3600"/>
    <w:rsid w:val="007F36FC"/>
    <w:rsid w:val="007F3779"/>
    <w:rsid w:val="007F3DDE"/>
    <w:rsid w:val="007F3F05"/>
    <w:rsid w:val="007F40FC"/>
    <w:rsid w:val="007F4133"/>
    <w:rsid w:val="007F4424"/>
    <w:rsid w:val="007F4615"/>
    <w:rsid w:val="007F49B2"/>
    <w:rsid w:val="007F4A46"/>
    <w:rsid w:val="007F4A4D"/>
    <w:rsid w:val="007F4C3A"/>
    <w:rsid w:val="007F4CA9"/>
    <w:rsid w:val="007F52F0"/>
    <w:rsid w:val="007F5441"/>
    <w:rsid w:val="007F549D"/>
    <w:rsid w:val="007F5561"/>
    <w:rsid w:val="007F5650"/>
    <w:rsid w:val="007F5682"/>
    <w:rsid w:val="007F5799"/>
    <w:rsid w:val="007F58BE"/>
    <w:rsid w:val="007F5AB9"/>
    <w:rsid w:val="007F5B3A"/>
    <w:rsid w:val="007F5BDD"/>
    <w:rsid w:val="007F5DE8"/>
    <w:rsid w:val="007F5ECC"/>
    <w:rsid w:val="007F5F2B"/>
    <w:rsid w:val="007F5FE5"/>
    <w:rsid w:val="007F6045"/>
    <w:rsid w:val="007F6046"/>
    <w:rsid w:val="007F6146"/>
    <w:rsid w:val="007F61D7"/>
    <w:rsid w:val="007F6551"/>
    <w:rsid w:val="007F6642"/>
    <w:rsid w:val="007F66EF"/>
    <w:rsid w:val="007F672C"/>
    <w:rsid w:val="007F6898"/>
    <w:rsid w:val="007F68BC"/>
    <w:rsid w:val="007F6BA0"/>
    <w:rsid w:val="007F6E2E"/>
    <w:rsid w:val="007F6E52"/>
    <w:rsid w:val="007F6E71"/>
    <w:rsid w:val="007F708B"/>
    <w:rsid w:val="007F7172"/>
    <w:rsid w:val="007F7321"/>
    <w:rsid w:val="007F7369"/>
    <w:rsid w:val="007F74F4"/>
    <w:rsid w:val="007F75D1"/>
    <w:rsid w:val="007F79C7"/>
    <w:rsid w:val="007F7E89"/>
    <w:rsid w:val="007F7F0A"/>
    <w:rsid w:val="00800364"/>
    <w:rsid w:val="0080063C"/>
    <w:rsid w:val="00800698"/>
    <w:rsid w:val="008006DB"/>
    <w:rsid w:val="008006EB"/>
    <w:rsid w:val="008007B9"/>
    <w:rsid w:val="00800AD6"/>
    <w:rsid w:val="00800CD9"/>
    <w:rsid w:val="00800D8E"/>
    <w:rsid w:val="00800D98"/>
    <w:rsid w:val="00800E89"/>
    <w:rsid w:val="00800EBE"/>
    <w:rsid w:val="00800F31"/>
    <w:rsid w:val="00800F3B"/>
    <w:rsid w:val="00800F43"/>
    <w:rsid w:val="008010BE"/>
    <w:rsid w:val="008010D0"/>
    <w:rsid w:val="008011DA"/>
    <w:rsid w:val="00801212"/>
    <w:rsid w:val="008017DD"/>
    <w:rsid w:val="008017FA"/>
    <w:rsid w:val="00801947"/>
    <w:rsid w:val="00801CBD"/>
    <w:rsid w:val="0080213F"/>
    <w:rsid w:val="0080266B"/>
    <w:rsid w:val="00802698"/>
    <w:rsid w:val="00802771"/>
    <w:rsid w:val="008027E2"/>
    <w:rsid w:val="008028D6"/>
    <w:rsid w:val="008029DC"/>
    <w:rsid w:val="00802DB6"/>
    <w:rsid w:val="00802E1D"/>
    <w:rsid w:val="00802E75"/>
    <w:rsid w:val="0080310A"/>
    <w:rsid w:val="00803393"/>
    <w:rsid w:val="008033A6"/>
    <w:rsid w:val="008034AB"/>
    <w:rsid w:val="008035D9"/>
    <w:rsid w:val="008035ED"/>
    <w:rsid w:val="00803718"/>
    <w:rsid w:val="0080374B"/>
    <w:rsid w:val="0080383E"/>
    <w:rsid w:val="00803858"/>
    <w:rsid w:val="00803969"/>
    <w:rsid w:val="008039B3"/>
    <w:rsid w:val="008039F1"/>
    <w:rsid w:val="00803B4C"/>
    <w:rsid w:val="00803CA9"/>
    <w:rsid w:val="00803EA3"/>
    <w:rsid w:val="0080406A"/>
    <w:rsid w:val="008042DA"/>
    <w:rsid w:val="00804469"/>
    <w:rsid w:val="008045A1"/>
    <w:rsid w:val="00804772"/>
    <w:rsid w:val="008048F4"/>
    <w:rsid w:val="00804935"/>
    <w:rsid w:val="0080498D"/>
    <w:rsid w:val="00804A18"/>
    <w:rsid w:val="00804A84"/>
    <w:rsid w:val="00804AAF"/>
    <w:rsid w:val="00804D21"/>
    <w:rsid w:val="00804D7B"/>
    <w:rsid w:val="00804E03"/>
    <w:rsid w:val="00805175"/>
    <w:rsid w:val="0080554B"/>
    <w:rsid w:val="0080562E"/>
    <w:rsid w:val="00805640"/>
    <w:rsid w:val="0080566A"/>
    <w:rsid w:val="00805732"/>
    <w:rsid w:val="00805735"/>
    <w:rsid w:val="0080573A"/>
    <w:rsid w:val="00805786"/>
    <w:rsid w:val="0080587C"/>
    <w:rsid w:val="008059AE"/>
    <w:rsid w:val="00805A8A"/>
    <w:rsid w:val="00805B68"/>
    <w:rsid w:val="00805BB0"/>
    <w:rsid w:val="00805D97"/>
    <w:rsid w:val="0080602B"/>
    <w:rsid w:val="0080609F"/>
    <w:rsid w:val="008061E0"/>
    <w:rsid w:val="0080624D"/>
    <w:rsid w:val="00806591"/>
    <w:rsid w:val="008066D1"/>
    <w:rsid w:val="0080690A"/>
    <w:rsid w:val="00806A1A"/>
    <w:rsid w:val="00806B96"/>
    <w:rsid w:val="00806CA2"/>
    <w:rsid w:val="008070D1"/>
    <w:rsid w:val="00807103"/>
    <w:rsid w:val="00807161"/>
    <w:rsid w:val="00807214"/>
    <w:rsid w:val="00807335"/>
    <w:rsid w:val="008076A8"/>
    <w:rsid w:val="00807738"/>
    <w:rsid w:val="00807953"/>
    <w:rsid w:val="008079BA"/>
    <w:rsid w:val="00807B2E"/>
    <w:rsid w:val="00807C1E"/>
    <w:rsid w:val="00807F7A"/>
    <w:rsid w:val="00807FB1"/>
    <w:rsid w:val="008100B2"/>
    <w:rsid w:val="00810546"/>
    <w:rsid w:val="00810809"/>
    <w:rsid w:val="00810A2A"/>
    <w:rsid w:val="00810DAB"/>
    <w:rsid w:val="00810E6A"/>
    <w:rsid w:val="00810F03"/>
    <w:rsid w:val="00811242"/>
    <w:rsid w:val="008113FB"/>
    <w:rsid w:val="008114DC"/>
    <w:rsid w:val="008114F7"/>
    <w:rsid w:val="0081150F"/>
    <w:rsid w:val="008117CA"/>
    <w:rsid w:val="008119D4"/>
    <w:rsid w:val="00811C32"/>
    <w:rsid w:val="00811D86"/>
    <w:rsid w:val="00811F4D"/>
    <w:rsid w:val="00811F9E"/>
    <w:rsid w:val="0081229F"/>
    <w:rsid w:val="00812610"/>
    <w:rsid w:val="00812964"/>
    <w:rsid w:val="0081297F"/>
    <w:rsid w:val="00812A62"/>
    <w:rsid w:val="00812AE6"/>
    <w:rsid w:val="00812C0E"/>
    <w:rsid w:val="008131CF"/>
    <w:rsid w:val="00813230"/>
    <w:rsid w:val="008132E2"/>
    <w:rsid w:val="00813371"/>
    <w:rsid w:val="00813436"/>
    <w:rsid w:val="00813472"/>
    <w:rsid w:val="00813481"/>
    <w:rsid w:val="00813607"/>
    <w:rsid w:val="0081393B"/>
    <w:rsid w:val="00813A4D"/>
    <w:rsid w:val="00813B4E"/>
    <w:rsid w:val="00813C97"/>
    <w:rsid w:val="00813DB2"/>
    <w:rsid w:val="00813ECD"/>
    <w:rsid w:val="0081461C"/>
    <w:rsid w:val="008146E5"/>
    <w:rsid w:val="008148BE"/>
    <w:rsid w:val="00814A4F"/>
    <w:rsid w:val="00814AB2"/>
    <w:rsid w:val="00814B02"/>
    <w:rsid w:val="00814B2E"/>
    <w:rsid w:val="00814B3B"/>
    <w:rsid w:val="00814EDF"/>
    <w:rsid w:val="00814F18"/>
    <w:rsid w:val="00815052"/>
    <w:rsid w:val="008151C8"/>
    <w:rsid w:val="008152BD"/>
    <w:rsid w:val="0081536A"/>
    <w:rsid w:val="00815410"/>
    <w:rsid w:val="008156C0"/>
    <w:rsid w:val="00815BB3"/>
    <w:rsid w:val="00815C1A"/>
    <w:rsid w:val="00815E88"/>
    <w:rsid w:val="00815EB5"/>
    <w:rsid w:val="00815FDA"/>
    <w:rsid w:val="00816071"/>
    <w:rsid w:val="008161BF"/>
    <w:rsid w:val="00816263"/>
    <w:rsid w:val="008166CE"/>
    <w:rsid w:val="00816B1D"/>
    <w:rsid w:val="00816FDE"/>
    <w:rsid w:val="00817101"/>
    <w:rsid w:val="0081715B"/>
    <w:rsid w:val="00817475"/>
    <w:rsid w:val="008175FF"/>
    <w:rsid w:val="00817630"/>
    <w:rsid w:val="008177A6"/>
    <w:rsid w:val="00817850"/>
    <w:rsid w:val="008179DB"/>
    <w:rsid w:val="00817ADA"/>
    <w:rsid w:val="00817BD7"/>
    <w:rsid w:val="00817C02"/>
    <w:rsid w:val="00817C0D"/>
    <w:rsid w:val="00817FDA"/>
    <w:rsid w:val="00820122"/>
    <w:rsid w:val="0082037D"/>
    <w:rsid w:val="008203E5"/>
    <w:rsid w:val="0082044C"/>
    <w:rsid w:val="00820564"/>
    <w:rsid w:val="00820588"/>
    <w:rsid w:val="0082063D"/>
    <w:rsid w:val="0082066A"/>
    <w:rsid w:val="008206E5"/>
    <w:rsid w:val="008207B7"/>
    <w:rsid w:val="008208C0"/>
    <w:rsid w:val="00820AB9"/>
    <w:rsid w:val="00820AD7"/>
    <w:rsid w:val="00820C91"/>
    <w:rsid w:val="00820CDD"/>
    <w:rsid w:val="00820E06"/>
    <w:rsid w:val="00821424"/>
    <w:rsid w:val="00821659"/>
    <w:rsid w:val="0082180E"/>
    <w:rsid w:val="00821880"/>
    <w:rsid w:val="00821AC5"/>
    <w:rsid w:val="00821F1D"/>
    <w:rsid w:val="0082225F"/>
    <w:rsid w:val="0082228D"/>
    <w:rsid w:val="008222EC"/>
    <w:rsid w:val="008225D5"/>
    <w:rsid w:val="0082260E"/>
    <w:rsid w:val="00822959"/>
    <w:rsid w:val="008229B5"/>
    <w:rsid w:val="008229BA"/>
    <w:rsid w:val="00822E7E"/>
    <w:rsid w:val="00822EA3"/>
    <w:rsid w:val="0082339E"/>
    <w:rsid w:val="00823456"/>
    <w:rsid w:val="00823C51"/>
    <w:rsid w:val="00823E28"/>
    <w:rsid w:val="00823F62"/>
    <w:rsid w:val="00824148"/>
    <w:rsid w:val="0082416D"/>
    <w:rsid w:val="00824196"/>
    <w:rsid w:val="008241A3"/>
    <w:rsid w:val="00824273"/>
    <w:rsid w:val="00824275"/>
    <w:rsid w:val="008247AB"/>
    <w:rsid w:val="00824824"/>
    <w:rsid w:val="00824CFE"/>
    <w:rsid w:val="00824E20"/>
    <w:rsid w:val="00824F6C"/>
    <w:rsid w:val="0082503A"/>
    <w:rsid w:val="008251A1"/>
    <w:rsid w:val="008253BE"/>
    <w:rsid w:val="008253E0"/>
    <w:rsid w:val="0082542F"/>
    <w:rsid w:val="00825437"/>
    <w:rsid w:val="00825457"/>
    <w:rsid w:val="008254A4"/>
    <w:rsid w:val="00825803"/>
    <w:rsid w:val="00825939"/>
    <w:rsid w:val="0082595D"/>
    <w:rsid w:val="00825C2E"/>
    <w:rsid w:val="00825D1A"/>
    <w:rsid w:val="00825D87"/>
    <w:rsid w:val="00825FE5"/>
    <w:rsid w:val="00825FE9"/>
    <w:rsid w:val="0082601C"/>
    <w:rsid w:val="0082608D"/>
    <w:rsid w:val="0082631E"/>
    <w:rsid w:val="00826394"/>
    <w:rsid w:val="008263BB"/>
    <w:rsid w:val="00826452"/>
    <w:rsid w:val="00826672"/>
    <w:rsid w:val="0082676B"/>
    <w:rsid w:val="008267C6"/>
    <w:rsid w:val="00826820"/>
    <w:rsid w:val="008268A4"/>
    <w:rsid w:val="00826A31"/>
    <w:rsid w:val="00826D00"/>
    <w:rsid w:val="00826D0E"/>
    <w:rsid w:val="00826D25"/>
    <w:rsid w:val="00826D36"/>
    <w:rsid w:val="008271AB"/>
    <w:rsid w:val="00827254"/>
    <w:rsid w:val="008273B5"/>
    <w:rsid w:val="008273C6"/>
    <w:rsid w:val="008278F1"/>
    <w:rsid w:val="00827952"/>
    <w:rsid w:val="00827A4D"/>
    <w:rsid w:val="00827F92"/>
    <w:rsid w:val="0083038F"/>
    <w:rsid w:val="008304F0"/>
    <w:rsid w:val="008305B6"/>
    <w:rsid w:val="00830726"/>
    <w:rsid w:val="00830732"/>
    <w:rsid w:val="0083077E"/>
    <w:rsid w:val="0083099F"/>
    <w:rsid w:val="008309D0"/>
    <w:rsid w:val="00830A43"/>
    <w:rsid w:val="00830AC6"/>
    <w:rsid w:val="00830BA3"/>
    <w:rsid w:val="00830CF6"/>
    <w:rsid w:val="00830E35"/>
    <w:rsid w:val="00831115"/>
    <w:rsid w:val="0083131E"/>
    <w:rsid w:val="00831468"/>
    <w:rsid w:val="008317F4"/>
    <w:rsid w:val="008317FF"/>
    <w:rsid w:val="00831B71"/>
    <w:rsid w:val="00831E39"/>
    <w:rsid w:val="00831E3A"/>
    <w:rsid w:val="00831ED2"/>
    <w:rsid w:val="00832279"/>
    <w:rsid w:val="00832298"/>
    <w:rsid w:val="008323F1"/>
    <w:rsid w:val="0083287F"/>
    <w:rsid w:val="00832A08"/>
    <w:rsid w:val="00832AC7"/>
    <w:rsid w:val="00832C39"/>
    <w:rsid w:val="00832D7F"/>
    <w:rsid w:val="00832D8E"/>
    <w:rsid w:val="00832E06"/>
    <w:rsid w:val="008330F7"/>
    <w:rsid w:val="00833402"/>
    <w:rsid w:val="00833414"/>
    <w:rsid w:val="0083348A"/>
    <w:rsid w:val="00833745"/>
    <w:rsid w:val="0083390D"/>
    <w:rsid w:val="0083395A"/>
    <w:rsid w:val="00833C7D"/>
    <w:rsid w:val="00833C8B"/>
    <w:rsid w:val="00833FC4"/>
    <w:rsid w:val="00834191"/>
    <w:rsid w:val="00834447"/>
    <w:rsid w:val="00834600"/>
    <w:rsid w:val="00834A51"/>
    <w:rsid w:val="00834F3E"/>
    <w:rsid w:val="00834F68"/>
    <w:rsid w:val="00835146"/>
    <w:rsid w:val="008351CD"/>
    <w:rsid w:val="00835583"/>
    <w:rsid w:val="008358B4"/>
    <w:rsid w:val="008359AF"/>
    <w:rsid w:val="00835A70"/>
    <w:rsid w:val="00835A85"/>
    <w:rsid w:val="00835CCC"/>
    <w:rsid w:val="00835D07"/>
    <w:rsid w:val="00835E6F"/>
    <w:rsid w:val="00835EB6"/>
    <w:rsid w:val="00835EC0"/>
    <w:rsid w:val="00836207"/>
    <w:rsid w:val="00836284"/>
    <w:rsid w:val="00836463"/>
    <w:rsid w:val="00836634"/>
    <w:rsid w:val="008366AB"/>
    <w:rsid w:val="00836745"/>
    <w:rsid w:val="00836751"/>
    <w:rsid w:val="00836886"/>
    <w:rsid w:val="008368D1"/>
    <w:rsid w:val="00836A0C"/>
    <w:rsid w:val="00836BE4"/>
    <w:rsid w:val="00836E1A"/>
    <w:rsid w:val="0083733A"/>
    <w:rsid w:val="0083735D"/>
    <w:rsid w:val="008373BB"/>
    <w:rsid w:val="008375DB"/>
    <w:rsid w:val="008376BD"/>
    <w:rsid w:val="008379C2"/>
    <w:rsid w:val="00837BD7"/>
    <w:rsid w:val="00837C0B"/>
    <w:rsid w:val="00837E56"/>
    <w:rsid w:val="00837FBA"/>
    <w:rsid w:val="00840149"/>
    <w:rsid w:val="0084022D"/>
    <w:rsid w:val="008402FD"/>
    <w:rsid w:val="0084043B"/>
    <w:rsid w:val="0084064E"/>
    <w:rsid w:val="00840672"/>
    <w:rsid w:val="00840716"/>
    <w:rsid w:val="00840855"/>
    <w:rsid w:val="00840A09"/>
    <w:rsid w:val="00840CE8"/>
    <w:rsid w:val="0084113D"/>
    <w:rsid w:val="0084138D"/>
    <w:rsid w:val="0084152F"/>
    <w:rsid w:val="00841545"/>
    <w:rsid w:val="00841672"/>
    <w:rsid w:val="008416DD"/>
    <w:rsid w:val="00841736"/>
    <w:rsid w:val="008417EF"/>
    <w:rsid w:val="00841926"/>
    <w:rsid w:val="00841929"/>
    <w:rsid w:val="00841B1A"/>
    <w:rsid w:val="00841B98"/>
    <w:rsid w:val="00841C5D"/>
    <w:rsid w:val="00841E21"/>
    <w:rsid w:val="00841E84"/>
    <w:rsid w:val="00841EE9"/>
    <w:rsid w:val="00842046"/>
    <w:rsid w:val="00842201"/>
    <w:rsid w:val="0084227E"/>
    <w:rsid w:val="0084229B"/>
    <w:rsid w:val="0084233B"/>
    <w:rsid w:val="008425B3"/>
    <w:rsid w:val="008426D3"/>
    <w:rsid w:val="00842ADD"/>
    <w:rsid w:val="00842C6C"/>
    <w:rsid w:val="00842D1F"/>
    <w:rsid w:val="00842D3B"/>
    <w:rsid w:val="00842D7F"/>
    <w:rsid w:val="00842F20"/>
    <w:rsid w:val="008436B3"/>
    <w:rsid w:val="008436E6"/>
    <w:rsid w:val="0084376A"/>
    <w:rsid w:val="00843AA0"/>
    <w:rsid w:val="00843B68"/>
    <w:rsid w:val="00843D9B"/>
    <w:rsid w:val="00843E81"/>
    <w:rsid w:val="008440E0"/>
    <w:rsid w:val="00844193"/>
    <w:rsid w:val="00844521"/>
    <w:rsid w:val="00844697"/>
    <w:rsid w:val="00844768"/>
    <w:rsid w:val="008447BC"/>
    <w:rsid w:val="00844AB1"/>
    <w:rsid w:val="00844C4F"/>
    <w:rsid w:val="00844D24"/>
    <w:rsid w:val="00844FD0"/>
    <w:rsid w:val="00844FF0"/>
    <w:rsid w:val="00845143"/>
    <w:rsid w:val="00845228"/>
    <w:rsid w:val="00845257"/>
    <w:rsid w:val="00845416"/>
    <w:rsid w:val="00845633"/>
    <w:rsid w:val="00845919"/>
    <w:rsid w:val="00845942"/>
    <w:rsid w:val="00845D50"/>
    <w:rsid w:val="00845DF6"/>
    <w:rsid w:val="00845E4C"/>
    <w:rsid w:val="00845F4E"/>
    <w:rsid w:val="00846011"/>
    <w:rsid w:val="00846567"/>
    <w:rsid w:val="0084662B"/>
    <w:rsid w:val="00846639"/>
    <w:rsid w:val="0084682E"/>
    <w:rsid w:val="00846D3B"/>
    <w:rsid w:val="00846D49"/>
    <w:rsid w:val="00846E22"/>
    <w:rsid w:val="00846E85"/>
    <w:rsid w:val="00847174"/>
    <w:rsid w:val="008471C3"/>
    <w:rsid w:val="00847229"/>
    <w:rsid w:val="00847281"/>
    <w:rsid w:val="008474BC"/>
    <w:rsid w:val="0084775C"/>
    <w:rsid w:val="00847B43"/>
    <w:rsid w:val="00847BB7"/>
    <w:rsid w:val="00847C0F"/>
    <w:rsid w:val="00847DC9"/>
    <w:rsid w:val="00847E38"/>
    <w:rsid w:val="00847E3E"/>
    <w:rsid w:val="00847F67"/>
    <w:rsid w:val="00850197"/>
    <w:rsid w:val="00850285"/>
    <w:rsid w:val="008503DD"/>
    <w:rsid w:val="0085041F"/>
    <w:rsid w:val="00850572"/>
    <w:rsid w:val="008506E5"/>
    <w:rsid w:val="008508A7"/>
    <w:rsid w:val="00850A21"/>
    <w:rsid w:val="00850CB9"/>
    <w:rsid w:val="00850D14"/>
    <w:rsid w:val="00850DB1"/>
    <w:rsid w:val="00850FB2"/>
    <w:rsid w:val="008512F6"/>
    <w:rsid w:val="0085133B"/>
    <w:rsid w:val="00851404"/>
    <w:rsid w:val="008515A0"/>
    <w:rsid w:val="0085171C"/>
    <w:rsid w:val="00851779"/>
    <w:rsid w:val="008518A4"/>
    <w:rsid w:val="008518CE"/>
    <w:rsid w:val="00851951"/>
    <w:rsid w:val="00851970"/>
    <w:rsid w:val="00851977"/>
    <w:rsid w:val="0085197F"/>
    <w:rsid w:val="00851980"/>
    <w:rsid w:val="00851E0E"/>
    <w:rsid w:val="00851F03"/>
    <w:rsid w:val="008520ED"/>
    <w:rsid w:val="00852109"/>
    <w:rsid w:val="008522A7"/>
    <w:rsid w:val="00852336"/>
    <w:rsid w:val="00852434"/>
    <w:rsid w:val="0085244D"/>
    <w:rsid w:val="0085249B"/>
    <w:rsid w:val="00852648"/>
    <w:rsid w:val="00852768"/>
    <w:rsid w:val="008528D1"/>
    <w:rsid w:val="008528E5"/>
    <w:rsid w:val="008531CF"/>
    <w:rsid w:val="0085327A"/>
    <w:rsid w:val="008534CF"/>
    <w:rsid w:val="00853627"/>
    <w:rsid w:val="0085364D"/>
    <w:rsid w:val="00853714"/>
    <w:rsid w:val="00853778"/>
    <w:rsid w:val="008537A8"/>
    <w:rsid w:val="00853973"/>
    <w:rsid w:val="008539EC"/>
    <w:rsid w:val="00853A64"/>
    <w:rsid w:val="00853AA4"/>
    <w:rsid w:val="00853AE4"/>
    <w:rsid w:val="00853C3F"/>
    <w:rsid w:val="00853D4F"/>
    <w:rsid w:val="00853EB5"/>
    <w:rsid w:val="008540CE"/>
    <w:rsid w:val="00854198"/>
    <w:rsid w:val="008541A1"/>
    <w:rsid w:val="008542D4"/>
    <w:rsid w:val="00854361"/>
    <w:rsid w:val="00854376"/>
    <w:rsid w:val="00854830"/>
    <w:rsid w:val="008548BA"/>
    <w:rsid w:val="008548D9"/>
    <w:rsid w:val="00854C26"/>
    <w:rsid w:val="00854CD5"/>
    <w:rsid w:val="00854E8C"/>
    <w:rsid w:val="0085510D"/>
    <w:rsid w:val="0085514F"/>
    <w:rsid w:val="0085543C"/>
    <w:rsid w:val="008555F4"/>
    <w:rsid w:val="00855824"/>
    <w:rsid w:val="00855A47"/>
    <w:rsid w:val="00855AFF"/>
    <w:rsid w:val="00855B2B"/>
    <w:rsid w:val="00855D27"/>
    <w:rsid w:val="00855F65"/>
    <w:rsid w:val="0085632A"/>
    <w:rsid w:val="008563CA"/>
    <w:rsid w:val="0085663A"/>
    <w:rsid w:val="008566D3"/>
    <w:rsid w:val="00856741"/>
    <w:rsid w:val="008568D6"/>
    <w:rsid w:val="00856937"/>
    <w:rsid w:val="00856A1F"/>
    <w:rsid w:val="00856A79"/>
    <w:rsid w:val="00856B9E"/>
    <w:rsid w:val="00856E02"/>
    <w:rsid w:val="00857094"/>
    <w:rsid w:val="008570B8"/>
    <w:rsid w:val="00857173"/>
    <w:rsid w:val="008571FF"/>
    <w:rsid w:val="008572DB"/>
    <w:rsid w:val="00857339"/>
    <w:rsid w:val="00857371"/>
    <w:rsid w:val="00857509"/>
    <w:rsid w:val="00857792"/>
    <w:rsid w:val="00857965"/>
    <w:rsid w:val="008579BE"/>
    <w:rsid w:val="00857A70"/>
    <w:rsid w:val="00857CFC"/>
    <w:rsid w:val="00857E18"/>
    <w:rsid w:val="00857E28"/>
    <w:rsid w:val="008600D9"/>
    <w:rsid w:val="008604E2"/>
    <w:rsid w:val="008605D2"/>
    <w:rsid w:val="008606A8"/>
    <w:rsid w:val="008609C4"/>
    <w:rsid w:val="008609CC"/>
    <w:rsid w:val="00860A9F"/>
    <w:rsid w:val="00860BC5"/>
    <w:rsid w:val="0086107D"/>
    <w:rsid w:val="008610C8"/>
    <w:rsid w:val="0086111D"/>
    <w:rsid w:val="00861197"/>
    <w:rsid w:val="0086125F"/>
    <w:rsid w:val="0086139E"/>
    <w:rsid w:val="0086178C"/>
    <w:rsid w:val="00861964"/>
    <w:rsid w:val="00861A23"/>
    <w:rsid w:val="00861B9E"/>
    <w:rsid w:val="00861BB6"/>
    <w:rsid w:val="0086212F"/>
    <w:rsid w:val="008622A5"/>
    <w:rsid w:val="008622F9"/>
    <w:rsid w:val="00862367"/>
    <w:rsid w:val="008623B7"/>
    <w:rsid w:val="00862466"/>
    <w:rsid w:val="00862478"/>
    <w:rsid w:val="0086249F"/>
    <w:rsid w:val="00862979"/>
    <w:rsid w:val="00862AD1"/>
    <w:rsid w:val="00862D4C"/>
    <w:rsid w:val="00862ED1"/>
    <w:rsid w:val="00862F61"/>
    <w:rsid w:val="008630C2"/>
    <w:rsid w:val="008633DA"/>
    <w:rsid w:val="008633EA"/>
    <w:rsid w:val="008635FD"/>
    <w:rsid w:val="008636D3"/>
    <w:rsid w:val="00863902"/>
    <w:rsid w:val="00863965"/>
    <w:rsid w:val="00863BE9"/>
    <w:rsid w:val="00863C1A"/>
    <w:rsid w:val="00864031"/>
    <w:rsid w:val="0086407E"/>
    <w:rsid w:val="008643E7"/>
    <w:rsid w:val="008645C6"/>
    <w:rsid w:val="008645E6"/>
    <w:rsid w:val="00864668"/>
    <w:rsid w:val="00864DED"/>
    <w:rsid w:val="00864E30"/>
    <w:rsid w:val="00864F2F"/>
    <w:rsid w:val="00865526"/>
    <w:rsid w:val="0086556C"/>
    <w:rsid w:val="008658D3"/>
    <w:rsid w:val="00865943"/>
    <w:rsid w:val="00865B9B"/>
    <w:rsid w:val="00865C64"/>
    <w:rsid w:val="00865D97"/>
    <w:rsid w:val="00865EF5"/>
    <w:rsid w:val="00866158"/>
    <w:rsid w:val="0086617E"/>
    <w:rsid w:val="0086665B"/>
    <w:rsid w:val="00866795"/>
    <w:rsid w:val="008668B0"/>
    <w:rsid w:val="008668B7"/>
    <w:rsid w:val="00866B30"/>
    <w:rsid w:val="00866B7D"/>
    <w:rsid w:val="00866F4E"/>
    <w:rsid w:val="00866FF4"/>
    <w:rsid w:val="008670D7"/>
    <w:rsid w:val="0086724C"/>
    <w:rsid w:val="008676D5"/>
    <w:rsid w:val="0086775F"/>
    <w:rsid w:val="00867863"/>
    <w:rsid w:val="008679A8"/>
    <w:rsid w:val="00867D1E"/>
    <w:rsid w:val="00867EE7"/>
    <w:rsid w:val="008701EF"/>
    <w:rsid w:val="008702A9"/>
    <w:rsid w:val="0087031D"/>
    <w:rsid w:val="00870AD0"/>
    <w:rsid w:val="00870B00"/>
    <w:rsid w:val="00870B90"/>
    <w:rsid w:val="00870ECF"/>
    <w:rsid w:val="00870FB8"/>
    <w:rsid w:val="00871074"/>
    <w:rsid w:val="00871081"/>
    <w:rsid w:val="00871251"/>
    <w:rsid w:val="00871261"/>
    <w:rsid w:val="00871267"/>
    <w:rsid w:val="00871742"/>
    <w:rsid w:val="00871768"/>
    <w:rsid w:val="00871C70"/>
    <w:rsid w:val="00871C83"/>
    <w:rsid w:val="00871D66"/>
    <w:rsid w:val="00871DB0"/>
    <w:rsid w:val="00871F0D"/>
    <w:rsid w:val="00871F61"/>
    <w:rsid w:val="00871F72"/>
    <w:rsid w:val="00871FB6"/>
    <w:rsid w:val="0087207E"/>
    <w:rsid w:val="008722DA"/>
    <w:rsid w:val="0087234B"/>
    <w:rsid w:val="0087243B"/>
    <w:rsid w:val="008726CD"/>
    <w:rsid w:val="0087283D"/>
    <w:rsid w:val="00872A69"/>
    <w:rsid w:val="00872CED"/>
    <w:rsid w:val="00872DDC"/>
    <w:rsid w:val="00872DE9"/>
    <w:rsid w:val="00872F0B"/>
    <w:rsid w:val="0087302B"/>
    <w:rsid w:val="00873044"/>
    <w:rsid w:val="00873896"/>
    <w:rsid w:val="0087395A"/>
    <w:rsid w:val="00873A91"/>
    <w:rsid w:val="00873CBB"/>
    <w:rsid w:val="00873FA7"/>
    <w:rsid w:val="008741CE"/>
    <w:rsid w:val="00874224"/>
    <w:rsid w:val="008743CD"/>
    <w:rsid w:val="00874526"/>
    <w:rsid w:val="0087471E"/>
    <w:rsid w:val="00874B77"/>
    <w:rsid w:val="00874C8E"/>
    <w:rsid w:val="00874E01"/>
    <w:rsid w:val="00874FC3"/>
    <w:rsid w:val="00875078"/>
    <w:rsid w:val="008750B9"/>
    <w:rsid w:val="008750BB"/>
    <w:rsid w:val="00875292"/>
    <w:rsid w:val="008752A3"/>
    <w:rsid w:val="00875361"/>
    <w:rsid w:val="008753CA"/>
    <w:rsid w:val="00875E4C"/>
    <w:rsid w:val="00875EA4"/>
    <w:rsid w:val="00876539"/>
    <w:rsid w:val="00876634"/>
    <w:rsid w:val="00876678"/>
    <w:rsid w:val="0087671C"/>
    <w:rsid w:val="00876C17"/>
    <w:rsid w:val="00876D2C"/>
    <w:rsid w:val="00876E32"/>
    <w:rsid w:val="00876F0E"/>
    <w:rsid w:val="00877BC1"/>
    <w:rsid w:val="00877F7C"/>
    <w:rsid w:val="00880184"/>
    <w:rsid w:val="00880268"/>
    <w:rsid w:val="008802A8"/>
    <w:rsid w:val="008803A4"/>
    <w:rsid w:val="008803BF"/>
    <w:rsid w:val="00880597"/>
    <w:rsid w:val="0088078E"/>
    <w:rsid w:val="00880837"/>
    <w:rsid w:val="0088095E"/>
    <w:rsid w:val="00880966"/>
    <w:rsid w:val="00880D76"/>
    <w:rsid w:val="00880D7B"/>
    <w:rsid w:val="00880E4B"/>
    <w:rsid w:val="00880EB8"/>
    <w:rsid w:val="00880FA0"/>
    <w:rsid w:val="00880FE4"/>
    <w:rsid w:val="0088114D"/>
    <w:rsid w:val="00881196"/>
    <w:rsid w:val="00881293"/>
    <w:rsid w:val="00881423"/>
    <w:rsid w:val="00881583"/>
    <w:rsid w:val="00881760"/>
    <w:rsid w:val="00881B30"/>
    <w:rsid w:val="00881F37"/>
    <w:rsid w:val="00881F54"/>
    <w:rsid w:val="008822A2"/>
    <w:rsid w:val="008828EC"/>
    <w:rsid w:val="00882BAF"/>
    <w:rsid w:val="00882DA1"/>
    <w:rsid w:val="00882FEE"/>
    <w:rsid w:val="0088378A"/>
    <w:rsid w:val="008837B1"/>
    <w:rsid w:val="0088390B"/>
    <w:rsid w:val="008841BE"/>
    <w:rsid w:val="00884216"/>
    <w:rsid w:val="0088449B"/>
    <w:rsid w:val="008844D4"/>
    <w:rsid w:val="008844EC"/>
    <w:rsid w:val="0088472B"/>
    <w:rsid w:val="00884A10"/>
    <w:rsid w:val="00884B63"/>
    <w:rsid w:val="00884DBA"/>
    <w:rsid w:val="00884DCD"/>
    <w:rsid w:val="00884E94"/>
    <w:rsid w:val="008850D3"/>
    <w:rsid w:val="00885311"/>
    <w:rsid w:val="0088544A"/>
    <w:rsid w:val="008855FD"/>
    <w:rsid w:val="00885C41"/>
    <w:rsid w:val="00885C8C"/>
    <w:rsid w:val="00885CAE"/>
    <w:rsid w:val="00885D68"/>
    <w:rsid w:val="00885EB0"/>
    <w:rsid w:val="0088600F"/>
    <w:rsid w:val="00886067"/>
    <w:rsid w:val="008860E1"/>
    <w:rsid w:val="0088610E"/>
    <w:rsid w:val="008862DC"/>
    <w:rsid w:val="0088644C"/>
    <w:rsid w:val="00886644"/>
    <w:rsid w:val="008868A5"/>
    <w:rsid w:val="00886957"/>
    <w:rsid w:val="00886C6B"/>
    <w:rsid w:val="00886CF3"/>
    <w:rsid w:val="00887170"/>
    <w:rsid w:val="008871E8"/>
    <w:rsid w:val="008871F4"/>
    <w:rsid w:val="00887270"/>
    <w:rsid w:val="00887578"/>
    <w:rsid w:val="0088765C"/>
    <w:rsid w:val="00887847"/>
    <w:rsid w:val="008879ED"/>
    <w:rsid w:val="00887ADE"/>
    <w:rsid w:val="00887BD8"/>
    <w:rsid w:val="00887DA6"/>
    <w:rsid w:val="00890113"/>
    <w:rsid w:val="00890226"/>
    <w:rsid w:val="00890448"/>
    <w:rsid w:val="0089045D"/>
    <w:rsid w:val="00890595"/>
    <w:rsid w:val="008905E8"/>
    <w:rsid w:val="00890BA8"/>
    <w:rsid w:val="00890C0D"/>
    <w:rsid w:val="00890F38"/>
    <w:rsid w:val="00891086"/>
    <w:rsid w:val="008910CA"/>
    <w:rsid w:val="008910E5"/>
    <w:rsid w:val="008911E8"/>
    <w:rsid w:val="008913CF"/>
    <w:rsid w:val="00891A6D"/>
    <w:rsid w:val="00891B10"/>
    <w:rsid w:val="00891BAF"/>
    <w:rsid w:val="00891C03"/>
    <w:rsid w:val="00891FA0"/>
    <w:rsid w:val="008921A8"/>
    <w:rsid w:val="008921D1"/>
    <w:rsid w:val="0089222D"/>
    <w:rsid w:val="00892375"/>
    <w:rsid w:val="008923F9"/>
    <w:rsid w:val="008925AC"/>
    <w:rsid w:val="0089271B"/>
    <w:rsid w:val="00892C07"/>
    <w:rsid w:val="00892D9D"/>
    <w:rsid w:val="00892FCD"/>
    <w:rsid w:val="00893042"/>
    <w:rsid w:val="008931E0"/>
    <w:rsid w:val="00893253"/>
    <w:rsid w:val="00893488"/>
    <w:rsid w:val="008934AB"/>
    <w:rsid w:val="008935C6"/>
    <w:rsid w:val="008935EC"/>
    <w:rsid w:val="008936E3"/>
    <w:rsid w:val="008938A2"/>
    <w:rsid w:val="00893B81"/>
    <w:rsid w:val="00893B84"/>
    <w:rsid w:val="00893C1A"/>
    <w:rsid w:val="00894017"/>
    <w:rsid w:val="00894099"/>
    <w:rsid w:val="0089429E"/>
    <w:rsid w:val="008942BD"/>
    <w:rsid w:val="008943F5"/>
    <w:rsid w:val="00894A26"/>
    <w:rsid w:val="00894ADF"/>
    <w:rsid w:val="00894BC4"/>
    <w:rsid w:val="00894C62"/>
    <w:rsid w:val="00894E58"/>
    <w:rsid w:val="00894FF4"/>
    <w:rsid w:val="008951F1"/>
    <w:rsid w:val="00895472"/>
    <w:rsid w:val="008954D3"/>
    <w:rsid w:val="008954DC"/>
    <w:rsid w:val="00895852"/>
    <w:rsid w:val="0089585C"/>
    <w:rsid w:val="00895B0A"/>
    <w:rsid w:val="00895DF3"/>
    <w:rsid w:val="00895FA6"/>
    <w:rsid w:val="0089621E"/>
    <w:rsid w:val="00896408"/>
    <w:rsid w:val="008965B7"/>
    <w:rsid w:val="0089683A"/>
    <w:rsid w:val="00896966"/>
    <w:rsid w:val="00896A39"/>
    <w:rsid w:val="00896AF5"/>
    <w:rsid w:val="00896C9F"/>
    <w:rsid w:val="00896D53"/>
    <w:rsid w:val="00896D81"/>
    <w:rsid w:val="00896E63"/>
    <w:rsid w:val="00896F6B"/>
    <w:rsid w:val="0089700E"/>
    <w:rsid w:val="00897031"/>
    <w:rsid w:val="00897177"/>
    <w:rsid w:val="008973FE"/>
    <w:rsid w:val="00897954"/>
    <w:rsid w:val="00897AB5"/>
    <w:rsid w:val="00897B72"/>
    <w:rsid w:val="00897BED"/>
    <w:rsid w:val="00897C7B"/>
    <w:rsid w:val="00897CF1"/>
    <w:rsid w:val="00897DC6"/>
    <w:rsid w:val="008A0034"/>
    <w:rsid w:val="008A012F"/>
    <w:rsid w:val="008A01CC"/>
    <w:rsid w:val="008A020E"/>
    <w:rsid w:val="008A02D6"/>
    <w:rsid w:val="008A035E"/>
    <w:rsid w:val="008A0377"/>
    <w:rsid w:val="008A03BB"/>
    <w:rsid w:val="008A0464"/>
    <w:rsid w:val="008A0605"/>
    <w:rsid w:val="008A06BC"/>
    <w:rsid w:val="008A077A"/>
    <w:rsid w:val="008A0888"/>
    <w:rsid w:val="008A08A1"/>
    <w:rsid w:val="008A099F"/>
    <w:rsid w:val="008A0AED"/>
    <w:rsid w:val="008A0FAA"/>
    <w:rsid w:val="008A1002"/>
    <w:rsid w:val="008A12E4"/>
    <w:rsid w:val="008A159F"/>
    <w:rsid w:val="008A15EC"/>
    <w:rsid w:val="008A169B"/>
    <w:rsid w:val="008A183B"/>
    <w:rsid w:val="008A1AF8"/>
    <w:rsid w:val="008A1C14"/>
    <w:rsid w:val="008A1C17"/>
    <w:rsid w:val="008A1C66"/>
    <w:rsid w:val="008A1EFA"/>
    <w:rsid w:val="008A2041"/>
    <w:rsid w:val="008A2075"/>
    <w:rsid w:val="008A2153"/>
    <w:rsid w:val="008A2395"/>
    <w:rsid w:val="008A24D5"/>
    <w:rsid w:val="008A25C4"/>
    <w:rsid w:val="008A2730"/>
    <w:rsid w:val="008A2B3A"/>
    <w:rsid w:val="008A2BEC"/>
    <w:rsid w:val="008A2E4A"/>
    <w:rsid w:val="008A2F74"/>
    <w:rsid w:val="008A301A"/>
    <w:rsid w:val="008A307A"/>
    <w:rsid w:val="008A307F"/>
    <w:rsid w:val="008A3263"/>
    <w:rsid w:val="008A32B6"/>
    <w:rsid w:val="008A35BD"/>
    <w:rsid w:val="008A36FD"/>
    <w:rsid w:val="008A371D"/>
    <w:rsid w:val="008A3795"/>
    <w:rsid w:val="008A3AC7"/>
    <w:rsid w:val="008A3B62"/>
    <w:rsid w:val="008A3BA3"/>
    <w:rsid w:val="008A3C05"/>
    <w:rsid w:val="008A3C91"/>
    <w:rsid w:val="008A3CD2"/>
    <w:rsid w:val="008A4263"/>
    <w:rsid w:val="008A430E"/>
    <w:rsid w:val="008A4479"/>
    <w:rsid w:val="008A4785"/>
    <w:rsid w:val="008A4825"/>
    <w:rsid w:val="008A4855"/>
    <w:rsid w:val="008A4873"/>
    <w:rsid w:val="008A4928"/>
    <w:rsid w:val="008A4933"/>
    <w:rsid w:val="008A493B"/>
    <w:rsid w:val="008A4ACB"/>
    <w:rsid w:val="008A4BB3"/>
    <w:rsid w:val="008A4D2C"/>
    <w:rsid w:val="008A507B"/>
    <w:rsid w:val="008A51AD"/>
    <w:rsid w:val="008A522F"/>
    <w:rsid w:val="008A576F"/>
    <w:rsid w:val="008A58D2"/>
    <w:rsid w:val="008A59F2"/>
    <w:rsid w:val="008A59F5"/>
    <w:rsid w:val="008A5C98"/>
    <w:rsid w:val="008A5D12"/>
    <w:rsid w:val="008A5D3B"/>
    <w:rsid w:val="008A5DC6"/>
    <w:rsid w:val="008A6024"/>
    <w:rsid w:val="008A6122"/>
    <w:rsid w:val="008A6357"/>
    <w:rsid w:val="008A6B62"/>
    <w:rsid w:val="008A6D7D"/>
    <w:rsid w:val="008A72AA"/>
    <w:rsid w:val="008A738A"/>
    <w:rsid w:val="008A73CA"/>
    <w:rsid w:val="008A76CC"/>
    <w:rsid w:val="008A7839"/>
    <w:rsid w:val="008A7C36"/>
    <w:rsid w:val="008A7C9E"/>
    <w:rsid w:val="008A7FF8"/>
    <w:rsid w:val="008B002A"/>
    <w:rsid w:val="008B0374"/>
    <w:rsid w:val="008B03BC"/>
    <w:rsid w:val="008B06BB"/>
    <w:rsid w:val="008B07D6"/>
    <w:rsid w:val="008B083D"/>
    <w:rsid w:val="008B09E1"/>
    <w:rsid w:val="008B0A05"/>
    <w:rsid w:val="008B0B90"/>
    <w:rsid w:val="008B0C72"/>
    <w:rsid w:val="008B0CAE"/>
    <w:rsid w:val="008B0DC6"/>
    <w:rsid w:val="008B0E17"/>
    <w:rsid w:val="008B0F94"/>
    <w:rsid w:val="008B1017"/>
    <w:rsid w:val="008B1510"/>
    <w:rsid w:val="008B1599"/>
    <w:rsid w:val="008B16F2"/>
    <w:rsid w:val="008B179F"/>
    <w:rsid w:val="008B181E"/>
    <w:rsid w:val="008B1B59"/>
    <w:rsid w:val="008B1F8B"/>
    <w:rsid w:val="008B21BA"/>
    <w:rsid w:val="008B2246"/>
    <w:rsid w:val="008B255F"/>
    <w:rsid w:val="008B25B2"/>
    <w:rsid w:val="008B2876"/>
    <w:rsid w:val="008B28C2"/>
    <w:rsid w:val="008B2C87"/>
    <w:rsid w:val="008B2ECE"/>
    <w:rsid w:val="008B31B3"/>
    <w:rsid w:val="008B3919"/>
    <w:rsid w:val="008B3EF2"/>
    <w:rsid w:val="008B3F34"/>
    <w:rsid w:val="008B40AE"/>
    <w:rsid w:val="008B4289"/>
    <w:rsid w:val="008B42A5"/>
    <w:rsid w:val="008B4438"/>
    <w:rsid w:val="008B4A4B"/>
    <w:rsid w:val="008B4AF4"/>
    <w:rsid w:val="008B4B8A"/>
    <w:rsid w:val="008B4C98"/>
    <w:rsid w:val="008B4CBD"/>
    <w:rsid w:val="008B4FFF"/>
    <w:rsid w:val="008B50F8"/>
    <w:rsid w:val="008B52A1"/>
    <w:rsid w:val="008B5307"/>
    <w:rsid w:val="008B547B"/>
    <w:rsid w:val="008B57CD"/>
    <w:rsid w:val="008B5FA5"/>
    <w:rsid w:val="008B6051"/>
    <w:rsid w:val="008B608F"/>
    <w:rsid w:val="008B6534"/>
    <w:rsid w:val="008B6833"/>
    <w:rsid w:val="008B68E5"/>
    <w:rsid w:val="008B694E"/>
    <w:rsid w:val="008B6A3D"/>
    <w:rsid w:val="008B6BB7"/>
    <w:rsid w:val="008B6C24"/>
    <w:rsid w:val="008B6D70"/>
    <w:rsid w:val="008B6D9D"/>
    <w:rsid w:val="008B6E35"/>
    <w:rsid w:val="008B6F9E"/>
    <w:rsid w:val="008B7324"/>
    <w:rsid w:val="008B74AB"/>
    <w:rsid w:val="008B74B8"/>
    <w:rsid w:val="008B75FA"/>
    <w:rsid w:val="008B7A55"/>
    <w:rsid w:val="008B7B9E"/>
    <w:rsid w:val="008B7F3E"/>
    <w:rsid w:val="008C015C"/>
    <w:rsid w:val="008C01CD"/>
    <w:rsid w:val="008C02D1"/>
    <w:rsid w:val="008C03B7"/>
    <w:rsid w:val="008C0554"/>
    <w:rsid w:val="008C07F7"/>
    <w:rsid w:val="008C089E"/>
    <w:rsid w:val="008C0A32"/>
    <w:rsid w:val="008C0AF7"/>
    <w:rsid w:val="008C0B51"/>
    <w:rsid w:val="008C0C79"/>
    <w:rsid w:val="008C0CD0"/>
    <w:rsid w:val="008C0CE6"/>
    <w:rsid w:val="008C0EC0"/>
    <w:rsid w:val="008C0FC3"/>
    <w:rsid w:val="008C1018"/>
    <w:rsid w:val="008C11DB"/>
    <w:rsid w:val="008C120E"/>
    <w:rsid w:val="008C1413"/>
    <w:rsid w:val="008C14C6"/>
    <w:rsid w:val="008C15AC"/>
    <w:rsid w:val="008C1672"/>
    <w:rsid w:val="008C173F"/>
    <w:rsid w:val="008C17AD"/>
    <w:rsid w:val="008C1873"/>
    <w:rsid w:val="008C1A76"/>
    <w:rsid w:val="008C1A99"/>
    <w:rsid w:val="008C1B1B"/>
    <w:rsid w:val="008C1E48"/>
    <w:rsid w:val="008C1F60"/>
    <w:rsid w:val="008C201E"/>
    <w:rsid w:val="008C2259"/>
    <w:rsid w:val="008C23C0"/>
    <w:rsid w:val="008C23C8"/>
    <w:rsid w:val="008C2794"/>
    <w:rsid w:val="008C2860"/>
    <w:rsid w:val="008C290A"/>
    <w:rsid w:val="008C2D2D"/>
    <w:rsid w:val="008C2F72"/>
    <w:rsid w:val="008C379B"/>
    <w:rsid w:val="008C37F7"/>
    <w:rsid w:val="008C3E9B"/>
    <w:rsid w:val="008C3ECB"/>
    <w:rsid w:val="008C4058"/>
    <w:rsid w:val="008C4213"/>
    <w:rsid w:val="008C4574"/>
    <w:rsid w:val="008C47A0"/>
    <w:rsid w:val="008C485E"/>
    <w:rsid w:val="008C4AA3"/>
    <w:rsid w:val="008C4AA6"/>
    <w:rsid w:val="008C4AAE"/>
    <w:rsid w:val="008C4CD5"/>
    <w:rsid w:val="008C4D62"/>
    <w:rsid w:val="008C5045"/>
    <w:rsid w:val="008C5072"/>
    <w:rsid w:val="008C5464"/>
    <w:rsid w:val="008C5481"/>
    <w:rsid w:val="008C5520"/>
    <w:rsid w:val="008C5531"/>
    <w:rsid w:val="008C56AB"/>
    <w:rsid w:val="008C570F"/>
    <w:rsid w:val="008C5725"/>
    <w:rsid w:val="008C59EA"/>
    <w:rsid w:val="008C5AEB"/>
    <w:rsid w:val="008C5CB8"/>
    <w:rsid w:val="008C5D2A"/>
    <w:rsid w:val="008C5D5F"/>
    <w:rsid w:val="008C617B"/>
    <w:rsid w:val="008C61C7"/>
    <w:rsid w:val="008C6417"/>
    <w:rsid w:val="008C6938"/>
    <w:rsid w:val="008C6CC8"/>
    <w:rsid w:val="008C6D2B"/>
    <w:rsid w:val="008C6D2E"/>
    <w:rsid w:val="008C6F65"/>
    <w:rsid w:val="008C7035"/>
    <w:rsid w:val="008C7050"/>
    <w:rsid w:val="008C709C"/>
    <w:rsid w:val="008C713D"/>
    <w:rsid w:val="008C722F"/>
    <w:rsid w:val="008C7264"/>
    <w:rsid w:val="008C72B0"/>
    <w:rsid w:val="008C741D"/>
    <w:rsid w:val="008C7604"/>
    <w:rsid w:val="008C76AA"/>
    <w:rsid w:val="008C78EC"/>
    <w:rsid w:val="008C793D"/>
    <w:rsid w:val="008C79F6"/>
    <w:rsid w:val="008C7AAE"/>
    <w:rsid w:val="008C7D2E"/>
    <w:rsid w:val="008C7DC6"/>
    <w:rsid w:val="008C7DD5"/>
    <w:rsid w:val="008C7E91"/>
    <w:rsid w:val="008C7FFB"/>
    <w:rsid w:val="008D00D8"/>
    <w:rsid w:val="008D0125"/>
    <w:rsid w:val="008D021C"/>
    <w:rsid w:val="008D02A8"/>
    <w:rsid w:val="008D02E1"/>
    <w:rsid w:val="008D0344"/>
    <w:rsid w:val="008D03F7"/>
    <w:rsid w:val="008D06BB"/>
    <w:rsid w:val="008D0802"/>
    <w:rsid w:val="008D0B49"/>
    <w:rsid w:val="008D0D6E"/>
    <w:rsid w:val="008D0F0C"/>
    <w:rsid w:val="008D1060"/>
    <w:rsid w:val="008D1082"/>
    <w:rsid w:val="008D11D7"/>
    <w:rsid w:val="008D120F"/>
    <w:rsid w:val="008D1246"/>
    <w:rsid w:val="008D1345"/>
    <w:rsid w:val="008D13EC"/>
    <w:rsid w:val="008D13ED"/>
    <w:rsid w:val="008D1409"/>
    <w:rsid w:val="008D19AB"/>
    <w:rsid w:val="008D1B33"/>
    <w:rsid w:val="008D1B95"/>
    <w:rsid w:val="008D1E64"/>
    <w:rsid w:val="008D2045"/>
    <w:rsid w:val="008D219D"/>
    <w:rsid w:val="008D227B"/>
    <w:rsid w:val="008D229E"/>
    <w:rsid w:val="008D2386"/>
    <w:rsid w:val="008D23B5"/>
    <w:rsid w:val="008D25C5"/>
    <w:rsid w:val="008D26D4"/>
    <w:rsid w:val="008D2B5C"/>
    <w:rsid w:val="008D2CBE"/>
    <w:rsid w:val="008D2EC1"/>
    <w:rsid w:val="008D2EE2"/>
    <w:rsid w:val="008D30EF"/>
    <w:rsid w:val="008D3142"/>
    <w:rsid w:val="008D31E4"/>
    <w:rsid w:val="008D3203"/>
    <w:rsid w:val="008D330C"/>
    <w:rsid w:val="008D3442"/>
    <w:rsid w:val="008D3670"/>
    <w:rsid w:val="008D3823"/>
    <w:rsid w:val="008D38C0"/>
    <w:rsid w:val="008D3925"/>
    <w:rsid w:val="008D3B86"/>
    <w:rsid w:val="008D3BA3"/>
    <w:rsid w:val="008D3C99"/>
    <w:rsid w:val="008D3CB3"/>
    <w:rsid w:val="008D3CF3"/>
    <w:rsid w:val="008D3D70"/>
    <w:rsid w:val="008D3F40"/>
    <w:rsid w:val="008D40DD"/>
    <w:rsid w:val="008D4191"/>
    <w:rsid w:val="008D41E6"/>
    <w:rsid w:val="008D460A"/>
    <w:rsid w:val="008D4676"/>
    <w:rsid w:val="008D4834"/>
    <w:rsid w:val="008D4A41"/>
    <w:rsid w:val="008D4F3D"/>
    <w:rsid w:val="008D5024"/>
    <w:rsid w:val="008D51E8"/>
    <w:rsid w:val="008D52F6"/>
    <w:rsid w:val="008D555F"/>
    <w:rsid w:val="008D5700"/>
    <w:rsid w:val="008D57B9"/>
    <w:rsid w:val="008D58A8"/>
    <w:rsid w:val="008D58EF"/>
    <w:rsid w:val="008D5A5F"/>
    <w:rsid w:val="008D5BA4"/>
    <w:rsid w:val="008D5C77"/>
    <w:rsid w:val="008D5EF9"/>
    <w:rsid w:val="008D604B"/>
    <w:rsid w:val="008D61B7"/>
    <w:rsid w:val="008D63A2"/>
    <w:rsid w:val="008D6422"/>
    <w:rsid w:val="008D6606"/>
    <w:rsid w:val="008D668D"/>
    <w:rsid w:val="008D6852"/>
    <w:rsid w:val="008D68BB"/>
    <w:rsid w:val="008D6A89"/>
    <w:rsid w:val="008D6B2C"/>
    <w:rsid w:val="008D6B89"/>
    <w:rsid w:val="008D6CD8"/>
    <w:rsid w:val="008D6CDA"/>
    <w:rsid w:val="008D6CDB"/>
    <w:rsid w:val="008D6D1F"/>
    <w:rsid w:val="008D6D24"/>
    <w:rsid w:val="008D6F74"/>
    <w:rsid w:val="008D6FD9"/>
    <w:rsid w:val="008D718A"/>
    <w:rsid w:val="008D729E"/>
    <w:rsid w:val="008D7458"/>
    <w:rsid w:val="008D79ED"/>
    <w:rsid w:val="008D7CF9"/>
    <w:rsid w:val="008E0133"/>
    <w:rsid w:val="008E0179"/>
    <w:rsid w:val="008E03C7"/>
    <w:rsid w:val="008E0567"/>
    <w:rsid w:val="008E0698"/>
    <w:rsid w:val="008E0988"/>
    <w:rsid w:val="008E0A70"/>
    <w:rsid w:val="008E0C9F"/>
    <w:rsid w:val="008E0D7F"/>
    <w:rsid w:val="008E0EA5"/>
    <w:rsid w:val="008E11B3"/>
    <w:rsid w:val="008E1223"/>
    <w:rsid w:val="008E193C"/>
    <w:rsid w:val="008E1AF4"/>
    <w:rsid w:val="008E1AF9"/>
    <w:rsid w:val="008E1B1E"/>
    <w:rsid w:val="008E1B6D"/>
    <w:rsid w:val="008E1DC6"/>
    <w:rsid w:val="008E1F53"/>
    <w:rsid w:val="008E1F8F"/>
    <w:rsid w:val="008E1FDD"/>
    <w:rsid w:val="008E200D"/>
    <w:rsid w:val="008E2034"/>
    <w:rsid w:val="008E20BB"/>
    <w:rsid w:val="008E20BE"/>
    <w:rsid w:val="008E238D"/>
    <w:rsid w:val="008E2455"/>
    <w:rsid w:val="008E2534"/>
    <w:rsid w:val="008E2556"/>
    <w:rsid w:val="008E2B44"/>
    <w:rsid w:val="008E2C79"/>
    <w:rsid w:val="008E2FE0"/>
    <w:rsid w:val="008E301B"/>
    <w:rsid w:val="008E305E"/>
    <w:rsid w:val="008E308F"/>
    <w:rsid w:val="008E3191"/>
    <w:rsid w:val="008E31B0"/>
    <w:rsid w:val="008E31B6"/>
    <w:rsid w:val="008E3292"/>
    <w:rsid w:val="008E351A"/>
    <w:rsid w:val="008E36A4"/>
    <w:rsid w:val="008E36CF"/>
    <w:rsid w:val="008E36EE"/>
    <w:rsid w:val="008E3849"/>
    <w:rsid w:val="008E392D"/>
    <w:rsid w:val="008E3B36"/>
    <w:rsid w:val="008E3B69"/>
    <w:rsid w:val="008E3C51"/>
    <w:rsid w:val="008E3C7F"/>
    <w:rsid w:val="008E3EC2"/>
    <w:rsid w:val="008E41C3"/>
    <w:rsid w:val="008E433A"/>
    <w:rsid w:val="008E4541"/>
    <w:rsid w:val="008E47A7"/>
    <w:rsid w:val="008E47F6"/>
    <w:rsid w:val="008E4A79"/>
    <w:rsid w:val="008E4B89"/>
    <w:rsid w:val="008E4CEC"/>
    <w:rsid w:val="008E4E0C"/>
    <w:rsid w:val="008E546C"/>
    <w:rsid w:val="008E555C"/>
    <w:rsid w:val="008E5601"/>
    <w:rsid w:val="008E5738"/>
    <w:rsid w:val="008E5BFF"/>
    <w:rsid w:val="008E5C2F"/>
    <w:rsid w:val="008E5D75"/>
    <w:rsid w:val="008E5F8F"/>
    <w:rsid w:val="008E6273"/>
    <w:rsid w:val="008E63D0"/>
    <w:rsid w:val="008E63F9"/>
    <w:rsid w:val="008E661E"/>
    <w:rsid w:val="008E6634"/>
    <w:rsid w:val="008E66D6"/>
    <w:rsid w:val="008E6B1F"/>
    <w:rsid w:val="008E6D96"/>
    <w:rsid w:val="008E6EBC"/>
    <w:rsid w:val="008E6EEF"/>
    <w:rsid w:val="008E6FD4"/>
    <w:rsid w:val="008E719E"/>
    <w:rsid w:val="008E71EB"/>
    <w:rsid w:val="008E73FF"/>
    <w:rsid w:val="008E7664"/>
    <w:rsid w:val="008E77A2"/>
    <w:rsid w:val="008E7A84"/>
    <w:rsid w:val="008E7B39"/>
    <w:rsid w:val="008E7D5B"/>
    <w:rsid w:val="008E7E71"/>
    <w:rsid w:val="008E7FA2"/>
    <w:rsid w:val="008F0463"/>
    <w:rsid w:val="008F0800"/>
    <w:rsid w:val="008F081E"/>
    <w:rsid w:val="008F089E"/>
    <w:rsid w:val="008F0C71"/>
    <w:rsid w:val="008F0D09"/>
    <w:rsid w:val="008F0DB3"/>
    <w:rsid w:val="008F0F16"/>
    <w:rsid w:val="008F12B7"/>
    <w:rsid w:val="008F14DF"/>
    <w:rsid w:val="008F1E82"/>
    <w:rsid w:val="008F21F1"/>
    <w:rsid w:val="008F2326"/>
    <w:rsid w:val="008F251A"/>
    <w:rsid w:val="008F26F9"/>
    <w:rsid w:val="008F2854"/>
    <w:rsid w:val="008F2862"/>
    <w:rsid w:val="008F28DC"/>
    <w:rsid w:val="008F291C"/>
    <w:rsid w:val="008F2934"/>
    <w:rsid w:val="008F2985"/>
    <w:rsid w:val="008F29B6"/>
    <w:rsid w:val="008F2B7F"/>
    <w:rsid w:val="008F2FBF"/>
    <w:rsid w:val="008F30A9"/>
    <w:rsid w:val="008F30C6"/>
    <w:rsid w:val="008F318C"/>
    <w:rsid w:val="008F31DF"/>
    <w:rsid w:val="008F34ED"/>
    <w:rsid w:val="008F3806"/>
    <w:rsid w:val="008F3962"/>
    <w:rsid w:val="008F3979"/>
    <w:rsid w:val="008F39AF"/>
    <w:rsid w:val="008F3AD2"/>
    <w:rsid w:val="008F3D49"/>
    <w:rsid w:val="008F3DEE"/>
    <w:rsid w:val="008F4025"/>
    <w:rsid w:val="008F40F9"/>
    <w:rsid w:val="008F4144"/>
    <w:rsid w:val="008F43FC"/>
    <w:rsid w:val="008F4427"/>
    <w:rsid w:val="008F448D"/>
    <w:rsid w:val="008F45A8"/>
    <w:rsid w:val="008F469B"/>
    <w:rsid w:val="008F4A27"/>
    <w:rsid w:val="008F4D04"/>
    <w:rsid w:val="008F4E0A"/>
    <w:rsid w:val="008F4E10"/>
    <w:rsid w:val="008F4F42"/>
    <w:rsid w:val="008F52AA"/>
    <w:rsid w:val="008F5327"/>
    <w:rsid w:val="008F5501"/>
    <w:rsid w:val="008F557C"/>
    <w:rsid w:val="008F5626"/>
    <w:rsid w:val="008F577C"/>
    <w:rsid w:val="008F5C4B"/>
    <w:rsid w:val="008F5DD5"/>
    <w:rsid w:val="008F5EAA"/>
    <w:rsid w:val="008F64D4"/>
    <w:rsid w:val="008F64D9"/>
    <w:rsid w:val="008F66AB"/>
    <w:rsid w:val="008F6872"/>
    <w:rsid w:val="008F6939"/>
    <w:rsid w:val="008F698C"/>
    <w:rsid w:val="008F6A98"/>
    <w:rsid w:val="008F6EED"/>
    <w:rsid w:val="008F6FED"/>
    <w:rsid w:val="008F7173"/>
    <w:rsid w:val="008F71EE"/>
    <w:rsid w:val="008F7630"/>
    <w:rsid w:val="008F77A0"/>
    <w:rsid w:val="008F7851"/>
    <w:rsid w:val="008F7A8B"/>
    <w:rsid w:val="008F7B92"/>
    <w:rsid w:val="008F7C67"/>
    <w:rsid w:val="008F7CE6"/>
    <w:rsid w:val="008F7DD9"/>
    <w:rsid w:val="0090041E"/>
    <w:rsid w:val="009004F1"/>
    <w:rsid w:val="00900566"/>
    <w:rsid w:val="009009E0"/>
    <w:rsid w:val="00900A1C"/>
    <w:rsid w:val="00900EFA"/>
    <w:rsid w:val="0090106D"/>
    <w:rsid w:val="00901144"/>
    <w:rsid w:val="009013DC"/>
    <w:rsid w:val="009015D7"/>
    <w:rsid w:val="00901650"/>
    <w:rsid w:val="00901686"/>
    <w:rsid w:val="0090181C"/>
    <w:rsid w:val="0090198D"/>
    <w:rsid w:val="009019BB"/>
    <w:rsid w:val="00901D5D"/>
    <w:rsid w:val="00901DEB"/>
    <w:rsid w:val="00901EB1"/>
    <w:rsid w:val="00901EBB"/>
    <w:rsid w:val="00902001"/>
    <w:rsid w:val="0090231F"/>
    <w:rsid w:val="00902581"/>
    <w:rsid w:val="00902616"/>
    <w:rsid w:val="00902636"/>
    <w:rsid w:val="009028BC"/>
    <w:rsid w:val="009028DA"/>
    <w:rsid w:val="0090293F"/>
    <w:rsid w:val="00902A4B"/>
    <w:rsid w:val="00902A62"/>
    <w:rsid w:val="00902AF8"/>
    <w:rsid w:val="00902CB7"/>
    <w:rsid w:val="00903013"/>
    <w:rsid w:val="0090345B"/>
    <w:rsid w:val="009034B4"/>
    <w:rsid w:val="0090354B"/>
    <w:rsid w:val="00903550"/>
    <w:rsid w:val="0090370D"/>
    <w:rsid w:val="00903889"/>
    <w:rsid w:val="009038F3"/>
    <w:rsid w:val="009039AE"/>
    <w:rsid w:val="009039D9"/>
    <w:rsid w:val="00903B58"/>
    <w:rsid w:val="00903CD3"/>
    <w:rsid w:val="00903E14"/>
    <w:rsid w:val="00903EF3"/>
    <w:rsid w:val="0090404B"/>
    <w:rsid w:val="00904093"/>
    <w:rsid w:val="0090414D"/>
    <w:rsid w:val="00904156"/>
    <w:rsid w:val="009041C9"/>
    <w:rsid w:val="00904365"/>
    <w:rsid w:val="00904512"/>
    <w:rsid w:val="0090452C"/>
    <w:rsid w:val="0090468D"/>
    <w:rsid w:val="0090475E"/>
    <w:rsid w:val="00904A78"/>
    <w:rsid w:val="00904B52"/>
    <w:rsid w:val="00904B6F"/>
    <w:rsid w:val="00904F34"/>
    <w:rsid w:val="00904F3C"/>
    <w:rsid w:val="009052BE"/>
    <w:rsid w:val="0090573B"/>
    <w:rsid w:val="00905933"/>
    <w:rsid w:val="00905A1D"/>
    <w:rsid w:val="00905DE5"/>
    <w:rsid w:val="00906212"/>
    <w:rsid w:val="00906237"/>
    <w:rsid w:val="00906294"/>
    <w:rsid w:val="00906526"/>
    <w:rsid w:val="00906617"/>
    <w:rsid w:val="0090671B"/>
    <w:rsid w:val="0090676F"/>
    <w:rsid w:val="00906800"/>
    <w:rsid w:val="009068D0"/>
    <w:rsid w:val="00906AF0"/>
    <w:rsid w:val="00906B19"/>
    <w:rsid w:val="00906B91"/>
    <w:rsid w:val="00906C87"/>
    <w:rsid w:val="00906CA0"/>
    <w:rsid w:val="00906EFE"/>
    <w:rsid w:val="009070AF"/>
    <w:rsid w:val="009070FB"/>
    <w:rsid w:val="00907302"/>
    <w:rsid w:val="009074A6"/>
    <w:rsid w:val="009074B3"/>
    <w:rsid w:val="00907AB9"/>
    <w:rsid w:val="00907BE5"/>
    <w:rsid w:val="00907C20"/>
    <w:rsid w:val="00907C47"/>
    <w:rsid w:val="00907CBF"/>
    <w:rsid w:val="00907D35"/>
    <w:rsid w:val="00907D99"/>
    <w:rsid w:val="0091032D"/>
    <w:rsid w:val="009107B0"/>
    <w:rsid w:val="0091087C"/>
    <w:rsid w:val="00910AC4"/>
    <w:rsid w:val="00910D2B"/>
    <w:rsid w:val="00910DF0"/>
    <w:rsid w:val="00910ED5"/>
    <w:rsid w:val="00910EF8"/>
    <w:rsid w:val="00910F0B"/>
    <w:rsid w:val="00911607"/>
    <w:rsid w:val="00911754"/>
    <w:rsid w:val="00911832"/>
    <w:rsid w:val="0091194E"/>
    <w:rsid w:val="009119FD"/>
    <w:rsid w:val="00911A53"/>
    <w:rsid w:val="00911BB0"/>
    <w:rsid w:val="00912003"/>
    <w:rsid w:val="0091219A"/>
    <w:rsid w:val="00912268"/>
    <w:rsid w:val="009122E4"/>
    <w:rsid w:val="0091251E"/>
    <w:rsid w:val="0091267D"/>
    <w:rsid w:val="0091297B"/>
    <w:rsid w:val="00912BB5"/>
    <w:rsid w:val="00912CDD"/>
    <w:rsid w:val="00912EDF"/>
    <w:rsid w:val="00913160"/>
    <w:rsid w:val="0091321D"/>
    <w:rsid w:val="0091328A"/>
    <w:rsid w:val="0091334A"/>
    <w:rsid w:val="009134D4"/>
    <w:rsid w:val="00913656"/>
    <w:rsid w:val="0091368A"/>
    <w:rsid w:val="0091375A"/>
    <w:rsid w:val="00913787"/>
    <w:rsid w:val="00913794"/>
    <w:rsid w:val="00913820"/>
    <w:rsid w:val="00913A58"/>
    <w:rsid w:val="00913B13"/>
    <w:rsid w:val="00913C65"/>
    <w:rsid w:val="00913D26"/>
    <w:rsid w:val="00913E04"/>
    <w:rsid w:val="00914066"/>
    <w:rsid w:val="00914096"/>
    <w:rsid w:val="0091412E"/>
    <w:rsid w:val="00914167"/>
    <w:rsid w:val="00914499"/>
    <w:rsid w:val="00914514"/>
    <w:rsid w:val="00914681"/>
    <w:rsid w:val="0091478D"/>
    <w:rsid w:val="009147FA"/>
    <w:rsid w:val="00914830"/>
    <w:rsid w:val="00914AB7"/>
    <w:rsid w:val="00914C06"/>
    <w:rsid w:val="00914C17"/>
    <w:rsid w:val="00914DF9"/>
    <w:rsid w:val="00914ED9"/>
    <w:rsid w:val="00915086"/>
    <w:rsid w:val="00915434"/>
    <w:rsid w:val="009154AA"/>
    <w:rsid w:val="0091560E"/>
    <w:rsid w:val="00915690"/>
    <w:rsid w:val="009156FA"/>
    <w:rsid w:val="0091577B"/>
    <w:rsid w:val="00915794"/>
    <w:rsid w:val="00915845"/>
    <w:rsid w:val="009158B4"/>
    <w:rsid w:val="00915BE1"/>
    <w:rsid w:val="00915D64"/>
    <w:rsid w:val="00915F72"/>
    <w:rsid w:val="00915FF4"/>
    <w:rsid w:val="00916275"/>
    <w:rsid w:val="00916291"/>
    <w:rsid w:val="009162BB"/>
    <w:rsid w:val="009166F4"/>
    <w:rsid w:val="00916798"/>
    <w:rsid w:val="00916824"/>
    <w:rsid w:val="0091697E"/>
    <w:rsid w:val="00916A39"/>
    <w:rsid w:val="00916DD7"/>
    <w:rsid w:val="00916E20"/>
    <w:rsid w:val="00916EFF"/>
    <w:rsid w:val="00917224"/>
    <w:rsid w:val="00917447"/>
    <w:rsid w:val="009174BB"/>
    <w:rsid w:val="00917603"/>
    <w:rsid w:val="009177D2"/>
    <w:rsid w:val="00917808"/>
    <w:rsid w:val="009178B3"/>
    <w:rsid w:val="00917955"/>
    <w:rsid w:val="00917A71"/>
    <w:rsid w:val="00917A77"/>
    <w:rsid w:val="00917B3E"/>
    <w:rsid w:val="00917B77"/>
    <w:rsid w:val="00917F70"/>
    <w:rsid w:val="009203B8"/>
    <w:rsid w:val="009204E0"/>
    <w:rsid w:val="00920701"/>
    <w:rsid w:val="009208F3"/>
    <w:rsid w:val="00920A64"/>
    <w:rsid w:val="00920B2A"/>
    <w:rsid w:val="00920C0F"/>
    <w:rsid w:val="00920C5C"/>
    <w:rsid w:val="00920E63"/>
    <w:rsid w:val="009210A8"/>
    <w:rsid w:val="009210B8"/>
    <w:rsid w:val="0092123F"/>
    <w:rsid w:val="0092149C"/>
    <w:rsid w:val="0092159C"/>
    <w:rsid w:val="009217F0"/>
    <w:rsid w:val="00921ABB"/>
    <w:rsid w:val="00921D07"/>
    <w:rsid w:val="00921DE6"/>
    <w:rsid w:val="00921E69"/>
    <w:rsid w:val="00922357"/>
    <w:rsid w:val="00922499"/>
    <w:rsid w:val="0092292F"/>
    <w:rsid w:val="00922FCE"/>
    <w:rsid w:val="00922FF6"/>
    <w:rsid w:val="009230C3"/>
    <w:rsid w:val="009230DB"/>
    <w:rsid w:val="009231B3"/>
    <w:rsid w:val="009231FC"/>
    <w:rsid w:val="00923274"/>
    <w:rsid w:val="0092338B"/>
    <w:rsid w:val="0092349F"/>
    <w:rsid w:val="0092351B"/>
    <w:rsid w:val="00923596"/>
    <w:rsid w:val="009235B9"/>
    <w:rsid w:val="009235DB"/>
    <w:rsid w:val="009236EB"/>
    <w:rsid w:val="0092379E"/>
    <w:rsid w:val="00923962"/>
    <w:rsid w:val="00923CDB"/>
    <w:rsid w:val="00923D1C"/>
    <w:rsid w:val="00923D5D"/>
    <w:rsid w:val="00923DE4"/>
    <w:rsid w:val="00923DFD"/>
    <w:rsid w:val="00923E81"/>
    <w:rsid w:val="0092417C"/>
    <w:rsid w:val="009242B6"/>
    <w:rsid w:val="00924332"/>
    <w:rsid w:val="009243BA"/>
    <w:rsid w:val="009243E2"/>
    <w:rsid w:val="0092471F"/>
    <w:rsid w:val="0092497E"/>
    <w:rsid w:val="00924CE8"/>
    <w:rsid w:val="00924EB3"/>
    <w:rsid w:val="0092503F"/>
    <w:rsid w:val="00925178"/>
    <w:rsid w:val="009253C9"/>
    <w:rsid w:val="0092557C"/>
    <w:rsid w:val="009256D4"/>
    <w:rsid w:val="009256E5"/>
    <w:rsid w:val="009257C0"/>
    <w:rsid w:val="00925CB4"/>
    <w:rsid w:val="00925D91"/>
    <w:rsid w:val="00925E15"/>
    <w:rsid w:val="0092629A"/>
    <w:rsid w:val="009264DE"/>
    <w:rsid w:val="00926619"/>
    <w:rsid w:val="00926823"/>
    <w:rsid w:val="00926968"/>
    <w:rsid w:val="00926977"/>
    <w:rsid w:val="00926B9D"/>
    <w:rsid w:val="00926E6B"/>
    <w:rsid w:val="00926EEB"/>
    <w:rsid w:val="00926F92"/>
    <w:rsid w:val="00926FBB"/>
    <w:rsid w:val="0092707F"/>
    <w:rsid w:val="00927171"/>
    <w:rsid w:val="0092734C"/>
    <w:rsid w:val="009273F0"/>
    <w:rsid w:val="0092764A"/>
    <w:rsid w:val="009276AF"/>
    <w:rsid w:val="009276EC"/>
    <w:rsid w:val="009277ED"/>
    <w:rsid w:val="009277F3"/>
    <w:rsid w:val="00927910"/>
    <w:rsid w:val="00927A1A"/>
    <w:rsid w:val="00927A7A"/>
    <w:rsid w:val="00927D78"/>
    <w:rsid w:val="00927EAE"/>
    <w:rsid w:val="00927F41"/>
    <w:rsid w:val="009300E2"/>
    <w:rsid w:val="00930138"/>
    <w:rsid w:val="00930262"/>
    <w:rsid w:val="00930632"/>
    <w:rsid w:val="00930848"/>
    <w:rsid w:val="009308B0"/>
    <w:rsid w:val="009308BF"/>
    <w:rsid w:val="009309C6"/>
    <w:rsid w:val="00930A65"/>
    <w:rsid w:val="00930A9E"/>
    <w:rsid w:val="00930C15"/>
    <w:rsid w:val="00930C8B"/>
    <w:rsid w:val="00930F81"/>
    <w:rsid w:val="00931123"/>
    <w:rsid w:val="009311CA"/>
    <w:rsid w:val="00931238"/>
    <w:rsid w:val="009312DC"/>
    <w:rsid w:val="009312F1"/>
    <w:rsid w:val="0093158F"/>
    <w:rsid w:val="009315BB"/>
    <w:rsid w:val="00931643"/>
    <w:rsid w:val="0093179C"/>
    <w:rsid w:val="009317B7"/>
    <w:rsid w:val="009318EC"/>
    <w:rsid w:val="009319DA"/>
    <w:rsid w:val="00931E92"/>
    <w:rsid w:val="0093218D"/>
    <w:rsid w:val="009321A9"/>
    <w:rsid w:val="00932375"/>
    <w:rsid w:val="00932453"/>
    <w:rsid w:val="009324D5"/>
    <w:rsid w:val="009325C7"/>
    <w:rsid w:val="00932711"/>
    <w:rsid w:val="009328B0"/>
    <w:rsid w:val="009328E4"/>
    <w:rsid w:val="00932995"/>
    <w:rsid w:val="0093299C"/>
    <w:rsid w:val="00932B24"/>
    <w:rsid w:val="00932C03"/>
    <w:rsid w:val="00932CE1"/>
    <w:rsid w:val="00932D03"/>
    <w:rsid w:val="00932DDB"/>
    <w:rsid w:val="00932E97"/>
    <w:rsid w:val="0093322B"/>
    <w:rsid w:val="00933383"/>
    <w:rsid w:val="009334C3"/>
    <w:rsid w:val="00933553"/>
    <w:rsid w:val="00933630"/>
    <w:rsid w:val="009336E5"/>
    <w:rsid w:val="00933B40"/>
    <w:rsid w:val="00933CB2"/>
    <w:rsid w:val="00933E4B"/>
    <w:rsid w:val="00933ECE"/>
    <w:rsid w:val="00933F77"/>
    <w:rsid w:val="00934197"/>
    <w:rsid w:val="009343C4"/>
    <w:rsid w:val="0093451A"/>
    <w:rsid w:val="00934690"/>
    <w:rsid w:val="0093497C"/>
    <w:rsid w:val="00934AC1"/>
    <w:rsid w:val="00934B1A"/>
    <w:rsid w:val="00934DF2"/>
    <w:rsid w:val="00935001"/>
    <w:rsid w:val="0093534B"/>
    <w:rsid w:val="009354A4"/>
    <w:rsid w:val="009356BB"/>
    <w:rsid w:val="009356EA"/>
    <w:rsid w:val="00935796"/>
    <w:rsid w:val="00935ADE"/>
    <w:rsid w:val="00935B0C"/>
    <w:rsid w:val="00935E63"/>
    <w:rsid w:val="00936058"/>
    <w:rsid w:val="00936322"/>
    <w:rsid w:val="0093656F"/>
    <w:rsid w:val="009366BA"/>
    <w:rsid w:val="0093688A"/>
    <w:rsid w:val="00936F85"/>
    <w:rsid w:val="00937104"/>
    <w:rsid w:val="00937717"/>
    <w:rsid w:val="00937927"/>
    <w:rsid w:val="00937E12"/>
    <w:rsid w:val="00937E70"/>
    <w:rsid w:val="00937F03"/>
    <w:rsid w:val="00937FD7"/>
    <w:rsid w:val="0094010B"/>
    <w:rsid w:val="0094030D"/>
    <w:rsid w:val="00940358"/>
    <w:rsid w:val="00940520"/>
    <w:rsid w:val="0094056A"/>
    <w:rsid w:val="00940682"/>
    <w:rsid w:val="009406CF"/>
    <w:rsid w:val="0094070E"/>
    <w:rsid w:val="009407ED"/>
    <w:rsid w:val="00940874"/>
    <w:rsid w:val="00940F64"/>
    <w:rsid w:val="009410EB"/>
    <w:rsid w:val="00941826"/>
    <w:rsid w:val="009418E7"/>
    <w:rsid w:val="009419C1"/>
    <w:rsid w:val="00941AA4"/>
    <w:rsid w:val="00941C31"/>
    <w:rsid w:val="00941CFC"/>
    <w:rsid w:val="00941E49"/>
    <w:rsid w:val="00942086"/>
    <w:rsid w:val="009420D8"/>
    <w:rsid w:val="00942185"/>
    <w:rsid w:val="009422A4"/>
    <w:rsid w:val="009422B5"/>
    <w:rsid w:val="009424DB"/>
    <w:rsid w:val="009424FF"/>
    <w:rsid w:val="00942599"/>
    <w:rsid w:val="009425CC"/>
    <w:rsid w:val="009428A8"/>
    <w:rsid w:val="0094296E"/>
    <w:rsid w:val="0094299D"/>
    <w:rsid w:val="00942BE3"/>
    <w:rsid w:val="00942BF3"/>
    <w:rsid w:val="00942DDC"/>
    <w:rsid w:val="00942E97"/>
    <w:rsid w:val="00942EBA"/>
    <w:rsid w:val="0094318D"/>
    <w:rsid w:val="00943252"/>
    <w:rsid w:val="00943393"/>
    <w:rsid w:val="0094350A"/>
    <w:rsid w:val="009435D5"/>
    <w:rsid w:val="009436FD"/>
    <w:rsid w:val="00943707"/>
    <w:rsid w:val="0094370A"/>
    <w:rsid w:val="0094377A"/>
    <w:rsid w:val="00943868"/>
    <w:rsid w:val="00943CA9"/>
    <w:rsid w:val="0094418C"/>
    <w:rsid w:val="009441B8"/>
    <w:rsid w:val="009441E2"/>
    <w:rsid w:val="00944242"/>
    <w:rsid w:val="009445ED"/>
    <w:rsid w:val="0094464A"/>
    <w:rsid w:val="00944660"/>
    <w:rsid w:val="0094469F"/>
    <w:rsid w:val="009449AF"/>
    <w:rsid w:val="00944A3D"/>
    <w:rsid w:val="00944A69"/>
    <w:rsid w:val="00944ABB"/>
    <w:rsid w:val="00944CF1"/>
    <w:rsid w:val="00944DB6"/>
    <w:rsid w:val="00944F63"/>
    <w:rsid w:val="00944F79"/>
    <w:rsid w:val="0094502D"/>
    <w:rsid w:val="0094507E"/>
    <w:rsid w:val="00945633"/>
    <w:rsid w:val="009458D5"/>
    <w:rsid w:val="009459E4"/>
    <w:rsid w:val="00945CDF"/>
    <w:rsid w:val="00946257"/>
    <w:rsid w:val="00946427"/>
    <w:rsid w:val="00946481"/>
    <w:rsid w:val="009466F8"/>
    <w:rsid w:val="00946BC4"/>
    <w:rsid w:val="00946C77"/>
    <w:rsid w:val="0094710C"/>
    <w:rsid w:val="009471D8"/>
    <w:rsid w:val="0094729E"/>
    <w:rsid w:val="009473A1"/>
    <w:rsid w:val="0094757E"/>
    <w:rsid w:val="00947A49"/>
    <w:rsid w:val="00947C09"/>
    <w:rsid w:val="00947C9D"/>
    <w:rsid w:val="00947D40"/>
    <w:rsid w:val="00947EDB"/>
    <w:rsid w:val="00947EE0"/>
    <w:rsid w:val="00947F7E"/>
    <w:rsid w:val="00947F97"/>
    <w:rsid w:val="00947FA2"/>
    <w:rsid w:val="00950051"/>
    <w:rsid w:val="009500F5"/>
    <w:rsid w:val="00950480"/>
    <w:rsid w:val="00950641"/>
    <w:rsid w:val="00950663"/>
    <w:rsid w:val="009507A9"/>
    <w:rsid w:val="00950862"/>
    <w:rsid w:val="00950918"/>
    <w:rsid w:val="00950C8A"/>
    <w:rsid w:val="00950C9B"/>
    <w:rsid w:val="00951051"/>
    <w:rsid w:val="009510DE"/>
    <w:rsid w:val="009511F8"/>
    <w:rsid w:val="00951244"/>
    <w:rsid w:val="0095129C"/>
    <w:rsid w:val="009512E2"/>
    <w:rsid w:val="0095132A"/>
    <w:rsid w:val="00951618"/>
    <w:rsid w:val="00951903"/>
    <w:rsid w:val="0095193F"/>
    <w:rsid w:val="00951B44"/>
    <w:rsid w:val="00951E06"/>
    <w:rsid w:val="00951E22"/>
    <w:rsid w:val="009521D0"/>
    <w:rsid w:val="00952267"/>
    <w:rsid w:val="0095230D"/>
    <w:rsid w:val="009523DB"/>
    <w:rsid w:val="00952445"/>
    <w:rsid w:val="00952456"/>
    <w:rsid w:val="00952484"/>
    <w:rsid w:val="00952E76"/>
    <w:rsid w:val="00952F11"/>
    <w:rsid w:val="00953053"/>
    <w:rsid w:val="009531E2"/>
    <w:rsid w:val="009535C6"/>
    <w:rsid w:val="00953768"/>
    <w:rsid w:val="00953B8D"/>
    <w:rsid w:val="00953C22"/>
    <w:rsid w:val="00953D79"/>
    <w:rsid w:val="00953DE5"/>
    <w:rsid w:val="00953E4E"/>
    <w:rsid w:val="009543DE"/>
    <w:rsid w:val="00954428"/>
    <w:rsid w:val="00954433"/>
    <w:rsid w:val="00954457"/>
    <w:rsid w:val="0095493B"/>
    <w:rsid w:val="00954B1D"/>
    <w:rsid w:val="00954ED9"/>
    <w:rsid w:val="00955063"/>
    <w:rsid w:val="00955751"/>
    <w:rsid w:val="009558BE"/>
    <w:rsid w:val="00955916"/>
    <w:rsid w:val="00955B87"/>
    <w:rsid w:val="00955B89"/>
    <w:rsid w:val="00955E08"/>
    <w:rsid w:val="00955F4D"/>
    <w:rsid w:val="00955FAA"/>
    <w:rsid w:val="00956188"/>
    <w:rsid w:val="009561EC"/>
    <w:rsid w:val="0095637F"/>
    <w:rsid w:val="0095640B"/>
    <w:rsid w:val="00956601"/>
    <w:rsid w:val="00956A8F"/>
    <w:rsid w:val="00956E34"/>
    <w:rsid w:val="00956FA3"/>
    <w:rsid w:val="00956FCB"/>
    <w:rsid w:val="00957146"/>
    <w:rsid w:val="00957357"/>
    <w:rsid w:val="0095737C"/>
    <w:rsid w:val="00957631"/>
    <w:rsid w:val="0095767B"/>
    <w:rsid w:val="00957682"/>
    <w:rsid w:val="009577FC"/>
    <w:rsid w:val="0095781E"/>
    <w:rsid w:val="009578F0"/>
    <w:rsid w:val="0095796F"/>
    <w:rsid w:val="00957A63"/>
    <w:rsid w:val="00957C2F"/>
    <w:rsid w:val="00957D37"/>
    <w:rsid w:val="0096018A"/>
    <w:rsid w:val="0096041C"/>
    <w:rsid w:val="00960456"/>
    <w:rsid w:val="00960633"/>
    <w:rsid w:val="009607C1"/>
    <w:rsid w:val="00960870"/>
    <w:rsid w:val="009609C2"/>
    <w:rsid w:val="00960B1B"/>
    <w:rsid w:val="00960BC9"/>
    <w:rsid w:val="00960DBC"/>
    <w:rsid w:val="00960E2F"/>
    <w:rsid w:val="00960E5B"/>
    <w:rsid w:val="00960F5F"/>
    <w:rsid w:val="0096108C"/>
    <w:rsid w:val="009611B8"/>
    <w:rsid w:val="0096167B"/>
    <w:rsid w:val="00961702"/>
    <w:rsid w:val="009617FB"/>
    <w:rsid w:val="0096187F"/>
    <w:rsid w:val="00961905"/>
    <w:rsid w:val="0096195B"/>
    <w:rsid w:val="00961AEC"/>
    <w:rsid w:val="00961C69"/>
    <w:rsid w:val="00961D2E"/>
    <w:rsid w:val="00961DCD"/>
    <w:rsid w:val="0096200D"/>
    <w:rsid w:val="00962164"/>
    <w:rsid w:val="009621EB"/>
    <w:rsid w:val="00962311"/>
    <w:rsid w:val="0096236D"/>
    <w:rsid w:val="009627DD"/>
    <w:rsid w:val="0096292F"/>
    <w:rsid w:val="009629CD"/>
    <w:rsid w:val="009629F3"/>
    <w:rsid w:val="00962A24"/>
    <w:rsid w:val="00962B72"/>
    <w:rsid w:val="00962CE6"/>
    <w:rsid w:val="00962D15"/>
    <w:rsid w:val="00962D25"/>
    <w:rsid w:val="00963073"/>
    <w:rsid w:val="00963171"/>
    <w:rsid w:val="009631AF"/>
    <w:rsid w:val="0096335A"/>
    <w:rsid w:val="009634D4"/>
    <w:rsid w:val="0096350D"/>
    <w:rsid w:val="009635DC"/>
    <w:rsid w:val="00963610"/>
    <w:rsid w:val="00963842"/>
    <w:rsid w:val="009639B0"/>
    <w:rsid w:val="00963A42"/>
    <w:rsid w:val="00963A94"/>
    <w:rsid w:val="00963AE9"/>
    <w:rsid w:val="00963B3B"/>
    <w:rsid w:val="00963B77"/>
    <w:rsid w:val="00963C9B"/>
    <w:rsid w:val="00963CD2"/>
    <w:rsid w:val="00963D3F"/>
    <w:rsid w:val="00963E54"/>
    <w:rsid w:val="00963ED0"/>
    <w:rsid w:val="00963FF9"/>
    <w:rsid w:val="00964397"/>
    <w:rsid w:val="0096474B"/>
    <w:rsid w:val="009647D6"/>
    <w:rsid w:val="009648E3"/>
    <w:rsid w:val="00964B0E"/>
    <w:rsid w:val="00964BEA"/>
    <w:rsid w:val="00964F88"/>
    <w:rsid w:val="00964FC3"/>
    <w:rsid w:val="00965060"/>
    <w:rsid w:val="0096524E"/>
    <w:rsid w:val="009655F7"/>
    <w:rsid w:val="009656AA"/>
    <w:rsid w:val="00965783"/>
    <w:rsid w:val="00965BD8"/>
    <w:rsid w:val="00965C7F"/>
    <w:rsid w:val="00965F73"/>
    <w:rsid w:val="00966002"/>
    <w:rsid w:val="0096613C"/>
    <w:rsid w:val="00966251"/>
    <w:rsid w:val="00966299"/>
    <w:rsid w:val="00966369"/>
    <w:rsid w:val="00966446"/>
    <w:rsid w:val="009665AF"/>
    <w:rsid w:val="00966693"/>
    <w:rsid w:val="009666A5"/>
    <w:rsid w:val="0096676F"/>
    <w:rsid w:val="009667EA"/>
    <w:rsid w:val="00966873"/>
    <w:rsid w:val="00966A33"/>
    <w:rsid w:val="00966BCB"/>
    <w:rsid w:val="00966C7C"/>
    <w:rsid w:val="00966D29"/>
    <w:rsid w:val="00966DA9"/>
    <w:rsid w:val="00966F62"/>
    <w:rsid w:val="00967069"/>
    <w:rsid w:val="0096719D"/>
    <w:rsid w:val="00967341"/>
    <w:rsid w:val="009673CD"/>
    <w:rsid w:val="009677DA"/>
    <w:rsid w:val="00967877"/>
    <w:rsid w:val="00967B2F"/>
    <w:rsid w:val="00967B7B"/>
    <w:rsid w:val="00967D42"/>
    <w:rsid w:val="00967DD7"/>
    <w:rsid w:val="00967E0B"/>
    <w:rsid w:val="00967E3E"/>
    <w:rsid w:val="00967E73"/>
    <w:rsid w:val="00967E9A"/>
    <w:rsid w:val="00967F07"/>
    <w:rsid w:val="00970156"/>
    <w:rsid w:val="00970237"/>
    <w:rsid w:val="0097038D"/>
    <w:rsid w:val="00970582"/>
    <w:rsid w:val="009705A6"/>
    <w:rsid w:val="00970644"/>
    <w:rsid w:val="00970657"/>
    <w:rsid w:val="009708BF"/>
    <w:rsid w:val="00970958"/>
    <w:rsid w:val="00970AB3"/>
    <w:rsid w:val="00970AE1"/>
    <w:rsid w:val="00970D30"/>
    <w:rsid w:val="00970FEB"/>
    <w:rsid w:val="00971152"/>
    <w:rsid w:val="009713F8"/>
    <w:rsid w:val="00971525"/>
    <w:rsid w:val="00971675"/>
    <w:rsid w:val="009717AF"/>
    <w:rsid w:val="00971953"/>
    <w:rsid w:val="00971BCD"/>
    <w:rsid w:val="00971D86"/>
    <w:rsid w:val="00971F1F"/>
    <w:rsid w:val="00972315"/>
    <w:rsid w:val="0097239D"/>
    <w:rsid w:val="00972405"/>
    <w:rsid w:val="009724E0"/>
    <w:rsid w:val="009725D3"/>
    <w:rsid w:val="00972600"/>
    <w:rsid w:val="0097296A"/>
    <w:rsid w:val="00972A3A"/>
    <w:rsid w:val="00972BDA"/>
    <w:rsid w:val="00972BDC"/>
    <w:rsid w:val="00972C2F"/>
    <w:rsid w:val="00972D15"/>
    <w:rsid w:val="00972FF1"/>
    <w:rsid w:val="009730BC"/>
    <w:rsid w:val="009733B6"/>
    <w:rsid w:val="009735A5"/>
    <w:rsid w:val="00973742"/>
    <w:rsid w:val="00973773"/>
    <w:rsid w:val="00973F4D"/>
    <w:rsid w:val="00973FD0"/>
    <w:rsid w:val="009742AF"/>
    <w:rsid w:val="009744F3"/>
    <w:rsid w:val="009745A2"/>
    <w:rsid w:val="00974643"/>
    <w:rsid w:val="009746BF"/>
    <w:rsid w:val="00974750"/>
    <w:rsid w:val="009749B0"/>
    <w:rsid w:val="009749EB"/>
    <w:rsid w:val="00974CC6"/>
    <w:rsid w:val="00974D20"/>
    <w:rsid w:val="00974D21"/>
    <w:rsid w:val="00974E58"/>
    <w:rsid w:val="00974FE3"/>
    <w:rsid w:val="00975166"/>
    <w:rsid w:val="00975234"/>
    <w:rsid w:val="00975249"/>
    <w:rsid w:val="00975302"/>
    <w:rsid w:val="009754CF"/>
    <w:rsid w:val="00975A64"/>
    <w:rsid w:val="00975B7A"/>
    <w:rsid w:val="00975CB5"/>
    <w:rsid w:val="00975D0D"/>
    <w:rsid w:val="00975F2C"/>
    <w:rsid w:val="0097634D"/>
    <w:rsid w:val="00976358"/>
    <w:rsid w:val="00976485"/>
    <w:rsid w:val="00976B6E"/>
    <w:rsid w:val="00976F67"/>
    <w:rsid w:val="00977107"/>
    <w:rsid w:val="00977404"/>
    <w:rsid w:val="00977732"/>
    <w:rsid w:val="009777CE"/>
    <w:rsid w:val="00977874"/>
    <w:rsid w:val="009779C6"/>
    <w:rsid w:val="00977D87"/>
    <w:rsid w:val="00977FAD"/>
    <w:rsid w:val="00977FE2"/>
    <w:rsid w:val="00977FF6"/>
    <w:rsid w:val="00980309"/>
    <w:rsid w:val="00980691"/>
    <w:rsid w:val="00980904"/>
    <w:rsid w:val="00980962"/>
    <w:rsid w:val="00980A30"/>
    <w:rsid w:val="00980B0D"/>
    <w:rsid w:val="00980BB3"/>
    <w:rsid w:val="00980F1C"/>
    <w:rsid w:val="00981032"/>
    <w:rsid w:val="009810D4"/>
    <w:rsid w:val="009813E3"/>
    <w:rsid w:val="009814A2"/>
    <w:rsid w:val="00981559"/>
    <w:rsid w:val="0098155C"/>
    <w:rsid w:val="00981780"/>
    <w:rsid w:val="009819AF"/>
    <w:rsid w:val="00981BD8"/>
    <w:rsid w:val="00981C9E"/>
    <w:rsid w:val="00981D7E"/>
    <w:rsid w:val="00981DDD"/>
    <w:rsid w:val="00981E22"/>
    <w:rsid w:val="00981E7A"/>
    <w:rsid w:val="00982230"/>
    <w:rsid w:val="00982298"/>
    <w:rsid w:val="009823E8"/>
    <w:rsid w:val="00982434"/>
    <w:rsid w:val="00982706"/>
    <w:rsid w:val="009827D6"/>
    <w:rsid w:val="00982812"/>
    <w:rsid w:val="009829D8"/>
    <w:rsid w:val="00982DD1"/>
    <w:rsid w:val="00982EF0"/>
    <w:rsid w:val="00983506"/>
    <w:rsid w:val="00983646"/>
    <w:rsid w:val="00983754"/>
    <w:rsid w:val="009837A8"/>
    <w:rsid w:val="009839AD"/>
    <w:rsid w:val="00983B46"/>
    <w:rsid w:val="00983F82"/>
    <w:rsid w:val="00984079"/>
    <w:rsid w:val="009841E6"/>
    <w:rsid w:val="009844E2"/>
    <w:rsid w:val="0098457B"/>
    <w:rsid w:val="00984A7F"/>
    <w:rsid w:val="0098529B"/>
    <w:rsid w:val="00985454"/>
    <w:rsid w:val="00985508"/>
    <w:rsid w:val="009855DB"/>
    <w:rsid w:val="009856EB"/>
    <w:rsid w:val="0098571A"/>
    <w:rsid w:val="00985935"/>
    <w:rsid w:val="00985B38"/>
    <w:rsid w:val="00985CEB"/>
    <w:rsid w:val="00985D5A"/>
    <w:rsid w:val="00985DBD"/>
    <w:rsid w:val="00985EE6"/>
    <w:rsid w:val="00986009"/>
    <w:rsid w:val="00986189"/>
    <w:rsid w:val="009862AA"/>
    <w:rsid w:val="009864B1"/>
    <w:rsid w:val="009864E7"/>
    <w:rsid w:val="009864EE"/>
    <w:rsid w:val="009868F1"/>
    <w:rsid w:val="00986958"/>
    <w:rsid w:val="00987097"/>
    <w:rsid w:val="009870DF"/>
    <w:rsid w:val="00987149"/>
    <w:rsid w:val="00987189"/>
    <w:rsid w:val="00987219"/>
    <w:rsid w:val="009873AA"/>
    <w:rsid w:val="009874DE"/>
    <w:rsid w:val="00987632"/>
    <w:rsid w:val="009876AC"/>
    <w:rsid w:val="009876F2"/>
    <w:rsid w:val="00987915"/>
    <w:rsid w:val="00987B71"/>
    <w:rsid w:val="00987F10"/>
    <w:rsid w:val="00987FC7"/>
    <w:rsid w:val="00990132"/>
    <w:rsid w:val="0099036A"/>
    <w:rsid w:val="009903C2"/>
    <w:rsid w:val="00990454"/>
    <w:rsid w:val="009905CC"/>
    <w:rsid w:val="009905EC"/>
    <w:rsid w:val="0099072D"/>
    <w:rsid w:val="0099077B"/>
    <w:rsid w:val="00990C2B"/>
    <w:rsid w:val="00990CF6"/>
    <w:rsid w:val="00990E3B"/>
    <w:rsid w:val="00990FA3"/>
    <w:rsid w:val="00991059"/>
    <w:rsid w:val="009911A6"/>
    <w:rsid w:val="0099132B"/>
    <w:rsid w:val="00991381"/>
    <w:rsid w:val="009915D7"/>
    <w:rsid w:val="00991668"/>
    <w:rsid w:val="00991763"/>
    <w:rsid w:val="0099178D"/>
    <w:rsid w:val="009918B9"/>
    <w:rsid w:val="00991A05"/>
    <w:rsid w:val="00991BAA"/>
    <w:rsid w:val="00991BC5"/>
    <w:rsid w:val="00991D4D"/>
    <w:rsid w:val="009920EA"/>
    <w:rsid w:val="0099211C"/>
    <w:rsid w:val="0099227E"/>
    <w:rsid w:val="00992452"/>
    <w:rsid w:val="00992608"/>
    <w:rsid w:val="009926D6"/>
    <w:rsid w:val="009927EC"/>
    <w:rsid w:val="00992818"/>
    <w:rsid w:val="00992B18"/>
    <w:rsid w:val="00992DC5"/>
    <w:rsid w:val="00993011"/>
    <w:rsid w:val="009932C1"/>
    <w:rsid w:val="0099353C"/>
    <w:rsid w:val="00993563"/>
    <w:rsid w:val="009938B8"/>
    <w:rsid w:val="009938FB"/>
    <w:rsid w:val="009939A6"/>
    <w:rsid w:val="00993E13"/>
    <w:rsid w:val="00993E48"/>
    <w:rsid w:val="00993E61"/>
    <w:rsid w:val="00994067"/>
    <w:rsid w:val="009940AD"/>
    <w:rsid w:val="009940C6"/>
    <w:rsid w:val="00994118"/>
    <w:rsid w:val="009943E2"/>
    <w:rsid w:val="00994514"/>
    <w:rsid w:val="00994578"/>
    <w:rsid w:val="00994A5C"/>
    <w:rsid w:val="00994AFC"/>
    <w:rsid w:val="00994B29"/>
    <w:rsid w:val="00994B33"/>
    <w:rsid w:val="00994B8A"/>
    <w:rsid w:val="00994BF0"/>
    <w:rsid w:val="00994D53"/>
    <w:rsid w:val="00994D7C"/>
    <w:rsid w:val="00994E07"/>
    <w:rsid w:val="009950F3"/>
    <w:rsid w:val="0099522A"/>
    <w:rsid w:val="009952FB"/>
    <w:rsid w:val="009954C3"/>
    <w:rsid w:val="0099551B"/>
    <w:rsid w:val="009957C6"/>
    <w:rsid w:val="009959BD"/>
    <w:rsid w:val="00995B4A"/>
    <w:rsid w:val="00995C29"/>
    <w:rsid w:val="00995D01"/>
    <w:rsid w:val="00995E0C"/>
    <w:rsid w:val="00995ECA"/>
    <w:rsid w:val="0099617F"/>
    <w:rsid w:val="00996321"/>
    <w:rsid w:val="009965F0"/>
    <w:rsid w:val="0099660A"/>
    <w:rsid w:val="00996801"/>
    <w:rsid w:val="00996EA6"/>
    <w:rsid w:val="00996EB4"/>
    <w:rsid w:val="0099701A"/>
    <w:rsid w:val="00997084"/>
    <w:rsid w:val="009970C7"/>
    <w:rsid w:val="009973FE"/>
    <w:rsid w:val="0099754E"/>
    <w:rsid w:val="0099764A"/>
    <w:rsid w:val="00997734"/>
    <w:rsid w:val="00997BCC"/>
    <w:rsid w:val="00997E5F"/>
    <w:rsid w:val="00997F15"/>
    <w:rsid w:val="00997F28"/>
    <w:rsid w:val="009A00CC"/>
    <w:rsid w:val="009A01A0"/>
    <w:rsid w:val="009A02C1"/>
    <w:rsid w:val="009A0326"/>
    <w:rsid w:val="009A032F"/>
    <w:rsid w:val="009A06EB"/>
    <w:rsid w:val="009A0780"/>
    <w:rsid w:val="009A08C7"/>
    <w:rsid w:val="009A0955"/>
    <w:rsid w:val="009A09F0"/>
    <w:rsid w:val="009A0B7E"/>
    <w:rsid w:val="009A0D12"/>
    <w:rsid w:val="009A0E6A"/>
    <w:rsid w:val="009A0FD0"/>
    <w:rsid w:val="009A1022"/>
    <w:rsid w:val="009A1364"/>
    <w:rsid w:val="009A1368"/>
    <w:rsid w:val="009A152C"/>
    <w:rsid w:val="009A162E"/>
    <w:rsid w:val="009A16DE"/>
    <w:rsid w:val="009A1720"/>
    <w:rsid w:val="009A1C22"/>
    <w:rsid w:val="009A1DEB"/>
    <w:rsid w:val="009A1E37"/>
    <w:rsid w:val="009A20CB"/>
    <w:rsid w:val="009A24C9"/>
    <w:rsid w:val="009A24D8"/>
    <w:rsid w:val="009A285E"/>
    <w:rsid w:val="009A2ADF"/>
    <w:rsid w:val="009A2AEA"/>
    <w:rsid w:val="009A2BA7"/>
    <w:rsid w:val="009A2F6C"/>
    <w:rsid w:val="009A341A"/>
    <w:rsid w:val="009A34A6"/>
    <w:rsid w:val="009A3595"/>
    <w:rsid w:val="009A36EC"/>
    <w:rsid w:val="009A374D"/>
    <w:rsid w:val="009A3802"/>
    <w:rsid w:val="009A384C"/>
    <w:rsid w:val="009A387D"/>
    <w:rsid w:val="009A3915"/>
    <w:rsid w:val="009A3A54"/>
    <w:rsid w:val="009A3BE7"/>
    <w:rsid w:val="009A3CF4"/>
    <w:rsid w:val="009A4114"/>
    <w:rsid w:val="009A42E6"/>
    <w:rsid w:val="009A4462"/>
    <w:rsid w:val="009A4516"/>
    <w:rsid w:val="009A4560"/>
    <w:rsid w:val="009A49E3"/>
    <w:rsid w:val="009A4C9D"/>
    <w:rsid w:val="009A4EDF"/>
    <w:rsid w:val="009A5327"/>
    <w:rsid w:val="009A53C3"/>
    <w:rsid w:val="009A55CD"/>
    <w:rsid w:val="009A5808"/>
    <w:rsid w:val="009A5ADC"/>
    <w:rsid w:val="009A5CF0"/>
    <w:rsid w:val="009A5D54"/>
    <w:rsid w:val="009A5D65"/>
    <w:rsid w:val="009A5F96"/>
    <w:rsid w:val="009A6331"/>
    <w:rsid w:val="009A646C"/>
    <w:rsid w:val="009A6671"/>
    <w:rsid w:val="009A6746"/>
    <w:rsid w:val="009A69FA"/>
    <w:rsid w:val="009A6B5E"/>
    <w:rsid w:val="009A6CD3"/>
    <w:rsid w:val="009A6FED"/>
    <w:rsid w:val="009A70EE"/>
    <w:rsid w:val="009A7437"/>
    <w:rsid w:val="009A74B3"/>
    <w:rsid w:val="009A79F5"/>
    <w:rsid w:val="009A7A3E"/>
    <w:rsid w:val="009A7AF2"/>
    <w:rsid w:val="009A7B30"/>
    <w:rsid w:val="009A7C90"/>
    <w:rsid w:val="009A7CB1"/>
    <w:rsid w:val="009A7F7A"/>
    <w:rsid w:val="009A7FC0"/>
    <w:rsid w:val="009B0288"/>
    <w:rsid w:val="009B02AE"/>
    <w:rsid w:val="009B05FD"/>
    <w:rsid w:val="009B06E6"/>
    <w:rsid w:val="009B075F"/>
    <w:rsid w:val="009B085E"/>
    <w:rsid w:val="009B08E4"/>
    <w:rsid w:val="009B0A77"/>
    <w:rsid w:val="009B0AE8"/>
    <w:rsid w:val="009B0B55"/>
    <w:rsid w:val="009B0DC5"/>
    <w:rsid w:val="009B0E57"/>
    <w:rsid w:val="009B0EF5"/>
    <w:rsid w:val="009B10AF"/>
    <w:rsid w:val="009B1195"/>
    <w:rsid w:val="009B12E6"/>
    <w:rsid w:val="009B14B0"/>
    <w:rsid w:val="009B15A1"/>
    <w:rsid w:val="009B16E0"/>
    <w:rsid w:val="009B1713"/>
    <w:rsid w:val="009B1978"/>
    <w:rsid w:val="009B19E9"/>
    <w:rsid w:val="009B1A45"/>
    <w:rsid w:val="009B1A79"/>
    <w:rsid w:val="009B1DB7"/>
    <w:rsid w:val="009B1F1F"/>
    <w:rsid w:val="009B20F2"/>
    <w:rsid w:val="009B2192"/>
    <w:rsid w:val="009B2409"/>
    <w:rsid w:val="009B24ED"/>
    <w:rsid w:val="009B25F0"/>
    <w:rsid w:val="009B26A2"/>
    <w:rsid w:val="009B28AC"/>
    <w:rsid w:val="009B28DF"/>
    <w:rsid w:val="009B2B30"/>
    <w:rsid w:val="009B2D19"/>
    <w:rsid w:val="009B2D37"/>
    <w:rsid w:val="009B2DB3"/>
    <w:rsid w:val="009B312A"/>
    <w:rsid w:val="009B3355"/>
    <w:rsid w:val="009B39A0"/>
    <w:rsid w:val="009B39D4"/>
    <w:rsid w:val="009B3B89"/>
    <w:rsid w:val="009B3BE4"/>
    <w:rsid w:val="009B3C4E"/>
    <w:rsid w:val="009B3EF6"/>
    <w:rsid w:val="009B40E0"/>
    <w:rsid w:val="009B410F"/>
    <w:rsid w:val="009B42D2"/>
    <w:rsid w:val="009B476B"/>
    <w:rsid w:val="009B493B"/>
    <w:rsid w:val="009B4961"/>
    <w:rsid w:val="009B49D8"/>
    <w:rsid w:val="009B4A5A"/>
    <w:rsid w:val="009B4ACB"/>
    <w:rsid w:val="009B5078"/>
    <w:rsid w:val="009B50B1"/>
    <w:rsid w:val="009B5122"/>
    <w:rsid w:val="009B5196"/>
    <w:rsid w:val="009B532A"/>
    <w:rsid w:val="009B534E"/>
    <w:rsid w:val="009B536F"/>
    <w:rsid w:val="009B5479"/>
    <w:rsid w:val="009B5631"/>
    <w:rsid w:val="009B5667"/>
    <w:rsid w:val="009B573A"/>
    <w:rsid w:val="009B573F"/>
    <w:rsid w:val="009B58B5"/>
    <w:rsid w:val="009B5912"/>
    <w:rsid w:val="009B5A51"/>
    <w:rsid w:val="009B5C6E"/>
    <w:rsid w:val="009B5E90"/>
    <w:rsid w:val="009B6177"/>
    <w:rsid w:val="009B62ED"/>
    <w:rsid w:val="009B636C"/>
    <w:rsid w:val="009B65F2"/>
    <w:rsid w:val="009B67FD"/>
    <w:rsid w:val="009B685D"/>
    <w:rsid w:val="009B6A62"/>
    <w:rsid w:val="009B6CC8"/>
    <w:rsid w:val="009B6FA9"/>
    <w:rsid w:val="009B7053"/>
    <w:rsid w:val="009B7180"/>
    <w:rsid w:val="009B7222"/>
    <w:rsid w:val="009B737C"/>
    <w:rsid w:val="009B73A4"/>
    <w:rsid w:val="009B750A"/>
    <w:rsid w:val="009B760F"/>
    <w:rsid w:val="009B7730"/>
    <w:rsid w:val="009B77B1"/>
    <w:rsid w:val="009B7CCE"/>
    <w:rsid w:val="009B7D68"/>
    <w:rsid w:val="009B7F4B"/>
    <w:rsid w:val="009C026B"/>
    <w:rsid w:val="009C0336"/>
    <w:rsid w:val="009C04AB"/>
    <w:rsid w:val="009C0667"/>
    <w:rsid w:val="009C06C2"/>
    <w:rsid w:val="009C07D9"/>
    <w:rsid w:val="009C09B9"/>
    <w:rsid w:val="009C0A27"/>
    <w:rsid w:val="009C0A53"/>
    <w:rsid w:val="009C0A5F"/>
    <w:rsid w:val="009C0DF6"/>
    <w:rsid w:val="009C0E4E"/>
    <w:rsid w:val="009C1030"/>
    <w:rsid w:val="009C1033"/>
    <w:rsid w:val="009C10AF"/>
    <w:rsid w:val="009C1461"/>
    <w:rsid w:val="009C1784"/>
    <w:rsid w:val="009C1881"/>
    <w:rsid w:val="009C18E9"/>
    <w:rsid w:val="009C1925"/>
    <w:rsid w:val="009C1BD6"/>
    <w:rsid w:val="009C1CCA"/>
    <w:rsid w:val="009C1EA3"/>
    <w:rsid w:val="009C2101"/>
    <w:rsid w:val="009C210E"/>
    <w:rsid w:val="009C2160"/>
    <w:rsid w:val="009C21C4"/>
    <w:rsid w:val="009C235E"/>
    <w:rsid w:val="009C24F4"/>
    <w:rsid w:val="009C2534"/>
    <w:rsid w:val="009C266D"/>
    <w:rsid w:val="009C28F5"/>
    <w:rsid w:val="009C2B1E"/>
    <w:rsid w:val="009C2C03"/>
    <w:rsid w:val="009C2C3B"/>
    <w:rsid w:val="009C2DE1"/>
    <w:rsid w:val="009C2FBE"/>
    <w:rsid w:val="009C2FC6"/>
    <w:rsid w:val="009C3204"/>
    <w:rsid w:val="009C33F9"/>
    <w:rsid w:val="009C3648"/>
    <w:rsid w:val="009C36DD"/>
    <w:rsid w:val="009C39BC"/>
    <w:rsid w:val="009C39F2"/>
    <w:rsid w:val="009C3A6B"/>
    <w:rsid w:val="009C3BA6"/>
    <w:rsid w:val="009C3EAF"/>
    <w:rsid w:val="009C442F"/>
    <w:rsid w:val="009C47B5"/>
    <w:rsid w:val="009C4B35"/>
    <w:rsid w:val="009C4BA4"/>
    <w:rsid w:val="009C4D5A"/>
    <w:rsid w:val="009C4E39"/>
    <w:rsid w:val="009C5170"/>
    <w:rsid w:val="009C51D5"/>
    <w:rsid w:val="009C527A"/>
    <w:rsid w:val="009C539B"/>
    <w:rsid w:val="009C53CB"/>
    <w:rsid w:val="009C5411"/>
    <w:rsid w:val="009C54E0"/>
    <w:rsid w:val="009C5667"/>
    <w:rsid w:val="009C56FB"/>
    <w:rsid w:val="009C5C80"/>
    <w:rsid w:val="009C5C98"/>
    <w:rsid w:val="009C5CF7"/>
    <w:rsid w:val="009C5D04"/>
    <w:rsid w:val="009C5E6F"/>
    <w:rsid w:val="009C602B"/>
    <w:rsid w:val="009C6096"/>
    <w:rsid w:val="009C60DD"/>
    <w:rsid w:val="009C6124"/>
    <w:rsid w:val="009C6148"/>
    <w:rsid w:val="009C6275"/>
    <w:rsid w:val="009C6661"/>
    <w:rsid w:val="009C69DD"/>
    <w:rsid w:val="009C6D6C"/>
    <w:rsid w:val="009C6DDC"/>
    <w:rsid w:val="009C6FC1"/>
    <w:rsid w:val="009C70CE"/>
    <w:rsid w:val="009C71B4"/>
    <w:rsid w:val="009C726E"/>
    <w:rsid w:val="009C73C4"/>
    <w:rsid w:val="009C7460"/>
    <w:rsid w:val="009C762E"/>
    <w:rsid w:val="009C77F2"/>
    <w:rsid w:val="009C781C"/>
    <w:rsid w:val="009C7862"/>
    <w:rsid w:val="009C79CB"/>
    <w:rsid w:val="009C7A4D"/>
    <w:rsid w:val="009C7AA9"/>
    <w:rsid w:val="009C7EE9"/>
    <w:rsid w:val="009C7F4F"/>
    <w:rsid w:val="009D010A"/>
    <w:rsid w:val="009D0199"/>
    <w:rsid w:val="009D01AB"/>
    <w:rsid w:val="009D01AF"/>
    <w:rsid w:val="009D022D"/>
    <w:rsid w:val="009D024B"/>
    <w:rsid w:val="009D02CC"/>
    <w:rsid w:val="009D04EE"/>
    <w:rsid w:val="009D0553"/>
    <w:rsid w:val="009D06B4"/>
    <w:rsid w:val="009D0A9B"/>
    <w:rsid w:val="009D0BCD"/>
    <w:rsid w:val="009D0CE1"/>
    <w:rsid w:val="009D0F30"/>
    <w:rsid w:val="009D11E0"/>
    <w:rsid w:val="009D13AB"/>
    <w:rsid w:val="009D1CE2"/>
    <w:rsid w:val="009D1D0D"/>
    <w:rsid w:val="009D1D89"/>
    <w:rsid w:val="009D1DC0"/>
    <w:rsid w:val="009D1E5D"/>
    <w:rsid w:val="009D1EF8"/>
    <w:rsid w:val="009D204F"/>
    <w:rsid w:val="009D2112"/>
    <w:rsid w:val="009D21DA"/>
    <w:rsid w:val="009D228E"/>
    <w:rsid w:val="009D2293"/>
    <w:rsid w:val="009D242D"/>
    <w:rsid w:val="009D2795"/>
    <w:rsid w:val="009D2ABD"/>
    <w:rsid w:val="009D2C00"/>
    <w:rsid w:val="009D2C3B"/>
    <w:rsid w:val="009D2CC5"/>
    <w:rsid w:val="009D2D96"/>
    <w:rsid w:val="009D2E8E"/>
    <w:rsid w:val="009D31FD"/>
    <w:rsid w:val="009D3351"/>
    <w:rsid w:val="009D3477"/>
    <w:rsid w:val="009D36F2"/>
    <w:rsid w:val="009D3775"/>
    <w:rsid w:val="009D38CA"/>
    <w:rsid w:val="009D3B98"/>
    <w:rsid w:val="009D3CBB"/>
    <w:rsid w:val="009D418A"/>
    <w:rsid w:val="009D42C0"/>
    <w:rsid w:val="009D432A"/>
    <w:rsid w:val="009D45C5"/>
    <w:rsid w:val="009D4676"/>
    <w:rsid w:val="009D4BBB"/>
    <w:rsid w:val="009D4D33"/>
    <w:rsid w:val="009D4FBC"/>
    <w:rsid w:val="009D50B5"/>
    <w:rsid w:val="009D511B"/>
    <w:rsid w:val="009D5153"/>
    <w:rsid w:val="009D5483"/>
    <w:rsid w:val="009D5757"/>
    <w:rsid w:val="009D5902"/>
    <w:rsid w:val="009D5BC9"/>
    <w:rsid w:val="009D5C1F"/>
    <w:rsid w:val="009D5CDB"/>
    <w:rsid w:val="009D5FB5"/>
    <w:rsid w:val="009D607B"/>
    <w:rsid w:val="009D60A9"/>
    <w:rsid w:val="009D643C"/>
    <w:rsid w:val="009D6634"/>
    <w:rsid w:val="009D673E"/>
    <w:rsid w:val="009D6769"/>
    <w:rsid w:val="009D68C0"/>
    <w:rsid w:val="009D69C8"/>
    <w:rsid w:val="009D6A23"/>
    <w:rsid w:val="009D6A7E"/>
    <w:rsid w:val="009D6B4D"/>
    <w:rsid w:val="009D6BE6"/>
    <w:rsid w:val="009D6EEF"/>
    <w:rsid w:val="009D6F2F"/>
    <w:rsid w:val="009D6FBF"/>
    <w:rsid w:val="009D702D"/>
    <w:rsid w:val="009D7111"/>
    <w:rsid w:val="009D713E"/>
    <w:rsid w:val="009D71A1"/>
    <w:rsid w:val="009D7252"/>
    <w:rsid w:val="009D7711"/>
    <w:rsid w:val="009D77B0"/>
    <w:rsid w:val="009D77E0"/>
    <w:rsid w:val="009D7ABA"/>
    <w:rsid w:val="009D7AFB"/>
    <w:rsid w:val="009D7E2B"/>
    <w:rsid w:val="009D7E89"/>
    <w:rsid w:val="009D7E9B"/>
    <w:rsid w:val="009D7FB7"/>
    <w:rsid w:val="009E0323"/>
    <w:rsid w:val="009E0554"/>
    <w:rsid w:val="009E05D7"/>
    <w:rsid w:val="009E0695"/>
    <w:rsid w:val="009E06F0"/>
    <w:rsid w:val="009E0748"/>
    <w:rsid w:val="009E07D1"/>
    <w:rsid w:val="009E10CC"/>
    <w:rsid w:val="009E1438"/>
    <w:rsid w:val="009E15CC"/>
    <w:rsid w:val="009E168D"/>
    <w:rsid w:val="009E1864"/>
    <w:rsid w:val="009E1A20"/>
    <w:rsid w:val="009E1A67"/>
    <w:rsid w:val="009E1B6B"/>
    <w:rsid w:val="009E1E37"/>
    <w:rsid w:val="009E2235"/>
    <w:rsid w:val="009E23C5"/>
    <w:rsid w:val="009E2457"/>
    <w:rsid w:val="009E24C6"/>
    <w:rsid w:val="009E2537"/>
    <w:rsid w:val="009E2555"/>
    <w:rsid w:val="009E2818"/>
    <w:rsid w:val="009E298C"/>
    <w:rsid w:val="009E2AE4"/>
    <w:rsid w:val="009E2B49"/>
    <w:rsid w:val="009E2B69"/>
    <w:rsid w:val="009E2B7F"/>
    <w:rsid w:val="009E2C08"/>
    <w:rsid w:val="009E2CF0"/>
    <w:rsid w:val="009E2DE6"/>
    <w:rsid w:val="009E2E8B"/>
    <w:rsid w:val="009E30C6"/>
    <w:rsid w:val="009E33E9"/>
    <w:rsid w:val="009E3486"/>
    <w:rsid w:val="009E3652"/>
    <w:rsid w:val="009E37BB"/>
    <w:rsid w:val="009E3AC9"/>
    <w:rsid w:val="009E3C0E"/>
    <w:rsid w:val="009E3E60"/>
    <w:rsid w:val="009E3F5F"/>
    <w:rsid w:val="009E3FB3"/>
    <w:rsid w:val="009E402F"/>
    <w:rsid w:val="009E4203"/>
    <w:rsid w:val="009E4251"/>
    <w:rsid w:val="009E44AA"/>
    <w:rsid w:val="009E46E0"/>
    <w:rsid w:val="009E4786"/>
    <w:rsid w:val="009E4895"/>
    <w:rsid w:val="009E4897"/>
    <w:rsid w:val="009E489C"/>
    <w:rsid w:val="009E4AEA"/>
    <w:rsid w:val="009E4D23"/>
    <w:rsid w:val="009E4D9F"/>
    <w:rsid w:val="009E5382"/>
    <w:rsid w:val="009E54FD"/>
    <w:rsid w:val="009E5500"/>
    <w:rsid w:val="009E5664"/>
    <w:rsid w:val="009E5810"/>
    <w:rsid w:val="009E5963"/>
    <w:rsid w:val="009E5CB7"/>
    <w:rsid w:val="009E5FEA"/>
    <w:rsid w:val="009E5FFE"/>
    <w:rsid w:val="009E601A"/>
    <w:rsid w:val="009E622E"/>
    <w:rsid w:val="009E6342"/>
    <w:rsid w:val="009E6674"/>
    <w:rsid w:val="009E67CB"/>
    <w:rsid w:val="009E68C9"/>
    <w:rsid w:val="009E6BE8"/>
    <w:rsid w:val="009E6BED"/>
    <w:rsid w:val="009E6E33"/>
    <w:rsid w:val="009E72A5"/>
    <w:rsid w:val="009E744E"/>
    <w:rsid w:val="009E74F3"/>
    <w:rsid w:val="009E759C"/>
    <w:rsid w:val="009E75EB"/>
    <w:rsid w:val="009E76EB"/>
    <w:rsid w:val="009E7734"/>
    <w:rsid w:val="009E785E"/>
    <w:rsid w:val="009E7C71"/>
    <w:rsid w:val="009E7CB7"/>
    <w:rsid w:val="009E7F68"/>
    <w:rsid w:val="009E7F6C"/>
    <w:rsid w:val="009E7FAC"/>
    <w:rsid w:val="009F0343"/>
    <w:rsid w:val="009F0420"/>
    <w:rsid w:val="009F0424"/>
    <w:rsid w:val="009F0503"/>
    <w:rsid w:val="009F0925"/>
    <w:rsid w:val="009F0983"/>
    <w:rsid w:val="009F0A1A"/>
    <w:rsid w:val="009F0D0B"/>
    <w:rsid w:val="009F0DB3"/>
    <w:rsid w:val="009F0E51"/>
    <w:rsid w:val="009F1047"/>
    <w:rsid w:val="009F1219"/>
    <w:rsid w:val="009F121E"/>
    <w:rsid w:val="009F135D"/>
    <w:rsid w:val="009F14AF"/>
    <w:rsid w:val="009F14E2"/>
    <w:rsid w:val="009F1877"/>
    <w:rsid w:val="009F18A2"/>
    <w:rsid w:val="009F18E9"/>
    <w:rsid w:val="009F1B7E"/>
    <w:rsid w:val="009F1BC8"/>
    <w:rsid w:val="009F1F09"/>
    <w:rsid w:val="009F23C8"/>
    <w:rsid w:val="009F245A"/>
    <w:rsid w:val="009F264E"/>
    <w:rsid w:val="009F272B"/>
    <w:rsid w:val="009F2A4E"/>
    <w:rsid w:val="009F2ADA"/>
    <w:rsid w:val="009F2B8D"/>
    <w:rsid w:val="009F2DB4"/>
    <w:rsid w:val="009F31C4"/>
    <w:rsid w:val="009F330B"/>
    <w:rsid w:val="009F337D"/>
    <w:rsid w:val="009F3437"/>
    <w:rsid w:val="009F3893"/>
    <w:rsid w:val="009F38CA"/>
    <w:rsid w:val="009F3983"/>
    <w:rsid w:val="009F3B3C"/>
    <w:rsid w:val="009F3B9B"/>
    <w:rsid w:val="009F3BB2"/>
    <w:rsid w:val="009F3C44"/>
    <w:rsid w:val="009F3CB2"/>
    <w:rsid w:val="009F41A3"/>
    <w:rsid w:val="009F4312"/>
    <w:rsid w:val="009F46CB"/>
    <w:rsid w:val="009F4713"/>
    <w:rsid w:val="009F4F10"/>
    <w:rsid w:val="009F5232"/>
    <w:rsid w:val="009F52C8"/>
    <w:rsid w:val="009F539A"/>
    <w:rsid w:val="009F5513"/>
    <w:rsid w:val="009F554A"/>
    <w:rsid w:val="009F56A1"/>
    <w:rsid w:val="009F5799"/>
    <w:rsid w:val="009F5825"/>
    <w:rsid w:val="009F58AC"/>
    <w:rsid w:val="009F58DC"/>
    <w:rsid w:val="009F5A04"/>
    <w:rsid w:val="009F5B82"/>
    <w:rsid w:val="009F6005"/>
    <w:rsid w:val="009F62CC"/>
    <w:rsid w:val="009F6375"/>
    <w:rsid w:val="009F64B9"/>
    <w:rsid w:val="009F654D"/>
    <w:rsid w:val="009F66B9"/>
    <w:rsid w:val="009F66CC"/>
    <w:rsid w:val="009F67E4"/>
    <w:rsid w:val="009F6995"/>
    <w:rsid w:val="009F69D6"/>
    <w:rsid w:val="009F6A3F"/>
    <w:rsid w:val="009F6B8A"/>
    <w:rsid w:val="009F6C34"/>
    <w:rsid w:val="009F6CBE"/>
    <w:rsid w:val="009F701A"/>
    <w:rsid w:val="009F713A"/>
    <w:rsid w:val="009F720B"/>
    <w:rsid w:val="009F7317"/>
    <w:rsid w:val="009F74D1"/>
    <w:rsid w:val="009F75C0"/>
    <w:rsid w:val="009F7757"/>
    <w:rsid w:val="009F77A2"/>
    <w:rsid w:val="009F7B78"/>
    <w:rsid w:val="009F7B95"/>
    <w:rsid w:val="009F7C86"/>
    <w:rsid w:val="009F7DC5"/>
    <w:rsid w:val="009F7DCB"/>
    <w:rsid w:val="009F7F48"/>
    <w:rsid w:val="009F7F5C"/>
    <w:rsid w:val="00A00162"/>
    <w:rsid w:val="00A003B0"/>
    <w:rsid w:val="00A00546"/>
    <w:rsid w:val="00A0069D"/>
    <w:rsid w:val="00A00783"/>
    <w:rsid w:val="00A00A68"/>
    <w:rsid w:val="00A00C08"/>
    <w:rsid w:val="00A00C2C"/>
    <w:rsid w:val="00A00D62"/>
    <w:rsid w:val="00A00D76"/>
    <w:rsid w:val="00A01234"/>
    <w:rsid w:val="00A01360"/>
    <w:rsid w:val="00A0136C"/>
    <w:rsid w:val="00A0139B"/>
    <w:rsid w:val="00A013E9"/>
    <w:rsid w:val="00A013EE"/>
    <w:rsid w:val="00A016A1"/>
    <w:rsid w:val="00A01E48"/>
    <w:rsid w:val="00A01F5E"/>
    <w:rsid w:val="00A01F62"/>
    <w:rsid w:val="00A02157"/>
    <w:rsid w:val="00A022AB"/>
    <w:rsid w:val="00A02660"/>
    <w:rsid w:val="00A02795"/>
    <w:rsid w:val="00A02826"/>
    <w:rsid w:val="00A028F5"/>
    <w:rsid w:val="00A029D2"/>
    <w:rsid w:val="00A032D5"/>
    <w:rsid w:val="00A033AD"/>
    <w:rsid w:val="00A03444"/>
    <w:rsid w:val="00A03810"/>
    <w:rsid w:val="00A038F0"/>
    <w:rsid w:val="00A039B8"/>
    <w:rsid w:val="00A03F73"/>
    <w:rsid w:val="00A0420B"/>
    <w:rsid w:val="00A043BD"/>
    <w:rsid w:val="00A04406"/>
    <w:rsid w:val="00A0447C"/>
    <w:rsid w:val="00A047A4"/>
    <w:rsid w:val="00A047C5"/>
    <w:rsid w:val="00A049E5"/>
    <w:rsid w:val="00A04A7C"/>
    <w:rsid w:val="00A04A97"/>
    <w:rsid w:val="00A04AD2"/>
    <w:rsid w:val="00A04CD4"/>
    <w:rsid w:val="00A04EDA"/>
    <w:rsid w:val="00A04FC6"/>
    <w:rsid w:val="00A05119"/>
    <w:rsid w:val="00A053C2"/>
    <w:rsid w:val="00A05680"/>
    <w:rsid w:val="00A05870"/>
    <w:rsid w:val="00A059BD"/>
    <w:rsid w:val="00A059C3"/>
    <w:rsid w:val="00A05C4A"/>
    <w:rsid w:val="00A05D01"/>
    <w:rsid w:val="00A05D0C"/>
    <w:rsid w:val="00A05F13"/>
    <w:rsid w:val="00A05F70"/>
    <w:rsid w:val="00A05FCB"/>
    <w:rsid w:val="00A05FD1"/>
    <w:rsid w:val="00A0629D"/>
    <w:rsid w:val="00A06825"/>
    <w:rsid w:val="00A06A3C"/>
    <w:rsid w:val="00A06CA6"/>
    <w:rsid w:val="00A06CC3"/>
    <w:rsid w:val="00A06CD5"/>
    <w:rsid w:val="00A06DB2"/>
    <w:rsid w:val="00A06EDC"/>
    <w:rsid w:val="00A06F44"/>
    <w:rsid w:val="00A06FF0"/>
    <w:rsid w:val="00A0704D"/>
    <w:rsid w:val="00A073A9"/>
    <w:rsid w:val="00A073EE"/>
    <w:rsid w:val="00A0750F"/>
    <w:rsid w:val="00A075C0"/>
    <w:rsid w:val="00A07602"/>
    <w:rsid w:val="00A0763B"/>
    <w:rsid w:val="00A07742"/>
    <w:rsid w:val="00A078D2"/>
    <w:rsid w:val="00A079F7"/>
    <w:rsid w:val="00A07A31"/>
    <w:rsid w:val="00A07AE0"/>
    <w:rsid w:val="00A07AF4"/>
    <w:rsid w:val="00A07B43"/>
    <w:rsid w:val="00A07C19"/>
    <w:rsid w:val="00A07CCE"/>
    <w:rsid w:val="00A07D46"/>
    <w:rsid w:val="00A07EA2"/>
    <w:rsid w:val="00A100F2"/>
    <w:rsid w:val="00A10135"/>
    <w:rsid w:val="00A1014E"/>
    <w:rsid w:val="00A101EB"/>
    <w:rsid w:val="00A1049C"/>
    <w:rsid w:val="00A104F2"/>
    <w:rsid w:val="00A106F3"/>
    <w:rsid w:val="00A1073E"/>
    <w:rsid w:val="00A109F2"/>
    <w:rsid w:val="00A10E1D"/>
    <w:rsid w:val="00A10F66"/>
    <w:rsid w:val="00A11181"/>
    <w:rsid w:val="00A113B1"/>
    <w:rsid w:val="00A114F0"/>
    <w:rsid w:val="00A11768"/>
    <w:rsid w:val="00A11E56"/>
    <w:rsid w:val="00A11F33"/>
    <w:rsid w:val="00A123CC"/>
    <w:rsid w:val="00A124B3"/>
    <w:rsid w:val="00A126DC"/>
    <w:rsid w:val="00A1270F"/>
    <w:rsid w:val="00A129F5"/>
    <w:rsid w:val="00A12B50"/>
    <w:rsid w:val="00A12C7B"/>
    <w:rsid w:val="00A12CAE"/>
    <w:rsid w:val="00A12E18"/>
    <w:rsid w:val="00A12E33"/>
    <w:rsid w:val="00A12EEF"/>
    <w:rsid w:val="00A12F25"/>
    <w:rsid w:val="00A12F87"/>
    <w:rsid w:val="00A131AE"/>
    <w:rsid w:val="00A1322B"/>
    <w:rsid w:val="00A13668"/>
    <w:rsid w:val="00A136F8"/>
    <w:rsid w:val="00A1371C"/>
    <w:rsid w:val="00A13751"/>
    <w:rsid w:val="00A137CF"/>
    <w:rsid w:val="00A139AF"/>
    <w:rsid w:val="00A13A55"/>
    <w:rsid w:val="00A13DEE"/>
    <w:rsid w:val="00A13EAA"/>
    <w:rsid w:val="00A13F11"/>
    <w:rsid w:val="00A141B3"/>
    <w:rsid w:val="00A14400"/>
    <w:rsid w:val="00A1442F"/>
    <w:rsid w:val="00A145A2"/>
    <w:rsid w:val="00A147AD"/>
    <w:rsid w:val="00A14896"/>
    <w:rsid w:val="00A14A20"/>
    <w:rsid w:val="00A14A95"/>
    <w:rsid w:val="00A14B65"/>
    <w:rsid w:val="00A14EBE"/>
    <w:rsid w:val="00A150C4"/>
    <w:rsid w:val="00A150E2"/>
    <w:rsid w:val="00A1559D"/>
    <w:rsid w:val="00A1564B"/>
    <w:rsid w:val="00A156F3"/>
    <w:rsid w:val="00A1577F"/>
    <w:rsid w:val="00A158FC"/>
    <w:rsid w:val="00A15A19"/>
    <w:rsid w:val="00A15AC9"/>
    <w:rsid w:val="00A15DB1"/>
    <w:rsid w:val="00A15E0C"/>
    <w:rsid w:val="00A160ED"/>
    <w:rsid w:val="00A16183"/>
    <w:rsid w:val="00A161A1"/>
    <w:rsid w:val="00A163A5"/>
    <w:rsid w:val="00A16520"/>
    <w:rsid w:val="00A16685"/>
    <w:rsid w:val="00A16732"/>
    <w:rsid w:val="00A16870"/>
    <w:rsid w:val="00A16BFD"/>
    <w:rsid w:val="00A16DAB"/>
    <w:rsid w:val="00A16DC6"/>
    <w:rsid w:val="00A16E91"/>
    <w:rsid w:val="00A170A0"/>
    <w:rsid w:val="00A172C2"/>
    <w:rsid w:val="00A173D3"/>
    <w:rsid w:val="00A176CC"/>
    <w:rsid w:val="00A176CF"/>
    <w:rsid w:val="00A1775F"/>
    <w:rsid w:val="00A17D4E"/>
    <w:rsid w:val="00A17F7A"/>
    <w:rsid w:val="00A20299"/>
    <w:rsid w:val="00A20458"/>
    <w:rsid w:val="00A207C2"/>
    <w:rsid w:val="00A2092C"/>
    <w:rsid w:val="00A20AEC"/>
    <w:rsid w:val="00A20C97"/>
    <w:rsid w:val="00A20CA6"/>
    <w:rsid w:val="00A20D52"/>
    <w:rsid w:val="00A20D9E"/>
    <w:rsid w:val="00A20F37"/>
    <w:rsid w:val="00A21198"/>
    <w:rsid w:val="00A2153A"/>
    <w:rsid w:val="00A21701"/>
    <w:rsid w:val="00A21713"/>
    <w:rsid w:val="00A217D7"/>
    <w:rsid w:val="00A219A5"/>
    <w:rsid w:val="00A219D7"/>
    <w:rsid w:val="00A21BE8"/>
    <w:rsid w:val="00A21D42"/>
    <w:rsid w:val="00A21D63"/>
    <w:rsid w:val="00A21FF9"/>
    <w:rsid w:val="00A224FB"/>
    <w:rsid w:val="00A22524"/>
    <w:rsid w:val="00A2293E"/>
    <w:rsid w:val="00A22E90"/>
    <w:rsid w:val="00A22F4C"/>
    <w:rsid w:val="00A23090"/>
    <w:rsid w:val="00A23506"/>
    <w:rsid w:val="00A23574"/>
    <w:rsid w:val="00A2359C"/>
    <w:rsid w:val="00A23601"/>
    <w:rsid w:val="00A237DD"/>
    <w:rsid w:val="00A237FA"/>
    <w:rsid w:val="00A2382C"/>
    <w:rsid w:val="00A23873"/>
    <w:rsid w:val="00A23AB3"/>
    <w:rsid w:val="00A23B8C"/>
    <w:rsid w:val="00A23BA6"/>
    <w:rsid w:val="00A23C4F"/>
    <w:rsid w:val="00A23CE0"/>
    <w:rsid w:val="00A23D71"/>
    <w:rsid w:val="00A2412F"/>
    <w:rsid w:val="00A24282"/>
    <w:rsid w:val="00A2428D"/>
    <w:rsid w:val="00A243E2"/>
    <w:rsid w:val="00A2477E"/>
    <w:rsid w:val="00A24B13"/>
    <w:rsid w:val="00A24BFE"/>
    <w:rsid w:val="00A24D92"/>
    <w:rsid w:val="00A24DF4"/>
    <w:rsid w:val="00A250EA"/>
    <w:rsid w:val="00A25A53"/>
    <w:rsid w:val="00A25A5C"/>
    <w:rsid w:val="00A25C72"/>
    <w:rsid w:val="00A25CF2"/>
    <w:rsid w:val="00A25EF6"/>
    <w:rsid w:val="00A25F93"/>
    <w:rsid w:val="00A2600A"/>
    <w:rsid w:val="00A26108"/>
    <w:rsid w:val="00A26291"/>
    <w:rsid w:val="00A2636A"/>
    <w:rsid w:val="00A26505"/>
    <w:rsid w:val="00A26612"/>
    <w:rsid w:val="00A267A4"/>
    <w:rsid w:val="00A26803"/>
    <w:rsid w:val="00A26847"/>
    <w:rsid w:val="00A268CE"/>
    <w:rsid w:val="00A26A1E"/>
    <w:rsid w:val="00A26B34"/>
    <w:rsid w:val="00A26CA3"/>
    <w:rsid w:val="00A2717A"/>
    <w:rsid w:val="00A2728A"/>
    <w:rsid w:val="00A272BA"/>
    <w:rsid w:val="00A272C8"/>
    <w:rsid w:val="00A27415"/>
    <w:rsid w:val="00A27434"/>
    <w:rsid w:val="00A27A42"/>
    <w:rsid w:val="00A27C5C"/>
    <w:rsid w:val="00A27CF6"/>
    <w:rsid w:val="00A27F11"/>
    <w:rsid w:val="00A30316"/>
    <w:rsid w:val="00A30437"/>
    <w:rsid w:val="00A30439"/>
    <w:rsid w:val="00A30559"/>
    <w:rsid w:val="00A305D2"/>
    <w:rsid w:val="00A306A4"/>
    <w:rsid w:val="00A3089C"/>
    <w:rsid w:val="00A30AE0"/>
    <w:rsid w:val="00A30AF6"/>
    <w:rsid w:val="00A30C59"/>
    <w:rsid w:val="00A30C7B"/>
    <w:rsid w:val="00A30D7B"/>
    <w:rsid w:val="00A30E7D"/>
    <w:rsid w:val="00A31211"/>
    <w:rsid w:val="00A31808"/>
    <w:rsid w:val="00A31829"/>
    <w:rsid w:val="00A31880"/>
    <w:rsid w:val="00A3195D"/>
    <w:rsid w:val="00A31987"/>
    <w:rsid w:val="00A31B24"/>
    <w:rsid w:val="00A31BB2"/>
    <w:rsid w:val="00A31DA5"/>
    <w:rsid w:val="00A31E12"/>
    <w:rsid w:val="00A31F38"/>
    <w:rsid w:val="00A31FCA"/>
    <w:rsid w:val="00A321BB"/>
    <w:rsid w:val="00A32389"/>
    <w:rsid w:val="00A324CD"/>
    <w:rsid w:val="00A32778"/>
    <w:rsid w:val="00A32798"/>
    <w:rsid w:val="00A3296E"/>
    <w:rsid w:val="00A32B0B"/>
    <w:rsid w:val="00A32BFE"/>
    <w:rsid w:val="00A32C3F"/>
    <w:rsid w:val="00A32F43"/>
    <w:rsid w:val="00A332EE"/>
    <w:rsid w:val="00A3333A"/>
    <w:rsid w:val="00A33402"/>
    <w:rsid w:val="00A33697"/>
    <w:rsid w:val="00A33A21"/>
    <w:rsid w:val="00A33A29"/>
    <w:rsid w:val="00A33A44"/>
    <w:rsid w:val="00A33B42"/>
    <w:rsid w:val="00A33C46"/>
    <w:rsid w:val="00A33D3A"/>
    <w:rsid w:val="00A33E5B"/>
    <w:rsid w:val="00A34401"/>
    <w:rsid w:val="00A34687"/>
    <w:rsid w:val="00A346D0"/>
    <w:rsid w:val="00A3473A"/>
    <w:rsid w:val="00A3484E"/>
    <w:rsid w:val="00A348AF"/>
    <w:rsid w:val="00A3490B"/>
    <w:rsid w:val="00A34A5C"/>
    <w:rsid w:val="00A34B15"/>
    <w:rsid w:val="00A34BE1"/>
    <w:rsid w:val="00A34C23"/>
    <w:rsid w:val="00A34E1A"/>
    <w:rsid w:val="00A34EBF"/>
    <w:rsid w:val="00A34F0A"/>
    <w:rsid w:val="00A35214"/>
    <w:rsid w:val="00A3539E"/>
    <w:rsid w:val="00A355C3"/>
    <w:rsid w:val="00A3575C"/>
    <w:rsid w:val="00A3582B"/>
    <w:rsid w:val="00A35A17"/>
    <w:rsid w:val="00A35A96"/>
    <w:rsid w:val="00A35AE5"/>
    <w:rsid w:val="00A35D36"/>
    <w:rsid w:val="00A35E46"/>
    <w:rsid w:val="00A362F5"/>
    <w:rsid w:val="00A3630B"/>
    <w:rsid w:val="00A36335"/>
    <w:rsid w:val="00A36891"/>
    <w:rsid w:val="00A36A75"/>
    <w:rsid w:val="00A36C34"/>
    <w:rsid w:val="00A36E1B"/>
    <w:rsid w:val="00A36EEC"/>
    <w:rsid w:val="00A3708E"/>
    <w:rsid w:val="00A37147"/>
    <w:rsid w:val="00A371A0"/>
    <w:rsid w:val="00A374BD"/>
    <w:rsid w:val="00A3750A"/>
    <w:rsid w:val="00A375B2"/>
    <w:rsid w:val="00A37604"/>
    <w:rsid w:val="00A37721"/>
    <w:rsid w:val="00A37855"/>
    <w:rsid w:val="00A37BA8"/>
    <w:rsid w:val="00A37F02"/>
    <w:rsid w:val="00A40043"/>
    <w:rsid w:val="00A4031D"/>
    <w:rsid w:val="00A40320"/>
    <w:rsid w:val="00A404D1"/>
    <w:rsid w:val="00A404D2"/>
    <w:rsid w:val="00A40588"/>
    <w:rsid w:val="00A4058B"/>
    <w:rsid w:val="00A405D7"/>
    <w:rsid w:val="00A406C9"/>
    <w:rsid w:val="00A40D55"/>
    <w:rsid w:val="00A40D64"/>
    <w:rsid w:val="00A41068"/>
    <w:rsid w:val="00A4109E"/>
    <w:rsid w:val="00A41125"/>
    <w:rsid w:val="00A41141"/>
    <w:rsid w:val="00A41293"/>
    <w:rsid w:val="00A4143E"/>
    <w:rsid w:val="00A41455"/>
    <w:rsid w:val="00A4148B"/>
    <w:rsid w:val="00A41494"/>
    <w:rsid w:val="00A414E2"/>
    <w:rsid w:val="00A415C4"/>
    <w:rsid w:val="00A416ED"/>
    <w:rsid w:val="00A4180E"/>
    <w:rsid w:val="00A41844"/>
    <w:rsid w:val="00A4194D"/>
    <w:rsid w:val="00A41A92"/>
    <w:rsid w:val="00A41B44"/>
    <w:rsid w:val="00A41C77"/>
    <w:rsid w:val="00A41F92"/>
    <w:rsid w:val="00A42131"/>
    <w:rsid w:val="00A422A4"/>
    <w:rsid w:val="00A42912"/>
    <w:rsid w:val="00A429E9"/>
    <w:rsid w:val="00A42E39"/>
    <w:rsid w:val="00A42FB1"/>
    <w:rsid w:val="00A430C0"/>
    <w:rsid w:val="00A43102"/>
    <w:rsid w:val="00A43133"/>
    <w:rsid w:val="00A431D1"/>
    <w:rsid w:val="00A43279"/>
    <w:rsid w:val="00A4329B"/>
    <w:rsid w:val="00A433E5"/>
    <w:rsid w:val="00A43512"/>
    <w:rsid w:val="00A43B25"/>
    <w:rsid w:val="00A43B30"/>
    <w:rsid w:val="00A43B65"/>
    <w:rsid w:val="00A43DC7"/>
    <w:rsid w:val="00A43E06"/>
    <w:rsid w:val="00A43FC7"/>
    <w:rsid w:val="00A43FE6"/>
    <w:rsid w:val="00A440F1"/>
    <w:rsid w:val="00A44114"/>
    <w:rsid w:val="00A44367"/>
    <w:rsid w:val="00A443E5"/>
    <w:rsid w:val="00A44484"/>
    <w:rsid w:val="00A447B4"/>
    <w:rsid w:val="00A4487D"/>
    <w:rsid w:val="00A44B38"/>
    <w:rsid w:val="00A44B8F"/>
    <w:rsid w:val="00A44D06"/>
    <w:rsid w:val="00A44EDB"/>
    <w:rsid w:val="00A44F60"/>
    <w:rsid w:val="00A45166"/>
    <w:rsid w:val="00A45438"/>
    <w:rsid w:val="00A4559A"/>
    <w:rsid w:val="00A455B3"/>
    <w:rsid w:val="00A456AA"/>
    <w:rsid w:val="00A457F2"/>
    <w:rsid w:val="00A45868"/>
    <w:rsid w:val="00A45B17"/>
    <w:rsid w:val="00A45C73"/>
    <w:rsid w:val="00A4613F"/>
    <w:rsid w:val="00A46265"/>
    <w:rsid w:val="00A462D9"/>
    <w:rsid w:val="00A463FB"/>
    <w:rsid w:val="00A464CC"/>
    <w:rsid w:val="00A46694"/>
    <w:rsid w:val="00A46A7B"/>
    <w:rsid w:val="00A46D9F"/>
    <w:rsid w:val="00A46EBB"/>
    <w:rsid w:val="00A46FB4"/>
    <w:rsid w:val="00A46FF1"/>
    <w:rsid w:val="00A472A1"/>
    <w:rsid w:val="00A4741C"/>
    <w:rsid w:val="00A4743E"/>
    <w:rsid w:val="00A4778E"/>
    <w:rsid w:val="00A47B48"/>
    <w:rsid w:val="00A47C79"/>
    <w:rsid w:val="00A47D5E"/>
    <w:rsid w:val="00A47EAD"/>
    <w:rsid w:val="00A500EF"/>
    <w:rsid w:val="00A50195"/>
    <w:rsid w:val="00A50401"/>
    <w:rsid w:val="00A50484"/>
    <w:rsid w:val="00A50498"/>
    <w:rsid w:val="00A5050C"/>
    <w:rsid w:val="00A505E6"/>
    <w:rsid w:val="00A506C7"/>
    <w:rsid w:val="00A508E3"/>
    <w:rsid w:val="00A5099C"/>
    <w:rsid w:val="00A509CB"/>
    <w:rsid w:val="00A509CF"/>
    <w:rsid w:val="00A50D16"/>
    <w:rsid w:val="00A50D18"/>
    <w:rsid w:val="00A50EC3"/>
    <w:rsid w:val="00A5100D"/>
    <w:rsid w:val="00A5111C"/>
    <w:rsid w:val="00A51183"/>
    <w:rsid w:val="00A514C8"/>
    <w:rsid w:val="00A5153B"/>
    <w:rsid w:val="00A516EB"/>
    <w:rsid w:val="00A517C4"/>
    <w:rsid w:val="00A51816"/>
    <w:rsid w:val="00A51AAA"/>
    <w:rsid w:val="00A51CAD"/>
    <w:rsid w:val="00A521D2"/>
    <w:rsid w:val="00A527CC"/>
    <w:rsid w:val="00A52982"/>
    <w:rsid w:val="00A529B1"/>
    <w:rsid w:val="00A52A4E"/>
    <w:rsid w:val="00A52BAF"/>
    <w:rsid w:val="00A52BBC"/>
    <w:rsid w:val="00A52C94"/>
    <w:rsid w:val="00A52D65"/>
    <w:rsid w:val="00A52DBC"/>
    <w:rsid w:val="00A52E9A"/>
    <w:rsid w:val="00A52EE4"/>
    <w:rsid w:val="00A53018"/>
    <w:rsid w:val="00A53031"/>
    <w:rsid w:val="00A5328F"/>
    <w:rsid w:val="00A5338B"/>
    <w:rsid w:val="00A535A0"/>
    <w:rsid w:val="00A53682"/>
    <w:rsid w:val="00A5378E"/>
    <w:rsid w:val="00A53808"/>
    <w:rsid w:val="00A53BC7"/>
    <w:rsid w:val="00A53C42"/>
    <w:rsid w:val="00A53D38"/>
    <w:rsid w:val="00A54041"/>
    <w:rsid w:val="00A542BE"/>
    <w:rsid w:val="00A5458E"/>
    <w:rsid w:val="00A54841"/>
    <w:rsid w:val="00A548FE"/>
    <w:rsid w:val="00A54CA7"/>
    <w:rsid w:val="00A54D24"/>
    <w:rsid w:val="00A54E5A"/>
    <w:rsid w:val="00A54EFC"/>
    <w:rsid w:val="00A54F02"/>
    <w:rsid w:val="00A5532B"/>
    <w:rsid w:val="00A55333"/>
    <w:rsid w:val="00A553DE"/>
    <w:rsid w:val="00A55413"/>
    <w:rsid w:val="00A554AF"/>
    <w:rsid w:val="00A55501"/>
    <w:rsid w:val="00A5556F"/>
    <w:rsid w:val="00A5558F"/>
    <w:rsid w:val="00A55599"/>
    <w:rsid w:val="00A555B2"/>
    <w:rsid w:val="00A55671"/>
    <w:rsid w:val="00A556B5"/>
    <w:rsid w:val="00A557C0"/>
    <w:rsid w:val="00A55A1C"/>
    <w:rsid w:val="00A55B0E"/>
    <w:rsid w:val="00A55BAC"/>
    <w:rsid w:val="00A55E27"/>
    <w:rsid w:val="00A56093"/>
    <w:rsid w:val="00A5609B"/>
    <w:rsid w:val="00A560E5"/>
    <w:rsid w:val="00A56535"/>
    <w:rsid w:val="00A5687D"/>
    <w:rsid w:val="00A5698C"/>
    <w:rsid w:val="00A56B5E"/>
    <w:rsid w:val="00A56D17"/>
    <w:rsid w:val="00A56E30"/>
    <w:rsid w:val="00A56E50"/>
    <w:rsid w:val="00A56F9E"/>
    <w:rsid w:val="00A57173"/>
    <w:rsid w:val="00A57278"/>
    <w:rsid w:val="00A57320"/>
    <w:rsid w:val="00A573AD"/>
    <w:rsid w:val="00A573D7"/>
    <w:rsid w:val="00A57561"/>
    <w:rsid w:val="00A575E8"/>
    <w:rsid w:val="00A576EC"/>
    <w:rsid w:val="00A57794"/>
    <w:rsid w:val="00A57D29"/>
    <w:rsid w:val="00A57F21"/>
    <w:rsid w:val="00A60271"/>
    <w:rsid w:val="00A602EC"/>
    <w:rsid w:val="00A605FB"/>
    <w:rsid w:val="00A606C6"/>
    <w:rsid w:val="00A60B42"/>
    <w:rsid w:val="00A60B94"/>
    <w:rsid w:val="00A60C83"/>
    <w:rsid w:val="00A60F43"/>
    <w:rsid w:val="00A6109C"/>
    <w:rsid w:val="00A61439"/>
    <w:rsid w:val="00A61674"/>
    <w:rsid w:val="00A617AA"/>
    <w:rsid w:val="00A6185B"/>
    <w:rsid w:val="00A61C8B"/>
    <w:rsid w:val="00A61DAF"/>
    <w:rsid w:val="00A61E09"/>
    <w:rsid w:val="00A61E3C"/>
    <w:rsid w:val="00A61EA7"/>
    <w:rsid w:val="00A61FCB"/>
    <w:rsid w:val="00A6207D"/>
    <w:rsid w:val="00A620C2"/>
    <w:rsid w:val="00A620E9"/>
    <w:rsid w:val="00A62274"/>
    <w:rsid w:val="00A622AD"/>
    <w:rsid w:val="00A622F4"/>
    <w:rsid w:val="00A625B5"/>
    <w:rsid w:val="00A625B6"/>
    <w:rsid w:val="00A62882"/>
    <w:rsid w:val="00A62C58"/>
    <w:rsid w:val="00A62D31"/>
    <w:rsid w:val="00A62EF7"/>
    <w:rsid w:val="00A630B2"/>
    <w:rsid w:val="00A6335E"/>
    <w:rsid w:val="00A63382"/>
    <w:rsid w:val="00A633FA"/>
    <w:rsid w:val="00A63630"/>
    <w:rsid w:val="00A63984"/>
    <w:rsid w:val="00A63A0D"/>
    <w:rsid w:val="00A63A4A"/>
    <w:rsid w:val="00A63B1C"/>
    <w:rsid w:val="00A63B39"/>
    <w:rsid w:val="00A63CE7"/>
    <w:rsid w:val="00A64561"/>
    <w:rsid w:val="00A64562"/>
    <w:rsid w:val="00A6479A"/>
    <w:rsid w:val="00A64948"/>
    <w:rsid w:val="00A64A0D"/>
    <w:rsid w:val="00A64A59"/>
    <w:rsid w:val="00A64D08"/>
    <w:rsid w:val="00A64DEA"/>
    <w:rsid w:val="00A64FFE"/>
    <w:rsid w:val="00A65414"/>
    <w:rsid w:val="00A65429"/>
    <w:rsid w:val="00A6568F"/>
    <w:rsid w:val="00A656CF"/>
    <w:rsid w:val="00A65815"/>
    <w:rsid w:val="00A65874"/>
    <w:rsid w:val="00A65A88"/>
    <w:rsid w:val="00A65BA9"/>
    <w:rsid w:val="00A65BE3"/>
    <w:rsid w:val="00A6617A"/>
    <w:rsid w:val="00A66225"/>
    <w:rsid w:val="00A6624E"/>
    <w:rsid w:val="00A663B1"/>
    <w:rsid w:val="00A6642A"/>
    <w:rsid w:val="00A66462"/>
    <w:rsid w:val="00A665B3"/>
    <w:rsid w:val="00A66780"/>
    <w:rsid w:val="00A66A80"/>
    <w:rsid w:val="00A66AE5"/>
    <w:rsid w:val="00A66B22"/>
    <w:rsid w:val="00A66F7D"/>
    <w:rsid w:val="00A67246"/>
    <w:rsid w:val="00A67598"/>
    <w:rsid w:val="00A675DB"/>
    <w:rsid w:val="00A675E3"/>
    <w:rsid w:val="00A6782A"/>
    <w:rsid w:val="00A67B5F"/>
    <w:rsid w:val="00A67CB4"/>
    <w:rsid w:val="00A67D28"/>
    <w:rsid w:val="00A7016C"/>
    <w:rsid w:val="00A70196"/>
    <w:rsid w:val="00A705FF"/>
    <w:rsid w:val="00A7069B"/>
    <w:rsid w:val="00A70B0C"/>
    <w:rsid w:val="00A70C00"/>
    <w:rsid w:val="00A70C47"/>
    <w:rsid w:val="00A70D1D"/>
    <w:rsid w:val="00A70D36"/>
    <w:rsid w:val="00A70D86"/>
    <w:rsid w:val="00A70D93"/>
    <w:rsid w:val="00A7103A"/>
    <w:rsid w:val="00A7109E"/>
    <w:rsid w:val="00A713CA"/>
    <w:rsid w:val="00A71475"/>
    <w:rsid w:val="00A71485"/>
    <w:rsid w:val="00A71795"/>
    <w:rsid w:val="00A718F1"/>
    <w:rsid w:val="00A71B7F"/>
    <w:rsid w:val="00A71B92"/>
    <w:rsid w:val="00A71EA1"/>
    <w:rsid w:val="00A71FAE"/>
    <w:rsid w:val="00A720C6"/>
    <w:rsid w:val="00A72278"/>
    <w:rsid w:val="00A7241D"/>
    <w:rsid w:val="00A72744"/>
    <w:rsid w:val="00A728D9"/>
    <w:rsid w:val="00A72DB7"/>
    <w:rsid w:val="00A72ED0"/>
    <w:rsid w:val="00A731DD"/>
    <w:rsid w:val="00A7391B"/>
    <w:rsid w:val="00A739A5"/>
    <w:rsid w:val="00A73A2C"/>
    <w:rsid w:val="00A73C0F"/>
    <w:rsid w:val="00A73CDC"/>
    <w:rsid w:val="00A73F34"/>
    <w:rsid w:val="00A74125"/>
    <w:rsid w:val="00A7438A"/>
    <w:rsid w:val="00A743FA"/>
    <w:rsid w:val="00A74530"/>
    <w:rsid w:val="00A745E4"/>
    <w:rsid w:val="00A746B7"/>
    <w:rsid w:val="00A747B5"/>
    <w:rsid w:val="00A74838"/>
    <w:rsid w:val="00A7496A"/>
    <w:rsid w:val="00A74B21"/>
    <w:rsid w:val="00A74BAF"/>
    <w:rsid w:val="00A74BCB"/>
    <w:rsid w:val="00A74C93"/>
    <w:rsid w:val="00A74D65"/>
    <w:rsid w:val="00A74E35"/>
    <w:rsid w:val="00A74E81"/>
    <w:rsid w:val="00A7513D"/>
    <w:rsid w:val="00A751E5"/>
    <w:rsid w:val="00A754D2"/>
    <w:rsid w:val="00A75501"/>
    <w:rsid w:val="00A755C1"/>
    <w:rsid w:val="00A75F31"/>
    <w:rsid w:val="00A75F7D"/>
    <w:rsid w:val="00A760A9"/>
    <w:rsid w:val="00A760C3"/>
    <w:rsid w:val="00A7626D"/>
    <w:rsid w:val="00A76525"/>
    <w:rsid w:val="00A765F9"/>
    <w:rsid w:val="00A76813"/>
    <w:rsid w:val="00A768E6"/>
    <w:rsid w:val="00A76914"/>
    <w:rsid w:val="00A76A5F"/>
    <w:rsid w:val="00A76B9C"/>
    <w:rsid w:val="00A76D37"/>
    <w:rsid w:val="00A76EA9"/>
    <w:rsid w:val="00A76EB3"/>
    <w:rsid w:val="00A7732E"/>
    <w:rsid w:val="00A77390"/>
    <w:rsid w:val="00A773DE"/>
    <w:rsid w:val="00A7746E"/>
    <w:rsid w:val="00A77488"/>
    <w:rsid w:val="00A77576"/>
    <w:rsid w:val="00A77678"/>
    <w:rsid w:val="00A77855"/>
    <w:rsid w:val="00A778E4"/>
    <w:rsid w:val="00A77C6F"/>
    <w:rsid w:val="00A77DBC"/>
    <w:rsid w:val="00A77EE0"/>
    <w:rsid w:val="00A802AB"/>
    <w:rsid w:val="00A804CE"/>
    <w:rsid w:val="00A80786"/>
    <w:rsid w:val="00A809D8"/>
    <w:rsid w:val="00A80BD8"/>
    <w:rsid w:val="00A80ED5"/>
    <w:rsid w:val="00A80FE1"/>
    <w:rsid w:val="00A812D4"/>
    <w:rsid w:val="00A8155D"/>
    <w:rsid w:val="00A8167A"/>
    <w:rsid w:val="00A81888"/>
    <w:rsid w:val="00A81A19"/>
    <w:rsid w:val="00A81A59"/>
    <w:rsid w:val="00A81A68"/>
    <w:rsid w:val="00A81A6B"/>
    <w:rsid w:val="00A81C4B"/>
    <w:rsid w:val="00A81E7D"/>
    <w:rsid w:val="00A82193"/>
    <w:rsid w:val="00A823C2"/>
    <w:rsid w:val="00A82869"/>
    <w:rsid w:val="00A82942"/>
    <w:rsid w:val="00A829E5"/>
    <w:rsid w:val="00A82A24"/>
    <w:rsid w:val="00A82AB0"/>
    <w:rsid w:val="00A82B69"/>
    <w:rsid w:val="00A82C6A"/>
    <w:rsid w:val="00A82EB5"/>
    <w:rsid w:val="00A830A0"/>
    <w:rsid w:val="00A830BD"/>
    <w:rsid w:val="00A830CB"/>
    <w:rsid w:val="00A836DE"/>
    <w:rsid w:val="00A83796"/>
    <w:rsid w:val="00A838B9"/>
    <w:rsid w:val="00A83998"/>
    <w:rsid w:val="00A83D0B"/>
    <w:rsid w:val="00A83D3E"/>
    <w:rsid w:val="00A83D85"/>
    <w:rsid w:val="00A83E9B"/>
    <w:rsid w:val="00A83F2B"/>
    <w:rsid w:val="00A83FCC"/>
    <w:rsid w:val="00A840B7"/>
    <w:rsid w:val="00A8413D"/>
    <w:rsid w:val="00A841C9"/>
    <w:rsid w:val="00A84465"/>
    <w:rsid w:val="00A844BA"/>
    <w:rsid w:val="00A8458F"/>
    <w:rsid w:val="00A84649"/>
    <w:rsid w:val="00A84745"/>
    <w:rsid w:val="00A847DC"/>
    <w:rsid w:val="00A84847"/>
    <w:rsid w:val="00A84939"/>
    <w:rsid w:val="00A849DA"/>
    <w:rsid w:val="00A84B00"/>
    <w:rsid w:val="00A84B4B"/>
    <w:rsid w:val="00A84B84"/>
    <w:rsid w:val="00A85017"/>
    <w:rsid w:val="00A85448"/>
    <w:rsid w:val="00A85565"/>
    <w:rsid w:val="00A85573"/>
    <w:rsid w:val="00A8567A"/>
    <w:rsid w:val="00A85CE9"/>
    <w:rsid w:val="00A85D62"/>
    <w:rsid w:val="00A85E14"/>
    <w:rsid w:val="00A85EF9"/>
    <w:rsid w:val="00A85F56"/>
    <w:rsid w:val="00A86018"/>
    <w:rsid w:val="00A86169"/>
    <w:rsid w:val="00A8624B"/>
    <w:rsid w:val="00A86A47"/>
    <w:rsid w:val="00A86AF0"/>
    <w:rsid w:val="00A86BB5"/>
    <w:rsid w:val="00A86E66"/>
    <w:rsid w:val="00A86FB6"/>
    <w:rsid w:val="00A86FF3"/>
    <w:rsid w:val="00A873F1"/>
    <w:rsid w:val="00A87453"/>
    <w:rsid w:val="00A8774F"/>
    <w:rsid w:val="00A877C8"/>
    <w:rsid w:val="00A8796D"/>
    <w:rsid w:val="00A87B1E"/>
    <w:rsid w:val="00A902EB"/>
    <w:rsid w:val="00A90328"/>
    <w:rsid w:val="00A90414"/>
    <w:rsid w:val="00A905F3"/>
    <w:rsid w:val="00A9067B"/>
    <w:rsid w:val="00A9068A"/>
    <w:rsid w:val="00A9083B"/>
    <w:rsid w:val="00A90D35"/>
    <w:rsid w:val="00A90D52"/>
    <w:rsid w:val="00A90D9E"/>
    <w:rsid w:val="00A90F2A"/>
    <w:rsid w:val="00A90F7C"/>
    <w:rsid w:val="00A910CF"/>
    <w:rsid w:val="00A91584"/>
    <w:rsid w:val="00A9172D"/>
    <w:rsid w:val="00A91B5C"/>
    <w:rsid w:val="00A91B70"/>
    <w:rsid w:val="00A91E14"/>
    <w:rsid w:val="00A91F02"/>
    <w:rsid w:val="00A92046"/>
    <w:rsid w:val="00A920C4"/>
    <w:rsid w:val="00A92242"/>
    <w:rsid w:val="00A92558"/>
    <w:rsid w:val="00A9282F"/>
    <w:rsid w:val="00A929AE"/>
    <w:rsid w:val="00A92B8C"/>
    <w:rsid w:val="00A92C1A"/>
    <w:rsid w:val="00A92DA8"/>
    <w:rsid w:val="00A92DEC"/>
    <w:rsid w:val="00A93179"/>
    <w:rsid w:val="00A933A3"/>
    <w:rsid w:val="00A93458"/>
    <w:rsid w:val="00A93479"/>
    <w:rsid w:val="00A93521"/>
    <w:rsid w:val="00A93621"/>
    <w:rsid w:val="00A937E3"/>
    <w:rsid w:val="00A93BC5"/>
    <w:rsid w:val="00A93D8E"/>
    <w:rsid w:val="00A94195"/>
    <w:rsid w:val="00A94204"/>
    <w:rsid w:val="00A94506"/>
    <w:rsid w:val="00A9452C"/>
    <w:rsid w:val="00A94894"/>
    <w:rsid w:val="00A94948"/>
    <w:rsid w:val="00A949D6"/>
    <w:rsid w:val="00A949F1"/>
    <w:rsid w:val="00A949F3"/>
    <w:rsid w:val="00A949F9"/>
    <w:rsid w:val="00A94BA6"/>
    <w:rsid w:val="00A94E86"/>
    <w:rsid w:val="00A94E9C"/>
    <w:rsid w:val="00A955FD"/>
    <w:rsid w:val="00A95658"/>
    <w:rsid w:val="00A956CF"/>
    <w:rsid w:val="00A9575F"/>
    <w:rsid w:val="00A95811"/>
    <w:rsid w:val="00A9585B"/>
    <w:rsid w:val="00A95938"/>
    <w:rsid w:val="00A959B9"/>
    <w:rsid w:val="00A95A1A"/>
    <w:rsid w:val="00A95BED"/>
    <w:rsid w:val="00A95C00"/>
    <w:rsid w:val="00A95CE1"/>
    <w:rsid w:val="00A95EED"/>
    <w:rsid w:val="00A9619F"/>
    <w:rsid w:val="00A9631B"/>
    <w:rsid w:val="00A96399"/>
    <w:rsid w:val="00A96541"/>
    <w:rsid w:val="00A96843"/>
    <w:rsid w:val="00A968E2"/>
    <w:rsid w:val="00A96BCA"/>
    <w:rsid w:val="00A96DBF"/>
    <w:rsid w:val="00A96F41"/>
    <w:rsid w:val="00A973EC"/>
    <w:rsid w:val="00A97451"/>
    <w:rsid w:val="00A9771C"/>
    <w:rsid w:val="00A97806"/>
    <w:rsid w:val="00A97931"/>
    <w:rsid w:val="00A97A24"/>
    <w:rsid w:val="00A97D51"/>
    <w:rsid w:val="00A97DAF"/>
    <w:rsid w:val="00AA01FB"/>
    <w:rsid w:val="00AA032A"/>
    <w:rsid w:val="00AA0466"/>
    <w:rsid w:val="00AA05A3"/>
    <w:rsid w:val="00AA0618"/>
    <w:rsid w:val="00AA0633"/>
    <w:rsid w:val="00AA083E"/>
    <w:rsid w:val="00AA0962"/>
    <w:rsid w:val="00AA0BBB"/>
    <w:rsid w:val="00AA0D76"/>
    <w:rsid w:val="00AA0E82"/>
    <w:rsid w:val="00AA146E"/>
    <w:rsid w:val="00AA1520"/>
    <w:rsid w:val="00AA16E1"/>
    <w:rsid w:val="00AA1766"/>
    <w:rsid w:val="00AA17AD"/>
    <w:rsid w:val="00AA1814"/>
    <w:rsid w:val="00AA1859"/>
    <w:rsid w:val="00AA1BDC"/>
    <w:rsid w:val="00AA1C06"/>
    <w:rsid w:val="00AA1E18"/>
    <w:rsid w:val="00AA1E26"/>
    <w:rsid w:val="00AA1F0D"/>
    <w:rsid w:val="00AA1FB4"/>
    <w:rsid w:val="00AA2142"/>
    <w:rsid w:val="00AA21A5"/>
    <w:rsid w:val="00AA21CE"/>
    <w:rsid w:val="00AA235E"/>
    <w:rsid w:val="00AA23A8"/>
    <w:rsid w:val="00AA2455"/>
    <w:rsid w:val="00AA255F"/>
    <w:rsid w:val="00AA26DE"/>
    <w:rsid w:val="00AA2C15"/>
    <w:rsid w:val="00AA3195"/>
    <w:rsid w:val="00AA354C"/>
    <w:rsid w:val="00AA362C"/>
    <w:rsid w:val="00AA3700"/>
    <w:rsid w:val="00AA373A"/>
    <w:rsid w:val="00AA387B"/>
    <w:rsid w:val="00AA3AA2"/>
    <w:rsid w:val="00AA454E"/>
    <w:rsid w:val="00AA46A8"/>
    <w:rsid w:val="00AA47A9"/>
    <w:rsid w:val="00AA48BB"/>
    <w:rsid w:val="00AA49A4"/>
    <w:rsid w:val="00AA49A7"/>
    <w:rsid w:val="00AA4ABE"/>
    <w:rsid w:val="00AA4C84"/>
    <w:rsid w:val="00AA4C96"/>
    <w:rsid w:val="00AA4D24"/>
    <w:rsid w:val="00AA4DA8"/>
    <w:rsid w:val="00AA50AC"/>
    <w:rsid w:val="00AA515D"/>
    <w:rsid w:val="00AA51D6"/>
    <w:rsid w:val="00AA56F8"/>
    <w:rsid w:val="00AA5907"/>
    <w:rsid w:val="00AA5932"/>
    <w:rsid w:val="00AA5AD3"/>
    <w:rsid w:val="00AA5AD6"/>
    <w:rsid w:val="00AA5DA5"/>
    <w:rsid w:val="00AA5E49"/>
    <w:rsid w:val="00AA5F5B"/>
    <w:rsid w:val="00AA600E"/>
    <w:rsid w:val="00AA6079"/>
    <w:rsid w:val="00AA6106"/>
    <w:rsid w:val="00AA611F"/>
    <w:rsid w:val="00AA631E"/>
    <w:rsid w:val="00AA638E"/>
    <w:rsid w:val="00AA6431"/>
    <w:rsid w:val="00AA644A"/>
    <w:rsid w:val="00AA646A"/>
    <w:rsid w:val="00AA6607"/>
    <w:rsid w:val="00AA66A2"/>
    <w:rsid w:val="00AA6723"/>
    <w:rsid w:val="00AA678C"/>
    <w:rsid w:val="00AA6BA5"/>
    <w:rsid w:val="00AA6E39"/>
    <w:rsid w:val="00AA706C"/>
    <w:rsid w:val="00AA7134"/>
    <w:rsid w:val="00AA7347"/>
    <w:rsid w:val="00AA74A4"/>
    <w:rsid w:val="00AA75A3"/>
    <w:rsid w:val="00AA75BF"/>
    <w:rsid w:val="00AA7C36"/>
    <w:rsid w:val="00AA7C3B"/>
    <w:rsid w:val="00AA7CCB"/>
    <w:rsid w:val="00AA7EE3"/>
    <w:rsid w:val="00AA7FCE"/>
    <w:rsid w:val="00AA7FF6"/>
    <w:rsid w:val="00AB005C"/>
    <w:rsid w:val="00AB00E9"/>
    <w:rsid w:val="00AB02A8"/>
    <w:rsid w:val="00AB03EE"/>
    <w:rsid w:val="00AB044E"/>
    <w:rsid w:val="00AB0758"/>
    <w:rsid w:val="00AB0A37"/>
    <w:rsid w:val="00AB0A8E"/>
    <w:rsid w:val="00AB0B69"/>
    <w:rsid w:val="00AB0DAD"/>
    <w:rsid w:val="00AB0F3E"/>
    <w:rsid w:val="00AB1042"/>
    <w:rsid w:val="00AB1338"/>
    <w:rsid w:val="00AB1592"/>
    <w:rsid w:val="00AB16E2"/>
    <w:rsid w:val="00AB1867"/>
    <w:rsid w:val="00AB1898"/>
    <w:rsid w:val="00AB1E29"/>
    <w:rsid w:val="00AB20CB"/>
    <w:rsid w:val="00AB22CA"/>
    <w:rsid w:val="00AB25AB"/>
    <w:rsid w:val="00AB26AD"/>
    <w:rsid w:val="00AB280D"/>
    <w:rsid w:val="00AB2830"/>
    <w:rsid w:val="00AB287C"/>
    <w:rsid w:val="00AB28A8"/>
    <w:rsid w:val="00AB28CB"/>
    <w:rsid w:val="00AB29A4"/>
    <w:rsid w:val="00AB2A1D"/>
    <w:rsid w:val="00AB2C32"/>
    <w:rsid w:val="00AB3165"/>
    <w:rsid w:val="00AB3211"/>
    <w:rsid w:val="00AB32AF"/>
    <w:rsid w:val="00AB333F"/>
    <w:rsid w:val="00AB3542"/>
    <w:rsid w:val="00AB35C4"/>
    <w:rsid w:val="00AB3739"/>
    <w:rsid w:val="00AB398A"/>
    <w:rsid w:val="00AB3A6D"/>
    <w:rsid w:val="00AB3A98"/>
    <w:rsid w:val="00AB3B1F"/>
    <w:rsid w:val="00AB3BF5"/>
    <w:rsid w:val="00AB3DED"/>
    <w:rsid w:val="00AB3F1B"/>
    <w:rsid w:val="00AB3FE1"/>
    <w:rsid w:val="00AB4081"/>
    <w:rsid w:val="00AB4385"/>
    <w:rsid w:val="00AB439A"/>
    <w:rsid w:val="00AB452F"/>
    <w:rsid w:val="00AB4549"/>
    <w:rsid w:val="00AB4734"/>
    <w:rsid w:val="00AB4936"/>
    <w:rsid w:val="00AB4C00"/>
    <w:rsid w:val="00AB4C93"/>
    <w:rsid w:val="00AB4E57"/>
    <w:rsid w:val="00AB4FAE"/>
    <w:rsid w:val="00AB4FD6"/>
    <w:rsid w:val="00AB5136"/>
    <w:rsid w:val="00AB54E3"/>
    <w:rsid w:val="00AB562B"/>
    <w:rsid w:val="00AB59C1"/>
    <w:rsid w:val="00AB5A5E"/>
    <w:rsid w:val="00AB5AE3"/>
    <w:rsid w:val="00AB5BCB"/>
    <w:rsid w:val="00AB60CA"/>
    <w:rsid w:val="00AB6159"/>
    <w:rsid w:val="00AB628E"/>
    <w:rsid w:val="00AB633E"/>
    <w:rsid w:val="00AB6532"/>
    <w:rsid w:val="00AB662A"/>
    <w:rsid w:val="00AB696A"/>
    <w:rsid w:val="00AB6BCA"/>
    <w:rsid w:val="00AB6C0F"/>
    <w:rsid w:val="00AB6F1F"/>
    <w:rsid w:val="00AB6F42"/>
    <w:rsid w:val="00AB6F87"/>
    <w:rsid w:val="00AB6F8C"/>
    <w:rsid w:val="00AB7060"/>
    <w:rsid w:val="00AB728D"/>
    <w:rsid w:val="00AB72B0"/>
    <w:rsid w:val="00AB72E0"/>
    <w:rsid w:val="00AB7453"/>
    <w:rsid w:val="00AB7595"/>
    <w:rsid w:val="00AB76BD"/>
    <w:rsid w:val="00AB779B"/>
    <w:rsid w:val="00AB77C5"/>
    <w:rsid w:val="00AB798D"/>
    <w:rsid w:val="00AB7B01"/>
    <w:rsid w:val="00AB7CE9"/>
    <w:rsid w:val="00AB7E74"/>
    <w:rsid w:val="00AC0028"/>
    <w:rsid w:val="00AC0197"/>
    <w:rsid w:val="00AC01BD"/>
    <w:rsid w:val="00AC02DB"/>
    <w:rsid w:val="00AC0340"/>
    <w:rsid w:val="00AC0368"/>
    <w:rsid w:val="00AC07CF"/>
    <w:rsid w:val="00AC0CFC"/>
    <w:rsid w:val="00AC1049"/>
    <w:rsid w:val="00AC15B9"/>
    <w:rsid w:val="00AC15D1"/>
    <w:rsid w:val="00AC16B5"/>
    <w:rsid w:val="00AC16DD"/>
    <w:rsid w:val="00AC16FF"/>
    <w:rsid w:val="00AC1766"/>
    <w:rsid w:val="00AC1B6B"/>
    <w:rsid w:val="00AC1BC9"/>
    <w:rsid w:val="00AC1FF0"/>
    <w:rsid w:val="00AC2061"/>
    <w:rsid w:val="00AC2088"/>
    <w:rsid w:val="00AC214D"/>
    <w:rsid w:val="00AC22FA"/>
    <w:rsid w:val="00AC23FA"/>
    <w:rsid w:val="00AC2863"/>
    <w:rsid w:val="00AC2875"/>
    <w:rsid w:val="00AC2981"/>
    <w:rsid w:val="00AC29D7"/>
    <w:rsid w:val="00AC2ADD"/>
    <w:rsid w:val="00AC2C34"/>
    <w:rsid w:val="00AC2D4E"/>
    <w:rsid w:val="00AC2E1C"/>
    <w:rsid w:val="00AC2E8F"/>
    <w:rsid w:val="00AC2EF9"/>
    <w:rsid w:val="00AC3422"/>
    <w:rsid w:val="00AC383A"/>
    <w:rsid w:val="00AC386B"/>
    <w:rsid w:val="00AC3A81"/>
    <w:rsid w:val="00AC3B4C"/>
    <w:rsid w:val="00AC3C20"/>
    <w:rsid w:val="00AC3F49"/>
    <w:rsid w:val="00AC3F66"/>
    <w:rsid w:val="00AC4129"/>
    <w:rsid w:val="00AC42A8"/>
    <w:rsid w:val="00AC445E"/>
    <w:rsid w:val="00AC47CD"/>
    <w:rsid w:val="00AC4B5B"/>
    <w:rsid w:val="00AC4C9B"/>
    <w:rsid w:val="00AC4FE3"/>
    <w:rsid w:val="00AC50C9"/>
    <w:rsid w:val="00AC52CA"/>
    <w:rsid w:val="00AC56C5"/>
    <w:rsid w:val="00AC573B"/>
    <w:rsid w:val="00AC58E6"/>
    <w:rsid w:val="00AC592A"/>
    <w:rsid w:val="00AC5B80"/>
    <w:rsid w:val="00AC5BCD"/>
    <w:rsid w:val="00AC5DFD"/>
    <w:rsid w:val="00AC5F68"/>
    <w:rsid w:val="00AC5FD6"/>
    <w:rsid w:val="00AC6078"/>
    <w:rsid w:val="00AC61F4"/>
    <w:rsid w:val="00AC6279"/>
    <w:rsid w:val="00AC6286"/>
    <w:rsid w:val="00AC64C7"/>
    <w:rsid w:val="00AC656D"/>
    <w:rsid w:val="00AC66E2"/>
    <w:rsid w:val="00AC6824"/>
    <w:rsid w:val="00AC6A56"/>
    <w:rsid w:val="00AC6DFE"/>
    <w:rsid w:val="00AC6E68"/>
    <w:rsid w:val="00AC6E85"/>
    <w:rsid w:val="00AC6F41"/>
    <w:rsid w:val="00AC6F83"/>
    <w:rsid w:val="00AC70C9"/>
    <w:rsid w:val="00AC7109"/>
    <w:rsid w:val="00AC7318"/>
    <w:rsid w:val="00AC7666"/>
    <w:rsid w:val="00AC781A"/>
    <w:rsid w:val="00AC7910"/>
    <w:rsid w:val="00AC7A2D"/>
    <w:rsid w:val="00AC7A49"/>
    <w:rsid w:val="00AC7A82"/>
    <w:rsid w:val="00AC7B7B"/>
    <w:rsid w:val="00AC7C20"/>
    <w:rsid w:val="00AC7C4F"/>
    <w:rsid w:val="00AC7CC2"/>
    <w:rsid w:val="00AC7E72"/>
    <w:rsid w:val="00AD0321"/>
    <w:rsid w:val="00AD068C"/>
    <w:rsid w:val="00AD0734"/>
    <w:rsid w:val="00AD0CDE"/>
    <w:rsid w:val="00AD0DA6"/>
    <w:rsid w:val="00AD1037"/>
    <w:rsid w:val="00AD123F"/>
    <w:rsid w:val="00AD1370"/>
    <w:rsid w:val="00AD15EC"/>
    <w:rsid w:val="00AD1713"/>
    <w:rsid w:val="00AD17E2"/>
    <w:rsid w:val="00AD17F5"/>
    <w:rsid w:val="00AD182E"/>
    <w:rsid w:val="00AD197D"/>
    <w:rsid w:val="00AD1A0B"/>
    <w:rsid w:val="00AD1B67"/>
    <w:rsid w:val="00AD1C65"/>
    <w:rsid w:val="00AD1CE7"/>
    <w:rsid w:val="00AD1E82"/>
    <w:rsid w:val="00AD1FDE"/>
    <w:rsid w:val="00AD20C7"/>
    <w:rsid w:val="00AD21B6"/>
    <w:rsid w:val="00AD22B2"/>
    <w:rsid w:val="00AD2381"/>
    <w:rsid w:val="00AD2650"/>
    <w:rsid w:val="00AD292E"/>
    <w:rsid w:val="00AD2B59"/>
    <w:rsid w:val="00AD2D61"/>
    <w:rsid w:val="00AD2E6B"/>
    <w:rsid w:val="00AD2EB2"/>
    <w:rsid w:val="00AD2F97"/>
    <w:rsid w:val="00AD32CA"/>
    <w:rsid w:val="00AD34D8"/>
    <w:rsid w:val="00AD36F4"/>
    <w:rsid w:val="00AD3805"/>
    <w:rsid w:val="00AD3865"/>
    <w:rsid w:val="00AD3B5A"/>
    <w:rsid w:val="00AD3EAD"/>
    <w:rsid w:val="00AD3EE0"/>
    <w:rsid w:val="00AD4102"/>
    <w:rsid w:val="00AD438B"/>
    <w:rsid w:val="00AD43B0"/>
    <w:rsid w:val="00AD43EC"/>
    <w:rsid w:val="00AD4549"/>
    <w:rsid w:val="00AD4789"/>
    <w:rsid w:val="00AD4960"/>
    <w:rsid w:val="00AD4AC9"/>
    <w:rsid w:val="00AD4C2B"/>
    <w:rsid w:val="00AD4C69"/>
    <w:rsid w:val="00AD4F4E"/>
    <w:rsid w:val="00AD5020"/>
    <w:rsid w:val="00AD50E4"/>
    <w:rsid w:val="00AD528A"/>
    <w:rsid w:val="00AD52CC"/>
    <w:rsid w:val="00AD536B"/>
    <w:rsid w:val="00AD5600"/>
    <w:rsid w:val="00AD569F"/>
    <w:rsid w:val="00AD57A6"/>
    <w:rsid w:val="00AD59A5"/>
    <w:rsid w:val="00AD59E5"/>
    <w:rsid w:val="00AD5EAB"/>
    <w:rsid w:val="00AD5FCE"/>
    <w:rsid w:val="00AD60F6"/>
    <w:rsid w:val="00AD64EB"/>
    <w:rsid w:val="00AD651B"/>
    <w:rsid w:val="00AD65A1"/>
    <w:rsid w:val="00AD6769"/>
    <w:rsid w:val="00AD6777"/>
    <w:rsid w:val="00AD6A42"/>
    <w:rsid w:val="00AD6CC6"/>
    <w:rsid w:val="00AD7064"/>
    <w:rsid w:val="00AD70E9"/>
    <w:rsid w:val="00AD748C"/>
    <w:rsid w:val="00AD75EF"/>
    <w:rsid w:val="00AD7734"/>
    <w:rsid w:val="00AD7A82"/>
    <w:rsid w:val="00AD7AAA"/>
    <w:rsid w:val="00AD7C2A"/>
    <w:rsid w:val="00AD7DDA"/>
    <w:rsid w:val="00AD7EE8"/>
    <w:rsid w:val="00AE00F5"/>
    <w:rsid w:val="00AE0190"/>
    <w:rsid w:val="00AE0273"/>
    <w:rsid w:val="00AE02D6"/>
    <w:rsid w:val="00AE03B9"/>
    <w:rsid w:val="00AE046D"/>
    <w:rsid w:val="00AE0848"/>
    <w:rsid w:val="00AE0900"/>
    <w:rsid w:val="00AE09BF"/>
    <w:rsid w:val="00AE0B0B"/>
    <w:rsid w:val="00AE0D99"/>
    <w:rsid w:val="00AE0DB8"/>
    <w:rsid w:val="00AE0E07"/>
    <w:rsid w:val="00AE0E72"/>
    <w:rsid w:val="00AE0E88"/>
    <w:rsid w:val="00AE155C"/>
    <w:rsid w:val="00AE1B29"/>
    <w:rsid w:val="00AE1FE8"/>
    <w:rsid w:val="00AE2011"/>
    <w:rsid w:val="00AE2225"/>
    <w:rsid w:val="00AE23A0"/>
    <w:rsid w:val="00AE23D9"/>
    <w:rsid w:val="00AE2417"/>
    <w:rsid w:val="00AE271C"/>
    <w:rsid w:val="00AE2756"/>
    <w:rsid w:val="00AE276C"/>
    <w:rsid w:val="00AE2A3C"/>
    <w:rsid w:val="00AE2ADF"/>
    <w:rsid w:val="00AE2BBA"/>
    <w:rsid w:val="00AE2D04"/>
    <w:rsid w:val="00AE3095"/>
    <w:rsid w:val="00AE335C"/>
    <w:rsid w:val="00AE3601"/>
    <w:rsid w:val="00AE3AAF"/>
    <w:rsid w:val="00AE3AEB"/>
    <w:rsid w:val="00AE3C61"/>
    <w:rsid w:val="00AE3CD3"/>
    <w:rsid w:val="00AE3F31"/>
    <w:rsid w:val="00AE3FB2"/>
    <w:rsid w:val="00AE41C2"/>
    <w:rsid w:val="00AE42E9"/>
    <w:rsid w:val="00AE42ED"/>
    <w:rsid w:val="00AE43B2"/>
    <w:rsid w:val="00AE440A"/>
    <w:rsid w:val="00AE44AB"/>
    <w:rsid w:val="00AE46B5"/>
    <w:rsid w:val="00AE4784"/>
    <w:rsid w:val="00AE4915"/>
    <w:rsid w:val="00AE4ADB"/>
    <w:rsid w:val="00AE4AE9"/>
    <w:rsid w:val="00AE4BD9"/>
    <w:rsid w:val="00AE4DF6"/>
    <w:rsid w:val="00AE5016"/>
    <w:rsid w:val="00AE504D"/>
    <w:rsid w:val="00AE50BE"/>
    <w:rsid w:val="00AE5143"/>
    <w:rsid w:val="00AE51E7"/>
    <w:rsid w:val="00AE51EF"/>
    <w:rsid w:val="00AE5271"/>
    <w:rsid w:val="00AE53B1"/>
    <w:rsid w:val="00AE53C0"/>
    <w:rsid w:val="00AE5407"/>
    <w:rsid w:val="00AE5428"/>
    <w:rsid w:val="00AE558F"/>
    <w:rsid w:val="00AE587C"/>
    <w:rsid w:val="00AE5975"/>
    <w:rsid w:val="00AE5A24"/>
    <w:rsid w:val="00AE5B2B"/>
    <w:rsid w:val="00AE5CEC"/>
    <w:rsid w:val="00AE5D99"/>
    <w:rsid w:val="00AE5DCD"/>
    <w:rsid w:val="00AE5EA3"/>
    <w:rsid w:val="00AE6324"/>
    <w:rsid w:val="00AE6748"/>
    <w:rsid w:val="00AE6A4C"/>
    <w:rsid w:val="00AE6B82"/>
    <w:rsid w:val="00AE6BEF"/>
    <w:rsid w:val="00AE6DA8"/>
    <w:rsid w:val="00AE6EA4"/>
    <w:rsid w:val="00AE7000"/>
    <w:rsid w:val="00AE7157"/>
    <w:rsid w:val="00AE71AE"/>
    <w:rsid w:val="00AE72AB"/>
    <w:rsid w:val="00AE7630"/>
    <w:rsid w:val="00AE77F5"/>
    <w:rsid w:val="00AE7A29"/>
    <w:rsid w:val="00AE7ABC"/>
    <w:rsid w:val="00AE7D64"/>
    <w:rsid w:val="00AF0722"/>
    <w:rsid w:val="00AF084F"/>
    <w:rsid w:val="00AF0932"/>
    <w:rsid w:val="00AF0C28"/>
    <w:rsid w:val="00AF0CED"/>
    <w:rsid w:val="00AF1002"/>
    <w:rsid w:val="00AF10AF"/>
    <w:rsid w:val="00AF1109"/>
    <w:rsid w:val="00AF1213"/>
    <w:rsid w:val="00AF1377"/>
    <w:rsid w:val="00AF1418"/>
    <w:rsid w:val="00AF1491"/>
    <w:rsid w:val="00AF15D6"/>
    <w:rsid w:val="00AF1684"/>
    <w:rsid w:val="00AF1702"/>
    <w:rsid w:val="00AF1A3D"/>
    <w:rsid w:val="00AF1ADD"/>
    <w:rsid w:val="00AF1BBE"/>
    <w:rsid w:val="00AF1D47"/>
    <w:rsid w:val="00AF1D94"/>
    <w:rsid w:val="00AF2199"/>
    <w:rsid w:val="00AF234E"/>
    <w:rsid w:val="00AF242D"/>
    <w:rsid w:val="00AF24AD"/>
    <w:rsid w:val="00AF25CE"/>
    <w:rsid w:val="00AF28FC"/>
    <w:rsid w:val="00AF2A62"/>
    <w:rsid w:val="00AF2A8F"/>
    <w:rsid w:val="00AF2B4F"/>
    <w:rsid w:val="00AF2D60"/>
    <w:rsid w:val="00AF2D6A"/>
    <w:rsid w:val="00AF2F01"/>
    <w:rsid w:val="00AF3501"/>
    <w:rsid w:val="00AF39AC"/>
    <w:rsid w:val="00AF3D21"/>
    <w:rsid w:val="00AF3F12"/>
    <w:rsid w:val="00AF3F55"/>
    <w:rsid w:val="00AF41BB"/>
    <w:rsid w:val="00AF494F"/>
    <w:rsid w:val="00AF4AA2"/>
    <w:rsid w:val="00AF4B00"/>
    <w:rsid w:val="00AF4B6B"/>
    <w:rsid w:val="00AF4DBD"/>
    <w:rsid w:val="00AF4E9D"/>
    <w:rsid w:val="00AF4ED0"/>
    <w:rsid w:val="00AF4F7B"/>
    <w:rsid w:val="00AF520C"/>
    <w:rsid w:val="00AF5248"/>
    <w:rsid w:val="00AF5292"/>
    <w:rsid w:val="00AF5301"/>
    <w:rsid w:val="00AF53FD"/>
    <w:rsid w:val="00AF542A"/>
    <w:rsid w:val="00AF5667"/>
    <w:rsid w:val="00AF56C6"/>
    <w:rsid w:val="00AF56CE"/>
    <w:rsid w:val="00AF57AF"/>
    <w:rsid w:val="00AF5811"/>
    <w:rsid w:val="00AF5A21"/>
    <w:rsid w:val="00AF5A46"/>
    <w:rsid w:val="00AF5AF2"/>
    <w:rsid w:val="00AF5B6C"/>
    <w:rsid w:val="00AF5C5A"/>
    <w:rsid w:val="00AF5E0B"/>
    <w:rsid w:val="00AF5EF2"/>
    <w:rsid w:val="00AF5F11"/>
    <w:rsid w:val="00AF5FE3"/>
    <w:rsid w:val="00AF60F9"/>
    <w:rsid w:val="00AF61C1"/>
    <w:rsid w:val="00AF62ED"/>
    <w:rsid w:val="00AF6409"/>
    <w:rsid w:val="00AF688F"/>
    <w:rsid w:val="00AF69A2"/>
    <w:rsid w:val="00AF6A55"/>
    <w:rsid w:val="00AF6AF4"/>
    <w:rsid w:val="00AF6BD1"/>
    <w:rsid w:val="00AF6C9F"/>
    <w:rsid w:val="00AF6DBB"/>
    <w:rsid w:val="00AF6E43"/>
    <w:rsid w:val="00AF70BF"/>
    <w:rsid w:val="00AF729D"/>
    <w:rsid w:val="00AF742A"/>
    <w:rsid w:val="00AF7515"/>
    <w:rsid w:val="00AF7774"/>
    <w:rsid w:val="00AF7E7A"/>
    <w:rsid w:val="00B00197"/>
    <w:rsid w:val="00B002E5"/>
    <w:rsid w:val="00B0034A"/>
    <w:rsid w:val="00B004CF"/>
    <w:rsid w:val="00B00693"/>
    <w:rsid w:val="00B0071C"/>
    <w:rsid w:val="00B007AC"/>
    <w:rsid w:val="00B00868"/>
    <w:rsid w:val="00B0098B"/>
    <w:rsid w:val="00B00C27"/>
    <w:rsid w:val="00B00C81"/>
    <w:rsid w:val="00B00F9F"/>
    <w:rsid w:val="00B010D3"/>
    <w:rsid w:val="00B01365"/>
    <w:rsid w:val="00B0136A"/>
    <w:rsid w:val="00B013C2"/>
    <w:rsid w:val="00B01404"/>
    <w:rsid w:val="00B01479"/>
    <w:rsid w:val="00B014E4"/>
    <w:rsid w:val="00B0174C"/>
    <w:rsid w:val="00B01B13"/>
    <w:rsid w:val="00B01CA5"/>
    <w:rsid w:val="00B01D82"/>
    <w:rsid w:val="00B01F37"/>
    <w:rsid w:val="00B01F90"/>
    <w:rsid w:val="00B02044"/>
    <w:rsid w:val="00B02083"/>
    <w:rsid w:val="00B02312"/>
    <w:rsid w:val="00B0238E"/>
    <w:rsid w:val="00B02419"/>
    <w:rsid w:val="00B025BB"/>
    <w:rsid w:val="00B02679"/>
    <w:rsid w:val="00B0293B"/>
    <w:rsid w:val="00B02AC6"/>
    <w:rsid w:val="00B02DF5"/>
    <w:rsid w:val="00B03257"/>
    <w:rsid w:val="00B032EE"/>
    <w:rsid w:val="00B03618"/>
    <w:rsid w:val="00B03658"/>
    <w:rsid w:val="00B03675"/>
    <w:rsid w:val="00B0395F"/>
    <w:rsid w:val="00B039DE"/>
    <w:rsid w:val="00B03A2D"/>
    <w:rsid w:val="00B03A53"/>
    <w:rsid w:val="00B03B99"/>
    <w:rsid w:val="00B03C06"/>
    <w:rsid w:val="00B04003"/>
    <w:rsid w:val="00B04050"/>
    <w:rsid w:val="00B0425E"/>
    <w:rsid w:val="00B043FC"/>
    <w:rsid w:val="00B048ED"/>
    <w:rsid w:val="00B04AB1"/>
    <w:rsid w:val="00B04B3E"/>
    <w:rsid w:val="00B04CFC"/>
    <w:rsid w:val="00B04D42"/>
    <w:rsid w:val="00B04E25"/>
    <w:rsid w:val="00B04E50"/>
    <w:rsid w:val="00B04EAC"/>
    <w:rsid w:val="00B0530C"/>
    <w:rsid w:val="00B0538B"/>
    <w:rsid w:val="00B053B5"/>
    <w:rsid w:val="00B055DD"/>
    <w:rsid w:val="00B056C5"/>
    <w:rsid w:val="00B0594B"/>
    <w:rsid w:val="00B0595D"/>
    <w:rsid w:val="00B05969"/>
    <w:rsid w:val="00B05C0E"/>
    <w:rsid w:val="00B05CDE"/>
    <w:rsid w:val="00B0601A"/>
    <w:rsid w:val="00B06068"/>
    <w:rsid w:val="00B060DE"/>
    <w:rsid w:val="00B0614C"/>
    <w:rsid w:val="00B0623D"/>
    <w:rsid w:val="00B06262"/>
    <w:rsid w:val="00B063B5"/>
    <w:rsid w:val="00B06472"/>
    <w:rsid w:val="00B064FE"/>
    <w:rsid w:val="00B0659D"/>
    <w:rsid w:val="00B06613"/>
    <w:rsid w:val="00B067BA"/>
    <w:rsid w:val="00B06830"/>
    <w:rsid w:val="00B06A9B"/>
    <w:rsid w:val="00B06AB2"/>
    <w:rsid w:val="00B06B42"/>
    <w:rsid w:val="00B06D3B"/>
    <w:rsid w:val="00B06DC8"/>
    <w:rsid w:val="00B06DFD"/>
    <w:rsid w:val="00B06EC1"/>
    <w:rsid w:val="00B0703A"/>
    <w:rsid w:val="00B070F8"/>
    <w:rsid w:val="00B0712F"/>
    <w:rsid w:val="00B0714A"/>
    <w:rsid w:val="00B0728B"/>
    <w:rsid w:val="00B076AA"/>
    <w:rsid w:val="00B076F6"/>
    <w:rsid w:val="00B07754"/>
    <w:rsid w:val="00B07772"/>
    <w:rsid w:val="00B077C8"/>
    <w:rsid w:val="00B078B1"/>
    <w:rsid w:val="00B07A99"/>
    <w:rsid w:val="00B07B73"/>
    <w:rsid w:val="00B07E84"/>
    <w:rsid w:val="00B10249"/>
    <w:rsid w:val="00B1029C"/>
    <w:rsid w:val="00B102CD"/>
    <w:rsid w:val="00B104E3"/>
    <w:rsid w:val="00B1050C"/>
    <w:rsid w:val="00B10510"/>
    <w:rsid w:val="00B1054A"/>
    <w:rsid w:val="00B106D8"/>
    <w:rsid w:val="00B1080E"/>
    <w:rsid w:val="00B10A11"/>
    <w:rsid w:val="00B10A86"/>
    <w:rsid w:val="00B10F4E"/>
    <w:rsid w:val="00B11286"/>
    <w:rsid w:val="00B112B1"/>
    <w:rsid w:val="00B113AB"/>
    <w:rsid w:val="00B114AA"/>
    <w:rsid w:val="00B114EA"/>
    <w:rsid w:val="00B11840"/>
    <w:rsid w:val="00B11A23"/>
    <w:rsid w:val="00B11B04"/>
    <w:rsid w:val="00B11C10"/>
    <w:rsid w:val="00B11DAF"/>
    <w:rsid w:val="00B11E73"/>
    <w:rsid w:val="00B11E97"/>
    <w:rsid w:val="00B11EA7"/>
    <w:rsid w:val="00B121AE"/>
    <w:rsid w:val="00B12203"/>
    <w:rsid w:val="00B128B7"/>
    <w:rsid w:val="00B1291E"/>
    <w:rsid w:val="00B12A2F"/>
    <w:rsid w:val="00B12AD6"/>
    <w:rsid w:val="00B13009"/>
    <w:rsid w:val="00B13936"/>
    <w:rsid w:val="00B13A5B"/>
    <w:rsid w:val="00B13BCD"/>
    <w:rsid w:val="00B13DBA"/>
    <w:rsid w:val="00B13F5E"/>
    <w:rsid w:val="00B13FC2"/>
    <w:rsid w:val="00B141A9"/>
    <w:rsid w:val="00B1432E"/>
    <w:rsid w:val="00B14481"/>
    <w:rsid w:val="00B14633"/>
    <w:rsid w:val="00B14808"/>
    <w:rsid w:val="00B1495C"/>
    <w:rsid w:val="00B14A3E"/>
    <w:rsid w:val="00B14CB1"/>
    <w:rsid w:val="00B14D2C"/>
    <w:rsid w:val="00B14D69"/>
    <w:rsid w:val="00B14E7A"/>
    <w:rsid w:val="00B14ECD"/>
    <w:rsid w:val="00B151FA"/>
    <w:rsid w:val="00B15497"/>
    <w:rsid w:val="00B154FC"/>
    <w:rsid w:val="00B155B3"/>
    <w:rsid w:val="00B155F8"/>
    <w:rsid w:val="00B15615"/>
    <w:rsid w:val="00B1565C"/>
    <w:rsid w:val="00B1585E"/>
    <w:rsid w:val="00B15B44"/>
    <w:rsid w:val="00B15B53"/>
    <w:rsid w:val="00B15BBF"/>
    <w:rsid w:val="00B15BD6"/>
    <w:rsid w:val="00B15D0B"/>
    <w:rsid w:val="00B15E00"/>
    <w:rsid w:val="00B15F22"/>
    <w:rsid w:val="00B15F70"/>
    <w:rsid w:val="00B1600C"/>
    <w:rsid w:val="00B16048"/>
    <w:rsid w:val="00B16173"/>
    <w:rsid w:val="00B161F2"/>
    <w:rsid w:val="00B167FF"/>
    <w:rsid w:val="00B16C08"/>
    <w:rsid w:val="00B16C8A"/>
    <w:rsid w:val="00B1746A"/>
    <w:rsid w:val="00B175C6"/>
    <w:rsid w:val="00B1785F"/>
    <w:rsid w:val="00B1792D"/>
    <w:rsid w:val="00B17D1D"/>
    <w:rsid w:val="00B200F6"/>
    <w:rsid w:val="00B20448"/>
    <w:rsid w:val="00B204BE"/>
    <w:rsid w:val="00B204DA"/>
    <w:rsid w:val="00B2077F"/>
    <w:rsid w:val="00B207CE"/>
    <w:rsid w:val="00B20A69"/>
    <w:rsid w:val="00B20BEE"/>
    <w:rsid w:val="00B20CA9"/>
    <w:rsid w:val="00B20CDF"/>
    <w:rsid w:val="00B20D36"/>
    <w:rsid w:val="00B20DC9"/>
    <w:rsid w:val="00B20EAC"/>
    <w:rsid w:val="00B21089"/>
    <w:rsid w:val="00B210EC"/>
    <w:rsid w:val="00B21173"/>
    <w:rsid w:val="00B2121D"/>
    <w:rsid w:val="00B21513"/>
    <w:rsid w:val="00B2184E"/>
    <w:rsid w:val="00B21ED3"/>
    <w:rsid w:val="00B21F69"/>
    <w:rsid w:val="00B221C8"/>
    <w:rsid w:val="00B22208"/>
    <w:rsid w:val="00B223B1"/>
    <w:rsid w:val="00B22632"/>
    <w:rsid w:val="00B22BD9"/>
    <w:rsid w:val="00B22EB9"/>
    <w:rsid w:val="00B22F64"/>
    <w:rsid w:val="00B22FDC"/>
    <w:rsid w:val="00B22FDE"/>
    <w:rsid w:val="00B2318D"/>
    <w:rsid w:val="00B233A4"/>
    <w:rsid w:val="00B233AC"/>
    <w:rsid w:val="00B233F9"/>
    <w:rsid w:val="00B234B8"/>
    <w:rsid w:val="00B2355A"/>
    <w:rsid w:val="00B23578"/>
    <w:rsid w:val="00B23678"/>
    <w:rsid w:val="00B2373E"/>
    <w:rsid w:val="00B23A29"/>
    <w:rsid w:val="00B23B43"/>
    <w:rsid w:val="00B23B9B"/>
    <w:rsid w:val="00B23F71"/>
    <w:rsid w:val="00B240CB"/>
    <w:rsid w:val="00B2430F"/>
    <w:rsid w:val="00B243D7"/>
    <w:rsid w:val="00B2449A"/>
    <w:rsid w:val="00B24580"/>
    <w:rsid w:val="00B2469B"/>
    <w:rsid w:val="00B247EB"/>
    <w:rsid w:val="00B24868"/>
    <w:rsid w:val="00B24869"/>
    <w:rsid w:val="00B24954"/>
    <w:rsid w:val="00B24A4F"/>
    <w:rsid w:val="00B24AF9"/>
    <w:rsid w:val="00B24BA0"/>
    <w:rsid w:val="00B24C2F"/>
    <w:rsid w:val="00B24CA0"/>
    <w:rsid w:val="00B24CF8"/>
    <w:rsid w:val="00B24F85"/>
    <w:rsid w:val="00B24FAF"/>
    <w:rsid w:val="00B24FCD"/>
    <w:rsid w:val="00B253DB"/>
    <w:rsid w:val="00B254DD"/>
    <w:rsid w:val="00B255EF"/>
    <w:rsid w:val="00B258B8"/>
    <w:rsid w:val="00B25CF6"/>
    <w:rsid w:val="00B25E1B"/>
    <w:rsid w:val="00B25F11"/>
    <w:rsid w:val="00B25FC1"/>
    <w:rsid w:val="00B2626F"/>
    <w:rsid w:val="00B262D6"/>
    <w:rsid w:val="00B262FB"/>
    <w:rsid w:val="00B26391"/>
    <w:rsid w:val="00B263AF"/>
    <w:rsid w:val="00B263F9"/>
    <w:rsid w:val="00B2645B"/>
    <w:rsid w:val="00B264C8"/>
    <w:rsid w:val="00B268D1"/>
    <w:rsid w:val="00B26CA2"/>
    <w:rsid w:val="00B26D98"/>
    <w:rsid w:val="00B2705B"/>
    <w:rsid w:val="00B27069"/>
    <w:rsid w:val="00B27086"/>
    <w:rsid w:val="00B270F7"/>
    <w:rsid w:val="00B27421"/>
    <w:rsid w:val="00B2756B"/>
    <w:rsid w:val="00B2762D"/>
    <w:rsid w:val="00B277E7"/>
    <w:rsid w:val="00B278A7"/>
    <w:rsid w:val="00B27927"/>
    <w:rsid w:val="00B2796F"/>
    <w:rsid w:val="00B279A3"/>
    <w:rsid w:val="00B27A36"/>
    <w:rsid w:val="00B27B39"/>
    <w:rsid w:val="00B27BCA"/>
    <w:rsid w:val="00B27DF1"/>
    <w:rsid w:val="00B27FAF"/>
    <w:rsid w:val="00B300DE"/>
    <w:rsid w:val="00B3016D"/>
    <w:rsid w:val="00B30231"/>
    <w:rsid w:val="00B3037D"/>
    <w:rsid w:val="00B30566"/>
    <w:rsid w:val="00B309F3"/>
    <w:rsid w:val="00B30B66"/>
    <w:rsid w:val="00B30CC9"/>
    <w:rsid w:val="00B30D2D"/>
    <w:rsid w:val="00B30DA1"/>
    <w:rsid w:val="00B30DBC"/>
    <w:rsid w:val="00B30FDD"/>
    <w:rsid w:val="00B31016"/>
    <w:rsid w:val="00B3108B"/>
    <w:rsid w:val="00B313E3"/>
    <w:rsid w:val="00B31476"/>
    <w:rsid w:val="00B31485"/>
    <w:rsid w:val="00B317C6"/>
    <w:rsid w:val="00B31A4C"/>
    <w:rsid w:val="00B31D36"/>
    <w:rsid w:val="00B31F76"/>
    <w:rsid w:val="00B31FEA"/>
    <w:rsid w:val="00B3202A"/>
    <w:rsid w:val="00B3231C"/>
    <w:rsid w:val="00B323E1"/>
    <w:rsid w:val="00B326EB"/>
    <w:rsid w:val="00B32822"/>
    <w:rsid w:val="00B329A9"/>
    <w:rsid w:val="00B32B1F"/>
    <w:rsid w:val="00B32C9B"/>
    <w:rsid w:val="00B32D75"/>
    <w:rsid w:val="00B32DAF"/>
    <w:rsid w:val="00B32E4D"/>
    <w:rsid w:val="00B32ED8"/>
    <w:rsid w:val="00B32FB8"/>
    <w:rsid w:val="00B331BE"/>
    <w:rsid w:val="00B335A9"/>
    <w:rsid w:val="00B337B3"/>
    <w:rsid w:val="00B33D9D"/>
    <w:rsid w:val="00B33DEA"/>
    <w:rsid w:val="00B33E7A"/>
    <w:rsid w:val="00B33EDC"/>
    <w:rsid w:val="00B340D2"/>
    <w:rsid w:val="00B34217"/>
    <w:rsid w:val="00B34286"/>
    <w:rsid w:val="00B34344"/>
    <w:rsid w:val="00B34457"/>
    <w:rsid w:val="00B34679"/>
    <w:rsid w:val="00B3478D"/>
    <w:rsid w:val="00B34AE0"/>
    <w:rsid w:val="00B34BF7"/>
    <w:rsid w:val="00B34F3A"/>
    <w:rsid w:val="00B34FB6"/>
    <w:rsid w:val="00B350AB"/>
    <w:rsid w:val="00B35192"/>
    <w:rsid w:val="00B351FE"/>
    <w:rsid w:val="00B355AA"/>
    <w:rsid w:val="00B355B4"/>
    <w:rsid w:val="00B35839"/>
    <w:rsid w:val="00B35862"/>
    <w:rsid w:val="00B35A81"/>
    <w:rsid w:val="00B35AEC"/>
    <w:rsid w:val="00B35C67"/>
    <w:rsid w:val="00B35D59"/>
    <w:rsid w:val="00B35FA3"/>
    <w:rsid w:val="00B35FC7"/>
    <w:rsid w:val="00B36051"/>
    <w:rsid w:val="00B36208"/>
    <w:rsid w:val="00B365BC"/>
    <w:rsid w:val="00B36728"/>
    <w:rsid w:val="00B367BD"/>
    <w:rsid w:val="00B36817"/>
    <w:rsid w:val="00B36911"/>
    <w:rsid w:val="00B36981"/>
    <w:rsid w:val="00B369A4"/>
    <w:rsid w:val="00B36C93"/>
    <w:rsid w:val="00B37272"/>
    <w:rsid w:val="00B37523"/>
    <w:rsid w:val="00B3760D"/>
    <w:rsid w:val="00B376EC"/>
    <w:rsid w:val="00B37870"/>
    <w:rsid w:val="00B3798A"/>
    <w:rsid w:val="00B37D08"/>
    <w:rsid w:val="00B37D93"/>
    <w:rsid w:val="00B37EE1"/>
    <w:rsid w:val="00B37FB3"/>
    <w:rsid w:val="00B400CF"/>
    <w:rsid w:val="00B40288"/>
    <w:rsid w:val="00B40438"/>
    <w:rsid w:val="00B40C2B"/>
    <w:rsid w:val="00B40FD4"/>
    <w:rsid w:val="00B410A4"/>
    <w:rsid w:val="00B41154"/>
    <w:rsid w:val="00B411F9"/>
    <w:rsid w:val="00B41319"/>
    <w:rsid w:val="00B413FD"/>
    <w:rsid w:val="00B414E1"/>
    <w:rsid w:val="00B414EB"/>
    <w:rsid w:val="00B41588"/>
    <w:rsid w:val="00B41738"/>
    <w:rsid w:val="00B417FE"/>
    <w:rsid w:val="00B41BDC"/>
    <w:rsid w:val="00B41C14"/>
    <w:rsid w:val="00B41C86"/>
    <w:rsid w:val="00B41CB1"/>
    <w:rsid w:val="00B41E1D"/>
    <w:rsid w:val="00B41F93"/>
    <w:rsid w:val="00B42038"/>
    <w:rsid w:val="00B4208E"/>
    <w:rsid w:val="00B4225A"/>
    <w:rsid w:val="00B42666"/>
    <w:rsid w:val="00B428AF"/>
    <w:rsid w:val="00B429A0"/>
    <w:rsid w:val="00B42A2B"/>
    <w:rsid w:val="00B42A89"/>
    <w:rsid w:val="00B42C58"/>
    <w:rsid w:val="00B42CE0"/>
    <w:rsid w:val="00B42F94"/>
    <w:rsid w:val="00B42FE2"/>
    <w:rsid w:val="00B4306F"/>
    <w:rsid w:val="00B43247"/>
    <w:rsid w:val="00B4334C"/>
    <w:rsid w:val="00B43627"/>
    <w:rsid w:val="00B43672"/>
    <w:rsid w:val="00B43830"/>
    <w:rsid w:val="00B44031"/>
    <w:rsid w:val="00B44122"/>
    <w:rsid w:val="00B441EC"/>
    <w:rsid w:val="00B4423F"/>
    <w:rsid w:val="00B4424B"/>
    <w:rsid w:val="00B44433"/>
    <w:rsid w:val="00B44524"/>
    <w:rsid w:val="00B44566"/>
    <w:rsid w:val="00B4473A"/>
    <w:rsid w:val="00B4487F"/>
    <w:rsid w:val="00B44965"/>
    <w:rsid w:val="00B449F4"/>
    <w:rsid w:val="00B44A22"/>
    <w:rsid w:val="00B44A44"/>
    <w:rsid w:val="00B44C10"/>
    <w:rsid w:val="00B44D65"/>
    <w:rsid w:val="00B44E5D"/>
    <w:rsid w:val="00B44FFB"/>
    <w:rsid w:val="00B450CC"/>
    <w:rsid w:val="00B45451"/>
    <w:rsid w:val="00B455B7"/>
    <w:rsid w:val="00B456A3"/>
    <w:rsid w:val="00B4577D"/>
    <w:rsid w:val="00B4586E"/>
    <w:rsid w:val="00B45873"/>
    <w:rsid w:val="00B45919"/>
    <w:rsid w:val="00B45D7A"/>
    <w:rsid w:val="00B45DE5"/>
    <w:rsid w:val="00B45E37"/>
    <w:rsid w:val="00B462AB"/>
    <w:rsid w:val="00B46431"/>
    <w:rsid w:val="00B4656F"/>
    <w:rsid w:val="00B465C5"/>
    <w:rsid w:val="00B4672C"/>
    <w:rsid w:val="00B46B7B"/>
    <w:rsid w:val="00B46C44"/>
    <w:rsid w:val="00B474E3"/>
    <w:rsid w:val="00B475C9"/>
    <w:rsid w:val="00B4795B"/>
    <w:rsid w:val="00B47986"/>
    <w:rsid w:val="00B47AD3"/>
    <w:rsid w:val="00B47EA5"/>
    <w:rsid w:val="00B47EEC"/>
    <w:rsid w:val="00B47F15"/>
    <w:rsid w:val="00B47F95"/>
    <w:rsid w:val="00B500F8"/>
    <w:rsid w:val="00B503C6"/>
    <w:rsid w:val="00B50525"/>
    <w:rsid w:val="00B50664"/>
    <w:rsid w:val="00B5078D"/>
    <w:rsid w:val="00B50832"/>
    <w:rsid w:val="00B50868"/>
    <w:rsid w:val="00B50892"/>
    <w:rsid w:val="00B50950"/>
    <w:rsid w:val="00B50BB0"/>
    <w:rsid w:val="00B50BF8"/>
    <w:rsid w:val="00B50CC3"/>
    <w:rsid w:val="00B50D02"/>
    <w:rsid w:val="00B50E0B"/>
    <w:rsid w:val="00B511D4"/>
    <w:rsid w:val="00B511EC"/>
    <w:rsid w:val="00B512A1"/>
    <w:rsid w:val="00B5176B"/>
    <w:rsid w:val="00B51ACB"/>
    <w:rsid w:val="00B51B65"/>
    <w:rsid w:val="00B51C2A"/>
    <w:rsid w:val="00B51EA8"/>
    <w:rsid w:val="00B520E2"/>
    <w:rsid w:val="00B523BB"/>
    <w:rsid w:val="00B523D1"/>
    <w:rsid w:val="00B52474"/>
    <w:rsid w:val="00B524E8"/>
    <w:rsid w:val="00B526CD"/>
    <w:rsid w:val="00B52860"/>
    <w:rsid w:val="00B52873"/>
    <w:rsid w:val="00B52886"/>
    <w:rsid w:val="00B529E4"/>
    <w:rsid w:val="00B52B5F"/>
    <w:rsid w:val="00B52F9B"/>
    <w:rsid w:val="00B5303B"/>
    <w:rsid w:val="00B53330"/>
    <w:rsid w:val="00B53376"/>
    <w:rsid w:val="00B533BC"/>
    <w:rsid w:val="00B53699"/>
    <w:rsid w:val="00B536FB"/>
    <w:rsid w:val="00B53723"/>
    <w:rsid w:val="00B5385F"/>
    <w:rsid w:val="00B538C9"/>
    <w:rsid w:val="00B53996"/>
    <w:rsid w:val="00B53998"/>
    <w:rsid w:val="00B53C21"/>
    <w:rsid w:val="00B53EE2"/>
    <w:rsid w:val="00B53F1D"/>
    <w:rsid w:val="00B5432C"/>
    <w:rsid w:val="00B5455A"/>
    <w:rsid w:val="00B5473F"/>
    <w:rsid w:val="00B54756"/>
    <w:rsid w:val="00B549C6"/>
    <w:rsid w:val="00B54B5B"/>
    <w:rsid w:val="00B54C2C"/>
    <w:rsid w:val="00B54C2D"/>
    <w:rsid w:val="00B54D6C"/>
    <w:rsid w:val="00B550BF"/>
    <w:rsid w:val="00B55166"/>
    <w:rsid w:val="00B55170"/>
    <w:rsid w:val="00B554A0"/>
    <w:rsid w:val="00B55928"/>
    <w:rsid w:val="00B55AB9"/>
    <w:rsid w:val="00B55B1C"/>
    <w:rsid w:val="00B55D16"/>
    <w:rsid w:val="00B55D77"/>
    <w:rsid w:val="00B55F97"/>
    <w:rsid w:val="00B560EA"/>
    <w:rsid w:val="00B561EF"/>
    <w:rsid w:val="00B564A7"/>
    <w:rsid w:val="00B567E1"/>
    <w:rsid w:val="00B56863"/>
    <w:rsid w:val="00B56EC0"/>
    <w:rsid w:val="00B57172"/>
    <w:rsid w:val="00B57225"/>
    <w:rsid w:val="00B573C6"/>
    <w:rsid w:val="00B57625"/>
    <w:rsid w:val="00B577AE"/>
    <w:rsid w:val="00B57848"/>
    <w:rsid w:val="00B57ACF"/>
    <w:rsid w:val="00B57BC5"/>
    <w:rsid w:val="00B57C00"/>
    <w:rsid w:val="00B57C99"/>
    <w:rsid w:val="00B57CD7"/>
    <w:rsid w:val="00B600BB"/>
    <w:rsid w:val="00B602F3"/>
    <w:rsid w:val="00B60351"/>
    <w:rsid w:val="00B60424"/>
    <w:rsid w:val="00B60497"/>
    <w:rsid w:val="00B6056D"/>
    <w:rsid w:val="00B605D7"/>
    <w:rsid w:val="00B60806"/>
    <w:rsid w:val="00B6082B"/>
    <w:rsid w:val="00B60907"/>
    <w:rsid w:val="00B60C3D"/>
    <w:rsid w:val="00B60D20"/>
    <w:rsid w:val="00B60D4A"/>
    <w:rsid w:val="00B60D9D"/>
    <w:rsid w:val="00B60F02"/>
    <w:rsid w:val="00B60F12"/>
    <w:rsid w:val="00B60F79"/>
    <w:rsid w:val="00B61056"/>
    <w:rsid w:val="00B610DD"/>
    <w:rsid w:val="00B613D9"/>
    <w:rsid w:val="00B614C2"/>
    <w:rsid w:val="00B614D9"/>
    <w:rsid w:val="00B616BF"/>
    <w:rsid w:val="00B616C1"/>
    <w:rsid w:val="00B61804"/>
    <w:rsid w:val="00B61829"/>
    <w:rsid w:val="00B61885"/>
    <w:rsid w:val="00B618FA"/>
    <w:rsid w:val="00B619B5"/>
    <w:rsid w:val="00B61CA8"/>
    <w:rsid w:val="00B61CDB"/>
    <w:rsid w:val="00B61DD8"/>
    <w:rsid w:val="00B61DFA"/>
    <w:rsid w:val="00B62218"/>
    <w:rsid w:val="00B622EE"/>
    <w:rsid w:val="00B62492"/>
    <w:rsid w:val="00B624BD"/>
    <w:rsid w:val="00B628B4"/>
    <w:rsid w:val="00B62C2E"/>
    <w:rsid w:val="00B62EC1"/>
    <w:rsid w:val="00B62EE2"/>
    <w:rsid w:val="00B62F17"/>
    <w:rsid w:val="00B6311E"/>
    <w:rsid w:val="00B633F9"/>
    <w:rsid w:val="00B63563"/>
    <w:rsid w:val="00B635DF"/>
    <w:rsid w:val="00B635FC"/>
    <w:rsid w:val="00B6398F"/>
    <w:rsid w:val="00B639FF"/>
    <w:rsid w:val="00B63A53"/>
    <w:rsid w:val="00B63BFC"/>
    <w:rsid w:val="00B63C80"/>
    <w:rsid w:val="00B63D29"/>
    <w:rsid w:val="00B63D34"/>
    <w:rsid w:val="00B63D5A"/>
    <w:rsid w:val="00B63FF9"/>
    <w:rsid w:val="00B64017"/>
    <w:rsid w:val="00B6407F"/>
    <w:rsid w:val="00B64233"/>
    <w:rsid w:val="00B6427C"/>
    <w:rsid w:val="00B64346"/>
    <w:rsid w:val="00B643DA"/>
    <w:rsid w:val="00B64571"/>
    <w:rsid w:val="00B645EA"/>
    <w:rsid w:val="00B646FC"/>
    <w:rsid w:val="00B64714"/>
    <w:rsid w:val="00B64799"/>
    <w:rsid w:val="00B647D3"/>
    <w:rsid w:val="00B647D8"/>
    <w:rsid w:val="00B64ACB"/>
    <w:rsid w:val="00B64C71"/>
    <w:rsid w:val="00B64C9B"/>
    <w:rsid w:val="00B64CAD"/>
    <w:rsid w:val="00B64D5F"/>
    <w:rsid w:val="00B651B6"/>
    <w:rsid w:val="00B6521B"/>
    <w:rsid w:val="00B653A7"/>
    <w:rsid w:val="00B6559F"/>
    <w:rsid w:val="00B65864"/>
    <w:rsid w:val="00B658FF"/>
    <w:rsid w:val="00B65A79"/>
    <w:rsid w:val="00B65B24"/>
    <w:rsid w:val="00B65C57"/>
    <w:rsid w:val="00B65F90"/>
    <w:rsid w:val="00B6600C"/>
    <w:rsid w:val="00B660C2"/>
    <w:rsid w:val="00B663E1"/>
    <w:rsid w:val="00B666A2"/>
    <w:rsid w:val="00B667E5"/>
    <w:rsid w:val="00B66880"/>
    <w:rsid w:val="00B668C3"/>
    <w:rsid w:val="00B66CAA"/>
    <w:rsid w:val="00B66CCF"/>
    <w:rsid w:val="00B66D73"/>
    <w:rsid w:val="00B66F0C"/>
    <w:rsid w:val="00B66F47"/>
    <w:rsid w:val="00B671C0"/>
    <w:rsid w:val="00B6750C"/>
    <w:rsid w:val="00B676F6"/>
    <w:rsid w:val="00B67930"/>
    <w:rsid w:val="00B67D66"/>
    <w:rsid w:val="00B67F01"/>
    <w:rsid w:val="00B67F71"/>
    <w:rsid w:val="00B70245"/>
    <w:rsid w:val="00B7026F"/>
    <w:rsid w:val="00B70286"/>
    <w:rsid w:val="00B70308"/>
    <w:rsid w:val="00B703CB"/>
    <w:rsid w:val="00B70474"/>
    <w:rsid w:val="00B70630"/>
    <w:rsid w:val="00B70764"/>
    <w:rsid w:val="00B70898"/>
    <w:rsid w:val="00B70B16"/>
    <w:rsid w:val="00B70B1F"/>
    <w:rsid w:val="00B70F21"/>
    <w:rsid w:val="00B70FAA"/>
    <w:rsid w:val="00B70FAF"/>
    <w:rsid w:val="00B7119A"/>
    <w:rsid w:val="00B71350"/>
    <w:rsid w:val="00B7150F"/>
    <w:rsid w:val="00B71661"/>
    <w:rsid w:val="00B71739"/>
    <w:rsid w:val="00B71B13"/>
    <w:rsid w:val="00B71C13"/>
    <w:rsid w:val="00B71D1D"/>
    <w:rsid w:val="00B71E0F"/>
    <w:rsid w:val="00B71E10"/>
    <w:rsid w:val="00B71E60"/>
    <w:rsid w:val="00B71ED2"/>
    <w:rsid w:val="00B723C2"/>
    <w:rsid w:val="00B7264D"/>
    <w:rsid w:val="00B72730"/>
    <w:rsid w:val="00B72889"/>
    <w:rsid w:val="00B729F5"/>
    <w:rsid w:val="00B732C4"/>
    <w:rsid w:val="00B73307"/>
    <w:rsid w:val="00B73582"/>
    <w:rsid w:val="00B7369E"/>
    <w:rsid w:val="00B736A4"/>
    <w:rsid w:val="00B737C7"/>
    <w:rsid w:val="00B737DF"/>
    <w:rsid w:val="00B7384C"/>
    <w:rsid w:val="00B73867"/>
    <w:rsid w:val="00B73AA7"/>
    <w:rsid w:val="00B73B1A"/>
    <w:rsid w:val="00B73C43"/>
    <w:rsid w:val="00B73CF0"/>
    <w:rsid w:val="00B73FEB"/>
    <w:rsid w:val="00B74107"/>
    <w:rsid w:val="00B744BF"/>
    <w:rsid w:val="00B745F0"/>
    <w:rsid w:val="00B74624"/>
    <w:rsid w:val="00B7476B"/>
    <w:rsid w:val="00B7476D"/>
    <w:rsid w:val="00B747A6"/>
    <w:rsid w:val="00B74A8A"/>
    <w:rsid w:val="00B74BA1"/>
    <w:rsid w:val="00B74BD4"/>
    <w:rsid w:val="00B74C9C"/>
    <w:rsid w:val="00B74D73"/>
    <w:rsid w:val="00B74F89"/>
    <w:rsid w:val="00B7503F"/>
    <w:rsid w:val="00B750B2"/>
    <w:rsid w:val="00B75124"/>
    <w:rsid w:val="00B752DF"/>
    <w:rsid w:val="00B75424"/>
    <w:rsid w:val="00B754A5"/>
    <w:rsid w:val="00B754D8"/>
    <w:rsid w:val="00B75586"/>
    <w:rsid w:val="00B755A8"/>
    <w:rsid w:val="00B755AA"/>
    <w:rsid w:val="00B75845"/>
    <w:rsid w:val="00B7587C"/>
    <w:rsid w:val="00B759DD"/>
    <w:rsid w:val="00B75C09"/>
    <w:rsid w:val="00B7610B"/>
    <w:rsid w:val="00B762CA"/>
    <w:rsid w:val="00B7650D"/>
    <w:rsid w:val="00B76778"/>
    <w:rsid w:val="00B76B02"/>
    <w:rsid w:val="00B76CB6"/>
    <w:rsid w:val="00B76D47"/>
    <w:rsid w:val="00B77211"/>
    <w:rsid w:val="00B772CA"/>
    <w:rsid w:val="00B772E6"/>
    <w:rsid w:val="00B7730B"/>
    <w:rsid w:val="00B7734F"/>
    <w:rsid w:val="00B7748C"/>
    <w:rsid w:val="00B774A5"/>
    <w:rsid w:val="00B77645"/>
    <w:rsid w:val="00B777F5"/>
    <w:rsid w:val="00B7780F"/>
    <w:rsid w:val="00B77848"/>
    <w:rsid w:val="00B778A2"/>
    <w:rsid w:val="00B778F4"/>
    <w:rsid w:val="00B7799D"/>
    <w:rsid w:val="00B77AD0"/>
    <w:rsid w:val="00B77F1C"/>
    <w:rsid w:val="00B80025"/>
    <w:rsid w:val="00B80058"/>
    <w:rsid w:val="00B8006E"/>
    <w:rsid w:val="00B80130"/>
    <w:rsid w:val="00B80346"/>
    <w:rsid w:val="00B803BB"/>
    <w:rsid w:val="00B80413"/>
    <w:rsid w:val="00B8047E"/>
    <w:rsid w:val="00B8054B"/>
    <w:rsid w:val="00B80660"/>
    <w:rsid w:val="00B8067D"/>
    <w:rsid w:val="00B806BF"/>
    <w:rsid w:val="00B80717"/>
    <w:rsid w:val="00B80721"/>
    <w:rsid w:val="00B80A6F"/>
    <w:rsid w:val="00B80AF1"/>
    <w:rsid w:val="00B80DCA"/>
    <w:rsid w:val="00B80E09"/>
    <w:rsid w:val="00B80F48"/>
    <w:rsid w:val="00B810A2"/>
    <w:rsid w:val="00B811BC"/>
    <w:rsid w:val="00B811C4"/>
    <w:rsid w:val="00B8131E"/>
    <w:rsid w:val="00B81377"/>
    <w:rsid w:val="00B813BC"/>
    <w:rsid w:val="00B81546"/>
    <w:rsid w:val="00B81554"/>
    <w:rsid w:val="00B8155C"/>
    <w:rsid w:val="00B8156F"/>
    <w:rsid w:val="00B8181E"/>
    <w:rsid w:val="00B81F25"/>
    <w:rsid w:val="00B820C5"/>
    <w:rsid w:val="00B8212E"/>
    <w:rsid w:val="00B823FA"/>
    <w:rsid w:val="00B82460"/>
    <w:rsid w:val="00B8257E"/>
    <w:rsid w:val="00B82604"/>
    <w:rsid w:val="00B82A10"/>
    <w:rsid w:val="00B82F80"/>
    <w:rsid w:val="00B831EC"/>
    <w:rsid w:val="00B8326A"/>
    <w:rsid w:val="00B837F6"/>
    <w:rsid w:val="00B838EB"/>
    <w:rsid w:val="00B83C74"/>
    <w:rsid w:val="00B83F59"/>
    <w:rsid w:val="00B83FCF"/>
    <w:rsid w:val="00B84008"/>
    <w:rsid w:val="00B8401C"/>
    <w:rsid w:val="00B84066"/>
    <w:rsid w:val="00B843CB"/>
    <w:rsid w:val="00B8458F"/>
    <w:rsid w:val="00B84CE4"/>
    <w:rsid w:val="00B84ECF"/>
    <w:rsid w:val="00B84F2C"/>
    <w:rsid w:val="00B85192"/>
    <w:rsid w:val="00B85525"/>
    <w:rsid w:val="00B8562F"/>
    <w:rsid w:val="00B857F7"/>
    <w:rsid w:val="00B8580B"/>
    <w:rsid w:val="00B8585C"/>
    <w:rsid w:val="00B85C75"/>
    <w:rsid w:val="00B85CA0"/>
    <w:rsid w:val="00B85CFF"/>
    <w:rsid w:val="00B85DAA"/>
    <w:rsid w:val="00B85E56"/>
    <w:rsid w:val="00B85F31"/>
    <w:rsid w:val="00B86082"/>
    <w:rsid w:val="00B86418"/>
    <w:rsid w:val="00B8645A"/>
    <w:rsid w:val="00B86497"/>
    <w:rsid w:val="00B8656F"/>
    <w:rsid w:val="00B867F8"/>
    <w:rsid w:val="00B869D1"/>
    <w:rsid w:val="00B86BDE"/>
    <w:rsid w:val="00B86D5B"/>
    <w:rsid w:val="00B86E1D"/>
    <w:rsid w:val="00B8704A"/>
    <w:rsid w:val="00B870C8"/>
    <w:rsid w:val="00B873EB"/>
    <w:rsid w:val="00B8771E"/>
    <w:rsid w:val="00B879D7"/>
    <w:rsid w:val="00B87DBA"/>
    <w:rsid w:val="00B87DD0"/>
    <w:rsid w:val="00B87F24"/>
    <w:rsid w:val="00B90184"/>
    <w:rsid w:val="00B901F9"/>
    <w:rsid w:val="00B903CF"/>
    <w:rsid w:val="00B904FC"/>
    <w:rsid w:val="00B90568"/>
    <w:rsid w:val="00B905D5"/>
    <w:rsid w:val="00B9072D"/>
    <w:rsid w:val="00B907B2"/>
    <w:rsid w:val="00B90947"/>
    <w:rsid w:val="00B90B37"/>
    <w:rsid w:val="00B90F65"/>
    <w:rsid w:val="00B90F89"/>
    <w:rsid w:val="00B9106C"/>
    <w:rsid w:val="00B910D4"/>
    <w:rsid w:val="00B910F1"/>
    <w:rsid w:val="00B91801"/>
    <w:rsid w:val="00B9191D"/>
    <w:rsid w:val="00B91B42"/>
    <w:rsid w:val="00B921A3"/>
    <w:rsid w:val="00B92397"/>
    <w:rsid w:val="00B929CA"/>
    <w:rsid w:val="00B92AE0"/>
    <w:rsid w:val="00B92B3F"/>
    <w:rsid w:val="00B92C79"/>
    <w:rsid w:val="00B92CDD"/>
    <w:rsid w:val="00B92F25"/>
    <w:rsid w:val="00B9315A"/>
    <w:rsid w:val="00B93183"/>
    <w:rsid w:val="00B9321B"/>
    <w:rsid w:val="00B93266"/>
    <w:rsid w:val="00B9328C"/>
    <w:rsid w:val="00B93328"/>
    <w:rsid w:val="00B9350C"/>
    <w:rsid w:val="00B935AB"/>
    <w:rsid w:val="00B9370F"/>
    <w:rsid w:val="00B9384D"/>
    <w:rsid w:val="00B93887"/>
    <w:rsid w:val="00B939FE"/>
    <w:rsid w:val="00B93B96"/>
    <w:rsid w:val="00B93D74"/>
    <w:rsid w:val="00B94042"/>
    <w:rsid w:val="00B9407B"/>
    <w:rsid w:val="00B9407F"/>
    <w:rsid w:val="00B940B1"/>
    <w:rsid w:val="00B9413F"/>
    <w:rsid w:val="00B94207"/>
    <w:rsid w:val="00B9424B"/>
    <w:rsid w:val="00B9428C"/>
    <w:rsid w:val="00B94571"/>
    <w:rsid w:val="00B945D6"/>
    <w:rsid w:val="00B94962"/>
    <w:rsid w:val="00B94998"/>
    <w:rsid w:val="00B94C24"/>
    <w:rsid w:val="00B95183"/>
    <w:rsid w:val="00B95239"/>
    <w:rsid w:val="00B952E9"/>
    <w:rsid w:val="00B953E8"/>
    <w:rsid w:val="00B95507"/>
    <w:rsid w:val="00B95D1B"/>
    <w:rsid w:val="00B95EE3"/>
    <w:rsid w:val="00B95F15"/>
    <w:rsid w:val="00B9611D"/>
    <w:rsid w:val="00B96237"/>
    <w:rsid w:val="00B962F9"/>
    <w:rsid w:val="00B96323"/>
    <w:rsid w:val="00B96480"/>
    <w:rsid w:val="00B964BF"/>
    <w:rsid w:val="00B96501"/>
    <w:rsid w:val="00B96573"/>
    <w:rsid w:val="00B9658D"/>
    <w:rsid w:val="00B96883"/>
    <w:rsid w:val="00B968FE"/>
    <w:rsid w:val="00B9690B"/>
    <w:rsid w:val="00B96A89"/>
    <w:rsid w:val="00B96C2F"/>
    <w:rsid w:val="00B96E88"/>
    <w:rsid w:val="00B96EE5"/>
    <w:rsid w:val="00B970B6"/>
    <w:rsid w:val="00B970E4"/>
    <w:rsid w:val="00B97381"/>
    <w:rsid w:val="00B973CF"/>
    <w:rsid w:val="00B974CF"/>
    <w:rsid w:val="00B974DA"/>
    <w:rsid w:val="00B97862"/>
    <w:rsid w:val="00B97A1B"/>
    <w:rsid w:val="00B97B29"/>
    <w:rsid w:val="00B97B2F"/>
    <w:rsid w:val="00B97B41"/>
    <w:rsid w:val="00B97B8E"/>
    <w:rsid w:val="00B97C1E"/>
    <w:rsid w:val="00B97C62"/>
    <w:rsid w:val="00BA0236"/>
    <w:rsid w:val="00BA0377"/>
    <w:rsid w:val="00BA03BE"/>
    <w:rsid w:val="00BA0551"/>
    <w:rsid w:val="00BA08D9"/>
    <w:rsid w:val="00BA0C26"/>
    <w:rsid w:val="00BA0DCA"/>
    <w:rsid w:val="00BA0DDD"/>
    <w:rsid w:val="00BA0F13"/>
    <w:rsid w:val="00BA1128"/>
    <w:rsid w:val="00BA11C0"/>
    <w:rsid w:val="00BA13FE"/>
    <w:rsid w:val="00BA15DC"/>
    <w:rsid w:val="00BA16AF"/>
    <w:rsid w:val="00BA18E1"/>
    <w:rsid w:val="00BA1912"/>
    <w:rsid w:val="00BA1AE4"/>
    <w:rsid w:val="00BA1C74"/>
    <w:rsid w:val="00BA1DD0"/>
    <w:rsid w:val="00BA1E5F"/>
    <w:rsid w:val="00BA1EBC"/>
    <w:rsid w:val="00BA1FAD"/>
    <w:rsid w:val="00BA2057"/>
    <w:rsid w:val="00BA218C"/>
    <w:rsid w:val="00BA234D"/>
    <w:rsid w:val="00BA25FF"/>
    <w:rsid w:val="00BA29D5"/>
    <w:rsid w:val="00BA2C6B"/>
    <w:rsid w:val="00BA2EE9"/>
    <w:rsid w:val="00BA2EEF"/>
    <w:rsid w:val="00BA31B4"/>
    <w:rsid w:val="00BA33CA"/>
    <w:rsid w:val="00BA35C8"/>
    <w:rsid w:val="00BA3838"/>
    <w:rsid w:val="00BA3899"/>
    <w:rsid w:val="00BA3A39"/>
    <w:rsid w:val="00BA3A4F"/>
    <w:rsid w:val="00BA3A73"/>
    <w:rsid w:val="00BA3A8F"/>
    <w:rsid w:val="00BA3D1E"/>
    <w:rsid w:val="00BA3D79"/>
    <w:rsid w:val="00BA41B6"/>
    <w:rsid w:val="00BA45C9"/>
    <w:rsid w:val="00BA4656"/>
    <w:rsid w:val="00BA4683"/>
    <w:rsid w:val="00BA485F"/>
    <w:rsid w:val="00BA48A8"/>
    <w:rsid w:val="00BA494E"/>
    <w:rsid w:val="00BA498A"/>
    <w:rsid w:val="00BA49C6"/>
    <w:rsid w:val="00BA4CC7"/>
    <w:rsid w:val="00BA4DA4"/>
    <w:rsid w:val="00BA5230"/>
    <w:rsid w:val="00BA5434"/>
    <w:rsid w:val="00BA575C"/>
    <w:rsid w:val="00BA57A8"/>
    <w:rsid w:val="00BA57CF"/>
    <w:rsid w:val="00BA58A2"/>
    <w:rsid w:val="00BA5AC5"/>
    <w:rsid w:val="00BA5CAB"/>
    <w:rsid w:val="00BA5E27"/>
    <w:rsid w:val="00BA5EE7"/>
    <w:rsid w:val="00BA5FDA"/>
    <w:rsid w:val="00BA6088"/>
    <w:rsid w:val="00BA64C8"/>
    <w:rsid w:val="00BA656E"/>
    <w:rsid w:val="00BA6A3A"/>
    <w:rsid w:val="00BA6D86"/>
    <w:rsid w:val="00BA6D8E"/>
    <w:rsid w:val="00BA6F1D"/>
    <w:rsid w:val="00BA72B8"/>
    <w:rsid w:val="00BA74F4"/>
    <w:rsid w:val="00BA7541"/>
    <w:rsid w:val="00BA7674"/>
    <w:rsid w:val="00BA7714"/>
    <w:rsid w:val="00BA7846"/>
    <w:rsid w:val="00BA7A0E"/>
    <w:rsid w:val="00BA7B9B"/>
    <w:rsid w:val="00BA7BE5"/>
    <w:rsid w:val="00BA7CFF"/>
    <w:rsid w:val="00BB0233"/>
    <w:rsid w:val="00BB038A"/>
    <w:rsid w:val="00BB0408"/>
    <w:rsid w:val="00BB0489"/>
    <w:rsid w:val="00BB082F"/>
    <w:rsid w:val="00BB0A30"/>
    <w:rsid w:val="00BB0BE3"/>
    <w:rsid w:val="00BB101C"/>
    <w:rsid w:val="00BB10D3"/>
    <w:rsid w:val="00BB1357"/>
    <w:rsid w:val="00BB15C8"/>
    <w:rsid w:val="00BB1805"/>
    <w:rsid w:val="00BB18A4"/>
    <w:rsid w:val="00BB1917"/>
    <w:rsid w:val="00BB1A55"/>
    <w:rsid w:val="00BB1A71"/>
    <w:rsid w:val="00BB1A8E"/>
    <w:rsid w:val="00BB1AD1"/>
    <w:rsid w:val="00BB1CBB"/>
    <w:rsid w:val="00BB1CE0"/>
    <w:rsid w:val="00BB1DF4"/>
    <w:rsid w:val="00BB1F20"/>
    <w:rsid w:val="00BB1FAA"/>
    <w:rsid w:val="00BB212E"/>
    <w:rsid w:val="00BB21AC"/>
    <w:rsid w:val="00BB2270"/>
    <w:rsid w:val="00BB2328"/>
    <w:rsid w:val="00BB2886"/>
    <w:rsid w:val="00BB28E7"/>
    <w:rsid w:val="00BB2C4C"/>
    <w:rsid w:val="00BB2C74"/>
    <w:rsid w:val="00BB2D02"/>
    <w:rsid w:val="00BB2D4A"/>
    <w:rsid w:val="00BB2DDE"/>
    <w:rsid w:val="00BB2E67"/>
    <w:rsid w:val="00BB2F33"/>
    <w:rsid w:val="00BB333A"/>
    <w:rsid w:val="00BB33C3"/>
    <w:rsid w:val="00BB33F0"/>
    <w:rsid w:val="00BB38DA"/>
    <w:rsid w:val="00BB398F"/>
    <w:rsid w:val="00BB39EF"/>
    <w:rsid w:val="00BB3C08"/>
    <w:rsid w:val="00BB3CA4"/>
    <w:rsid w:val="00BB3D93"/>
    <w:rsid w:val="00BB3FFD"/>
    <w:rsid w:val="00BB4C43"/>
    <w:rsid w:val="00BB4F1D"/>
    <w:rsid w:val="00BB4F5E"/>
    <w:rsid w:val="00BB511A"/>
    <w:rsid w:val="00BB5166"/>
    <w:rsid w:val="00BB5181"/>
    <w:rsid w:val="00BB526B"/>
    <w:rsid w:val="00BB5285"/>
    <w:rsid w:val="00BB548F"/>
    <w:rsid w:val="00BB5523"/>
    <w:rsid w:val="00BB561E"/>
    <w:rsid w:val="00BB5817"/>
    <w:rsid w:val="00BB58B3"/>
    <w:rsid w:val="00BB591F"/>
    <w:rsid w:val="00BB5B70"/>
    <w:rsid w:val="00BB5BF4"/>
    <w:rsid w:val="00BB5BF6"/>
    <w:rsid w:val="00BB5D2A"/>
    <w:rsid w:val="00BB5E8F"/>
    <w:rsid w:val="00BB5FA1"/>
    <w:rsid w:val="00BB5FE3"/>
    <w:rsid w:val="00BB61EC"/>
    <w:rsid w:val="00BB6371"/>
    <w:rsid w:val="00BB647B"/>
    <w:rsid w:val="00BB6C18"/>
    <w:rsid w:val="00BB6C72"/>
    <w:rsid w:val="00BB6DD8"/>
    <w:rsid w:val="00BB6F8C"/>
    <w:rsid w:val="00BB7006"/>
    <w:rsid w:val="00BB714B"/>
    <w:rsid w:val="00BB7586"/>
    <w:rsid w:val="00BB7592"/>
    <w:rsid w:val="00BB772F"/>
    <w:rsid w:val="00BB785F"/>
    <w:rsid w:val="00BB7875"/>
    <w:rsid w:val="00BB792D"/>
    <w:rsid w:val="00BB793E"/>
    <w:rsid w:val="00BB7942"/>
    <w:rsid w:val="00BB7C87"/>
    <w:rsid w:val="00BB7E6C"/>
    <w:rsid w:val="00BB7EC1"/>
    <w:rsid w:val="00BB7EC3"/>
    <w:rsid w:val="00BC0092"/>
    <w:rsid w:val="00BC02FC"/>
    <w:rsid w:val="00BC0396"/>
    <w:rsid w:val="00BC0413"/>
    <w:rsid w:val="00BC04CA"/>
    <w:rsid w:val="00BC05F4"/>
    <w:rsid w:val="00BC0626"/>
    <w:rsid w:val="00BC0722"/>
    <w:rsid w:val="00BC076C"/>
    <w:rsid w:val="00BC0A74"/>
    <w:rsid w:val="00BC10EF"/>
    <w:rsid w:val="00BC11CB"/>
    <w:rsid w:val="00BC1330"/>
    <w:rsid w:val="00BC134A"/>
    <w:rsid w:val="00BC138B"/>
    <w:rsid w:val="00BC15C0"/>
    <w:rsid w:val="00BC1691"/>
    <w:rsid w:val="00BC185D"/>
    <w:rsid w:val="00BC1B6B"/>
    <w:rsid w:val="00BC1B74"/>
    <w:rsid w:val="00BC1D6A"/>
    <w:rsid w:val="00BC1E84"/>
    <w:rsid w:val="00BC1ED2"/>
    <w:rsid w:val="00BC2107"/>
    <w:rsid w:val="00BC212B"/>
    <w:rsid w:val="00BC2153"/>
    <w:rsid w:val="00BC23C4"/>
    <w:rsid w:val="00BC25D0"/>
    <w:rsid w:val="00BC28DA"/>
    <w:rsid w:val="00BC2956"/>
    <w:rsid w:val="00BC29B5"/>
    <w:rsid w:val="00BC2E6A"/>
    <w:rsid w:val="00BC2F08"/>
    <w:rsid w:val="00BC2F4C"/>
    <w:rsid w:val="00BC30E8"/>
    <w:rsid w:val="00BC311F"/>
    <w:rsid w:val="00BC3182"/>
    <w:rsid w:val="00BC3387"/>
    <w:rsid w:val="00BC34B7"/>
    <w:rsid w:val="00BC3712"/>
    <w:rsid w:val="00BC37B3"/>
    <w:rsid w:val="00BC389A"/>
    <w:rsid w:val="00BC38EE"/>
    <w:rsid w:val="00BC3F9D"/>
    <w:rsid w:val="00BC3FFC"/>
    <w:rsid w:val="00BC4061"/>
    <w:rsid w:val="00BC421C"/>
    <w:rsid w:val="00BC44C1"/>
    <w:rsid w:val="00BC45CD"/>
    <w:rsid w:val="00BC45FF"/>
    <w:rsid w:val="00BC4606"/>
    <w:rsid w:val="00BC4682"/>
    <w:rsid w:val="00BC4920"/>
    <w:rsid w:val="00BC4936"/>
    <w:rsid w:val="00BC49CC"/>
    <w:rsid w:val="00BC4A08"/>
    <w:rsid w:val="00BC4A13"/>
    <w:rsid w:val="00BC4A5E"/>
    <w:rsid w:val="00BC4CEF"/>
    <w:rsid w:val="00BC4D1A"/>
    <w:rsid w:val="00BC50BF"/>
    <w:rsid w:val="00BC50D3"/>
    <w:rsid w:val="00BC5419"/>
    <w:rsid w:val="00BC5662"/>
    <w:rsid w:val="00BC581B"/>
    <w:rsid w:val="00BC589E"/>
    <w:rsid w:val="00BC595E"/>
    <w:rsid w:val="00BC598F"/>
    <w:rsid w:val="00BC5C58"/>
    <w:rsid w:val="00BC5E09"/>
    <w:rsid w:val="00BC5E8D"/>
    <w:rsid w:val="00BC6016"/>
    <w:rsid w:val="00BC609C"/>
    <w:rsid w:val="00BC66C1"/>
    <w:rsid w:val="00BC6871"/>
    <w:rsid w:val="00BC68D1"/>
    <w:rsid w:val="00BC6EB1"/>
    <w:rsid w:val="00BC6F89"/>
    <w:rsid w:val="00BC716A"/>
    <w:rsid w:val="00BC729E"/>
    <w:rsid w:val="00BC7456"/>
    <w:rsid w:val="00BC76FE"/>
    <w:rsid w:val="00BC7948"/>
    <w:rsid w:val="00BC7BB0"/>
    <w:rsid w:val="00BC7D54"/>
    <w:rsid w:val="00BC7F3E"/>
    <w:rsid w:val="00BD01A7"/>
    <w:rsid w:val="00BD0217"/>
    <w:rsid w:val="00BD0291"/>
    <w:rsid w:val="00BD02E6"/>
    <w:rsid w:val="00BD03DD"/>
    <w:rsid w:val="00BD04E8"/>
    <w:rsid w:val="00BD068A"/>
    <w:rsid w:val="00BD06D8"/>
    <w:rsid w:val="00BD07E2"/>
    <w:rsid w:val="00BD07F6"/>
    <w:rsid w:val="00BD07FD"/>
    <w:rsid w:val="00BD0B26"/>
    <w:rsid w:val="00BD0C3D"/>
    <w:rsid w:val="00BD0EA1"/>
    <w:rsid w:val="00BD0FB5"/>
    <w:rsid w:val="00BD0FBF"/>
    <w:rsid w:val="00BD108D"/>
    <w:rsid w:val="00BD1096"/>
    <w:rsid w:val="00BD151D"/>
    <w:rsid w:val="00BD165F"/>
    <w:rsid w:val="00BD1663"/>
    <w:rsid w:val="00BD18E7"/>
    <w:rsid w:val="00BD190E"/>
    <w:rsid w:val="00BD1A1A"/>
    <w:rsid w:val="00BD1ADD"/>
    <w:rsid w:val="00BD1D2B"/>
    <w:rsid w:val="00BD1D9D"/>
    <w:rsid w:val="00BD1E53"/>
    <w:rsid w:val="00BD1F02"/>
    <w:rsid w:val="00BD2049"/>
    <w:rsid w:val="00BD2099"/>
    <w:rsid w:val="00BD20DA"/>
    <w:rsid w:val="00BD20DF"/>
    <w:rsid w:val="00BD212C"/>
    <w:rsid w:val="00BD22D8"/>
    <w:rsid w:val="00BD2748"/>
    <w:rsid w:val="00BD27EB"/>
    <w:rsid w:val="00BD280A"/>
    <w:rsid w:val="00BD2B72"/>
    <w:rsid w:val="00BD2CD2"/>
    <w:rsid w:val="00BD2DF0"/>
    <w:rsid w:val="00BD2E39"/>
    <w:rsid w:val="00BD32D8"/>
    <w:rsid w:val="00BD352D"/>
    <w:rsid w:val="00BD354E"/>
    <w:rsid w:val="00BD3620"/>
    <w:rsid w:val="00BD39E4"/>
    <w:rsid w:val="00BD3B0D"/>
    <w:rsid w:val="00BD3E48"/>
    <w:rsid w:val="00BD416B"/>
    <w:rsid w:val="00BD41B3"/>
    <w:rsid w:val="00BD4356"/>
    <w:rsid w:val="00BD43D9"/>
    <w:rsid w:val="00BD440D"/>
    <w:rsid w:val="00BD46DF"/>
    <w:rsid w:val="00BD474A"/>
    <w:rsid w:val="00BD4763"/>
    <w:rsid w:val="00BD4D03"/>
    <w:rsid w:val="00BD4D08"/>
    <w:rsid w:val="00BD4D5C"/>
    <w:rsid w:val="00BD4F62"/>
    <w:rsid w:val="00BD5484"/>
    <w:rsid w:val="00BD5511"/>
    <w:rsid w:val="00BD579E"/>
    <w:rsid w:val="00BD59F8"/>
    <w:rsid w:val="00BD5B06"/>
    <w:rsid w:val="00BD5B8C"/>
    <w:rsid w:val="00BD600F"/>
    <w:rsid w:val="00BD601E"/>
    <w:rsid w:val="00BD604D"/>
    <w:rsid w:val="00BD6141"/>
    <w:rsid w:val="00BD61AE"/>
    <w:rsid w:val="00BD62ED"/>
    <w:rsid w:val="00BD66CA"/>
    <w:rsid w:val="00BD68BD"/>
    <w:rsid w:val="00BD6A29"/>
    <w:rsid w:val="00BD6D53"/>
    <w:rsid w:val="00BD7080"/>
    <w:rsid w:val="00BD7097"/>
    <w:rsid w:val="00BD7466"/>
    <w:rsid w:val="00BD7545"/>
    <w:rsid w:val="00BD75C3"/>
    <w:rsid w:val="00BD7671"/>
    <w:rsid w:val="00BD7879"/>
    <w:rsid w:val="00BD7C17"/>
    <w:rsid w:val="00BD7C20"/>
    <w:rsid w:val="00BD7ED6"/>
    <w:rsid w:val="00BD7F5C"/>
    <w:rsid w:val="00BE003C"/>
    <w:rsid w:val="00BE0058"/>
    <w:rsid w:val="00BE09D0"/>
    <w:rsid w:val="00BE0B41"/>
    <w:rsid w:val="00BE0B75"/>
    <w:rsid w:val="00BE0C3C"/>
    <w:rsid w:val="00BE0CCE"/>
    <w:rsid w:val="00BE0F5E"/>
    <w:rsid w:val="00BE1054"/>
    <w:rsid w:val="00BE10A9"/>
    <w:rsid w:val="00BE11AB"/>
    <w:rsid w:val="00BE13DA"/>
    <w:rsid w:val="00BE17B3"/>
    <w:rsid w:val="00BE1960"/>
    <w:rsid w:val="00BE1990"/>
    <w:rsid w:val="00BE1A55"/>
    <w:rsid w:val="00BE1ACE"/>
    <w:rsid w:val="00BE1AE6"/>
    <w:rsid w:val="00BE1C82"/>
    <w:rsid w:val="00BE21FF"/>
    <w:rsid w:val="00BE2681"/>
    <w:rsid w:val="00BE2949"/>
    <w:rsid w:val="00BE2A60"/>
    <w:rsid w:val="00BE2B87"/>
    <w:rsid w:val="00BE2C86"/>
    <w:rsid w:val="00BE2E23"/>
    <w:rsid w:val="00BE2E49"/>
    <w:rsid w:val="00BE2EEB"/>
    <w:rsid w:val="00BE337A"/>
    <w:rsid w:val="00BE3520"/>
    <w:rsid w:val="00BE35D5"/>
    <w:rsid w:val="00BE36AC"/>
    <w:rsid w:val="00BE37F2"/>
    <w:rsid w:val="00BE38E2"/>
    <w:rsid w:val="00BE39E6"/>
    <w:rsid w:val="00BE3C40"/>
    <w:rsid w:val="00BE3CD3"/>
    <w:rsid w:val="00BE3CD6"/>
    <w:rsid w:val="00BE3D3B"/>
    <w:rsid w:val="00BE3E1A"/>
    <w:rsid w:val="00BE3FA2"/>
    <w:rsid w:val="00BE4019"/>
    <w:rsid w:val="00BE404B"/>
    <w:rsid w:val="00BE418D"/>
    <w:rsid w:val="00BE424B"/>
    <w:rsid w:val="00BE4347"/>
    <w:rsid w:val="00BE4565"/>
    <w:rsid w:val="00BE4612"/>
    <w:rsid w:val="00BE471A"/>
    <w:rsid w:val="00BE4999"/>
    <w:rsid w:val="00BE4EDA"/>
    <w:rsid w:val="00BE4F33"/>
    <w:rsid w:val="00BE4FCD"/>
    <w:rsid w:val="00BE5088"/>
    <w:rsid w:val="00BE508B"/>
    <w:rsid w:val="00BE50AB"/>
    <w:rsid w:val="00BE5155"/>
    <w:rsid w:val="00BE540E"/>
    <w:rsid w:val="00BE5529"/>
    <w:rsid w:val="00BE55A0"/>
    <w:rsid w:val="00BE58D0"/>
    <w:rsid w:val="00BE5C09"/>
    <w:rsid w:val="00BE5C76"/>
    <w:rsid w:val="00BE5DC0"/>
    <w:rsid w:val="00BE5DC4"/>
    <w:rsid w:val="00BE5EB1"/>
    <w:rsid w:val="00BE5F35"/>
    <w:rsid w:val="00BE6039"/>
    <w:rsid w:val="00BE6245"/>
    <w:rsid w:val="00BE62C0"/>
    <w:rsid w:val="00BE63A7"/>
    <w:rsid w:val="00BE63E4"/>
    <w:rsid w:val="00BE64DC"/>
    <w:rsid w:val="00BE672B"/>
    <w:rsid w:val="00BE6771"/>
    <w:rsid w:val="00BE67A7"/>
    <w:rsid w:val="00BE67A8"/>
    <w:rsid w:val="00BE6A72"/>
    <w:rsid w:val="00BE6E9E"/>
    <w:rsid w:val="00BE6FF0"/>
    <w:rsid w:val="00BE71B4"/>
    <w:rsid w:val="00BE71EC"/>
    <w:rsid w:val="00BE7240"/>
    <w:rsid w:val="00BE726D"/>
    <w:rsid w:val="00BE72D9"/>
    <w:rsid w:val="00BE73F1"/>
    <w:rsid w:val="00BE748C"/>
    <w:rsid w:val="00BE7635"/>
    <w:rsid w:val="00BE798C"/>
    <w:rsid w:val="00BE7B3B"/>
    <w:rsid w:val="00BE7D82"/>
    <w:rsid w:val="00BE7DB3"/>
    <w:rsid w:val="00BE7EF2"/>
    <w:rsid w:val="00BE7F20"/>
    <w:rsid w:val="00BE7F33"/>
    <w:rsid w:val="00BF038A"/>
    <w:rsid w:val="00BF040D"/>
    <w:rsid w:val="00BF04A3"/>
    <w:rsid w:val="00BF0500"/>
    <w:rsid w:val="00BF0614"/>
    <w:rsid w:val="00BF0691"/>
    <w:rsid w:val="00BF069B"/>
    <w:rsid w:val="00BF09ED"/>
    <w:rsid w:val="00BF0A99"/>
    <w:rsid w:val="00BF0F1F"/>
    <w:rsid w:val="00BF11BC"/>
    <w:rsid w:val="00BF125C"/>
    <w:rsid w:val="00BF157A"/>
    <w:rsid w:val="00BF1596"/>
    <w:rsid w:val="00BF15CE"/>
    <w:rsid w:val="00BF16A1"/>
    <w:rsid w:val="00BF1730"/>
    <w:rsid w:val="00BF1893"/>
    <w:rsid w:val="00BF1B24"/>
    <w:rsid w:val="00BF1C94"/>
    <w:rsid w:val="00BF1CA1"/>
    <w:rsid w:val="00BF1CFB"/>
    <w:rsid w:val="00BF1E61"/>
    <w:rsid w:val="00BF1FED"/>
    <w:rsid w:val="00BF203E"/>
    <w:rsid w:val="00BF217A"/>
    <w:rsid w:val="00BF2230"/>
    <w:rsid w:val="00BF2489"/>
    <w:rsid w:val="00BF249A"/>
    <w:rsid w:val="00BF24BB"/>
    <w:rsid w:val="00BF2748"/>
    <w:rsid w:val="00BF28F9"/>
    <w:rsid w:val="00BF2B9C"/>
    <w:rsid w:val="00BF2F72"/>
    <w:rsid w:val="00BF3251"/>
    <w:rsid w:val="00BF338D"/>
    <w:rsid w:val="00BF33EB"/>
    <w:rsid w:val="00BF348B"/>
    <w:rsid w:val="00BF34DC"/>
    <w:rsid w:val="00BF37E4"/>
    <w:rsid w:val="00BF3B58"/>
    <w:rsid w:val="00BF3F55"/>
    <w:rsid w:val="00BF40A5"/>
    <w:rsid w:val="00BF4785"/>
    <w:rsid w:val="00BF4D3B"/>
    <w:rsid w:val="00BF4DF4"/>
    <w:rsid w:val="00BF4E53"/>
    <w:rsid w:val="00BF513B"/>
    <w:rsid w:val="00BF523B"/>
    <w:rsid w:val="00BF54BA"/>
    <w:rsid w:val="00BF553B"/>
    <w:rsid w:val="00BF578B"/>
    <w:rsid w:val="00BF5980"/>
    <w:rsid w:val="00BF5ADD"/>
    <w:rsid w:val="00BF5D72"/>
    <w:rsid w:val="00BF5E3C"/>
    <w:rsid w:val="00BF61B1"/>
    <w:rsid w:val="00BF62EF"/>
    <w:rsid w:val="00BF635F"/>
    <w:rsid w:val="00BF663E"/>
    <w:rsid w:val="00BF6807"/>
    <w:rsid w:val="00BF698E"/>
    <w:rsid w:val="00BF6A3D"/>
    <w:rsid w:val="00BF6A4E"/>
    <w:rsid w:val="00BF6A8C"/>
    <w:rsid w:val="00BF6CC4"/>
    <w:rsid w:val="00BF6CD8"/>
    <w:rsid w:val="00BF6CE4"/>
    <w:rsid w:val="00BF6EF9"/>
    <w:rsid w:val="00BF702C"/>
    <w:rsid w:val="00BF71E4"/>
    <w:rsid w:val="00BF7374"/>
    <w:rsid w:val="00BF73F3"/>
    <w:rsid w:val="00BF7507"/>
    <w:rsid w:val="00BF752C"/>
    <w:rsid w:val="00BF759B"/>
    <w:rsid w:val="00BF76E5"/>
    <w:rsid w:val="00BF7AA0"/>
    <w:rsid w:val="00BF7D6F"/>
    <w:rsid w:val="00BF7D8C"/>
    <w:rsid w:val="00BF7DF7"/>
    <w:rsid w:val="00BF7E4A"/>
    <w:rsid w:val="00C000FB"/>
    <w:rsid w:val="00C002BB"/>
    <w:rsid w:val="00C003C4"/>
    <w:rsid w:val="00C00C2F"/>
    <w:rsid w:val="00C00CD7"/>
    <w:rsid w:val="00C00E3B"/>
    <w:rsid w:val="00C00F96"/>
    <w:rsid w:val="00C01359"/>
    <w:rsid w:val="00C01449"/>
    <w:rsid w:val="00C0148F"/>
    <w:rsid w:val="00C014F4"/>
    <w:rsid w:val="00C01BC2"/>
    <w:rsid w:val="00C01D3A"/>
    <w:rsid w:val="00C01DC3"/>
    <w:rsid w:val="00C01DE2"/>
    <w:rsid w:val="00C01E9D"/>
    <w:rsid w:val="00C0205D"/>
    <w:rsid w:val="00C0211B"/>
    <w:rsid w:val="00C025B6"/>
    <w:rsid w:val="00C02768"/>
    <w:rsid w:val="00C0289C"/>
    <w:rsid w:val="00C02ACA"/>
    <w:rsid w:val="00C02AD9"/>
    <w:rsid w:val="00C02C02"/>
    <w:rsid w:val="00C03019"/>
    <w:rsid w:val="00C039CD"/>
    <w:rsid w:val="00C03A12"/>
    <w:rsid w:val="00C03A7A"/>
    <w:rsid w:val="00C03ADB"/>
    <w:rsid w:val="00C03B2B"/>
    <w:rsid w:val="00C03CF6"/>
    <w:rsid w:val="00C03D22"/>
    <w:rsid w:val="00C03DF3"/>
    <w:rsid w:val="00C040D7"/>
    <w:rsid w:val="00C0416A"/>
    <w:rsid w:val="00C041DA"/>
    <w:rsid w:val="00C0487C"/>
    <w:rsid w:val="00C0496C"/>
    <w:rsid w:val="00C049A6"/>
    <w:rsid w:val="00C04C3E"/>
    <w:rsid w:val="00C0512C"/>
    <w:rsid w:val="00C05289"/>
    <w:rsid w:val="00C05632"/>
    <w:rsid w:val="00C0563C"/>
    <w:rsid w:val="00C05BBB"/>
    <w:rsid w:val="00C05DF9"/>
    <w:rsid w:val="00C05FF0"/>
    <w:rsid w:val="00C06079"/>
    <w:rsid w:val="00C0616B"/>
    <w:rsid w:val="00C062B5"/>
    <w:rsid w:val="00C06316"/>
    <w:rsid w:val="00C063EA"/>
    <w:rsid w:val="00C065DF"/>
    <w:rsid w:val="00C0677E"/>
    <w:rsid w:val="00C067B2"/>
    <w:rsid w:val="00C06814"/>
    <w:rsid w:val="00C069D9"/>
    <w:rsid w:val="00C06B03"/>
    <w:rsid w:val="00C06CC7"/>
    <w:rsid w:val="00C06DB7"/>
    <w:rsid w:val="00C06E3F"/>
    <w:rsid w:val="00C06F8C"/>
    <w:rsid w:val="00C07079"/>
    <w:rsid w:val="00C071B6"/>
    <w:rsid w:val="00C072AA"/>
    <w:rsid w:val="00C072C8"/>
    <w:rsid w:val="00C07353"/>
    <w:rsid w:val="00C07452"/>
    <w:rsid w:val="00C0749D"/>
    <w:rsid w:val="00C07582"/>
    <w:rsid w:val="00C07596"/>
    <w:rsid w:val="00C076C8"/>
    <w:rsid w:val="00C077D5"/>
    <w:rsid w:val="00C07B0A"/>
    <w:rsid w:val="00C07BF7"/>
    <w:rsid w:val="00C07CE4"/>
    <w:rsid w:val="00C07D33"/>
    <w:rsid w:val="00C07F11"/>
    <w:rsid w:val="00C1002E"/>
    <w:rsid w:val="00C100C4"/>
    <w:rsid w:val="00C10533"/>
    <w:rsid w:val="00C1060A"/>
    <w:rsid w:val="00C10671"/>
    <w:rsid w:val="00C10746"/>
    <w:rsid w:val="00C1078D"/>
    <w:rsid w:val="00C1081B"/>
    <w:rsid w:val="00C10A33"/>
    <w:rsid w:val="00C10B26"/>
    <w:rsid w:val="00C10BD2"/>
    <w:rsid w:val="00C10CAA"/>
    <w:rsid w:val="00C10EDB"/>
    <w:rsid w:val="00C10FA0"/>
    <w:rsid w:val="00C1108E"/>
    <w:rsid w:val="00C110B2"/>
    <w:rsid w:val="00C11148"/>
    <w:rsid w:val="00C111D2"/>
    <w:rsid w:val="00C11297"/>
    <w:rsid w:val="00C1130B"/>
    <w:rsid w:val="00C11501"/>
    <w:rsid w:val="00C11539"/>
    <w:rsid w:val="00C11606"/>
    <w:rsid w:val="00C1167E"/>
    <w:rsid w:val="00C117B1"/>
    <w:rsid w:val="00C117D3"/>
    <w:rsid w:val="00C118E4"/>
    <w:rsid w:val="00C1194A"/>
    <w:rsid w:val="00C11BD0"/>
    <w:rsid w:val="00C11BD4"/>
    <w:rsid w:val="00C11C3D"/>
    <w:rsid w:val="00C11C86"/>
    <w:rsid w:val="00C11E03"/>
    <w:rsid w:val="00C11E61"/>
    <w:rsid w:val="00C120DB"/>
    <w:rsid w:val="00C121DC"/>
    <w:rsid w:val="00C12436"/>
    <w:rsid w:val="00C12606"/>
    <w:rsid w:val="00C1267B"/>
    <w:rsid w:val="00C127B1"/>
    <w:rsid w:val="00C128A1"/>
    <w:rsid w:val="00C129B7"/>
    <w:rsid w:val="00C12DFF"/>
    <w:rsid w:val="00C12E73"/>
    <w:rsid w:val="00C12FF3"/>
    <w:rsid w:val="00C13023"/>
    <w:rsid w:val="00C130CD"/>
    <w:rsid w:val="00C1387C"/>
    <w:rsid w:val="00C138DC"/>
    <w:rsid w:val="00C1391E"/>
    <w:rsid w:val="00C13A65"/>
    <w:rsid w:val="00C1408F"/>
    <w:rsid w:val="00C14495"/>
    <w:rsid w:val="00C144E1"/>
    <w:rsid w:val="00C1480F"/>
    <w:rsid w:val="00C14836"/>
    <w:rsid w:val="00C148A2"/>
    <w:rsid w:val="00C14AAD"/>
    <w:rsid w:val="00C14AB6"/>
    <w:rsid w:val="00C14DF6"/>
    <w:rsid w:val="00C14F0A"/>
    <w:rsid w:val="00C14F10"/>
    <w:rsid w:val="00C15123"/>
    <w:rsid w:val="00C1517F"/>
    <w:rsid w:val="00C15208"/>
    <w:rsid w:val="00C1523B"/>
    <w:rsid w:val="00C1524A"/>
    <w:rsid w:val="00C15399"/>
    <w:rsid w:val="00C153D4"/>
    <w:rsid w:val="00C154B0"/>
    <w:rsid w:val="00C155B9"/>
    <w:rsid w:val="00C159B1"/>
    <w:rsid w:val="00C15B51"/>
    <w:rsid w:val="00C15BD6"/>
    <w:rsid w:val="00C15E67"/>
    <w:rsid w:val="00C15EF7"/>
    <w:rsid w:val="00C15F4A"/>
    <w:rsid w:val="00C16033"/>
    <w:rsid w:val="00C1630E"/>
    <w:rsid w:val="00C1669A"/>
    <w:rsid w:val="00C16736"/>
    <w:rsid w:val="00C167A4"/>
    <w:rsid w:val="00C1691D"/>
    <w:rsid w:val="00C16925"/>
    <w:rsid w:val="00C16932"/>
    <w:rsid w:val="00C169C9"/>
    <w:rsid w:val="00C16A63"/>
    <w:rsid w:val="00C16DC4"/>
    <w:rsid w:val="00C16F2A"/>
    <w:rsid w:val="00C16F71"/>
    <w:rsid w:val="00C1705D"/>
    <w:rsid w:val="00C1715F"/>
    <w:rsid w:val="00C17519"/>
    <w:rsid w:val="00C17588"/>
    <w:rsid w:val="00C176C4"/>
    <w:rsid w:val="00C17A95"/>
    <w:rsid w:val="00C17B4C"/>
    <w:rsid w:val="00C17B8B"/>
    <w:rsid w:val="00C17D5E"/>
    <w:rsid w:val="00C20126"/>
    <w:rsid w:val="00C204D6"/>
    <w:rsid w:val="00C2053B"/>
    <w:rsid w:val="00C2059E"/>
    <w:rsid w:val="00C20697"/>
    <w:rsid w:val="00C20A2C"/>
    <w:rsid w:val="00C20AF5"/>
    <w:rsid w:val="00C20BE9"/>
    <w:rsid w:val="00C20C4C"/>
    <w:rsid w:val="00C20CA0"/>
    <w:rsid w:val="00C20CA3"/>
    <w:rsid w:val="00C20D1E"/>
    <w:rsid w:val="00C20E1A"/>
    <w:rsid w:val="00C215AC"/>
    <w:rsid w:val="00C21688"/>
    <w:rsid w:val="00C21764"/>
    <w:rsid w:val="00C21800"/>
    <w:rsid w:val="00C21B03"/>
    <w:rsid w:val="00C21DAE"/>
    <w:rsid w:val="00C21E3C"/>
    <w:rsid w:val="00C22028"/>
    <w:rsid w:val="00C2220E"/>
    <w:rsid w:val="00C22239"/>
    <w:rsid w:val="00C2270C"/>
    <w:rsid w:val="00C22966"/>
    <w:rsid w:val="00C22977"/>
    <w:rsid w:val="00C22DD9"/>
    <w:rsid w:val="00C22E00"/>
    <w:rsid w:val="00C22E37"/>
    <w:rsid w:val="00C23341"/>
    <w:rsid w:val="00C233BE"/>
    <w:rsid w:val="00C23532"/>
    <w:rsid w:val="00C237EC"/>
    <w:rsid w:val="00C23857"/>
    <w:rsid w:val="00C23872"/>
    <w:rsid w:val="00C23AFB"/>
    <w:rsid w:val="00C23C18"/>
    <w:rsid w:val="00C23E04"/>
    <w:rsid w:val="00C23E4D"/>
    <w:rsid w:val="00C23E8A"/>
    <w:rsid w:val="00C23F0B"/>
    <w:rsid w:val="00C24053"/>
    <w:rsid w:val="00C242F3"/>
    <w:rsid w:val="00C2432B"/>
    <w:rsid w:val="00C24401"/>
    <w:rsid w:val="00C2447F"/>
    <w:rsid w:val="00C2458D"/>
    <w:rsid w:val="00C245FF"/>
    <w:rsid w:val="00C24974"/>
    <w:rsid w:val="00C24A85"/>
    <w:rsid w:val="00C24B39"/>
    <w:rsid w:val="00C24C24"/>
    <w:rsid w:val="00C24CD4"/>
    <w:rsid w:val="00C24E68"/>
    <w:rsid w:val="00C24F28"/>
    <w:rsid w:val="00C25206"/>
    <w:rsid w:val="00C25605"/>
    <w:rsid w:val="00C2560E"/>
    <w:rsid w:val="00C2562B"/>
    <w:rsid w:val="00C25705"/>
    <w:rsid w:val="00C2578E"/>
    <w:rsid w:val="00C258B1"/>
    <w:rsid w:val="00C259A3"/>
    <w:rsid w:val="00C25A50"/>
    <w:rsid w:val="00C25A51"/>
    <w:rsid w:val="00C25AAE"/>
    <w:rsid w:val="00C25BDC"/>
    <w:rsid w:val="00C25CBA"/>
    <w:rsid w:val="00C25D43"/>
    <w:rsid w:val="00C25EA0"/>
    <w:rsid w:val="00C25ECE"/>
    <w:rsid w:val="00C26321"/>
    <w:rsid w:val="00C2667D"/>
    <w:rsid w:val="00C268F7"/>
    <w:rsid w:val="00C26AD1"/>
    <w:rsid w:val="00C26B1F"/>
    <w:rsid w:val="00C26BB0"/>
    <w:rsid w:val="00C26C62"/>
    <w:rsid w:val="00C26F59"/>
    <w:rsid w:val="00C26F87"/>
    <w:rsid w:val="00C271CE"/>
    <w:rsid w:val="00C27246"/>
    <w:rsid w:val="00C273DE"/>
    <w:rsid w:val="00C274F9"/>
    <w:rsid w:val="00C276F4"/>
    <w:rsid w:val="00C27735"/>
    <w:rsid w:val="00C27755"/>
    <w:rsid w:val="00C27772"/>
    <w:rsid w:val="00C27844"/>
    <w:rsid w:val="00C27879"/>
    <w:rsid w:val="00C2795B"/>
    <w:rsid w:val="00C2795D"/>
    <w:rsid w:val="00C27983"/>
    <w:rsid w:val="00C27B23"/>
    <w:rsid w:val="00C27B2A"/>
    <w:rsid w:val="00C27B40"/>
    <w:rsid w:val="00C27D50"/>
    <w:rsid w:val="00C27D86"/>
    <w:rsid w:val="00C300FA"/>
    <w:rsid w:val="00C301D8"/>
    <w:rsid w:val="00C3022D"/>
    <w:rsid w:val="00C3051B"/>
    <w:rsid w:val="00C3083A"/>
    <w:rsid w:val="00C3098C"/>
    <w:rsid w:val="00C30A2B"/>
    <w:rsid w:val="00C30B26"/>
    <w:rsid w:val="00C30B3F"/>
    <w:rsid w:val="00C30C33"/>
    <w:rsid w:val="00C30CE6"/>
    <w:rsid w:val="00C3171D"/>
    <w:rsid w:val="00C31813"/>
    <w:rsid w:val="00C31B6E"/>
    <w:rsid w:val="00C31C8E"/>
    <w:rsid w:val="00C31D21"/>
    <w:rsid w:val="00C31D93"/>
    <w:rsid w:val="00C31DF4"/>
    <w:rsid w:val="00C31E18"/>
    <w:rsid w:val="00C31F09"/>
    <w:rsid w:val="00C321AF"/>
    <w:rsid w:val="00C32745"/>
    <w:rsid w:val="00C32866"/>
    <w:rsid w:val="00C3292D"/>
    <w:rsid w:val="00C329AD"/>
    <w:rsid w:val="00C32BC6"/>
    <w:rsid w:val="00C32DF4"/>
    <w:rsid w:val="00C32F11"/>
    <w:rsid w:val="00C32FF6"/>
    <w:rsid w:val="00C33379"/>
    <w:rsid w:val="00C33406"/>
    <w:rsid w:val="00C33726"/>
    <w:rsid w:val="00C3372E"/>
    <w:rsid w:val="00C3380B"/>
    <w:rsid w:val="00C33910"/>
    <w:rsid w:val="00C3399E"/>
    <w:rsid w:val="00C33C20"/>
    <w:rsid w:val="00C33C97"/>
    <w:rsid w:val="00C340B9"/>
    <w:rsid w:val="00C34132"/>
    <w:rsid w:val="00C341B1"/>
    <w:rsid w:val="00C34226"/>
    <w:rsid w:val="00C3427B"/>
    <w:rsid w:val="00C344C0"/>
    <w:rsid w:val="00C34618"/>
    <w:rsid w:val="00C346E4"/>
    <w:rsid w:val="00C34BEF"/>
    <w:rsid w:val="00C34C8A"/>
    <w:rsid w:val="00C34DB2"/>
    <w:rsid w:val="00C34E33"/>
    <w:rsid w:val="00C34ED7"/>
    <w:rsid w:val="00C34FA4"/>
    <w:rsid w:val="00C35008"/>
    <w:rsid w:val="00C351F0"/>
    <w:rsid w:val="00C3520D"/>
    <w:rsid w:val="00C352D2"/>
    <w:rsid w:val="00C3548B"/>
    <w:rsid w:val="00C355C0"/>
    <w:rsid w:val="00C357FB"/>
    <w:rsid w:val="00C3585A"/>
    <w:rsid w:val="00C3588C"/>
    <w:rsid w:val="00C35A98"/>
    <w:rsid w:val="00C35B0F"/>
    <w:rsid w:val="00C35F33"/>
    <w:rsid w:val="00C36452"/>
    <w:rsid w:val="00C365D4"/>
    <w:rsid w:val="00C366B2"/>
    <w:rsid w:val="00C3674C"/>
    <w:rsid w:val="00C3691F"/>
    <w:rsid w:val="00C369BC"/>
    <w:rsid w:val="00C36E44"/>
    <w:rsid w:val="00C37738"/>
    <w:rsid w:val="00C3781C"/>
    <w:rsid w:val="00C37845"/>
    <w:rsid w:val="00C37846"/>
    <w:rsid w:val="00C37974"/>
    <w:rsid w:val="00C37A01"/>
    <w:rsid w:val="00C37EB9"/>
    <w:rsid w:val="00C37F03"/>
    <w:rsid w:val="00C4021C"/>
    <w:rsid w:val="00C40306"/>
    <w:rsid w:val="00C403DF"/>
    <w:rsid w:val="00C404ED"/>
    <w:rsid w:val="00C40567"/>
    <w:rsid w:val="00C4068B"/>
    <w:rsid w:val="00C406C8"/>
    <w:rsid w:val="00C409EC"/>
    <w:rsid w:val="00C40A02"/>
    <w:rsid w:val="00C40BFE"/>
    <w:rsid w:val="00C40C69"/>
    <w:rsid w:val="00C40D13"/>
    <w:rsid w:val="00C40F06"/>
    <w:rsid w:val="00C41088"/>
    <w:rsid w:val="00C411E5"/>
    <w:rsid w:val="00C412C3"/>
    <w:rsid w:val="00C41451"/>
    <w:rsid w:val="00C4152F"/>
    <w:rsid w:val="00C4164E"/>
    <w:rsid w:val="00C41720"/>
    <w:rsid w:val="00C41723"/>
    <w:rsid w:val="00C418EB"/>
    <w:rsid w:val="00C41A55"/>
    <w:rsid w:val="00C41BB9"/>
    <w:rsid w:val="00C41EE6"/>
    <w:rsid w:val="00C423A0"/>
    <w:rsid w:val="00C42485"/>
    <w:rsid w:val="00C425C0"/>
    <w:rsid w:val="00C4268D"/>
    <w:rsid w:val="00C42798"/>
    <w:rsid w:val="00C42D65"/>
    <w:rsid w:val="00C42DBE"/>
    <w:rsid w:val="00C42FD7"/>
    <w:rsid w:val="00C43253"/>
    <w:rsid w:val="00C4335D"/>
    <w:rsid w:val="00C434C1"/>
    <w:rsid w:val="00C4367A"/>
    <w:rsid w:val="00C4376E"/>
    <w:rsid w:val="00C43892"/>
    <w:rsid w:val="00C43962"/>
    <w:rsid w:val="00C43B35"/>
    <w:rsid w:val="00C43BA6"/>
    <w:rsid w:val="00C43CF8"/>
    <w:rsid w:val="00C43D11"/>
    <w:rsid w:val="00C43E1F"/>
    <w:rsid w:val="00C44286"/>
    <w:rsid w:val="00C4443F"/>
    <w:rsid w:val="00C44441"/>
    <w:rsid w:val="00C44514"/>
    <w:rsid w:val="00C44547"/>
    <w:rsid w:val="00C4456E"/>
    <w:rsid w:val="00C44637"/>
    <w:rsid w:val="00C44883"/>
    <w:rsid w:val="00C44B57"/>
    <w:rsid w:val="00C44C44"/>
    <w:rsid w:val="00C44C6D"/>
    <w:rsid w:val="00C450D0"/>
    <w:rsid w:val="00C45188"/>
    <w:rsid w:val="00C45329"/>
    <w:rsid w:val="00C455B3"/>
    <w:rsid w:val="00C45715"/>
    <w:rsid w:val="00C45719"/>
    <w:rsid w:val="00C4585B"/>
    <w:rsid w:val="00C458C8"/>
    <w:rsid w:val="00C45AF1"/>
    <w:rsid w:val="00C45BFD"/>
    <w:rsid w:val="00C45C66"/>
    <w:rsid w:val="00C45CA3"/>
    <w:rsid w:val="00C45E4D"/>
    <w:rsid w:val="00C461CE"/>
    <w:rsid w:val="00C46337"/>
    <w:rsid w:val="00C463E2"/>
    <w:rsid w:val="00C46422"/>
    <w:rsid w:val="00C46536"/>
    <w:rsid w:val="00C465CA"/>
    <w:rsid w:val="00C46605"/>
    <w:rsid w:val="00C46916"/>
    <w:rsid w:val="00C46A38"/>
    <w:rsid w:val="00C46BEC"/>
    <w:rsid w:val="00C46DDC"/>
    <w:rsid w:val="00C46DF5"/>
    <w:rsid w:val="00C46F85"/>
    <w:rsid w:val="00C47492"/>
    <w:rsid w:val="00C47507"/>
    <w:rsid w:val="00C4790E"/>
    <w:rsid w:val="00C4797F"/>
    <w:rsid w:val="00C479C4"/>
    <w:rsid w:val="00C47D2D"/>
    <w:rsid w:val="00C47D89"/>
    <w:rsid w:val="00C47DF7"/>
    <w:rsid w:val="00C47E07"/>
    <w:rsid w:val="00C5015E"/>
    <w:rsid w:val="00C505D4"/>
    <w:rsid w:val="00C509CA"/>
    <w:rsid w:val="00C509D0"/>
    <w:rsid w:val="00C50AE3"/>
    <w:rsid w:val="00C50DB3"/>
    <w:rsid w:val="00C50DC0"/>
    <w:rsid w:val="00C50F47"/>
    <w:rsid w:val="00C50F6E"/>
    <w:rsid w:val="00C50FDE"/>
    <w:rsid w:val="00C50FE2"/>
    <w:rsid w:val="00C512D2"/>
    <w:rsid w:val="00C51329"/>
    <w:rsid w:val="00C5136C"/>
    <w:rsid w:val="00C51398"/>
    <w:rsid w:val="00C5148E"/>
    <w:rsid w:val="00C51500"/>
    <w:rsid w:val="00C51627"/>
    <w:rsid w:val="00C51635"/>
    <w:rsid w:val="00C51727"/>
    <w:rsid w:val="00C5182D"/>
    <w:rsid w:val="00C518F0"/>
    <w:rsid w:val="00C51E24"/>
    <w:rsid w:val="00C51ED2"/>
    <w:rsid w:val="00C5217D"/>
    <w:rsid w:val="00C521F4"/>
    <w:rsid w:val="00C5254E"/>
    <w:rsid w:val="00C52AD8"/>
    <w:rsid w:val="00C52B47"/>
    <w:rsid w:val="00C52E39"/>
    <w:rsid w:val="00C52E74"/>
    <w:rsid w:val="00C52E95"/>
    <w:rsid w:val="00C52FEF"/>
    <w:rsid w:val="00C531A9"/>
    <w:rsid w:val="00C53381"/>
    <w:rsid w:val="00C53426"/>
    <w:rsid w:val="00C53621"/>
    <w:rsid w:val="00C53736"/>
    <w:rsid w:val="00C5397B"/>
    <w:rsid w:val="00C53996"/>
    <w:rsid w:val="00C53D2A"/>
    <w:rsid w:val="00C54087"/>
    <w:rsid w:val="00C545DA"/>
    <w:rsid w:val="00C54927"/>
    <w:rsid w:val="00C549B1"/>
    <w:rsid w:val="00C54A20"/>
    <w:rsid w:val="00C54A42"/>
    <w:rsid w:val="00C54E8A"/>
    <w:rsid w:val="00C54F00"/>
    <w:rsid w:val="00C54F01"/>
    <w:rsid w:val="00C5526E"/>
    <w:rsid w:val="00C552F6"/>
    <w:rsid w:val="00C55362"/>
    <w:rsid w:val="00C5539D"/>
    <w:rsid w:val="00C5555F"/>
    <w:rsid w:val="00C555F7"/>
    <w:rsid w:val="00C55635"/>
    <w:rsid w:val="00C557EC"/>
    <w:rsid w:val="00C55899"/>
    <w:rsid w:val="00C55911"/>
    <w:rsid w:val="00C55973"/>
    <w:rsid w:val="00C55A2C"/>
    <w:rsid w:val="00C55AB2"/>
    <w:rsid w:val="00C55EE5"/>
    <w:rsid w:val="00C55F12"/>
    <w:rsid w:val="00C5604F"/>
    <w:rsid w:val="00C563F7"/>
    <w:rsid w:val="00C56644"/>
    <w:rsid w:val="00C5668B"/>
    <w:rsid w:val="00C56761"/>
    <w:rsid w:val="00C567A7"/>
    <w:rsid w:val="00C568B7"/>
    <w:rsid w:val="00C56B78"/>
    <w:rsid w:val="00C56BCC"/>
    <w:rsid w:val="00C56BE2"/>
    <w:rsid w:val="00C56DBC"/>
    <w:rsid w:val="00C56FB7"/>
    <w:rsid w:val="00C570C9"/>
    <w:rsid w:val="00C57151"/>
    <w:rsid w:val="00C57189"/>
    <w:rsid w:val="00C57332"/>
    <w:rsid w:val="00C574B0"/>
    <w:rsid w:val="00C5754B"/>
    <w:rsid w:val="00C576A9"/>
    <w:rsid w:val="00C577AF"/>
    <w:rsid w:val="00C577EE"/>
    <w:rsid w:val="00C578E5"/>
    <w:rsid w:val="00C5792E"/>
    <w:rsid w:val="00C57993"/>
    <w:rsid w:val="00C57AA7"/>
    <w:rsid w:val="00C57ACE"/>
    <w:rsid w:val="00C57C1C"/>
    <w:rsid w:val="00C57CDD"/>
    <w:rsid w:val="00C57E10"/>
    <w:rsid w:val="00C57EA4"/>
    <w:rsid w:val="00C60471"/>
    <w:rsid w:val="00C607A7"/>
    <w:rsid w:val="00C608BA"/>
    <w:rsid w:val="00C60A62"/>
    <w:rsid w:val="00C60B00"/>
    <w:rsid w:val="00C60E7E"/>
    <w:rsid w:val="00C60F1D"/>
    <w:rsid w:val="00C6102D"/>
    <w:rsid w:val="00C61342"/>
    <w:rsid w:val="00C614AE"/>
    <w:rsid w:val="00C6151F"/>
    <w:rsid w:val="00C61583"/>
    <w:rsid w:val="00C615A7"/>
    <w:rsid w:val="00C619F6"/>
    <w:rsid w:val="00C61DA2"/>
    <w:rsid w:val="00C61DA4"/>
    <w:rsid w:val="00C61EC4"/>
    <w:rsid w:val="00C61ED3"/>
    <w:rsid w:val="00C62066"/>
    <w:rsid w:val="00C6227E"/>
    <w:rsid w:val="00C623A1"/>
    <w:rsid w:val="00C62561"/>
    <w:rsid w:val="00C62753"/>
    <w:rsid w:val="00C6278B"/>
    <w:rsid w:val="00C627D4"/>
    <w:rsid w:val="00C62936"/>
    <w:rsid w:val="00C62B87"/>
    <w:rsid w:val="00C62D46"/>
    <w:rsid w:val="00C63058"/>
    <w:rsid w:val="00C6307A"/>
    <w:rsid w:val="00C632F8"/>
    <w:rsid w:val="00C63402"/>
    <w:rsid w:val="00C6355A"/>
    <w:rsid w:val="00C6370E"/>
    <w:rsid w:val="00C637C3"/>
    <w:rsid w:val="00C6380D"/>
    <w:rsid w:val="00C63A99"/>
    <w:rsid w:val="00C63A9B"/>
    <w:rsid w:val="00C63B5D"/>
    <w:rsid w:val="00C63D44"/>
    <w:rsid w:val="00C63D4A"/>
    <w:rsid w:val="00C63E31"/>
    <w:rsid w:val="00C63E4E"/>
    <w:rsid w:val="00C63E7D"/>
    <w:rsid w:val="00C63F88"/>
    <w:rsid w:val="00C640E1"/>
    <w:rsid w:val="00C64192"/>
    <w:rsid w:val="00C64278"/>
    <w:rsid w:val="00C64759"/>
    <w:rsid w:val="00C6478E"/>
    <w:rsid w:val="00C6494F"/>
    <w:rsid w:val="00C64DCD"/>
    <w:rsid w:val="00C64E30"/>
    <w:rsid w:val="00C64E72"/>
    <w:rsid w:val="00C64FA1"/>
    <w:rsid w:val="00C650CC"/>
    <w:rsid w:val="00C65271"/>
    <w:rsid w:val="00C6532A"/>
    <w:rsid w:val="00C653EC"/>
    <w:rsid w:val="00C654FD"/>
    <w:rsid w:val="00C65553"/>
    <w:rsid w:val="00C6555A"/>
    <w:rsid w:val="00C65830"/>
    <w:rsid w:val="00C65902"/>
    <w:rsid w:val="00C65A2C"/>
    <w:rsid w:val="00C65A63"/>
    <w:rsid w:val="00C65AED"/>
    <w:rsid w:val="00C660A7"/>
    <w:rsid w:val="00C66274"/>
    <w:rsid w:val="00C66412"/>
    <w:rsid w:val="00C664D3"/>
    <w:rsid w:val="00C66642"/>
    <w:rsid w:val="00C666E7"/>
    <w:rsid w:val="00C666EC"/>
    <w:rsid w:val="00C66710"/>
    <w:rsid w:val="00C667A0"/>
    <w:rsid w:val="00C668CC"/>
    <w:rsid w:val="00C66917"/>
    <w:rsid w:val="00C66C94"/>
    <w:rsid w:val="00C66EC9"/>
    <w:rsid w:val="00C670CF"/>
    <w:rsid w:val="00C67116"/>
    <w:rsid w:val="00C67144"/>
    <w:rsid w:val="00C673ED"/>
    <w:rsid w:val="00C6743D"/>
    <w:rsid w:val="00C67776"/>
    <w:rsid w:val="00C67886"/>
    <w:rsid w:val="00C67FC8"/>
    <w:rsid w:val="00C70173"/>
    <w:rsid w:val="00C70410"/>
    <w:rsid w:val="00C7058B"/>
    <w:rsid w:val="00C70632"/>
    <w:rsid w:val="00C7095D"/>
    <w:rsid w:val="00C709E1"/>
    <w:rsid w:val="00C70DC3"/>
    <w:rsid w:val="00C71A76"/>
    <w:rsid w:val="00C71F28"/>
    <w:rsid w:val="00C7200F"/>
    <w:rsid w:val="00C721BC"/>
    <w:rsid w:val="00C72226"/>
    <w:rsid w:val="00C72275"/>
    <w:rsid w:val="00C7237C"/>
    <w:rsid w:val="00C72538"/>
    <w:rsid w:val="00C725B2"/>
    <w:rsid w:val="00C7269B"/>
    <w:rsid w:val="00C727E7"/>
    <w:rsid w:val="00C72951"/>
    <w:rsid w:val="00C7297A"/>
    <w:rsid w:val="00C729D1"/>
    <w:rsid w:val="00C72B55"/>
    <w:rsid w:val="00C72E29"/>
    <w:rsid w:val="00C72E77"/>
    <w:rsid w:val="00C72FC2"/>
    <w:rsid w:val="00C730C3"/>
    <w:rsid w:val="00C7312F"/>
    <w:rsid w:val="00C7313E"/>
    <w:rsid w:val="00C73243"/>
    <w:rsid w:val="00C73316"/>
    <w:rsid w:val="00C7346F"/>
    <w:rsid w:val="00C737D3"/>
    <w:rsid w:val="00C73A6A"/>
    <w:rsid w:val="00C73B24"/>
    <w:rsid w:val="00C73FD9"/>
    <w:rsid w:val="00C741AA"/>
    <w:rsid w:val="00C742FF"/>
    <w:rsid w:val="00C74497"/>
    <w:rsid w:val="00C74537"/>
    <w:rsid w:val="00C745B6"/>
    <w:rsid w:val="00C747CA"/>
    <w:rsid w:val="00C74A47"/>
    <w:rsid w:val="00C74D9D"/>
    <w:rsid w:val="00C74E03"/>
    <w:rsid w:val="00C74E09"/>
    <w:rsid w:val="00C74F0A"/>
    <w:rsid w:val="00C7521D"/>
    <w:rsid w:val="00C75275"/>
    <w:rsid w:val="00C75288"/>
    <w:rsid w:val="00C75327"/>
    <w:rsid w:val="00C75377"/>
    <w:rsid w:val="00C755BB"/>
    <w:rsid w:val="00C759DB"/>
    <w:rsid w:val="00C75A4B"/>
    <w:rsid w:val="00C75A89"/>
    <w:rsid w:val="00C75BC0"/>
    <w:rsid w:val="00C75C49"/>
    <w:rsid w:val="00C75C87"/>
    <w:rsid w:val="00C75CCD"/>
    <w:rsid w:val="00C75D2A"/>
    <w:rsid w:val="00C75D9B"/>
    <w:rsid w:val="00C75E5C"/>
    <w:rsid w:val="00C7615F"/>
    <w:rsid w:val="00C76160"/>
    <w:rsid w:val="00C762CD"/>
    <w:rsid w:val="00C76340"/>
    <w:rsid w:val="00C763B6"/>
    <w:rsid w:val="00C764AB"/>
    <w:rsid w:val="00C7660C"/>
    <w:rsid w:val="00C7673B"/>
    <w:rsid w:val="00C76CBA"/>
    <w:rsid w:val="00C76CE8"/>
    <w:rsid w:val="00C76F6F"/>
    <w:rsid w:val="00C771D2"/>
    <w:rsid w:val="00C7725B"/>
    <w:rsid w:val="00C77365"/>
    <w:rsid w:val="00C77406"/>
    <w:rsid w:val="00C775C2"/>
    <w:rsid w:val="00C775CC"/>
    <w:rsid w:val="00C776E9"/>
    <w:rsid w:val="00C77AB3"/>
    <w:rsid w:val="00C77B6A"/>
    <w:rsid w:val="00C77D19"/>
    <w:rsid w:val="00C77D56"/>
    <w:rsid w:val="00C77DD4"/>
    <w:rsid w:val="00C77E0E"/>
    <w:rsid w:val="00C77E9C"/>
    <w:rsid w:val="00C77F6B"/>
    <w:rsid w:val="00C77F8E"/>
    <w:rsid w:val="00C77F9E"/>
    <w:rsid w:val="00C8003A"/>
    <w:rsid w:val="00C8035F"/>
    <w:rsid w:val="00C803CB"/>
    <w:rsid w:val="00C806CC"/>
    <w:rsid w:val="00C80C2A"/>
    <w:rsid w:val="00C80DE8"/>
    <w:rsid w:val="00C80E10"/>
    <w:rsid w:val="00C80EBA"/>
    <w:rsid w:val="00C8108A"/>
    <w:rsid w:val="00C81112"/>
    <w:rsid w:val="00C81260"/>
    <w:rsid w:val="00C813CB"/>
    <w:rsid w:val="00C816DE"/>
    <w:rsid w:val="00C81748"/>
    <w:rsid w:val="00C818E9"/>
    <w:rsid w:val="00C81953"/>
    <w:rsid w:val="00C8195F"/>
    <w:rsid w:val="00C819A8"/>
    <w:rsid w:val="00C81ACB"/>
    <w:rsid w:val="00C81DB7"/>
    <w:rsid w:val="00C81F0E"/>
    <w:rsid w:val="00C81FAB"/>
    <w:rsid w:val="00C81FD1"/>
    <w:rsid w:val="00C82014"/>
    <w:rsid w:val="00C8213F"/>
    <w:rsid w:val="00C82228"/>
    <w:rsid w:val="00C8236B"/>
    <w:rsid w:val="00C823B4"/>
    <w:rsid w:val="00C8258C"/>
    <w:rsid w:val="00C8270B"/>
    <w:rsid w:val="00C82870"/>
    <w:rsid w:val="00C82BD4"/>
    <w:rsid w:val="00C82C9E"/>
    <w:rsid w:val="00C82F7C"/>
    <w:rsid w:val="00C83091"/>
    <w:rsid w:val="00C830F6"/>
    <w:rsid w:val="00C83122"/>
    <w:rsid w:val="00C832C6"/>
    <w:rsid w:val="00C833C4"/>
    <w:rsid w:val="00C8351C"/>
    <w:rsid w:val="00C835E6"/>
    <w:rsid w:val="00C83E90"/>
    <w:rsid w:val="00C83EB5"/>
    <w:rsid w:val="00C83EBE"/>
    <w:rsid w:val="00C84274"/>
    <w:rsid w:val="00C84315"/>
    <w:rsid w:val="00C84557"/>
    <w:rsid w:val="00C84636"/>
    <w:rsid w:val="00C8483D"/>
    <w:rsid w:val="00C84F51"/>
    <w:rsid w:val="00C8527D"/>
    <w:rsid w:val="00C855C7"/>
    <w:rsid w:val="00C855D0"/>
    <w:rsid w:val="00C8592F"/>
    <w:rsid w:val="00C8594B"/>
    <w:rsid w:val="00C85D0A"/>
    <w:rsid w:val="00C85EF5"/>
    <w:rsid w:val="00C86225"/>
    <w:rsid w:val="00C86281"/>
    <w:rsid w:val="00C86345"/>
    <w:rsid w:val="00C865D5"/>
    <w:rsid w:val="00C8666B"/>
    <w:rsid w:val="00C866A2"/>
    <w:rsid w:val="00C8686E"/>
    <w:rsid w:val="00C869A1"/>
    <w:rsid w:val="00C869A6"/>
    <w:rsid w:val="00C869CA"/>
    <w:rsid w:val="00C86B8B"/>
    <w:rsid w:val="00C86D8E"/>
    <w:rsid w:val="00C86D92"/>
    <w:rsid w:val="00C87367"/>
    <w:rsid w:val="00C873C4"/>
    <w:rsid w:val="00C87425"/>
    <w:rsid w:val="00C8753D"/>
    <w:rsid w:val="00C87771"/>
    <w:rsid w:val="00C878EF"/>
    <w:rsid w:val="00C87CEC"/>
    <w:rsid w:val="00C87E89"/>
    <w:rsid w:val="00C9033E"/>
    <w:rsid w:val="00C90353"/>
    <w:rsid w:val="00C90932"/>
    <w:rsid w:val="00C90A78"/>
    <w:rsid w:val="00C90AB4"/>
    <w:rsid w:val="00C90C9E"/>
    <w:rsid w:val="00C90D03"/>
    <w:rsid w:val="00C91027"/>
    <w:rsid w:val="00C91175"/>
    <w:rsid w:val="00C9118E"/>
    <w:rsid w:val="00C91255"/>
    <w:rsid w:val="00C9126E"/>
    <w:rsid w:val="00C91387"/>
    <w:rsid w:val="00C91489"/>
    <w:rsid w:val="00C91578"/>
    <w:rsid w:val="00C919BA"/>
    <w:rsid w:val="00C91CD9"/>
    <w:rsid w:val="00C91E5C"/>
    <w:rsid w:val="00C92115"/>
    <w:rsid w:val="00C92164"/>
    <w:rsid w:val="00C92557"/>
    <w:rsid w:val="00C92568"/>
    <w:rsid w:val="00C925E7"/>
    <w:rsid w:val="00C9266C"/>
    <w:rsid w:val="00C926EF"/>
    <w:rsid w:val="00C928AA"/>
    <w:rsid w:val="00C928BE"/>
    <w:rsid w:val="00C92A22"/>
    <w:rsid w:val="00C92BE7"/>
    <w:rsid w:val="00C92DE4"/>
    <w:rsid w:val="00C92F06"/>
    <w:rsid w:val="00C93019"/>
    <w:rsid w:val="00C93021"/>
    <w:rsid w:val="00C931A2"/>
    <w:rsid w:val="00C932AC"/>
    <w:rsid w:val="00C933D2"/>
    <w:rsid w:val="00C938D5"/>
    <w:rsid w:val="00C93A3B"/>
    <w:rsid w:val="00C93AF5"/>
    <w:rsid w:val="00C93B68"/>
    <w:rsid w:val="00C93B86"/>
    <w:rsid w:val="00C93BD3"/>
    <w:rsid w:val="00C93BEE"/>
    <w:rsid w:val="00C93C06"/>
    <w:rsid w:val="00C93C6E"/>
    <w:rsid w:val="00C93C76"/>
    <w:rsid w:val="00C93CAD"/>
    <w:rsid w:val="00C93CDF"/>
    <w:rsid w:val="00C93D04"/>
    <w:rsid w:val="00C93D06"/>
    <w:rsid w:val="00C93D81"/>
    <w:rsid w:val="00C93E3B"/>
    <w:rsid w:val="00C943F1"/>
    <w:rsid w:val="00C9443B"/>
    <w:rsid w:val="00C944A5"/>
    <w:rsid w:val="00C94614"/>
    <w:rsid w:val="00C94740"/>
    <w:rsid w:val="00C94DB8"/>
    <w:rsid w:val="00C94EB4"/>
    <w:rsid w:val="00C94F22"/>
    <w:rsid w:val="00C94F97"/>
    <w:rsid w:val="00C95237"/>
    <w:rsid w:val="00C954E3"/>
    <w:rsid w:val="00C9558B"/>
    <w:rsid w:val="00C957A2"/>
    <w:rsid w:val="00C957B7"/>
    <w:rsid w:val="00C95987"/>
    <w:rsid w:val="00C959F9"/>
    <w:rsid w:val="00C95D7A"/>
    <w:rsid w:val="00C95DB6"/>
    <w:rsid w:val="00C95F60"/>
    <w:rsid w:val="00C96096"/>
    <w:rsid w:val="00C963DC"/>
    <w:rsid w:val="00C964A6"/>
    <w:rsid w:val="00C964AA"/>
    <w:rsid w:val="00C96739"/>
    <w:rsid w:val="00C96743"/>
    <w:rsid w:val="00C96768"/>
    <w:rsid w:val="00C968E1"/>
    <w:rsid w:val="00C96AE1"/>
    <w:rsid w:val="00C96B15"/>
    <w:rsid w:val="00C9702C"/>
    <w:rsid w:val="00C972A6"/>
    <w:rsid w:val="00C97312"/>
    <w:rsid w:val="00C9763E"/>
    <w:rsid w:val="00C9775E"/>
    <w:rsid w:val="00C97A3A"/>
    <w:rsid w:val="00C97AA0"/>
    <w:rsid w:val="00C97B4B"/>
    <w:rsid w:val="00C97BEA"/>
    <w:rsid w:val="00C97C45"/>
    <w:rsid w:val="00C97DFD"/>
    <w:rsid w:val="00C97F28"/>
    <w:rsid w:val="00CA01FF"/>
    <w:rsid w:val="00CA0226"/>
    <w:rsid w:val="00CA03D1"/>
    <w:rsid w:val="00CA07DA"/>
    <w:rsid w:val="00CA08F5"/>
    <w:rsid w:val="00CA0998"/>
    <w:rsid w:val="00CA0C84"/>
    <w:rsid w:val="00CA0DFB"/>
    <w:rsid w:val="00CA0FC2"/>
    <w:rsid w:val="00CA1308"/>
    <w:rsid w:val="00CA1321"/>
    <w:rsid w:val="00CA1366"/>
    <w:rsid w:val="00CA194B"/>
    <w:rsid w:val="00CA1A39"/>
    <w:rsid w:val="00CA1AE7"/>
    <w:rsid w:val="00CA1BAA"/>
    <w:rsid w:val="00CA1C7D"/>
    <w:rsid w:val="00CA1C83"/>
    <w:rsid w:val="00CA1E96"/>
    <w:rsid w:val="00CA1F67"/>
    <w:rsid w:val="00CA206F"/>
    <w:rsid w:val="00CA20E0"/>
    <w:rsid w:val="00CA2105"/>
    <w:rsid w:val="00CA2201"/>
    <w:rsid w:val="00CA222E"/>
    <w:rsid w:val="00CA2324"/>
    <w:rsid w:val="00CA23A6"/>
    <w:rsid w:val="00CA24F9"/>
    <w:rsid w:val="00CA255C"/>
    <w:rsid w:val="00CA25E7"/>
    <w:rsid w:val="00CA2BDE"/>
    <w:rsid w:val="00CA308D"/>
    <w:rsid w:val="00CA30A4"/>
    <w:rsid w:val="00CA3417"/>
    <w:rsid w:val="00CA3623"/>
    <w:rsid w:val="00CA3935"/>
    <w:rsid w:val="00CA3949"/>
    <w:rsid w:val="00CA39E0"/>
    <w:rsid w:val="00CA39FD"/>
    <w:rsid w:val="00CA3AE9"/>
    <w:rsid w:val="00CA3B45"/>
    <w:rsid w:val="00CA3DA2"/>
    <w:rsid w:val="00CA3E45"/>
    <w:rsid w:val="00CA4015"/>
    <w:rsid w:val="00CA4041"/>
    <w:rsid w:val="00CA418F"/>
    <w:rsid w:val="00CA43C8"/>
    <w:rsid w:val="00CA4708"/>
    <w:rsid w:val="00CA498F"/>
    <w:rsid w:val="00CA4A1D"/>
    <w:rsid w:val="00CA4C59"/>
    <w:rsid w:val="00CA4E77"/>
    <w:rsid w:val="00CA4EDC"/>
    <w:rsid w:val="00CA52C2"/>
    <w:rsid w:val="00CA53FB"/>
    <w:rsid w:val="00CA5444"/>
    <w:rsid w:val="00CA55DB"/>
    <w:rsid w:val="00CA572B"/>
    <w:rsid w:val="00CA5889"/>
    <w:rsid w:val="00CA5907"/>
    <w:rsid w:val="00CA5962"/>
    <w:rsid w:val="00CA5A7D"/>
    <w:rsid w:val="00CA5B33"/>
    <w:rsid w:val="00CA5BE0"/>
    <w:rsid w:val="00CA5E8D"/>
    <w:rsid w:val="00CA6178"/>
    <w:rsid w:val="00CA622F"/>
    <w:rsid w:val="00CA63D3"/>
    <w:rsid w:val="00CA648C"/>
    <w:rsid w:val="00CA6629"/>
    <w:rsid w:val="00CA68C3"/>
    <w:rsid w:val="00CA6962"/>
    <w:rsid w:val="00CA6972"/>
    <w:rsid w:val="00CA69AC"/>
    <w:rsid w:val="00CA6A71"/>
    <w:rsid w:val="00CA6B46"/>
    <w:rsid w:val="00CA6C4B"/>
    <w:rsid w:val="00CA6E90"/>
    <w:rsid w:val="00CA6EBA"/>
    <w:rsid w:val="00CA6F13"/>
    <w:rsid w:val="00CA6F2B"/>
    <w:rsid w:val="00CA7048"/>
    <w:rsid w:val="00CA72CA"/>
    <w:rsid w:val="00CA7374"/>
    <w:rsid w:val="00CA7650"/>
    <w:rsid w:val="00CA7666"/>
    <w:rsid w:val="00CA7808"/>
    <w:rsid w:val="00CA7816"/>
    <w:rsid w:val="00CA796D"/>
    <w:rsid w:val="00CA7A2F"/>
    <w:rsid w:val="00CA7A33"/>
    <w:rsid w:val="00CA7B4B"/>
    <w:rsid w:val="00CA7C2A"/>
    <w:rsid w:val="00CA7D59"/>
    <w:rsid w:val="00CA7F0A"/>
    <w:rsid w:val="00CA7F6F"/>
    <w:rsid w:val="00CB0047"/>
    <w:rsid w:val="00CB03A7"/>
    <w:rsid w:val="00CB0C68"/>
    <w:rsid w:val="00CB0C9B"/>
    <w:rsid w:val="00CB0D3D"/>
    <w:rsid w:val="00CB0E2F"/>
    <w:rsid w:val="00CB0EE5"/>
    <w:rsid w:val="00CB129D"/>
    <w:rsid w:val="00CB139C"/>
    <w:rsid w:val="00CB13A3"/>
    <w:rsid w:val="00CB13E5"/>
    <w:rsid w:val="00CB14B3"/>
    <w:rsid w:val="00CB1719"/>
    <w:rsid w:val="00CB19F7"/>
    <w:rsid w:val="00CB1BA4"/>
    <w:rsid w:val="00CB2286"/>
    <w:rsid w:val="00CB22E3"/>
    <w:rsid w:val="00CB2347"/>
    <w:rsid w:val="00CB23C7"/>
    <w:rsid w:val="00CB256A"/>
    <w:rsid w:val="00CB25A9"/>
    <w:rsid w:val="00CB2637"/>
    <w:rsid w:val="00CB2887"/>
    <w:rsid w:val="00CB2AB7"/>
    <w:rsid w:val="00CB2D72"/>
    <w:rsid w:val="00CB2E8C"/>
    <w:rsid w:val="00CB2EEE"/>
    <w:rsid w:val="00CB2FD8"/>
    <w:rsid w:val="00CB2FEC"/>
    <w:rsid w:val="00CB30E8"/>
    <w:rsid w:val="00CB3216"/>
    <w:rsid w:val="00CB3389"/>
    <w:rsid w:val="00CB344D"/>
    <w:rsid w:val="00CB351B"/>
    <w:rsid w:val="00CB36A5"/>
    <w:rsid w:val="00CB3869"/>
    <w:rsid w:val="00CB3A15"/>
    <w:rsid w:val="00CB3AF9"/>
    <w:rsid w:val="00CB403C"/>
    <w:rsid w:val="00CB407A"/>
    <w:rsid w:val="00CB4098"/>
    <w:rsid w:val="00CB4315"/>
    <w:rsid w:val="00CB44D3"/>
    <w:rsid w:val="00CB49B6"/>
    <w:rsid w:val="00CB4A09"/>
    <w:rsid w:val="00CB4BA8"/>
    <w:rsid w:val="00CB4D77"/>
    <w:rsid w:val="00CB4E59"/>
    <w:rsid w:val="00CB4EDB"/>
    <w:rsid w:val="00CB4EF2"/>
    <w:rsid w:val="00CB578F"/>
    <w:rsid w:val="00CB58FB"/>
    <w:rsid w:val="00CB59A4"/>
    <w:rsid w:val="00CB5C6A"/>
    <w:rsid w:val="00CB5CE4"/>
    <w:rsid w:val="00CB5D2F"/>
    <w:rsid w:val="00CB5E24"/>
    <w:rsid w:val="00CB5EC3"/>
    <w:rsid w:val="00CB6351"/>
    <w:rsid w:val="00CB63B4"/>
    <w:rsid w:val="00CB650D"/>
    <w:rsid w:val="00CB650E"/>
    <w:rsid w:val="00CB65E3"/>
    <w:rsid w:val="00CB6888"/>
    <w:rsid w:val="00CB6B1D"/>
    <w:rsid w:val="00CB6D5A"/>
    <w:rsid w:val="00CB7251"/>
    <w:rsid w:val="00CB72F5"/>
    <w:rsid w:val="00CB7360"/>
    <w:rsid w:val="00CB761F"/>
    <w:rsid w:val="00CB7944"/>
    <w:rsid w:val="00CB7948"/>
    <w:rsid w:val="00CB7B57"/>
    <w:rsid w:val="00CB7D03"/>
    <w:rsid w:val="00CB7D14"/>
    <w:rsid w:val="00CC0014"/>
    <w:rsid w:val="00CC02EB"/>
    <w:rsid w:val="00CC0320"/>
    <w:rsid w:val="00CC05AA"/>
    <w:rsid w:val="00CC0711"/>
    <w:rsid w:val="00CC0A85"/>
    <w:rsid w:val="00CC0D6E"/>
    <w:rsid w:val="00CC0D93"/>
    <w:rsid w:val="00CC0E85"/>
    <w:rsid w:val="00CC104E"/>
    <w:rsid w:val="00CC1284"/>
    <w:rsid w:val="00CC1513"/>
    <w:rsid w:val="00CC15EC"/>
    <w:rsid w:val="00CC1B5E"/>
    <w:rsid w:val="00CC1FE9"/>
    <w:rsid w:val="00CC2026"/>
    <w:rsid w:val="00CC24FA"/>
    <w:rsid w:val="00CC27BE"/>
    <w:rsid w:val="00CC27C1"/>
    <w:rsid w:val="00CC283D"/>
    <w:rsid w:val="00CC2904"/>
    <w:rsid w:val="00CC2A11"/>
    <w:rsid w:val="00CC3251"/>
    <w:rsid w:val="00CC3346"/>
    <w:rsid w:val="00CC3443"/>
    <w:rsid w:val="00CC3572"/>
    <w:rsid w:val="00CC38AD"/>
    <w:rsid w:val="00CC394C"/>
    <w:rsid w:val="00CC3976"/>
    <w:rsid w:val="00CC3C18"/>
    <w:rsid w:val="00CC3CF4"/>
    <w:rsid w:val="00CC3E30"/>
    <w:rsid w:val="00CC3F0E"/>
    <w:rsid w:val="00CC3F87"/>
    <w:rsid w:val="00CC409E"/>
    <w:rsid w:val="00CC4912"/>
    <w:rsid w:val="00CC4996"/>
    <w:rsid w:val="00CC4AC9"/>
    <w:rsid w:val="00CC4AE8"/>
    <w:rsid w:val="00CC4C17"/>
    <w:rsid w:val="00CC4C96"/>
    <w:rsid w:val="00CC4DA9"/>
    <w:rsid w:val="00CC4DEB"/>
    <w:rsid w:val="00CC4ED0"/>
    <w:rsid w:val="00CC4EEA"/>
    <w:rsid w:val="00CC4FBC"/>
    <w:rsid w:val="00CC5126"/>
    <w:rsid w:val="00CC5276"/>
    <w:rsid w:val="00CC5366"/>
    <w:rsid w:val="00CC5430"/>
    <w:rsid w:val="00CC5853"/>
    <w:rsid w:val="00CC5BE0"/>
    <w:rsid w:val="00CC5D34"/>
    <w:rsid w:val="00CC5EB6"/>
    <w:rsid w:val="00CC5F4D"/>
    <w:rsid w:val="00CC5FF0"/>
    <w:rsid w:val="00CC60AD"/>
    <w:rsid w:val="00CC60EB"/>
    <w:rsid w:val="00CC617E"/>
    <w:rsid w:val="00CC62A9"/>
    <w:rsid w:val="00CC62B4"/>
    <w:rsid w:val="00CC6379"/>
    <w:rsid w:val="00CC63BA"/>
    <w:rsid w:val="00CC63E2"/>
    <w:rsid w:val="00CC66D2"/>
    <w:rsid w:val="00CC6942"/>
    <w:rsid w:val="00CC6B66"/>
    <w:rsid w:val="00CC6D32"/>
    <w:rsid w:val="00CC6E4F"/>
    <w:rsid w:val="00CC6E5C"/>
    <w:rsid w:val="00CC6F78"/>
    <w:rsid w:val="00CC731E"/>
    <w:rsid w:val="00CC7393"/>
    <w:rsid w:val="00CC7394"/>
    <w:rsid w:val="00CC76AB"/>
    <w:rsid w:val="00CC7719"/>
    <w:rsid w:val="00CC7900"/>
    <w:rsid w:val="00CC7FEB"/>
    <w:rsid w:val="00CD0098"/>
    <w:rsid w:val="00CD00D0"/>
    <w:rsid w:val="00CD012E"/>
    <w:rsid w:val="00CD0246"/>
    <w:rsid w:val="00CD05AB"/>
    <w:rsid w:val="00CD0905"/>
    <w:rsid w:val="00CD0A51"/>
    <w:rsid w:val="00CD0B01"/>
    <w:rsid w:val="00CD0B59"/>
    <w:rsid w:val="00CD0C76"/>
    <w:rsid w:val="00CD0EFB"/>
    <w:rsid w:val="00CD0F76"/>
    <w:rsid w:val="00CD1012"/>
    <w:rsid w:val="00CD1098"/>
    <w:rsid w:val="00CD1117"/>
    <w:rsid w:val="00CD1143"/>
    <w:rsid w:val="00CD13DD"/>
    <w:rsid w:val="00CD13E0"/>
    <w:rsid w:val="00CD1640"/>
    <w:rsid w:val="00CD1B91"/>
    <w:rsid w:val="00CD1BB5"/>
    <w:rsid w:val="00CD1DD5"/>
    <w:rsid w:val="00CD2079"/>
    <w:rsid w:val="00CD216F"/>
    <w:rsid w:val="00CD21E0"/>
    <w:rsid w:val="00CD233D"/>
    <w:rsid w:val="00CD235E"/>
    <w:rsid w:val="00CD2983"/>
    <w:rsid w:val="00CD2A44"/>
    <w:rsid w:val="00CD2B6A"/>
    <w:rsid w:val="00CD2C13"/>
    <w:rsid w:val="00CD2D22"/>
    <w:rsid w:val="00CD2D6B"/>
    <w:rsid w:val="00CD2D9F"/>
    <w:rsid w:val="00CD2DF6"/>
    <w:rsid w:val="00CD2F62"/>
    <w:rsid w:val="00CD2FC5"/>
    <w:rsid w:val="00CD32FF"/>
    <w:rsid w:val="00CD3388"/>
    <w:rsid w:val="00CD33ED"/>
    <w:rsid w:val="00CD3443"/>
    <w:rsid w:val="00CD367A"/>
    <w:rsid w:val="00CD37D2"/>
    <w:rsid w:val="00CD3837"/>
    <w:rsid w:val="00CD3956"/>
    <w:rsid w:val="00CD3CD7"/>
    <w:rsid w:val="00CD3E2A"/>
    <w:rsid w:val="00CD3F8F"/>
    <w:rsid w:val="00CD4040"/>
    <w:rsid w:val="00CD405C"/>
    <w:rsid w:val="00CD408D"/>
    <w:rsid w:val="00CD40C3"/>
    <w:rsid w:val="00CD4119"/>
    <w:rsid w:val="00CD4140"/>
    <w:rsid w:val="00CD445F"/>
    <w:rsid w:val="00CD46DF"/>
    <w:rsid w:val="00CD4988"/>
    <w:rsid w:val="00CD49C0"/>
    <w:rsid w:val="00CD4BFF"/>
    <w:rsid w:val="00CD4C2C"/>
    <w:rsid w:val="00CD4D76"/>
    <w:rsid w:val="00CD4E44"/>
    <w:rsid w:val="00CD52BD"/>
    <w:rsid w:val="00CD54C3"/>
    <w:rsid w:val="00CD5503"/>
    <w:rsid w:val="00CD5510"/>
    <w:rsid w:val="00CD5640"/>
    <w:rsid w:val="00CD56E0"/>
    <w:rsid w:val="00CD58A7"/>
    <w:rsid w:val="00CD58B6"/>
    <w:rsid w:val="00CD5BBE"/>
    <w:rsid w:val="00CD5BF4"/>
    <w:rsid w:val="00CD5FBA"/>
    <w:rsid w:val="00CD6178"/>
    <w:rsid w:val="00CD6383"/>
    <w:rsid w:val="00CD63D5"/>
    <w:rsid w:val="00CD653D"/>
    <w:rsid w:val="00CD65F8"/>
    <w:rsid w:val="00CD6A95"/>
    <w:rsid w:val="00CD6B2D"/>
    <w:rsid w:val="00CD6E09"/>
    <w:rsid w:val="00CD6E5E"/>
    <w:rsid w:val="00CD6E61"/>
    <w:rsid w:val="00CD6E6F"/>
    <w:rsid w:val="00CD7023"/>
    <w:rsid w:val="00CD7107"/>
    <w:rsid w:val="00CD7309"/>
    <w:rsid w:val="00CD7660"/>
    <w:rsid w:val="00CD7729"/>
    <w:rsid w:val="00CD7B25"/>
    <w:rsid w:val="00CD7BB8"/>
    <w:rsid w:val="00CD7D07"/>
    <w:rsid w:val="00CD7D51"/>
    <w:rsid w:val="00CD7E74"/>
    <w:rsid w:val="00CD7ED5"/>
    <w:rsid w:val="00CD7F38"/>
    <w:rsid w:val="00CE0102"/>
    <w:rsid w:val="00CE0554"/>
    <w:rsid w:val="00CE06A5"/>
    <w:rsid w:val="00CE081B"/>
    <w:rsid w:val="00CE08ED"/>
    <w:rsid w:val="00CE0931"/>
    <w:rsid w:val="00CE0982"/>
    <w:rsid w:val="00CE0ABA"/>
    <w:rsid w:val="00CE0C24"/>
    <w:rsid w:val="00CE0C9B"/>
    <w:rsid w:val="00CE0DD3"/>
    <w:rsid w:val="00CE1288"/>
    <w:rsid w:val="00CE1299"/>
    <w:rsid w:val="00CE12D3"/>
    <w:rsid w:val="00CE12F2"/>
    <w:rsid w:val="00CE1328"/>
    <w:rsid w:val="00CE15E9"/>
    <w:rsid w:val="00CE18B8"/>
    <w:rsid w:val="00CE1C77"/>
    <w:rsid w:val="00CE1F5A"/>
    <w:rsid w:val="00CE208B"/>
    <w:rsid w:val="00CE21A4"/>
    <w:rsid w:val="00CE21F6"/>
    <w:rsid w:val="00CE2211"/>
    <w:rsid w:val="00CE2293"/>
    <w:rsid w:val="00CE2398"/>
    <w:rsid w:val="00CE23B3"/>
    <w:rsid w:val="00CE25D8"/>
    <w:rsid w:val="00CE286F"/>
    <w:rsid w:val="00CE2912"/>
    <w:rsid w:val="00CE2999"/>
    <w:rsid w:val="00CE29F6"/>
    <w:rsid w:val="00CE2A3D"/>
    <w:rsid w:val="00CE2A5B"/>
    <w:rsid w:val="00CE2A73"/>
    <w:rsid w:val="00CE2D7E"/>
    <w:rsid w:val="00CE3100"/>
    <w:rsid w:val="00CE3143"/>
    <w:rsid w:val="00CE341A"/>
    <w:rsid w:val="00CE343A"/>
    <w:rsid w:val="00CE3493"/>
    <w:rsid w:val="00CE3761"/>
    <w:rsid w:val="00CE37A6"/>
    <w:rsid w:val="00CE3AE7"/>
    <w:rsid w:val="00CE3D67"/>
    <w:rsid w:val="00CE4315"/>
    <w:rsid w:val="00CE4401"/>
    <w:rsid w:val="00CE44E1"/>
    <w:rsid w:val="00CE44F5"/>
    <w:rsid w:val="00CE4D8F"/>
    <w:rsid w:val="00CE4EB6"/>
    <w:rsid w:val="00CE4F42"/>
    <w:rsid w:val="00CE4F4E"/>
    <w:rsid w:val="00CE4FFE"/>
    <w:rsid w:val="00CE50EE"/>
    <w:rsid w:val="00CE510E"/>
    <w:rsid w:val="00CE52DC"/>
    <w:rsid w:val="00CE542B"/>
    <w:rsid w:val="00CE5467"/>
    <w:rsid w:val="00CE5668"/>
    <w:rsid w:val="00CE5795"/>
    <w:rsid w:val="00CE5842"/>
    <w:rsid w:val="00CE59F6"/>
    <w:rsid w:val="00CE5C3C"/>
    <w:rsid w:val="00CE5D7C"/>
    <w:rsid w:val="00CE5ED6"/>
    <w:rsid w:val="00CE5F3C"/>
    <w:rsid w:val="00CE6052"/>
    <w:rsid w:val="00CE62C0"/>
    <w:rsid w:val="00CE6443"/>
    <w:rsid w:val="00CE656B"/>
    <w:rsid w:val="00CE67A0"/>
    <w:rsid w:val="00CE681E"/>
    <w:rsid w:val="00CE6834"/>
    <w:rsid w:val="00CE68C6"/>
    <w:rsid w:val="00CE68C8"/>
    <w:rsid w:val="00CE69B7"/>
    <w:rsid w:val="00CE6A07"/>
    <w:rsid w:val="00CE6A73"/>
    <w:rsid w:val="00CE6B5B"/>
    <w:rsid w:val="00CE6BC3"/>
    <w:rsid w:val="00CE6EE8"/>
    <w:rsid w:val="00CE6FA8"/>
    <w:rsid w:val="00CE70B0"/>
    <w:rsid w:val="00CE71B6"/>
    <w:rsid w:val="00CE760D"/>
    <w:rsid w:val="00CE7702"/>
    <w:rsid w:val="00CE7910"/>
    <w:rsid w:val="00CE7C48"/>
    <w:rsid w:val="00CE7CBC"/>
    <w:rsid w:val="00CF043F"/>
    <w:rsid w:val="00CF046D"/>
    <w:rsid w:val="00CF0485"/>
    <w:rsid w:val="00CF04FB"/>
    <w:rsid w:val="00CF05F5"/>
    <w:rsid w:val="00CF0852"/>
    <w:rsid w:val="00CF0893"/>
    <w:rsid w:val="00CF0936"/>
    <w:rsid w:val="00CF09BA"/>
    <w:rsid w:val="00CF0B77"/>
    <w:rsid w:val="00CF0CC1"/>
    <w:rsid w:val="00CF0D68"/>
    <w:rsid w:val="00CF0EC1"/>
    <w:rsid w:val="00CF0EE4"/>
    <w:rsid w:val="00CF10F5"/>
    <w:rsid w:val="00CF13E2"/>
    <w:rsid w:val="00CF1642"/>
    <w:rsid w:val="00CF17BD"/>
    <w:rsid w:val="00CF1816"/>
    <w:rsid w:val="00CF18BA"/>
    <w:rsid w:val="00CF19B9"/>
    <w:rsid w:val="00CF1CE7"/>
    <w:rsid w:val="00CF1D8E"/>
    <w:rsid w:val="00CF1EE6"/>
    <w:rsid w:val="00CF2017"/>
    <w:rsid w:val="00CF206F"/>
    <w:rsid w:val="00CF246E"/>
    <w:rsid w:val="00CF2473"/>
    <w:rsid w:val="00CF2732"/>
    <w:rsid w:val="00CF287A"/>
    <w:rsid w:val="00CF2935"/>
    <w:rsid w:val="00CF29E7"/>
    <w:rsid w:val="00CF2A19"/>
    <w:rsid w:val="00CF2AD1"/>
    <w:rsid w:val="00CF2B31"/>
    <w:rsid w:val="00CF2B6C"/>
    <w:rsid w:val="00CF2BD1"/>
    <w:rsid w:val="00CF2DB4"/>
    <w:rsid w:val="00CF3027"/>
    <w:rsid w:val="00CF31FB"/>
    <w:rsid w:val="00CF328B"/>
    <w:rsid w:val="00CF332B"/>
    <w:rsid w:val="00CF36C3"/>
    <w:rsid w:val="00CF3C2D"/>
    <w:rsid w:val="00CF3F7E"/>
    <w:rsid w:val="00CF44BA"/>
    <w:rsid w:val="00CF4829"/>
    <w:rsid w:val="00CF4B67"/>
    <w:rsid w:val="00CF4BED"/>
    <w:rsid w:val="00CF4DAA"/>
    <w:rsid w:val="00CF4DAE"/>
    <w:rsid w:val="00CF4F6E"/>
    <w:rsid w:val="00CF528F"/>
    <w:rsid w:val="00CF596B"/>
    <w:rsid w:val="00CF5BB2"/>
    <w:rsid w:val="00CF5CEF"/>
    <w:rsid w:val="00CF5D5A"/>
    <w:rsid w:val="00CF5E46"/>
    <w:rsid w:val="00CF5E59"/>
    <w:rsid w:val="00CF5E62"/>
    <w:rsid w:val="00CF5ED3"/>
    <w:rsid w:val="00CF5FCF"/>
    <w:rsid w:val="00CF6135"/>
    <w:rsid w:val="00CF6140"/>
    <w:rsid w:val="00CF619D"/>
    <w:rsid w:val="00CF61A5"/>
    <w:rsid w:val="00CF64EB"/>
    <w:rsid w:val="00CF67D9"/>
    <w:rsid w:val="00CF693F"/>
    <w:rsid w:val="00CF6990"/>
    <w:rsid w:val="00CF7178"/>
    <w:rsid w:val="00CF7421"/>
    <w:rsid w:val="00CF7534"/>
    <w:rsid w:val="00CF771A"/>
    <w:rsid w:val="00CF7A75"/>
    <w:rsid w:val="00CF7ACD"/>
    <w:rsid w:val="00CF7BB2"/>
    <w:rsid w:val="00CF7CDD"/>
    <w:rsid w:val="00CF7CE6"/>
    <w:rsid w:val="00CF7DBA"/>
    <w:rsid w:val="00CF7E0D"/>
    <w:rsid w:val="00CF7F3A"/>
    <w:rsid w:val="00CF7FD3"/>
    <w:rsid w:val="00CF7FE0"/>
    <w:rsid w:val="00D00295"/>
    <w:rsid w:val="00D00325"/>
    <w:rsid w:val="00D005CD"/>
    <w:rsid w:val="00D0066F"/>
    <w:rsid w:val="00D0075C"/>
    <w:rsid w:val="00D008E1"/>
    <w:rsid w:val="00D0090E"/>
    <w:rsid w:val="00D00A3C"/>
    <w:rsid w:val="00D00C1D"/>
    <w:rsid w:val="00D00C44"/>
    <w:rsid w:val="00D010D5"/>
    <w:rsid w:val="00D01612"/>
    <w:rsid w:val="00D01644"/>
    <w:rsid w:val="00D01AA6"/>
    <w:rsid w:val="00D01AE1"/>
    <w:rsid w:val="00D01B50"/>
    <w:rsid w:val="00D01D87"/>
    <w:rsid w:val="00D01FCA"/>
    <w:rsid w:val="00D02516"/>
    <w:rsid w:val="00D026BF"/>
    <w:rsid w:val="00D02898"/>
    <w:rsid w:val="00D02973"/>
    <w:rsid w:val="00D02D07"/>
    <w:rsid w:val="00D03029"/>
    <w:rsid w:val="00D030E9"/>
    <w:rsid w:val="00D03104"/>
    <w:rsid w:val="00D033FD"/>
    <w:rsid w:val="00D0340D"/>
    <w:rsid w:val="00D0361E"/>
    <w:rsid w:val="00D03729"/>
    <w:rsid w:val="00D03850"/>
    <w:rsid w:val="00D03A29"/>
    <w:rsid w:val="00D03A7F"/>
    <w:rsid w:val="00D03AA7"/>
    <w:rsid w:val="00D03BBF"/>
    <w:rsid w:val="00D03E69"/>
    <w:rsid w:val="00D03F70"/>
    <w:rsid w:val="00D0405D"/>
    <w:rsid w:val="00D04231"/>
    <w:rsid w:val="00D04360"/>
    <w:rsid w:val="00D043FB"/>
    <w:rsid w:val="00D0473C"/>
    <w:rsid w:val="00D04758"/>
    <w:rsid w:val="00D047C9"/>
    <w:rsid w:val="00D048B8"/>
    <w:rsid w:val="00D04962"/>
    <w:rsid w:val="00D04B83"/>
    <w:rsid w:val="00D04EEC"/>
    <w:rsid w:val="00D04F7D"/>
    <w:rsid w:val="00D04FE1"/>
    <w:rsid w:val="00D05026"/>
    <w:rsid w:val="00D0507C"/>
    <w:rsid w:val="00D052C2"/>
    <w:rsid w:val="00D052F6"/>
    <w:rsid w:val="00D05418"/>
    <w:rsid w:val="00D05420"/>
    <w:rsid w:val="00D055AE"/>
    <w:rsid w:val="00D05630"/>
    <w:rsid w:val="00D05713"/>
    <w:rsid w:val="00D05804"/>
    <w:rsid w:val="00D0587C"/>
    <w:rsid w:val="00D059C9"/>
    <w:rsid w:val="00D06060"/>
    <w:rsid w:val="00D06152"/>
    <w:rsid w:val="00D061AA"/>
    <w:rsid w:val="00D063EF"/>
    <w:rsid w:val="00D06571"/>
    <w:rsid w:val="00D06675"/>
    <w:rsid w:val="00D067EC"/>
    <w:rsid w:val="00D06871"/>
    <w:rsid w:val="00D06995"/>
    <w:rsid w:val="00D06ABD"/>
    <w:rsid w:val="00D06AFA"/>
    <w:rsid w:val="00D06C12"/>
    <w:rsid w:val="00D06D00"/>
    <w:rsid w:val="00D06DF9"/>
    <w:rsid w:val="00D06E70"/>
    <w:rsid w:val="00D06FBD"/>
    <w:rsid w:val="00D07180"/>
    <w:rsid w:val="00D072E4"/>
    <w:rsid w:val="00D07569"/>
    <w:rsid w:val="00D07608"/>
    <w:rsid w:val="00D07734"/>
    <w:rsid w:val="00D07849"/>
    <w:rsid w:val="00D07949"/>
    <w:rsid w:val="00D079B8"/>
    <w:rsid w:val="00D079E1"/>
    <w:rsid w:val="00D07C2A"/>
    <w:rsid w:val="00D100E5"/>
    <w:rsid w:val="00D1015A"/>
    <w:rsid w:val="00D10200"/>
    <w:rsid w:val="00D10566"/>
    <w:rsid w:val="00D1071A"/>
    <w:rsid w:val="00D107FD"/>
    <w:rsid w:val="00D10824"/>
    <w:rsid w:val="00D108EB"/>
    <w:rsid w:val="00D10BD5"/>
    <w:rsid w:val="00D10FAC"/>
    <w:rsid w:val="00D1105D"/>
    <w:rsid w:val="00D110EE"/>
    <w:rsid w:val="00D11106"/>
    <w:rsid w:val="00D116BE"/>
    <w:rsid w:val="00D116C8"/>
    <w:rsid w:val="00D118EA"/>
    <w:rsid w:val="00D11920"/>
    <w:rsid w:val="00D119A9"/>
    <w:rsid w:val="00D11A3F"/>
    <w:rsid w:val="00D11BC4"/>
    <w:rsid w:val="00D11D7E"/>
    <w:rsid w:val="00D11E9E"/>
    <w:rsid w:val="00D1225C"/>
    <w:rsid w:val="00D122D5"/>
    <w:rsid w:val="00D1244E"/>
    <w:rsid w:val="00D12660"/>
    <w:rsid w:val="00D127F0"/>
    <w:rsid w:val="00D12954"/>
    <w:rsid w:val="00D12A44"/>
    <w:rsid w:val="00D12D53"/>
    <w:rsid w:val="00D13092"/>
    <w:rsid w:val="00D13366"/>
    <w:rsid w:val="00D13464"/>
    <w:rsid w:val="00D13772"/>
    <w:rsid w:val="00D13824"/>
    <w:rsid w:val="00D139CA"/>
    <w:rsid w:val="00D13D26"/>
    <w:rsid w:val="00D13E6C"/>
    <w:rsid w:val="00D13E9B"/>
    <w:rsid w:val="00D14102"/>
    <w:rsid w:val="00D14210"/>
    <w:rsid w:val="00D1466D"/>
    <w:rsid w:val="00D1467F"/>
    <w:rsid w:val="00D14742"/>
    <w:rsid w:val="00D148E2"/>
    <w:rsid w:val="00D14B12"/>
    <w:rsid w:val="00D14B25"/>
    <w:rsid w:val="00D14EA1"/>
    <w:rsid w:val="00D14FFF"/>
    <w:rsid w:val="00D1511B"/>
    <w:rsid w:val="00D1518B"/>
    <w:rsid w:val="00D1518C"/>
    <w:rsid w:val="00D151A3"/>
    <w:rsid w:val="00D152DC"/>
    <w:rsid w:val="00D1538F"/>
    <w:rsid w:val="00D154D7"/>
    <w:rsid w:val="00D154F4"/>
    <w:rsid w:val="00D156C0"/>
    <w:rsid w:val="00D1578C"/>
    <w:rsid w:val="00D157E9"/>
    <w:rsid w:val="00D1591B"/>
    <w:rsid w:val="00D1594F"/>
    <w:rsid w:val="00D159D8"/>
    <w:rsid w:val="00D15A1E"/>
    <w:rsid w:val="00D15B34"/>
    <w:rsid w:val="00D15C62"/>
    <w:rsid w:val="00D15D10"/>
    <w:rsid w:val="00D15DD9"/>
    <w:rsid w:val="00D15FAC"/>
    <w:rsid w:val="00D16193"/>
    <w:rsid w:val="00D1621B"/>
    <w:rsid w:val="00D1621E"/>
    <w:rsid w:val="00D163D4"/>
    <w:rsid w:val="00D1690F"/>
    <w:rsid w:val="00D16ABF"/>
    <w:rsid w:val="00D16EA7"/>
    <w:rsid w:val="00D16FD3"/>
    <w:rsid w:val="00D171A6"/>
    <w:rsid w:val="00D171C0"/>
    <w:rsid w:val="00D171D7"/>
    <w:rsid w:val="00D1722B"/>
    <w:rsid w:val="00D17230"/>
    <w:rsid w:val="00D17246"/>
    <w:rsid w:val="00D1730E"/>
    <w:rsid w:val="00D17394"/>
    <w:rsid w:val="00D173B2"/>
    <w:rsid w:val="00D174AF"/>
    <w:rsid w:val="00D17514"/>
    <w:rsid w:val="00D175BE"/>
    <w:rsid w:val="00D1788D"/>
    <w:rsid w:val="00D17990"/>
    <w:rsid w:val="00D179AF"/>
    <w:rsid w:val="00D17A9E"/>
    <w:rsid w:val="00D20032"/>
    <w:rsid w:val="00D20126"/>
    <w:rsid w:val="00D201C1"/>
    <w:rsid w:val="00D20213"/>
    <w:rsid w:val="00D2041A"/>
    <w:rsid w:val="00D20643"/>
    <w:rsid w:val="00D209B7"/>
    <w:rsid w:val="00D20E4F"/>
    <w:rsid w:val="00D20F41"/>
    <w:rsid w:val="00D2102F"/>
    <w:rsid w:val="00D21102"/>
    <w:rsid w:val="00D2112E"/>
    <w:rsid w:val="00D213A4"/>
    <w:rsid w:val="00D213D1"/>
    <w:rsid w:val="00D21508"/>
    <w:rsid w:val="00D215A4"/>
    <w:rsid w:val="00D216FD"/>
    <w:rsid w:val="00D2176E"/>
    <w:rsid w:val="00D21CB0"/>
    <w:rsid w:val="00D21CE2"/>
    <w:rsid w:val="00D21CED"/>
    <w:rsid w:val="00D21E27"/>
    <w:rsid w:val="00D21EFD"/>
    <w:rsid w:val="00D222BC"/>
    <w:rsid w:val="00D222F0"/>
    <w:rsid w:val="00D225F8"/>
    <w:rsid w:val="00D22626"/>
    <w:rsid w:val="00D22887"/>
    <w:rsid w:val="00D228D7"/>
    <w:rsid w:val="00D2294A"/>
    <w:rsid w:val="00D22B00"/>
    <w:rsid w:val="00D22DC1"/>
    <w:rsid w:val="00D22DD6"/>
    <w:rsid w:val="00D22DFA"/>
    <w:rsid w:val="00D22E8F"/>
    <w:rsid w:val="00D22EBD"/>
    <w:rsid w:val="00D235A9"/>
    <w:rsid w:val="00D23680"/>
    <w:rsid w:val="00D23D1E"/>
    <w:rsid w:val="00D24479"/>
    <w:rsid w:val="00D24606"/>
    <w:rsid w:val="00D247D6"/>
    <w:rsid w:val="00D247F4"/>
    <w:rsid w:val="00D24812"/>
    <w:rsid w:val="00D248A3"/>
    <w:rsid w:val="00D24D7B"/>
    <w:rsid w:val="00D24E35"/>
    <w:rsid w:val="00D24EDE"/>
    <w:rsid w:val="00D24EF7"/>
    <w:rsid w:val="00D2504F"/>
    <w:rsid w:val="00D250CC"/>
    <w:rsid w:val="00D25101"/>
    <w:rsid w:val="00D25185"/>
    <w:rsid w:val="00D2575D"/>
    <w:rsid w:val="00D25AB1"/>
    <w:rsid w:val="00D25CD8"/>
    <w:rsid w:val="00D25DC8"/>
    <w:rsid w:val="00D25E69"/>
    <w:rsid w:val="00D25EDC"/>
    <w:rsid w:val="00D25F24"/>
    <w:rsid w:val="00D25F4A"/>
    <w:rsid w:val="00D25FF2"/>
    <w:rsid w:val="00D2659A"/>
    <w:rsid w:val="00D26654"/>
    <w:rsid w:val="00D266C3"/>
    <w:rsid w:val="00D268B0"/>
    <w:rsid w:val="00D26AD6"/>
    <w:rsid w:val="00D26B63"/>
    <w:rsid w:val="00D26EB7"/>
    <w:rsid w:val="00D274C5"/>
    <w:rsid w:val="00D27576"/>
    <w:rsid w:val="00D275AA"/>
    <w:rsid w:val="00D2765B"/>
    <w:rsid w:val="00D276CB"/>
    <w:rsid w:val="00D2781C"/>
    <w:rsid w:val="00D278A4"/>
    <w:rsid w:val="00D27920"/>
    <w:rsid w:val="00D27B88"/>
    <w:rsid w:val="00D27D8E"/>
    <w:rsid w:val="00D27DA9"/>
    <w:rsid w:val="00D27E34"/>
    <w:rsid w:val="00D27E9D"/>
    <w:rsid w:val="00D27F78"/>
    <w:rsid w:val="00D27FAC"/>
    <w:rsid w:val="00D300B2"/>
    <w:rsid w:val="00D300D9"/>
    <w:rsid w:val="00D30138"/>
    <w:rsid w:val="00D30185"/>
    <w:rsid w:val="00D301AE"/>
    <w:rsid w:val="00D30232"/>
    <w:rsid w:val="00D30290"/>
    <w:rsid w:val="00D302EA"/>
    <w:rsid w:val="00D3058D"/>
    <w:rsid w:val="00D30677"/>
    <w:rsid w:val="00D307E8"/>
    <w:rsid w:val="00D30911"/>
    <w:rsid w:val="00D30A82"/>
    <w:rsid w:val="00D30D42"/>
    <w:rsid w:val="00D30D68"/>
    <w:rsid w:val="00D30D99"/>
    <w:rsid w:val="00D310D1"/>
    <w:rsid w:val="00D311B4"/>
    <w:rsid w:val="00D311C4"/>
    <w:rsid w:val="00D312A1"/>
    <w:rsid w:val="00D31606"/>
    <w:rsid w:val="00D31665"/>
    <w:rsid w:val="00D31931"/>
    <w:rsid w:val="00D319A4"/>
    <w:rsid w:val="00D31B4E"/>
    <w:rsid w:val="00D31B56"/>
    <w:rsid w:val="00D31B90"/>
    <w:rsid w:val="00D31B9F"/>
    <w:rsid w:val="00D31EEA"/>
    <w:rsid w:val="00D3207A"/>
    <w:rsid w:val="00D320AE"/>
    <w:rsid w:val="00D322C7"/>
    <w:rsid w:val="00D32764"/>
    <w:rsid w:val="00D328BB"/>
    <w:rsid w:val="00D329EF"/>
    <w:rsid w:val="00D32B67"/>
    <w:rsid w:val="00D32BC9"/>
    <w:rsid w:val="00D32C96"/>
    <w:rsid w:val="00D32CC8"/>
    <w:rsid w:val="00D32FA1"/>
    <w:rsid w:val="00D3319F"/>
    <w:rsid w:val="00D332D6"/>
    <w:rsid w:val="00D33420"/>
    <w:rsid w:val="00D33428"/>
    <w:rsid w:val="00D33792"/>
    <w:rsid w:val="00D338CA"/>
    <w:rsid w:val="00D33951"/>
    <w:rsid w:val="00D33A28"/>
    <w:rsid w:val="00D33BFC"/>
    <w:rsid w:val="00D33CD8"/>
    <w:rsid w:val="00D33D5B"/>
    <w:rsid w:val="00D33FB6"/>
    <w:rsid w:val="00D33FEF"/>
    <w:rsid w:val="00D340F4"/>
    <w:rsid w:val="00D34170"/>
    <w:rsid w:val="00D343FF"/>
    <w:rsid w:val="00D3448B"/>
    <w:rsid w:val="00D3480F"/>
    <w:rsid w:val="00D34C2C"/>
    <w:rsid w:val="00D34C34"/>
    <w:rsid w:val="00D34CE3"/>
    <w:rsid w:val="00D34D4C"/>
    <w:rsid w:val="00D34DC5"/>
    <w:rsid w:val="00D34E67"/>
    <w:rsid w:val="00D350E2"/>
    <w:rsid w:val="00D351B8"/>
    <w:rsid w:val="00D35469"/>
    <w:rsid w:val="00D35727"/>
    <w:rsid w:val="00D358DD"/>
    <w:rsid w:val="00D35AD2"/>
    <w:rsid w:val="00D35DD7"/>
    <w:rsid w:val="00D35E47"/>
    <w:rsid w:val="00D361FF"/>
    <w:rsid w:val="00D36225"/>
    <w:rsid w:val="00D36397"/>
    <w:rsid w:val="00D363E0"/>
    <w:rsid w:val="00D364A4"/>
    <w:rsid w:val="00D366B9"/>
    <w:rsid w:val="00D3678B"/>
    <w:rsid w:val="00D367A2"/>
    <w:rsid w:val="00D36960"/>
    <w:rsid w:val="00D36AC8"/>
    <w:rsid w:val="00D36EB8"/>
    <w:rsid w:val="00D36F56"/>
    <w:rsid w:val="00D36F6A"/>
    <w:rsid w:val="00D36F89"/>
    <w:rsid w:val="00D37068"/>
    <w:rsid w:val="00D372DE"/>
    <w:rsid w:val="00D3731D"/>
    <w:rsid w:val="00D373E7"/>
    <w:rsid w:val="00D374A0"/>
    <w:rsid w:val="00D374B9"/>
    <w:rsid w:val="00D376D4"/>
    <w:rsid w:val="00D37852"/>
    <w:rsid w:val="00D37965"/>
    <w:rsid w:val="00D37AB9"/>
    <w:rsid w:val="00D37E59"/>
    <w:rsid w:val="00D37EB6"/>
    <w:rsid w:val="00D37F94"/>
    <w:rsid w:val="00D37FC0"/>
    <w:rsid w:val="00D40029"/>
    <w:rsid w:val="00D400C1"/>
    <w:rsid w:val="00D40172"/>
    <w:rsid w:val="00D401AC"/>
    <w:rsid w:val="00D4057C"/>
    <w:rsid w:val="00D4059F"/>
    <w:rsid w:val="00D405DD"/>
    <w:rsid w:val="00D4075B"/>
    <w:rsid w:val="00D4084E"/>
    <w:rsid w:val="00D4095F"/>
    <w:rsid w:val="00D40AF1"/>
    <w:rsid w:val="00D40E95"/>
    <w:rsid w:val="00D40F34"/>
    <w:rsid w:val="00D40F4C"/>
    <w:rsid w:val="00D41442"/>
    <w:rsid w:val="00D41624"/>
    <w:rsid w:val="00D41632"/>
    <w:rsid w:val="00D41690"/>
    <w:rsid w:val="00D41730"/>
    <w:rsid w:val="00D41774"/>
    <w:rsid w:val="00D419B2"/>
    <w:rsid w:val="00D41B90"/>
    <w:rsid w:val="00D41F03"/>
    <w:rsid w:val="00D41FB1"/>
    <w:rsid w:val="00D42322"/>
    <w:rsid w:val="00D42344"/>
    <w:rsid w:val="00D42379"/>
    <w:rsid w:val="00D42559"/>
    <w:rsid w:val="00D42EED"/>
    <w:rsid w:val="00D42F90"/>
    <w:rsid w:val="00D42F9D"/>
    <w:rsid w:val="00D42FDE"/>
    <w:rsid w:val="00D430AB"/>
    <w:rsid w:val="00D432A5"/>
    <w:rsid w:val="00D43548"/>
    <w:rsid w:val="00D43992"/>
    <w:rsid w:val="00D43A82"/>
    <w:rsid w:val="00D43B45"/>
    <w:rsid w:val="00D43BE2"/>
    <w:rsid w:val="00D43C23"/>
    <w:rsid w:val="00D43CF1"/>
    <w:rsid w:val="00D43D88"/>
    <w:rsid w:val="00D44069"/>
    <w:rsid w:val="00D44108"/>
    <w:rsid w:val="00D443DF"/>
    <w:rsid w:val="00D443E6"/>
    <w:rsid w:val="00D444A4"/>
    <w:rsid w:val="00D448BA"/>
    <w:rsid w:val="00D449AB"/>
    <w:rsid w:val="00D449E3"/>
    <w:rsid w:val="00D44A00"/>
    <w:rsid w:val="00D44B70"/>
    <w:rsid w:val="00D44D5A"/>
    <w:rsid w:val="00D44D8E"/>
    <w:rsid w:val="00D44D9E"/>
    <w:rsid w:val="00D44F4E"/>
    <w:rsid w:val="00D451FC"/>
    <w:rsid w:val="00D4520C"/>
    <w:rsid w:val="00D453D7"/>
    <w:rsid w:val="00D4547F"/>
    <w:rsid w:val="00D4577F"/>
    <w:rsid w:val="00D45BB3"/>
    <w:rsid w:val="00D45BC6"/>
    <w:rsid w:val="00D45CED"/>
    <w:rsid w:val="00D45E36"/>
    <w:rsid w:val="00D45F73"/>
    <w:rsid w:val="00D45F7F"/>
    <w:rsid w:val="00D460B5"/>
    <w:rsid w:val="00D46153"/>
    <w:rsid w:val="00D46212"/>
    <w:rsid w:val="00D46296"/>
    <w:rsid w:val="00D46316"/>
    <w:rsid w:val="00D4643D"/>
    <w:rsid w:val="00D465DA"/>
    <w:rsid w:val="00D4660B"/>
    <w:rsid w:val="00D46621"/>
    <w:rsid w:val="00D46663"/>
    <w:rsid w:val="00D466DF"/>
    <w:rsid w:val="00D46749"/>
    <w:rsid w:val="00D467AC"/>
    <w:rsid w:val="00D468CC"/>
    <w:rsid w:val="00D469D8"/>
    <w:rsid w:val="00D46AC4"/>
    <w:rsid w:val="00D46DD4"/>
    <w:rsid w:val="00D46EF6"/>
    <w:rsid w:val="00D46FF2"/>
    <w:rsid w:val="00D470E6"/>
    <w:rsid w:val="00D47119"/>
    <w:rsid w:val="00D473CE"/>
    <w:rsid w:val="00D474A1"/>
    <w:rsid w:val="00D474F6"/>
    <w:rsid w:val="00D47533"/>
    <w:rsid w:val="00D4785F"/>
    <w:rsid w:val="00D47969"/>
    <w:rsid w:val="00D47A13"/>
    <w:rsid w:val="00D47ADB"/>
    <w:rsid w:val="00D47AED"/>
    <w:rsid w:val="00D47BC1"/>
    <w:rsid w:val="00D502D0"/>
    <w:rsid w:val="00D50412"/>
    <w:rsid w:val="00D504D3"/>
    <w:rsid w:val="00D50679"/>
    <w:rsid w:val="00D5085B"/>
    <w:rsid w:val="00D50A21"/>
    <w:rsid w:val="00D50B35"/>
    <w:rsid w:val="00D50C61"/>
    <w:rsid w:val="00D513FC"/>
    <w:rsid w:val="00D51407"/>
    <w:rsid w:val="00D5142B"/>
    <w:rsid w:val="00D514BA"/>
    <w:rsid w:val="00D5187C"/>
    <w:rsid w:val="00D51BD9"/>
    <w:rsid w:val="00D51F37"/>
    <w:rsid w:val="00D521AA"/>
    <w:rsid w:val="00D52400"/>
    <w:rsid w:val="00D52478"/>
    <w:rsid w:val="00D524AE"/>
    <w:rsid w:val="00D5264C"/>
    <w:rsid w:val="00D529F7"/>
    <w:rsid w:val="00D52E58"/>
    <w:rsid w:val="00D52FD0"/>
    <w:rsid w:val="00D532C1"/>
    <w:rsid w:val="00D5346F"/>
    <w:rsid w:val="00D535E9"/>
    <w:rsid w:val="00D53629"/>
    <w:rsid w:val="00D537A3"/>
    <w:rsid w:val="00D53C8E"/>
    <w:rsid w:val="00D53E75"/>
    <w:rsid w:val="00D5411E"/>
    <w:rsid w:val="00D54748"/>
    <w:rsid w:val="00D547CC"/>
    <w:rsid w:val="00D547CE"/>
    <w:rsid w:val="00D54943"/>
    <w:rsid w:val="00D549BA"/>
    <w:rsid w:val="00D54AE1"/>
    <w:rsid w:val="00D54B67"/>
    <w:rsid w:val="00D54BDA"/>
    <w:rsid w:val="00D54CA2"/>
    <w:rsid w:val="00D54D54"/>
    <w:rsid w:val="00D54DFD"/>
    <w:rsid w:val="00D54E00"/>
    <w:rsid w:val="00D55065"/>
    <w:rsid w:val="00D550AD"/>
    <w:rsid w:val="00D550B7"/>
    <w:rsid w:val="00D55491"/>
    <w:rsid w:val="00D5573E"/>
    <w:rsid w:val="00D55A7B"/>
    <w:rsid w:val="00D55AC7"/>
    <w:rsid w:val="00D55C19"/>
    <w:rsid w:val="00D55C5F"/>
    <w:rsid w:val="00D5600E"/>
    <w:rsid w:val="00D56052"/>
    <w:rsid w:val="00D56096"/>
    <w:rsid w:val="00D561CD"/>
    <w:rsid w:val="00D5631F"/>
    <w:rsid w:val="00D56374"/>
    <w:rsid w:val="00D56728"/>
    <w:rsid w:val="00D568F5"/>
    <w:rsid w:val="00D56C2E"/>
    <w:rsid w:val="00D56F3D"/>
    <w:rsid w:val="00D56FAC"/>
    <w:rsid w:val="00D57186"/>
    <w:rsid w:val="00D573B4"/>
    <w:rsid w:val="00D573B8"/>
    <w:rsid w:val="00D573DF"/>
    <w:rsid w:val="00D5747D"/>
    <w:rsid w:val="00D5764E"/>
    <w:rsid w:val="00D57740"/>
    <w:rsid w:val="00D57882"/>
    <w:rsid w:val="00D57A24"/>
    <w:rsid w:val="00D57A61"/>
    <w:rsid w:val="00D57A94"/>
    <w:rsid w:val="00D57BE6"/>
    <w:rsid w:val="00D57CD7"/>
    <w:rsid w:val="00D57F08"/>
    <w:rsid w:val="00D60105"/>
    <w:rsid w:val="00D601E6"/>
    <w:rsid w:val="00D60498"/>
    <w:rsid w:val="00D607BB"/>
    <w:rsid w:val="00D60A79"/>
    <w:rsid w:val="00D60B07"/>
    <w:rsid w:val="00D60E5B"/>
    <w:rsid w:val="00D60F79"/>
    <w:rsid w:val="00D61068"/>
    <w:rsid w:val="00D611CD"/>
    <w:rsid w:val="00D613A5"/>
    <w:rsid w:val="00D614BF"/>
    <w:rsid w:val="00D61807"/>
    <w:rsid w:val="00D618E6"/>
    <w:rsid w:val="00D61A01"/>
    <w:rsid w:val="00D61AA0"/>
    <w:rsid w:val="00D61CB9"/>
    <w:rsid w:val="00D61D9E"/>
    <w:rsid w:val="00D61E8D"/>
    <w:rsid w:val="00D61EC7"/>
    <w:rsid w:val="00D61FD0"/>
    <w:rsid w:val="00D621A1"/>
    <w:rsid w:val="00D62202"/>
    <w:rsid w:val="00D622A7"/>
    <w:rsid w:val="00D62776"/>
    <w:rsid w:val="00D6282C"/>
    <w:rsid w:val="00D628C9"/>
    <w:rsid w:val="00D629B0"/>
    <w:rsid w:val="00D62D30"/>
    <w:rsid w:val="00D62D65"/>
    <w:rsid w:val="00D630FD"/>
    <w:rsid w:val="00D631A9"/>
    <w:rsid w:val="00D635C2"/>
    <w:rsid w:val="00D635E1"/>
    <w:rsid w:val="00D63732"/>
    <w:rsid w:val="00D63A91"/>
    <w:rsid w:val="00D63C23"/>
    <w:rsid w:val="00D63CF9"/>
    <w:rsid w:val="00D63E0D"/>
    <w:rsid w:val="00D6402D"/>
    <w:rsid w:val="00D64048"/>
    <w:rsid w:val="00D643C6"/>
    <w:rsid w:val="00D6448C"/>
    <w:rsid w:val="00D6461A"/>
    <w:rsid w:val="00D649F8"/>
    <w:rsid w:val="00D64ABE"/>
    <w:rsid w:val="00D64C37"/>
    <w:rsid w:val="00D64E3B"/>
    <w:rsid w:val="00D64E61"/>
    <w:rsid w:val="00D64EEC"/>
    <w:rsid w:val="00D652C5"/>
    <w:rsid w:val="00D6530E"/>
    <w:rsid w:val="00D6531A"/>
    <w:rsid w:val="00D65330"/>
    <w:rsid w:val="00D65359"/>
    <w:rsid w:val="00D653F7"/>
    <w:rsid w:val="00D6547C"/>
    <w:rsid w:val="00D65567"/>
    <w:rsid w:val="00D655F8"/>
    <w:rsid w:val="00D65792"/>
    <w:rsid w:val="00D6594E"/>
    <w:rsid w:val="00D65BF0"/>
    <w:rsid w:val="00D65C3C"/>
    <w:rsid w:val="00D65C7B"/>
    <w:rsid w:val="00D66300"/>
    <w:rsid w:val="00D66630"/>
    <w:rsid w:val="00D66825"/>
    <w:rsid w:val="00D668C0"/>
    <w:rsid w:val="00D669CB"/>
    <w:rsid w:val="00D66CC1"/>
    <w:rsid w:val="00D66E37"/>
    <w:rsid w:val="00D671D8"/>
    <w:rsid w:val="00D6723D"/>
    <w:rsid w:val="00D67275"/>
    <w:rsid w:val="00D6728F"/>
    <w:rsid w:val="00D67397"/>
    <w:rsid w:val="00D67617"/>
    <w:rsid w:val="00D67646"/>
    <w:rsid w:val="00D678E7"/>
    <w:rsid w:val="00D67AE3"/>
    <w:rsid w:val="00D67C0F"/>
    <w:rsid w:val="00D67C74"/>
    <w:rsid w:val="00D67CD4"/>
    <w:rsid w:val="00D67F2C"/>
    <w:rsid w:val="00D70782"/>
    <w:rsid w:val="00D70A08"/>
    <w:rsid w:val="00D70A4E"/>
    <w:rsid w:val="00D70B25"/>
    <w:rsid w:val="00D70D69"/>
    <w:rsid w:val="00D70E5C"/>
    <w:rsid w:val="00D70F00"/>
    <w:rsid w:val="00D711FF"/>
    <w:rsid w:val="00D71476"/>
    <w:rsid w:val="00D714F0"/>
    <w:rsid w:val="00D715FE"/>
    <w:rsid w:val="00D71605"/>
    <w:rsid w:val="00D71794"/>
    <w:rsid w:val="00D71A05"/>
    <w:rsid w:val="00D71A80"/>
    <w:rsid w:val="00D71BA5"/>
    <w:rsid w:val="00D71C0E"/>
    <w:rsid w:val="00D71D59"/>
    <w:rsid w:val="00D71DF5"/>
    <w:rsid w:val="00D72025"/>
    <w:rsid w:val="00D720CF"/>
    <w:rsid w:val="00D72128"/>
    <w:rsid w:val="00D721E2"/>
    <w:rsid w:val="00D724D2"/>
    <w:rsid w:val="00D72528"/>
    <w:rsid w:val="00D72788"/>
    <w:rsid w:val="00D72889"/>
    <w:rsid w:val="00D72CBF"/>
    <w:rsid w:val="00D72D21"/>
    <w:rsid w:val="00D72D8F"/>
    <w:rsid w:val="00D7327B"/>
    <w:rsid w:val="00D7327F"/>
    <w:rsid w:val="00D73569"/>
    <w:rsid w:val="00D73633"/>
    <w:rsid w:val="00D7371D"/>
    <w:rsid w:val="00D7371F"/>
    <w:rsid w:val="00D73B87"/>
    <w:rsid w:val="00D73C3E"/>
    <w:rsid w:val="00D73E43"/>
    <w:rsid w:val="00D73F6F"/>
    <w:rsid w:val="00D74180"/>
    <w:rsid w:val="00D741DF"/>
    <w:rsid w:val="00D743DE"/>
    <w:rsid w:val="00D7440B"/>
    <w:rsid w:val="00D7442F"/>
    <w:rsid w:val="00D744FB"/>
    <w:rsid w:val="00D74521"/>
    <w:rsid w:val="00D745EC"/>
    <w:rsid w:val="00D74738"/>
    <w:rsid w:val="00D74888"/>
    <w:rsid w:val="00D748E2"/>
    <w:rsid w:val="00D74979"/>
    <w:rsid w:val="00D749E3"/>
    <w:rsid w:val="00D74BF8"/>
    <w:rsid w:val="00D74EC2"/>
    <w:rsid w:val="00D74F85"/>
    <w:rsid w:val="00D7545E"/>
    <w:rsid w:val="00D756F8"/>
    <w:rsid w:val="00D75C17"/>
    <w:rsid w:val="00D75C5A"/>
    <w:rsid w:val="00D75C70"/>
    <w:rsid w:val="00D75CFB"/>
    <w:rsid w:val="00D75D19"/>
    <w:rsid w:val="00D75DD8"/>
    <w:rsid w:val="00D75FC5"/>
    <w:rsid w:val="00D75FDE"/>
    <w:rsid w:val="00D7659B"/>
    <w:rsid w:val="00D7664C"/>
    <w:rsid w:val="00D76693"/>
    <w:rsid w:val="00D766F7"/>
    <w:rsid w:val="00D767B2"/>
    <w:rsid w:val="00D769BB"/>
    <w:rsid w:val="00D76BF5"/>
    <w:rsid w:val="00D76CD7"/>
    <w:rsid w:val="00D76DAF"/>
    <w:rsid w:val="00D76E7D"/>
    <w:rsid w:val="00D76F80"/>
    <w:rsid w:val="00D76F89"/>
    <w:rsid w:val="00D771D7"/>
    <w:rsid w:val="00D771D9"/>
    <w:rsid w:val="00D77348"/>
    <w:rsid w:val="00D7741A"/>
    <w:rsid w:val="00D77479"/>
    <w:rsid w:val="00D77511"/>
    <w:rsid w:val="00D77545"/>
    <w:rsid w:val="00D775A3"/>
    <w:rsid w:val="00D77830"/>
    <w:rsid w:val="00D77A18"/>
    <w:rsid w:val="00D77A5F"/>
    <w:rsid w:val="00D77B3A"/>
    <w:rsid w:val="00D77C1D"/>
    <w:rsid w:val="00D77C5E"/>
    <w:rsid w:val="00D77FB9"/>
    <w:rsid w:val="00D8031C"/>
    <w:rsid w:val="00D8060C"/>
    <w:rsid w:val="00D8064D"/>
    <w:rsid w:val="00D80934"/>
    <w:rsid w:val="00D80B46"/>
    <w:rsid w:val="00D80BCF"/>
    <w:rsid w:val="00D80CA0"/>
    <w:rsid w:val="00D80D12"/>
    <w:rsid w:val="00D80DEF"/>
    <w:rsid w:val="00D810C9"/>
    <w:rsid w:val="00D81366"/>
    <w:rsid w:val="00D8137A"/>
    <w:rsid w:val="00D816A2"/>
    <w:rsid w:val="00D816B0"/>
    <w:rsid w:val="00D816E4"/>
    <w:rsid w:val="00D81905"/>
    <w:rsid w:val="00D81AFB"/>
    <w:rsid w:val="00D81BCE"/>
    <w:rsid w:val="00D81D75"/>
    <w:rsid w:val="00D81DBA"/>
    <w:rsid w:val="00D81E85"/>
    <w:rsid w:val="00D81E97"/>
    <w:rsid w:val="00D81E9C"/>
    <w:rsid w:val="00D81F29"/>
    <w:rsid w:val="00D81F43"/>
    <w:rsid w:val="00D820C3"/>
    <w:rsid w:val="00D8258F"/>
    <w:rsid w:val="00D829DA"/>
    <w:rsid w:val="00D82AAB"/>
    <w:rsid w:val="00D82B2C"/>
    <w:rsid w:val="00D82B5C"/>
    <w:rsid w:val="00D82BFD"/>
    <w:rsid w:val="00D82C54"/>
    <w:rsid w:val="00D82DFB"/>
    <w:rsid w:val="00D82F5E"/>
    <w:rsid w:val="00D8337D"/>
    <w:rsid w:val="00D83686"/>
    <w:rsid w:val="00D8390A"/>
    <w:rsid w:val="00D8397A"/>
    <w:rsid w:val="00D83B2D"/>
    <w:rsid w:val="00D83C8D"/>
    <w:rsid w:val="00D83F2A"/>
    <w:rsid w:val="00D8411F"/>
    <w:rsid w:val="00D84273"/>
    <w:rsid w:val="00D84745"/>
    <w:rsid w:val="00D84812"/>
    <w:rsid w:val="00D84859"/>
    <w:rsid w:val="00D84A8A"/>
    <w:rsid w:val="00D84A90"/>
    <w:rsid w:val="00D84DAC"/>
    <w:rsid w:val="00D84E0C"/>
    <w:rsid w:val="00D8502E"/>
    <w:rsid w:val="00D85297"/>
    <w:rsid w:val="00D854F5"/>
    <w:rsid w:val="00D855E4"/>
    <w:rsid w:val="00D85790"/>
    <w:rsid w:val="00D858C4"/>
    <w:rsid w:val="00D858C9"/>
    <w:rsid w:val="00D8597E"/>
    <w:rsid w:val="00D85A77"/>
    <w:rsid w:val="00D85C4E"/>
    <w:rsid w:val="00D85C84"/>
    <w:rsid w:val="00D85E14"/>
    <w:rsid w:val="00D85E36"/>
    <w:rsid w:val="00D85EA2"/>
    <w:rsid w:val="00D862B9"/>
    <w:rsid w:val="00D864DE"/>
    <w:rsid w:val="00D86654"/>
    <w:rsid w:val="00D86680"/>
    <w:rsid w:val="00D8699C"/>
    <w:rsid w:val="00D86A2D"/>
    <w:rsid w:val="00D86E62"/>
    <w:rsid w:val="00D86EC8"/>
    <w:rsid w:val="00D870CE"/>
    <w:rsid w:val="00D871CE"/>
    <w:rsid w:val="00D874F1"/>
    <w:rsid w:val="00D87600"/>
    <w:rsid w:val="00D876CF"/>
    <w:rsid w:val="00D87812"/>
    <w:rsid w:val="00D902E7"/>
    <w:rsid w:val="00D903D3"/>
    <w:rsid w:val="00D90599"/>
    <w:rsid w:val="00D906EC"/>
    <w:rsid w:val="00D90A02"/>
    <w:rsid w:val="00D90BD1"/>
    <w:rsid w:val="00D90BEF"/>
    <w:rsid w:val="00D90E42"/>
    <w:rsid w:val="00D90EDF"/>
    <w:rsid w:val="00D90F8A"/>
    <w:rsid w:val="00D911AB"/>
    <w:rsid w:val="00D91243"/>
    <w:rsid w:val="00D912AB"/>
    <w:rsid w:val="00D91708"/>
    <w:rsid w:val="00D918B0"/>
    <w:rsid w:val="00D91934"/>
    <w:rsid w:val="00D919A2"/>
    <w:rsid w:val="00D91A93"/>
    <w:rsid w:val="00D91AA3"/>
    <w:rsid w:val="00D91BBE"/>
    <w:rsid w:val="00D91E2C"/>
    <w:rsid w:val="00D91FC7"/>
    <w:rsid w:val="00D9215F"/>
    <w:rsid w:val="00D921EA"/>
    <w:rsid w:val="00D9220D"/>
    <w:rsid w:val="00D9221D"/>
    <w:rsid w:val="00D92376"/>
    <w:rsid w:val="00D926B8"/>
    <w:rsid w:val="00D927FC"/>
    <w:rsid w:val="00D92947"/>
    <w:rsid w:val="00D92ACB"/>
    <w:rsid w:val="00D92AEB"/>
    <w:rsid w:val="00D92E07"/>
    <w:rsid w:val="00D92E2A"/>
    <w:rsid w:val="00D92EDC"/>
    <w:rsid w:val="00D9307D"/>
    <w:rsid w:val="00D93380"/>
    <w:rsid w:val="00D93406"/>
    <w:rsid w:val="00D93540"/>
    <w:rsid w:val="00D9355B"/>
    <w:rsid w:val="00D93656"/>
    <w:rsid w:val="00D93672"/>
    <w:rsid w:val="00D93810"/>
    <w:rsid w:val="00D93AAF"/>
    <w:rsid w:val="00D93ADE"/>
    <w:rsid w:val="00D93CA0"/>
    <w:rsid w:val="00D93F04"/>
    <w:rsid w:val="00D94112"/>
    <w:rsid w:val="00D942EF"/>
    <w:rsid w:val="00D94506"/>
    <w:rsid w:val="00D94A04"/>
    <w:rsid w:val="00D94E08"/>
    <w:rsid w:val="00D95A0C"/>
    <w:rsid w:val="00D95AAD"/>
    <w:rsid w:val="00D95B03"/>
    <w:rsid w:val="00D95B6D"/>
    <w:rsid w:val="00D9667A"/>
    <w:rsid w:val="00D967FD"/>
    <w:rsid w:val="00D968B4"/>
    <w:rsid w:val="00D9699B"/>
    <w:rsid w:val="00D96A65"/>
    <w:rsid w:val="00D96A6B"/>
    <w:rsid w:val="00D96C27"/>
    <w:rsid w:val="00D96C31"/>
    <w:rsid w:val="00D96C53"/>
    <w:rsid w:val="00D96CA0"/>
    <w:rsid w:val="00D96E05"/>
    <w:rsid w:val="00D9730C"/>
    <w:rsid w:val="00D97490"/>
    <w:rsid w:val="00D97498"/>
    <w:rsid w:val="00D97520"/>
    <w:rsid w:val="00D9759E"/>
    <w:rsid w:val="00D978FA"/>
    <w:rsid w:val="00D97B77"/>
    <w:rsid w:val="00D97D04"/>
    <w:rsid w:val="00D97D6E"/>
    <w:rsid w:val="00D97DD2"/>
    <w:rsid w:val="00DA0148"/>
    <w:rsid w:val="00DA0302"/>
    <w:rsid w:val="00DA035B"/>
    <w:rsid w:val="00DA0707"/>
    <w:rsid w:val="00DA07E0"/>
    <w:rsid w:val="00DA0A60"/>
    <w:rsid w:val="00DA0FCD"/>
    <w:rsid w:val="00DA0FFC"/>
    <w:rsid w:val="00DA10B1"/>
    <w:rsid w:val="00DA11EA"/>
    <w:rsid w:val="00DA12EA"/>
    <w:rsid w:val="00DA16A7"/>
    <w:rsid w:val="00DA1758"/>
    <w:rsid w:val="00DA1864"/>
    <w:rsid w:val="00DA194A"/>
    <w:rsid w:val="00DA19F4"/>
    <w:rsid w:val="00DA1CD8"/>
    <w:rsid w:val="00DA1D83"/>
    <w:rsid w:val="00DA2058"/>
    <w:rsid w:val="00DA23FB"/>
    <w:rsid w:val="00DA267D"/>
    <w:rsid w:val="00DA277F"/>
    <w:rsid w:val="00DA283B"/>
    <w:rsid w:val="00DA2928"/>
    <w:rsid w:val="00DA29FE"/>
    <w:rsid w:val="00DA2B35"/>
    <w:rsid w:val="00DA2BCE"/>
    <w:rsid w:val="00DA2CB8"/>
    <w:rsid w:val="00DA2DCE"/>
    <w:rsid w:val="00DA31E8"/>
    <w:rsid w:val="00DA32B6"/>
    <w:rsid w:val="00DA35B2"/>
    <w:rsid w:val="00DA3645"/>
    <w:rsid w:val="00DA37C2"/>
    <w:rsid w:val="00DA3B75"/>
    <w:rsid w:val="00DA3D1E"/>
    <w:rsid w:val="00DA3E4D"/>
    <w:rsid w:val="00DA40C1"/>
    <w:rsid w:val="00DA40E7"/>
    <w:rsid w:val="00DA41BC"/>
    <w:rsid w:val="00DA42A8"/>
    <w:rsid w:val="00DA4309"/>
    <w:rsid w:val="00DA43EA"/>
    <w:rsid w:val="00DA43F5"/>
    <w:rsid w:val="00DA4561"/>
    <w:rsid w:val="00DA45E8"/>
    <w:rsid w:val="00DA4783"/>
    <w:rsid w:val="00DA4B3F"/>
    <w:rsid w:val="00DA4C46"/>
    <w:rsid w:val="00DA4D30"/>
    <w:rsid w:val="00DA4EB6"/>
    <w:rsid w:val="00DA5158"/>
    <w:rsid w:val="00DA535F"/>
    <w:rsid w:val="00DA550C"/>
    <w:rsid w:val="00DA5544"/>
    <w:rsid w:val="00DA5676"/>
    <w:rsid w:val="00DA5799"/>
    <w:rsid w:val="00DA5801"/>
    <w:rsid w:val="00DA5A46"/>
    <w:rsid w:val="00DA5AEB"/>
    <w:rsid w:val="00DA5B16"/>
    <w:rsid w:val="00DA5C55"/>
    <w:rsid w:val="00DA5D84"/>
    <w:rsid w:val="00DA5D95"/>
    <w:rsid w:val="00DA5FF3"/>
    <w:rsid w:val="00DA623F"/>
    <w:rsid w:val="00DA64C3"/>
    <w:rsid w:val="00DA64CB"/>
    <w:rsid w:val="00DA66C6"/>
    <w:rsid w:val="00DA6973"/>
    <w:rsid w:val="00DA6A3F"/>
    <w:rsid w:val="00DA6C2A"/>
    <w:rsid w:val="00DA6E10"/>
    <w:rsid w:val="00DA6E18"/>
    <w:rsid w:val="00DA6E89"/>
    <w:rsid w:val="00DA6FC7"/>
    <w:rsid w:val="00DA738F"/>
    <w:rsid w:val="00DA7777"/>
    <w:rsid w:val="00DA7780"/>
    <w:rsid w:val="00DA77C5"/>
    <w:rsid w:val="00DA7871"/>
    <w:rsid w:val="00DA78A1"/>
    <w:rsid w:val="00DA7B6A"/>
    <w:rsid w:val="00DA7C55"/>
    <w:rsid w:val="00DA7EF2"/>
    <w:rsid w:val="00DB00A0"/>
    <w:rsid w:val="00DB010F"/>
    <w:rsid w:val="00DB01CD"/>
    <w:rsid w:val="00DB02D5"/>
    <w:rsid w:val="00DB0464"/>
    <w:rsid w:val="00DB058A"/>
    <w:rsid w:val="00DB066C"/>
    <w:rsid w:val="00DB073E"/>
    <w:rsid w:val="00DB0931"/>
    <w:rsid w:val="00DB0A14"/>
    <w:rsid w:val="00DB0A81"/>
    <w:rsid w:val="00DB0AE2"/>
    <w:rsid w:val="00DB0D7B"/>
    <w:rsid w:val="00DB0F21"/>
    <w:rsid w:val="00DB0FE2"/>
    <w:rsid w:val="00DB1136"/>
    <w:rsid w:val="00DB1343"/>
    <w:rsid w:val="00DB136E"/>
    <w:rsid w:val="00DB1590"/>
    <w:rsid w:val="00DB1693"/>
    <w:rsid w:val="00DB175C"/>
    <w:rsid w:val="00DB17AF"/>
    <w:rsid w:val="00DB17D0"/>
    <w:rsid w:val="00DB18BE"/>
    <w:rsid w:val="00DB194F"/>
    <w:rsid w:val="00DB195B"/>
    <w:rsid w:val="00DB1B15"/>
    <w:rsid w:val="00DB1DB3"/>
    <w:rsid w:val="00DB20AB"/>
    <w:rsid w:val="00DB210E"/>
    <w:rsid w:val="00DB2120"/>
    <w:rsid w:val="00DB24E2"/>
    <w:rsid w:val="00DB2B84"/>
    <w:rsid w:val="00DB2C2B"/>
    <w:rsid w:val="00DB2E72"/>
    <w:rsid w:val="00DB31E7"/>
    <w:rsid w:val="00DB3514"/>
    <w:rsid w:val="00DB3519"/>
    <w:rsid w:val="00DB35C4"/>
    <w:rsid w:val="00DB35FD"/>
    <w:rsid w:val="00DB369C"/>
    <w:rsid w:val="00DB384B"/>
    <w:rsid w:val="00DB389F"/>
    <w:rsid w:val="00DB3EF1"/>
    <w:rsid w:val="00DB3F0F"/>
    <w:rsid w:val="00DB4202"/>
    <w:rsid w:val="00DB4419"/>
    <w:rsid w:val="00DB4507"/>
    <w:rsid w:val="00DB4656"/>
    <w:rsid w:val="00DB4717"/>
    <w:rsid w:val="00DB4897"/>
    <w:rsid w:val="00DB4A90"/>
    <w:rsid w:val="00DB4AB6"/>
    <w:rsid w:val="00DB4BE4"/>
    <w:rsid w:val="00DB4E02"/>
    <w:rsid w:val="00DB4FF3"/>
    <w:rsid w:val="00DB501F"/>
    <w:rsid w:val="00DB51C6"/>
    <w:rsid w:val="00DB56E2"/>
    <w:rsid w:val="00DB5833"/>
    <w:rsid w:val="00DB5A3B"/>
    <w:rsid w:val="00DB5A84"/>
    <w:rsid w:val="00DB5B7D"/>
    <w:rsid w:val="00DB5B97"/>
    <w:rsid w:val="00DB5DEA"/>
    <w:rsid w:val="00DB64FD"/>
    <w:rsid w:val="00DB66D0"/>
    <w:rsid w:val="00DB6789"/>
    <w:rsid w:val="00DB6826"/>
    <w:rsid w:val="00DB6890"/>
    <w:rsid w:val="00DB69C4"/>
    <w:rsid w:val="00DB6A36"/>
    <w:rsid w:val="00DB6AFD"/>
    <w:rsid w:val="00DB6D27"/>
    <w:rsid w:val="00DB6E57"/>
    <w:rsid w:val="00DB7139"/>
    <w:rsid w:val="00DB73BC"/>
    <w:rsid w:val="00DB74D1"/>
    <w:rsid w:val="00DB7733"/>
    <w:rsid w:val="00DB77F6"/>
    <w:rsid w:val="00DB7BB9"/>
    <w:rsid w:val="00DB7E18"/>
    <w:rsid w:val="00DB7E54"/>
    <w:rsid w:val="00DB7E76"/>
    <w:rsid w:val="00DB7EBC"/>
    <w:rsid w:val="00DC00E9"/>
    <w:rsid w:val="00DC02EE"/>
    <w:rsid w:val="00DC0423"/>
    <w:rsid w:val="00DC0554"/>
    <w:rsid w:val="00DC060C"/>
    <w:rsid w:val="00DC0787"/>
    <w:rsid w:val="00DC081A"/>
    <w:rsid w:val="00DC08D8"/>
    <w:rsid w:val="00DC0AF9"/>
    <w:rsid w:val="00DC0B60"/>
    <w:rsid w:val="00DC0E6B"/>
    <w:rsid w:val="00DC0E6F"/>
    <w:rsid w:val="00DC0F97"/>
    <w:rsid w:val="00DC10AF"/>
    <w:rsid w:val="00DC11D2"/>
    <w:rsid w:val="00DC1206"/>
    <w:rsid w:val="00DC1486"/>
    <w:rsid w:val="00DC15DC"/>
    <w:rsid w:val="00DC16CE"/>
    <w:rsid w:val="00DC1888"/>
    <w:rsid w:val="00DC194B"/>
    <w:rsid w:val="00DC1F4B"/>
    <w:rsid w:val="00DC20C2"/>
    <w:rsid w:val="00DC22DC"/>
    <w:rsid w:val="00DC2405"/>
    <w:rsid w:val="00DC2583"/>
    <w:rsid w:val="00DC272B"/>
    <w:rsid w:val="00DC29E8"/>
    <w:rsid w:val="00DC2C24"/>
    <w:rsid w:val="00DC2C41"/>
    <w:rsid w:val="00DC2E10"/>
    <w:rsid w:val="00DC2F21"/>
    <w:rsid w:val="00DC3194"/>
    <w:rsid w:val="00DC3225"/>
    <w:rsid w:val="00DC345C"/>
    <w:rsid w:val="00DC36B8"/>
    <w:rsid w:val="00DC3704"/>
    <w:rsid w:val="00DC3927"/>
    <w:rsid w:val="00DC3AF0"/>
    <w:rsid w:val="00DC3E8B"/>
    <w:rsid w:val="00DC3F34"/>
    <w:rsid w:val="00DC3FA2"/>
    <w:rsid w:val="00DC4007"/>
    <w:rsid w:val="00DC43C6"/>
    <w:rsid w:val="00DC4591"/>
    <w:rsid w:val="00DC45DF"/>
    <w:rsid w:val="00DC4664"/>
    <w:rsid w:val="00DC4669"/>
    <w:rsid w:val="00DC46A4"/>
    <w:rsid w:val="00DC482A"/>
    <w:rsid w:val="00DC4A9B"/>
    <w:rsid w:val="00DC4D59"/>
    <w:rsid w:val="00DC507B"/>
    <w:rsid w:val="00DC52BA"/>
    <w:rsid w:val="00DC5456"/>
    <w:rsid w:val="00DC56BF"/>
    <w:rsid w:val="00DC58F0"/>
    <w:rsid w:val="00DC5992"/>
    <w:rsid w:val="00DC5B18"/>
    <w:rsid w:val="00DC5FE2"/>
    <w:rsid w:val="00DC6031"/>
    <w:rsid w:val="00DC6113"/>
    <w:rsid w:val="00DC6129"/>
    <w:rsid w:val="00DC6625"/>
    <w:rsid w:val="00DC6CE5"/>
    <w:rsid w:val="00DC6DDD"/>
    <w:rsid w:val="00DC6FFD"/>
    <w:rsid w:val="00DC70B2"/>
    <w:rsid w:val="00DC72F6"/>
    <w:rsid w:val="00DC7398"/>
    <w:rsid w:val="00DC73B5"/>
    <w:rsid w:val="00DC7684"/>
    <w:rsid w:val="00DC7711"/>
    <w:rsid w:val="00DC7942"/>
    <w:rsid w:val="00DC7A85"/>
    <w:rsid w:val="00DC7C96"/>
    <w:rsid w:val="00DC7CFA"/>
    <w:rsid w:val="00DC7F34"/>
    <w:rsid w:val="00DD007C"/>
    <w:rsid w:val="00DD0091"/>
    <w:rsid w:val="00DD019A"/>
    <w:rsid w:val="00DD01A4"/>
    <w:rsid w:val="00DD01A9"/>
    <w:rsid w:val="00DD0502"/>
    <w:rsid w:val="00DD0B88"/>
    <w:rsid w:val="00DD0C4B"/>
    <w:rsid w:val="00DD11B6"/>
    <w:rsid w:val="00DD11F4"/>
    <w:rsid w:val="00DD1205"/>
    <w:rsid w:val="00DD12E0"/>
    <w:rsid w:val="00DD13A4"/>
    <w:rsid w:val="00DD1496"/>
    <w:rsid w:val="00DD1567"/>
    <w:rsid w:val="00DD17C8"/>
    <w:rsid w:val="00DD18ED"/>
    <w:rsid w:val="00DD191E"/>
    <w:rsid w:val="00DD1A02"/>
    <w:rsid w:val="00DD201D"/>
    <w:rsid w:val="00DD2304"/>
    <w:rsid w:val="00DD2477"/>
    <w:rsid w:val="00DD24F9"/>
    <w:rsid w:val="00DD25A3"/>
    <w:rsid w:val="00DD269B"/>
    <w:rsid w:val="00DD26AE"/>
    <w:rsid w:val="00DD272C"/>
    <w:rsid w:val="00DD2780"/>
    <w:rsid w:val="00DD2837"/>
    <w:rsid w:val="00DD287E"/>
    <w:rsid w:val="00DD28CB"/>
    <w:rsid w:val="00DD300B"/>
    <w:rsid w:val="00DD30B5"/>
    <w:rsid w:val="00DD3154"/>
    <w:rsid w:val="00DD31E4"/>
    <w:rsid w:val="00DD3233"/>
    <w:rsid w:val="00DD339C"/>
    <w:rsid w:val="00DD3413"/>
    <w:rsid w:val="00DD3989"/>
    <w:rsid w:val="00DD3C29"/>
    <w:rsid w:val="00DD3CF0"/>
    <w:rsid w:val="00DD3EA0"/>
    <w:rsid w:val="00DD3EAE"/>
    <w:rsid w:val="00DD3F3A"/>
    <w:rsid w:val="00DD400C"/>
    <w:rsid w:val="00DD40A6"/>
    <w:rsid w:val="00DD424D"/>
    <w:rsid w:val="00DD439C"/>
    <w:rsid w:val="00DD43A7"/>
    <w:rsid w:val="00DD44B8"/>
    <w:rsid w:val="00DD4595"/>
    <w:rsid w:val="00DD4626"/>
    <w:rsid w:val="00DD491C"/>
    <w:rsid w:val="00DD496D"/>
    <w:rsid w:val="00DD4E51"/>
    <w:rsid w:val="00DD4F10"/>
    <w:rsid w:val="00DD5114"/>
    <w:rsid w:val="00DD52B3"/>
    <w:rsid w:val="00DD54E4"/>
    <w:rsid w:val="00DD5526"/>
    <w:rsid w:val="00DD5688"/>
    <w:rsid w:val="00DD5779"/>
    <w:rsid w:val="00DD5791"/>
    <w:rsid w:val="00DD5852"/>
    <w:rsid w:val="00DD5C28"/>
    <w:rsid w:val="00DD5D74"/>
    <w:rsid w:val="00DD5E2F"/>
    <w:rsid w:val="00DD5E9D"/>
    <w:rsid w:val="00DD5F9D"/>
    <w:rsid w:val="00DD6003"/>
    <w:rsid w:val="00DD60C0"/>
    <w:rsid w:val="00DD6135"/>
    <w:rsid w:val="00DD6261"/>
    <w:rsid w:val="00DD6373"/>
    <w:rsid w:val="00DD67E6"/>
    <w:rsid w:val="00DD6844"/>
    <w:rsid w:val="00DD698B"/>
    <w:rsid w:val="00DD6D24"/>
    <w:rsid w:val="00DD6E96"/>
    <w:rsid w:val="00DD6EFF"/>
    <w:rsid w:val="00DD6FB9"/>
    <w:rsid w:val="00DD71BA"/>
    <w:rsid w:val="00DD72E7"/>
    <w:rsid w:val="00DD7531"/>
    <w:rsid w:val="00DD7548"/>
    <w:rsid w:val="00DD760E"/>
    <w:rsid w:val="00DD78F9"/>
    <w:rsid w:val="00DD7AA5"/>
    <w:rsid w:val="00DD7B15"/>
    <w:rsid w:val="00DD7BE2"/>
    <w:rsid w:val="00DD7D8B"/>
    <w:rsid w:val="00DE0309"/>
    <w:rsid w:val="00DE0467"/>
    <w:rsid w:val="00DE04E0"/>
    <w:rsid w:val="00DE05BD"/>
    <w:rsid w:val="00DE0611"/>
    <w:rsid w:val="00DE0625"/>
    <w:rsid w:val="00DE0983"/>
    <w:rsid w:val="00DE0989"/>
    <w:rsid w:val="00DE0A26"/>
    <w:rsid w:val="00DE0BC8"/>
    <w:rsid w:val="00DE0C88"/>
    <w:rsid w:val="00DE0CF9"/>
    <w:rsid w:val="00DE0FA7"/>
    <w:rsid w:val="00DE0FCB"/>
    <w:rsid w:val="00DE1075"/>
    <w:rsid w:val="00DE10E4"/>
    <w:rsid w:val="00DE10FA"/>
    <w:rsid w:val="00DE1283"/>
    <w:rsid w:val="00DE1507"/>
    <w:rsid w:val="00DE15E2"/>
    <w:rsid w:val="00DE16EF"/>
    <w:rsid w:val="00DE1A0A"/>
    <w:rsid w:val="00DE1C05"/>
    <w:rsid w:val="00DE1C3D"/>
    <w:rsid w:val="00DE1CFA"/>
    <w:rsid w:val="00DE1D56"/>
    <w:rsid w:val="00DE2061"/>
    <w:rsid w:val="00DE20F5"/>
    <w:rsid w:val="00DE226B"/>
    <w:rsid w:val="00DE246A"/>
    <w:rsid w:val="00DE259F"/>
    <w:rsid w:val="00DE2670"/>
    <w:rsid w:val="00DE2778"/>
    <w:rsid w:val="00DE2E93"/>
    <w:rsid w:val="00DE2F33"/>
    <w:rsid w:val="00DE2F98"/>
    <w:rsid w:val="00DE3162"/>
    <w:rsid w:val="00DE3167"/>
    <w:rsid w:val="00DE3233"/>
    <w:rsid w:val="00DE3625"/>
    <w:rsid w:val="00DE365B"/>
    <w:rsid w:val="00DE372E"/>
    <w:rsid w:val="00DE37EE"/>
    <w:rsid w:val="00DE382D"/>
    <w:rsid w:val="00DE38A5"/>
    <w:rsid w:val="00DE3906"/>
    <w:rsid w:val="00DE3A07"/>
    <w:rsid w:val="00DE3AAD"/>
    <w:rsid w:val="00DE3E59"/>
    <w:rsid w:val="00DE3FE8"/>
    <w:rsid w:val="00DE40F4"/>
    <w:rsid w:val="00DE4374"/>
    <w:rsid w:val="00DE45A9"/>
    <w:rsid w:val="00DE48BD"/>
    <w:rsid w:val="00DE494B"/>
    <w:rsid w:val="00DE4992"/>
    <w:rsid w:val="00DE4A04"/>
    <w:rsid w:val="00DE4A09"/>
    <w:rsid w:val="00DE4D24"/>
    <w:rsid w:val="00DE4D6E"/>
    <w:rsid w:val="00DE52AA"/>
    <w:rsid w:val="00DE549B"/>
    <w:rsid w:val="00DE5714"/>
    <w:rsid w:val="00DE57C6"/>
    <w:rsid w:val="00DE580F"/>
    <w:rsid w:val="00DE5902"/>
    <w:rsid w:val="00DE59DB"/>
    <w:rsid w:val="00DE5CBF"/>
    <w:rsid w:val="00DE5FC6"/>
    <w:rsid w:val="00DE610E"/>
    <w:rsid w:val="00DE61DD"/>
    <w:rsid w:val="00DE63BE"/>
    <w:rsid w:val="00DE6466"/>
    <w:rsid w:val="00DE6479"/>
    <w:rsid w:val="00DE67A1"/>
    <w:rsid w:val="00DE69E7"/>
    <w:rsid w:val="00DE6C62"/>
    <w:rsid w:val="00DE6ED6"/>
    <w:rsid w:val="00DE6F1F"/>
    <w:rsid w:val="00DE7254"/>
    <w:rsid w:val="00DE75C6"/>
    <w:rsid w:val="00DE78B2"/>
    <w:rsid w:val="00DE7914"/>
    <w:rsid w:val="00DE7A37"/>
    <w:rsid w:val="00DE7A45"/>
    <w:rsid w:val="00DE7BA1"/>
    <w:rsid w:val="00DE7DB3"/>
    <w:rsid w:val="00DF0041"/>
    <w:rsid w:val="00DF0345"/>
    <w:rsid w:val="00DF03D6"/>
    <w:rsid w:val="00DF04AC"/>
    <w:rsid w:val="00DF05A0"/>
    <w:rsid w:val="00DF05D9"/>
    <w:rsid w:val="00DF0655"/>
    <w:rsid w:val="00DF07DB"/>
    <w:rsid w:val="00DF09F8"/>
    <w:rsid w:val="00DF0B6C"/>
    <w:rsid w:val="00DF0D40"/>
    <w:rsid w:val="00DF0D43"/>
    <w:rsid w:val="00DF0D44"/>
    <w:rsid w:val="00DF0E27"/>
    <w:rsid w:val="00DF0F30"/>
    <w:rsid w:val="00DF0F4E"/>
    <w:rsid w:val="00DF0F95"/>
    <w:rsid w:val="00DF1063"/>
    <w:rsid w:val="00DF1270"/>
    <w:rsid w:val="00DF14CB"/>
    <w:rsid w:val="00DF14EC"/>
    <w:rsid w:val="00DF157E"/>
    <w:rsid w:val="00DF166A"/>
    <w:rsid w:val="00DF1904"/>
    <w:rsid w:val="00DF1BD8"/>
    <w:rsid w:val="00DF1C9E"/>
    <w:rsid w:val="00DF1DD5"/>
    <w:rsid w:val="00DF1F5F"/>
    <w:rsid w:val="00DF20B4"/>
    <w:rsid w:val="00DF2143"/>
    <w:rsid w:val="00DF226C"/>
    <w:rsid w:val="00DF22D7"/>
    <w:rsid w:val="00DF27CF"/>
    <w:rsid w:val="00DF2858"/>
    <w:rsid w:val="00DF288F"/>
    <w:rsid w:val="00DF2B35"/>
    <w:rsid w:val="00DF2BFC"/>
    <w:rsid w:val="00DF2C7B"/>
    <w:rsid w:val="00DF2D94"/>
    <w:rsid w:val="00DF2E44"/>
    <w:rsid w:val="00DF2FD1"/>
    <w:rsid w:val="00DF2FFB"/>
    <w:rsid w:val="00DF3083"/>
    <w:rsid w:val="00DF308F"/>
    <w:rsid w:val="00DF318F"/>
    <w:rsid w:val="00DF31B6"/>
    <w:rsid w:val="00DF3353"/>
    <w:rsid w:val="00DF34F0"/>
    <w:rsid w:val="00DF3762"/>
    <w:rsid w:val="00DF3B02"/>
    <w:rsid w:val="00DF3BC4"/>
    <w:rsid w:val="00DF3BDC"/>
    <w:rsid w:val="00DF4091"/>
    <w:rsid w:val="00DF4246"/>
    <w:rsid w:val="00DF4336"/>
    <w:rsid w:val="00DF4433"/>
    <w:rsid w:val="00DF45A5"/>
    <w:rsid w:val="00DF4693"/>
    <w:rsid w:val="00DF48F4"/>
    <w:rsid w:val="00DF4964"/>
    <w:rsid w:val="00DF4C0F"/>
    <w:rsid w:val="00DF4E0D"/>
    <w:rsid w:val="00DF52F5"/>
    <w:rsid w:val="00DF548A"/>
    <w:rsid w:val="00DF555C"/>
    <w:rsid w:val="00DF557B"/>
    <w:rsid w:val="00DF5730"/>
    <w:rsid w:val="00DF59DD"/>
    <w:rsid w:val="00DF59F9"/>
    <w:rsid w:val="00DF5AEE"/>
    <w:rsid w:val="00DF5D03"/>
    <w:rsid w:val="00DF5E40"/>
    <w:rsid w:val="00DF61B7"/>
    <w:rsid w:val="00DF626E"/>
    <w:rsid w:val="00DF639C"/>
    <w:rsid w:val="00DF6511"/>
    <w:rsid w:val="00DF666B"/>
    <w:rsid w:val="00DF6695"/>
    <w:rsid w:val="00DF6702"/>
    <w:rsid w:val="00DF6815"/>
    <w:rsid w:val="00DF6833"/>
    <w:rsid w:val="00DF6839"/>
    <w:rsid w:val="00DF6915"/>
    <w:rsid w:val="00DF6B34"/>
    <w:rsid w:val="00DF6CDA"/>
    <w:rsid w:val="00DF6CF6"/>
    <w:rsid w:val="00DF6F9C"/>
    <w:rsid w:val="00DF7069"/>
    <w:rsid w:val="00DF70B7"/>
    <w:rsid w:val="00DF714E"/>
    <w:rsid w:val="00DF73B1"/>
    <w:rsid w:val="00DF7518"/>
    <w:rsid w:val="00DF756E"/>
    <w:rsid w:val="00DF77CD"/>
    <w:rsid w:val="00DF781A"/>
    <w:rsid w:val="00DF7A01"/>
    <w:rsid w:val="00DF7A37"/>
    <w:rsid w:val="00DF7B85"/>
    <w:rsid w:val="00DF7BA3"/>
    <w:rsid w:val="00DF7EBB"/>
    <w:rsid w:val="00DF7F4A"/>
    <w:rsid w:val="00E0024B"/>
    <w:rsid w:val="00E00255"/>
    <w:rsid w:val="00E0027F"/>
    <w:rsid w:val="00E002DF"/>
    <w:rsid w:val="00E00303"/>
    <w:rsid w:val="00E0070F"/>
    <w:rsid w:val="00E0092B"/>
    <w:rsid w:val="00E00A3D"/>
    <w:rsid w:val="00E00AAD"/>
    <w:rsid w:val="00E0118F"/>
    <w:rsid w:val="00E011D4"/>
    <w:rsid w:val="00E0148F"/>
    <w:rsid w:val="00E0159E"/>
    <w:rsid w:val="00E01A9F"/>
    <w:rsid w:val="00E01C79"/>
    <w:rsid w:val="00E01CA3"/>
    <w:rsid w:val="00E01D56"/>
    <w:rsid w:val="00E01DEE"/>
    <w:rsid w:val="00E01EC2"/>
    <w:rsid w:val="00E01F83"/>
    <w:rsid w:val="00E01FF9"/>
    <w:rsid w:val="00E02096"/>
    <w:rsid w:val="00E02185"/>
    <w:rsid w:val="00E02192"/>
    <w:rsid w:val="00E026A1"/>
    <w:rsid w:val="00E02BBC"/>
    <w:rsid w:val="00E02C24"/>
    <w:rsid w:val="00E02C78"/>
    <w:rsid w:val="00E02E52"/>
    <w:rsid w:val="00E02EBB"/>
    <w:rsid w:val="00E02F26"/>
    <w:rsid w:val="00E031D7"/>
    <w:rsid w:val="00E0337F"/>
    <w:rsid w:val="00E03406"/>
    <w:rsid w:val="00E03546"/>
    <w:rsid w:val="00E037C9"/>
    <w:rsid w:val="00E03896"/>
    <w:rsid w:val="00E03907"/>
    <w:rsid w:val="00E03A2D"/>
    <w:rsid w:val="00E03A5A"/>
    <w:rsid w:val="00E03B4A"/>
    <w:rsid w:val="00E04320"/>
    <w:rsid w:val="00E04321"/>
    <w:rsid w:val="00E043DB"/>
    <w:rsid w:val="00E04526"/>
    <w:rsid w:val="00E04570"/>
    <w:rsid w:val="00E04572"/>
    <w:rsid w:val="00E0465F"/>
    <w:rsid w:val="00E047AF"/>
    <w:rsid w:val="00E0487F"/>
    <w:rsid w:val="00E04AEF"/>
    <w:rsid w:val="00E0509D"/>
    <w:rsid w:val="00E05133"/>
    <w:rsid w:val="00E051A1"/>
    <w:rsid w:val="00E052CF"/>
    <w:rsid w:val="00E055DE"/>
    <w:rsid w:val="00E056AF"/>
    <w:rsid w:val="00E057BF"/>
    <w:rsid w:val="00E05AA9"/>
    <w:rsid w:val="00E05E1D"/>
    <w:rsid w:val="00E05ED0"/>
    <w:rsid w:val="00E0623B"/>
    <w:rsid w:val="00E062EB"/>
    <w:rsid w:val="00E063BE"/>
    <w:rsid w:val="00E06425"/>
    <w:rsid w:val="00E06529"/>
    <w:rsid w:val="00E06894"/>
    <w:rsid w:val="00E068A3"/>
    <w:rsid w:val="00E06911"/>
    <w:rsid w:val="00E06973"/>
    <w:rsid w:val="00E06A9C"/>
    <w:rsid w:val="00E06C84"/>
    <w:rsid w:val="00E06CB1"/>
    <w:rsid w:val="00E06DF1"/>
    <w:rsid w:val="00E06EE7"/>
    <w:rsid w:val="00E06F10"/>
    <w:rsid w:val="00E06F69"/>
    <w:rsid w:val="00E07082"/>
    <w:rsid w:val="00E070CA"/>
    <w:rsid w:val="00E07155"/>
    <w:rsid w:val="00E07172"/>
    <w:rsid w:val="00E07373"/>
    <w:rsid w:val="00E0742E"/>
    <w:rsid w:val="00E07497"/>
    <w:rsid w:val="00E077AA"/>
    <w:rsid w:val="00E07895"/>
    <w:rsid w:val="00E07990"/>
    <w:rsid w:val="00E07C3D"/>
    <w:rsid w:val="00E07CBF"/>
    <w:rsid w:val="00E07D0E"/>
    <w:rsid w:val="00E100B7"/>
    <w:rsid w:val="00E10267"/>
    <w:rsid w:val="00E102B2"/>
    <w:rsid w:val="00E10301"/>
    <w:rsid w:val="00E10350"/>
    <w:rsid w:val="00E1047D"/>
    <w:rsid w:val="00E10682"/>
    <w:rsid w:val="00E1080C"/>
    <w:rsid w:val="00E10864"/>
    <w:rsid w:val="00E1090B"/>
    <w:rsid w:val="00E109DC"/>
    <w:rsid w:val="00E10EC8"/>
    <w:rsid w:val="00E10FDB"/>
    <w:rsid w:val="00E110E5"/>
    <w:rsid w:val="00E1110C"/>
    <w:rsid w:val="00E11235"/>
    <w:rsid w:val="00E11318"/>
    <w:rsid w:val="00E11388"/>
    <w:rsid w:val="00E11449"/>
    <w:rsid w:val="00E114DE"/>
    <w:rsid w:val="00E115E6"/>
    <w:rsid w:val="00E11945"/>
    <w:rsid w:val="00E11B5B"/>
    <w:rsid w:val="00E11E1B"/>
    <w:rsid w:val="00E1214E"/>
    <w:rsid w:val="00E1219B"/>
    <w:rsid w:val="00E122AC"/>
    <w:rsid w:val="00E12480"/>
    <w:rsid w:val="00E12507"/>
    <w:rsid w:val="00E12603"/>
    <w:rsid w:val="00E1269C"/>
    <w:rsid w:val="00E126B5"/>
    <w:rsid w:val="00E126B9"/>
    <w:rsid w:val="00E129AD"/>
    <w:rsid w:val="00E12CBC"/>
    <w:rsid w:val="00E12F31"/>
    <w:rsid w:val="00E12FEA"/>
    <w:rsid w:val="00E1320C"/>
    <w:rsid w:val="00E13293"/>
    <w:rsid w:val="00E1335D"/>
    <w:rsid w:val="00E13984"/>
    <w:rsid w:val="00E13AB5"/>
    <w:rsid w:val="00E13C5A"/>
    <w:rsid w:val="00E13CEE"/>
    <w:rsid w:val="00E13E87"/>
    <w:rsid w:val="00E13EBF"/>
    <w:rsid w:val="00E13F5F"/>
    <w:rsid w:val="00E140A2"/>
    <w:rsid w:val="00E14128"/>
    <w:rsid w:val="00E142A8"/>
    <w:rsid w:val="00E14457"/>
    <w:rsid w:val="00E14859"/>
    <w:rsid w:val="00E148EA"/>
    <w:rsid w:val="00E149C4"/>
    <w:rsid w:val="00E14B8D"/>
    <w:rsid w:val="00E1532C"/>
    <w:rsid w:val="00E153A4"/>
    <w:rsid w:val="00E15DCB"/>
    <w:rsid w:val="00E15F52"/>
    <w:rsid w:val="00E15FE1"/>
    <w:rsid w:val="00E16489"/>
    <w:rsid w:val="00E165CF"/>
    <w:rsid w:val="00E16B84"/>
    <w:rsid w:val="00E16D22"/>
    <w:rsid w:val="00E16EC7"/>
    <w:rsid w:val="00E1702D"/>
    <w:rsid w:val="00E1738C"/>
    <w:rsid w:val="00E17484"/>
    <w:rsid w:val="00E174EF"/>
    <w:rsid w:val="00E17570"/>
    <w:rsid w:val="00E17995"/>
    <w:rsid w:val="00E17A6C"/>
    <w:rsid w:val="00E17B63"/>
    <w:rsid w:val="00E17D9A"/>
    <w:rsid w:val="00E17E44"/>
    <w:rsid w:val="00E2001B"/>
    <w:rsid w:val="00E20108"/>
    <w:rsid w:val="00E20491"/>
    <w:rsid w:val="00E204FA"/>
    <w:rsid w:val="00E206B9"/>
    <w:rsid w:val="00E20717"/>
    <w:rsid w:val="00E20774"/>
    <w:rsid w:val="00E208C2"/>
    <w:rsid w:val="00E20921"/>
    <w:rsid w:val="00E20B8E"/>
    <w:rsid w:val="00E213AD"/>
    <w:rsid w:val="00E214D2"/>
    <w:rsid w:val="00E214E6"/>
    <w:rsid w:val="00E2153C"/>
    <w:rsid w:val="00E21552"/>
    <w:rsid w:val="00E215A5"/>
    <w:rsid w:val="00E216D8"/>
    <w:rsid w:val="00E217B8"/>
    <w:rsid w:val="00E21BEA"/>
    <w:rsid w:val="00E21D26"/>
    <w:rsid w:val="00E21E96"/>
    <w:rsid w:val="00E21EA8"/>
    <w:rsid w:val="00E21EC5"/>
    <w:rsid w:val="00E21F19"/>
    <w:rsid w:val="00E21FFD"/>
    <w:rsid w:val="00E2204B"/>
    <w:rsid w:val="00E22065"/>
    <w:rsid w:val="00E22068"/>
    <w:rsid w:val="00E220DD"/>
    <w:rsid w:val="00E224AD"/>
    <w:rsid w:val="00E22AA2"/>
    <w:rsid w:val="00E22B30"/>
    <w:rsid w:val="00E22B5B"/>
    <w:rsid w:val="00E22BB7"/>
    <w:rsid w:val="00E22CC8"/>
    <w:rsid w:val="00E22E51"/>
    <w:rsid w:val="00E22E54"/>
    <w:rsid w:val="00E22F97"/>
    <w:rsid w:val="00E23021"/>
    <w:rsid w:val="00E23132"/>
    <w:rsid w:val="00E2314D"/>
    <w:rsid w:val="00E232C4"/>
    <w:rsid w:val="00E23364"/>
    <w:rsid w:val="00E23416"/>
    <w:rsid w:val="00E2350B"/>
    <w:rsid w:val="00E235ED"/>
    <w:rsid w:val="00E23666"/>
    <w:rsid w:val="00E2377B"/>
    <w:rsid w:val="00E23AE4"/>
    <w:rsid w:val="00E23C2B"/>
    <w:rsid w:val="00E24075"/>
    <w:rsid w:val="00E2419A"/>
    <w:rsid w:val="00E241C2"/>
    <w:rsid w:val="00E242E0"/>
    <w:rsid w:val="00E2434D"/>
    <w:rsid w:val="00E243A1"/>
    <w:rsid w:val="00E24420"/>
    <w:rsid w:val="00E244B4"/>
    <w:rsid w:val="00E24719"/>
    <w:rsid w:val="00E24A6E"/>
    <w:rsid w:val="00E24B70"/>
    <w:rsid w:val="00E24BB6"/>
    <w:rsid w:val="00E24E32"/>
    <w:rsid w:val="00E25483"/>
    <w:rsid w:val="00E25545"/>
    <w:rsid w:val="00E255ED"/>
    <w:rsid w:val="00E25604"/>
    <w:rsid w:val="00E25806"/>
    <w:rsid w:val="00E2588D"/>
    <w:rsid w:val="00E25903"/>
    <w:rsid w:val="00E25ADC"/>
    <w:rsid w:val="00E25B62"/>
    <w:rsid w:val="00E25C10"/>
    <w:rsid w:val="00E25DD2"/>
    <w:rsid w:val="00E25E33"/>
    <w:rsid w:val="00E25F23"/>
    <w:rsid w:val="00E260C3"/>
    <w:rsid w:val="00E26175"/>
    <w:rsid w:val="00E2625B"/>
    <w:rsid w:val="00E262C9"/>
    <w:rsid w:val="00E2639A"/>
    <w:rsid w:val="00E26403"/>
    <w:rsid w:val="00E26597"/>
    <w:rsid w:val="00E268F5"/>
    <w:rsid w:val="00E26961"/>
    <w:rsid w:val="00E26AA0"/>
    <w:rsid w:val="00E26CA6"/>
    <w:rsid w:val="00E26CC7"/>
    <w:rsid w:val="00E26CCA"/>
    <w:rsid w:val="00E26D50"/>
    <w:rsid w:val="00E26E1C"/>
    <w:rsid w:val="00E27162"/>
    <w:rsid w:val="00E27200"/>
    <w:rsid w:val="00E2738C"/>
    <w:rsid w:val="00E27440"/>
    <w:rsid w:val="00E275CA"/>
    <w:rsid w:val="00E27611"/>
    <w:rsid w:val="00E27684"/>
    <w:rsid w:val="00E27750"/>
    <w:rsid w:val="00E27A94"/>
    <w:rsid w:val="00E27ACD"/>
    <w:rsid w:val="00E27AE0"/>
    <w:rsid w:val="00E27B43"/>
    <w:rsid w:val="00E27CC2"/>
    <w:rsid w:val="00E27D5A"/>
    <w:rsid w:val="00E27D8A"/>
    <w:rsid w:val="00E27FB4"/>
    <w:rsid w:val="00E30003"/>
    <w:rsid w:val="00E301DD"/>
    <w:rsid w:val="00E30431"/>
    <w:rsid w:val="00E30825"/>
    <w:rsid w:val="00E30B8C"/>
    <w:rsid w:val="00E30C80"/>
    <w:rsid w:val="00E30D4D"/>
    <w:rsid w:val="00E310D6"/>
    <w:rsid w:val="00E31522"/>
    <w:rsid w:val="00E317F3"/>
    <w:rsid w:val="00E318DC"/>
    <w:rsid w:val="00E31949"/>
    <w:rsid w:val="00E31E21"/>
    <w:rsid w:val="00E3205E"/>
    <w:rsid w:val="00E3213A"/>
    <w:rsid w:val="00E321B4"/>
    <w:rsid w:val="00E322E4"/>
    <w:rsid w:val="00E32462"/>
    <w:rsid w:val="00E32584"/>
    <w:rsid w:val="00E325DB"/>
    <w:rsid w:val="00E32762"/>
    <w:rsid w:val="00E327E7"/>
    <w:rsid w:val="00E32A59"/>
    <w:rsid w:val="00E32B67"/>
    <w:rsid w:val="00E32D36"/>
    <w:rsid w:val="00E32E1C"/>
    <w:rsid w:val="00E33094"/>
    <w:rsid w:val="00E332A8"/>
    <w:rsid w:val="00E33351"/>
    <w:rsid w:val="00E334C0"/>
    <w:rsid w:val="00E335FB"/>
    <w:rsid w:val="00E33684"/>
    <w:rsid w:val="00E338C2"/>
    <w:rsid w:val="00E3395C"/>
    <w:rsid w:val="00E33981"/>
    <w:rsid w:val="00E339C0"/>
    <w:rsid w:val="00E33A41"/>
    <w:rsid w:val="00E33B20"/>
    <w:rsid w:val="00E33F30"/>
    <w:rsid w:val="00E33FEE"/>
    <w:rsid w:val="00E34448"/>
    <w:rsid w:val="00E3464C"/>
    <w:rsid w:val="00E347A7"/>
    <w:rsid w:val="00E348F4"/>
    <w:rsid w:val="00E34C66"/>
    <w:rsid w:val="00E34F70"/>
    <w:rsid w:val="00E350A9"/>
    <w:rsid w:val="00E3510D"/>
    <w:rsid w:val="00E352EF"/>
    <w:rsid w:val="00E35415"/>
    <w:rsid w:val="00E35838"/>
    <w:rsid w:val="00E359E5"/>
    <w:rsid w:val="00E35B2E"/>
    <w:rsid w:val="00E35D93"/>
    <w:rsid w:val="00E35DC7"/>
    <w:rsid w:val="00E35EE5"/>
    <w:rsid w:val="00E36176"/>
    <w:rsid w:val="00E3623A"/>
    <w:rsid w:val="00E3638F"/>
    <w:rsid w:val="00E363FB"/>
    <w:rsid w:val="00E366D2"/>
    <w:rsid w:val="00E367F9"/>
    <w:rsid w:val="00E36997"/>
    <w:rsid w:val="00E36C3C"/>
    <w:rsid w:val="00E36C4A"/>
    <w:rsid w:val="00E36D08"/>
    <w:rsid w:val="00E36D1C"/>
    <w:rsid w:val="00E36F74"/>
    <w:rsid w:val="00E37204"/>
    <w:rsid w:val="00E37365"/>
    <w:rsid w:val="00E373CC"/>
    <w:rsid w:val="00E3746D"/>
    <w:rsid w:val="00E374A1"/>
    <w:rsid w:val="00E374E2"/>
    <w:rsid w:val="00E37ACA"/>
    <w:rsid w:val="00E37C14"/>
    <w:rsid w:val="00E37C1E"/>
    <w:rsid w:val="00E37DAC"/>
    <w:rsid w:val="00E37F3A"/>
    <w:rsid w:val="00E40112"/>
    <w:rsid w:val="00E40570"/>
    <w:rsid w:val="00E40823"/>
    <w:rsid w:val="00E4093C"/>
    <w:rsid w:val="00E40C83"/>
    <w:rsid w:val="00E40CA3"/>
    <w:rsid w:val="00E40EF2"/>
    <w:rsid w:val="00E40EF9"/>
    <w:rsid w:val="00E41003"/>
    <w:rsid w:val="00E41367"/>
    <w:rsid w:val="00E414E3"/>
    <w:rsid w:val="00E41552"/>
    <w:rsid w:val="00E41999"/>
    <w:rsid w:val="00E41A35"/>
    <w:rsid w:val="00E41AF6"/>
    <w:rsid w:val="00E41EE5"/>
    <w:rsid w:val="00E41F59"/>
    <w:rsid w:val="00E42042"/>
    <w:rsid w:val="00E420BC"/>
    <w:rsid w:val="00E42171"/>
    <w:rsid w:val="00E421F8"/>
    <w:rsid w:val="00E42278"/>
    <w:rsid w:val="00E423CA"/>
    <w:rsid w:val="00E4244F"/>
    <w:rsid w:val="00E427C9"/>
    <w:rsid w:val="00E42AEC"/>
    <w:rsid w:val="00E42B2A"/>
    <w:rsid w:val="00E42C1B"/>
    <w:rsid w:val="00E42ECF"/>
    <w:rsid w:val="00E4331A"/>
    <w:rsid w:val="00E4354D"/>
    <w:rsid w:val="00E43720"/>
    <w:rsid w:val="00E438C1"/>
    <w:rsid w:val="00E439DA"/>
    <w:rsid w:val="00E43AC3"/>
    <w:rsid w:val="00E43AD4"/>
    <w:rsid w:val="00E43BC2"/>
    <w:rsid w:val="00E43D6D"/>
    <w:rsid w:val="00E43DBE"/>
    <w:rsid w:val="00E44174"/>
    <w:rsid w:val="00E442ED"/>
    <w:rsid w:val="00E442FD"/>
    <w:rsid w:val="00E4444B"/>
    <w:rsid w:val="00E44582"/>
    <w:rsid w:val="00E4477C"/>
    <w:rsid w:val="00E44AE7"/>
    <w:rsid w:val="00E44D2A"/>
    <w:rsid w:val="00E44F11"/>
    <w:rsid w:val="00E453D8"/>
    <w:rsid w:val="00E45A32"/>
    <w:rsid w:val="00E45C86"/>
    <w:rsid w:val="00E45E4C"/>
    <w:rsid w:val="00E46132"/>
    <w:rsid w:val="00E461A0"/>
    <w:rsid w:val="00E46211"/>
    <w:rsid w:val="00E46310"/>
    <w:rsid w:val="00E46366"/>
    <w:rsid w:val="00E46371"/>
    <w:rsid w:val="00E4649F"/>
    <w:rsid w:val="00E464C2"/>
    <w:rsid w:val="00E465E1"/>
    <w:rsid w:val="00E46677"/>
    <w:rsid w:val="00E466F3"/>
    <w:rsid w:val="00E4685F"/>
    <w:rsid w:val="00E46A8D"/>
    <w:rsid w:val="00E46B17"/>
    <w:rsid w:val="00E46BEF"/>
    <w:rsid w:val="00E46CB4"/>
    <w:rsid w:val="00E46D02"/>
    <w:rsid w:val="00E46E18"/>
    <w:rsid w:val="00E46EA7"/>
    <w:rsid w:val="00E46EB2"/>
    <w:rsid w:val="00E4716B"/>
    <w:rsid w:val="00E47328"/>
    <w:rsid w:val="00E473B9"/>
    <w:rsid w:val="00E474CB"/>
    <w:rsid w:val="00E475D6"/>
    <w:rsid w:val="00E47641"/>
    <w:rsid w:val="00E47680"/>
    <w:rsid w:val="00E47746"/>
    <w:rsid w:val="00E4798B"/>
    <w:rsid w:val="00E47DD5"/>
    <w:rsid w:val="00E47E18"/>
    <w:rsid w:val="00E47EA6"/>
    <w:rsid w:val="00E47FC8"/>
    <w:rsid w:val="00E50042"/>
    <w:rsid w:val="00E50075"/>
    <w:rsid w:val="00E50123"/>
    <w:rsid w:val="00E50126"/>
    <w:rsid w:val="00E50338"/>
    <w:rsid w:val="00E504B9"/>
    <w:rsid w:val="00E50738"/>
    <w:rsid w:val="00E50753"/>
    <w:rsid w:val="00E507C3"/>
    <w:rsid w:val="00E508E8"/>
    <w:rsid w:val="00E508F0"/>
    <w:rsid w:val="00E50B0F"/>
    <w:rsid w:val="00E50C00"/>
    <w:rsid w:val="00E5129A"/>
    <w:rsid w:val="00E51395"/>
    <w:rsid w:val="00E513A4"/>
    <w:rsid w:val="00E51989"/>
    <w:rsid w:val="00E51AC8"/>
    <w:rsid w:val="00E51CC3"/>
    <w:rsid w:val="00E5218C"/>
    <w:rsid w:val="00E523C3"/>
    <w:rsid w:val="00E525F5"/>
    <w:rsid w:val="00E52C38"/>
    <w:rsid w:val="00E52D60"/>
    <w:rsid w:val="00E52E60"/>
    <w:rsid w:val="00E52F6C"/>
    <w:rsid w:val="00E52FA9"/>
    <w:rsid w:val="00E53092"/>
    <w:rsid w:val="00E53287"/>
    <w:rsid w:val="00E53299"/>
    <w:rsid w:val="00E5332A"/>
    <w:rsid w:val="00E53345"/>
    <w:rsid w:val="00E5350E"/>
    <w:rsid w:val="00E539D4"/>
    <w:rsid w:val="00E53BD0"/>
    <w:rsid w:val="00E53C6B"/>
    <w:rsid w:val="00E53CD3"/>
    <w:rsid w:val="00E53DF8"/>
    <w:rsid w:val="00E53E38"/>
    <w:rsid w:val="00E54036"/>
    <w:rsid w:val="00E54169"/>
    <w:rsid w:val="00E5438F"/>
    <w:rsid w:val="00E5448C"/>
    <w:rsid w:val="00E545FE"/>
    <w:rsid w:val="00E546A5"/>
    <w:rsid w:val="00E5471E"/>
    <w:rsid w:val="00E5486A"/>
    <w:rsid w:val="00E54BE4"/>
    <w:rsid w:val="00E54C18"/>
    <w:rsid w:val="00E54D9E"/>
    <w:rsid w:val="00E54E2E"/>
    <w:rsid w:val="00E54E76"/>
    <w:rsid w:val="00E55190"/>
    <w:rsid w:val="00E551B9"/>
    <w:rsid w:val="00E55329"/>
    <w:rsid w:val="00E5567D"/>
    <w:rsid w:val="00E55A87"/>
    <w:rsid w:val="00E55C72"/>
    <w:rsid w:val="00E55E24"/>
    <w:rsid w:val="00E5607A"/>
    <w:rsid w:val="00E5614E"/>
    <w:rsid w:val="00E562CC"/>
    <w:rsid w:val="00E566A8"/>
    <w:rsid w:val="00E56717"/>
    <w:rsid w:val="00E567EC"/>
    <w:rsid w:val="00E5690C"/>
    <w:rsid w:val="00E56B39"/>
    <w:rsid w:val="00E57508"/>
    <w:rsid w:val="00E57518"/>
    <w:rsid w:val="00E57A15"/>
    <w:rsid w:val="00E57A65"/>
    <w:rsid w:val="00E57A9A"/>
    <w:rsid w:val="00E57C7C"/>
    <w:rsid w:val="00E57DE0"/>
    <w:rsid w:val="00E57E11"/>
    <w:rsid w:val="00E6004F"/>
    <w:rsid w:val="00E6020A"/>
    <w:rsid w:val="00E60231"/>
    <w:rsid w:val="00E60264"/>
    <w:rsid w:val="00E602F9"/>
    <w:rsid w:val="00E60449"/>
    <w:rsid w:val="00E60542"/>
    <w:rsid w:val="00E605B5"/>
    <w:rsid w:val="00E60650"/>
    <w:rsid w:val="00E60832"/>
    <w:rsid w:val="00E60843"/>
    <w:rsid w:val="00E6095A"/>
    <w:rsid w:val="00E60F9B"/>
    <w:rsid w:val="00E612CD"/>
    <w:rsid w:val="00E613C8"/>
    <w:rsid w:val="00E61496"/>
    <w:rsid w:val="00E615CE"/>
    <w:rsid w:val="00E618BC"/>
    <w:rsid w:val="00E61C2C"/>
    <w:rsid w:val="00E61C83"/>
    <w:rsid w:val="00E61D3B"/>
    <w:rsid w:val="00E61E2F"/>
    <w:rsid w:val="00E624FB"/>
    <w:rsid w:val="00E6267F"/>
    <w:rsid w:val="00E6275F"/>
    <w:rsid w:val="00E62C06"/>
    <w:rsid w:val="00E62C6F"/>
    <w:rsid w:val="00E62D2A"/>
    <w:rsid w:val="00E63016"/>
    <w:rsid w:val="00E631BE"/>
    <w:rsid w:val="00E6356C"/>
    <w:rsid w:val="00E635D6"/>
    <w:rsid w:val="00E63879"/>
    <w:rsid w:val="00E6396B"/>
    <w:rsid w:val="00E63C4C"/>
    <w:rsid w:val="00E63D06"/>
    <w:rsid w:val="00E63D40"/>
    <w:rsid w:val="00E63D76"/>
    <w:rsid w:val="00E6449F"/>
    <w:rsid w:val="00E646DE"/>
    <w:rsid w:val="00E6499B"/>
    <w:rsid w:val="00E64BB7"/>
    <w:rsid w:val="00E64D3A"/>
    <w:rsid w:val="00E64E7D"/>
    <w:rsid w:val="00E64ED3"/>
    <w:rsid w:val="00E65150"/>
    <w:rsid w:val="00E656A1"/>
    <w:rsid w:val="00E6574A"/>
    <w:rsid w:val="00E65AE7"/>
    <w:rsid w:val="00E65AF8"/>
    <w:rsid w:val="00E65DF5"/>
    <w:rsid w:val="00E661F2"/>
    <w:rsid w:val="00E662E8"/>
    <w:rsid w:val="00E66328"/>
    <w:rsid w:val="00E667C6"/>
    <w:rsid w:val="00E6690D"/>
    <w:rsid w:val="00E66973"/>
    <w:rsid w:val="00E66BDC"/>
    <w:rsid w:val="00E66C7B"/>
    <w:rsid w:val="00E66CB5"/>
    <w:rsid w:val="00E66CF5"/>
    <w:rsid w:val="00E66DC1"/>
    <w:rsid w:val="00E66ED1"/>
    <w:rsid w:val="00E66EF2"/>
    <w:rsid w:val="00E67042"/>
    <w:rsid w:val="00E67135"/>
    <w:rsid w:val="00E6732D"/>
    <w:rsid w:val="00E67332"/>
    <w:rsid w:val="00E675B5"/>
    <w:rsid w:val="00E67748"/>
    <w:rsid w:val="00E67793"/>
    <w:rsid w:val="00E677CB"/>
    <w:rsid w:val="00E67976"/>
    <w:rsid w:val="00E67A93"/>
    <w:rsid w:val="00E67AF0"/>
    <w:rsid w:val="00E67D8C"/>
    <w:rsid w:val="00E67E33"/>
    <w:rsid w:val="00E700DB"/>
    <w:rsid w:val="00E70248"/>
    <w:rsid w:val="00E7036E"/>
    <w:rsid w:val="00E70FB4"/>
    <w:rsid w:val="00E71022"/>
    <w:rsid w:val="00E7123B"/>
    <w:rsid w:val="00E713E4"/>
    <w:rsid w:val="00E7151D"/>
    <w:rsid w:val="00E715E0"/>
    <w:rsid w:val="00E71795"/>
    <w:rsid w:val="00E719D9"/>
    <w:rsid w:val="00E71B19"/>
    <w:rsid w:val="00E71B1B"/>
    <w:rsid w:val="00E71C5D"/>
    <w:rsid w:val="00E71CDC"/>
    <w:rsid w:val="00E71DE9"/>
    <w:rsid w:val="00E71E56"/>
    <w:rsid w:val="00E71FBB"/>
    <w:rsid w:val="00E71FE1"/>
    <w:rsid w:val="00E72046"/>
    <w:rsid w:val="00E7206C"/>
    <w:rsid w:val="00E72193"/>
    <w:rsid w:val="00E722B3"/>
    <w:rsid w:val="00E7233E"/>
    <w:rsid w:val="00E72923"/>
    <w:rsid w:val="00E72DF0"/>
    <w:rsid w:val="00E72E19"/>
    <w:rsid w:val="00E72F72"/>
    <w:rsid w:val="00E73074"/>
    <w:rsid w:val="00E7332B"/>
    <w:rsid w:val="00E733E7"/>
    <w:rsid w:val="00E73826"/>
    <w:rsid w:val="00E7387B"/>
    <w:rsid w:val="00E73A9C"/>
    <w:rsid w:val="00E73C92"/>
    <w:rsid w:val="00E73CD4"/>
    <w:rsid w:val="00E73CEE"/>
    <w:rsid w:val="00E73D75"/>
    <w:rsid w:val="00E73E96"/>
    <w:rsid w:val="00E73F5A"/>
    <w:rsid w:val="00E74005"/>
    <w:rsid w:val="00E74312"/>
    <w:rsid w:val="00E74410"/>
    <w:rsid w:val="00E7449E"/>
    <w:rsid w:val="00E74542"/>
    <w:rsid w:val="00E748E5"/>
    <w:rsid w:val="00E74B5D"/>
    <w:rsid w:val="00E74C24"/>
    <w:rsid w:val="00E74DFA"/>
    <w:rsid w:val="00E74E71"/>
    <w:rsid w:val="00E74EC3"/>
    <w:rsid w:val="00E75244"/>
    <w:rsid w:val="00E75351"/>
    <w:rsid w:val="00E7543A"/>
    <w:rsid w:val="00E75533"/>
    <w:rsid w:val="00E757C2"/>
    <w:rsid w:val="00E75D90"/>
    <w:rsid w:val="00E75E17"/>
    <w:rsid w:val="00E75E2F"/>
    <w:rsid w:val="00E75EFF"/>
    <w:rsid w:val="00E76084"/>
    <w:rsid w:val="00E76096"/>
    <w:rsid w:val="00E762B9"/>
    <w:rsid w:val="00E76665"/>
    <w:rsid w:val="00E766F3"/>
    <w:rsid w:val="00E76965"/>
    <w:rsid w:val="00E76A14"/>
    <w:rsid w:val="00E76A46"/>
    <w:rsid w:val="00E76A94"/>
    <w:rsid w:val="00E76B61"/>
    <w:rsid w:val="00E76CA9"/>
    <w:rsid w:val="00E7737D"/>
    <w:rsid w:val="00E776E6"/>
    <w:rsid w:val="00E7774D"/>
    <w:rsid w:val="00E778A8"/>
    <w:rsid w:val="00E778AC"/>
    <w:rsid w:val="00E778B0"/>
    <w:rsid w:val="00E778BC"/>
    <w:rsid w:val="00E77C95"/>
    <w:rsid w:val="00E77D0D"/>
    <w:rsid w:val="00E77E78"/>
    <w:rsid w:val="00E77E89"/>
    <w:rsid w:val="00E77F22"/>
    <w:rsid w:val="00E80119"/>
    <w:rsid w:val="00E802EA"/>
    <w:rsid w:val="00E80787"/>
    <w:rsid w:val="00E80BA8"/>
    <w:rsid w:val="00E80C21"/>
    <w:rsid w:val="00E80D0C"/>
    <w:rsid w:val="00E80FFE"/>
    <w:rsid w:val="00E81090"/>
    <w:rsid w:val="00E810FF"/>
    <w:rsid w:val="00E81196"/>
    <w:rsid w:val="00E811B2"/>
    <w:rsid w:val="00E8134B"/>
    <w:rsid w:val="00E81774"/>
    <w:rsid w:val="00E817AF"/>
    <w:rsid w:val="00E81810"/>
    <w:rsid w:val="00E81913"/>
    <w:rsid w:val="00E81929"/>
    <w:rsid w:val="00E81A93"/>
    <w:rsid w:val="00E81D76"/>
    <w:rsid w:val="00E81F1B"/>
    <w:rsid w:val="00E82075"/>
    <w:rsid w:val="00E82473"/>
    <w:rsid w:val="00E82808"/>
    <w:rsid w:val="00E82812"/>
    <w:rsid w:val="00E82896"/>
    <w:rsid w:val="00E829E6"/>
    <w:rsid w:val="00E82A27"/>
    <w:rsid w:val="00E82AAA"/>
    <w:rsid w:val="00E82C82"/>
    <w:rsid w:val="00E82CFD"/>
    <w:rsid w:val="00E82F76"/>
    <w:rsid w:val="00E830A5"/>
    <w:rsid w:val="00E8335C"/>
    <w:rsid w:val="00E8347B"/>
    <w:rsid w:val="00E835DE"/>
    <w:rsid w:val="00E8364D"/>
    <w:rsid w:val="00E838E4"/>
    <w:rsid w:val="00E8394D"/>
    <w:rsid w:val="00E83981"/>
    <w:rsid w:val="00E83B0C"/>
    <w:rsid w:val="00E83D52"/>
    <w:rsid w:val="00E83FA4"/>
    <w:rsid w:val="00E83FEC"/>
    <w:rsid w:val="00E8414B"/>
    <w:rsid w:val="00E84375"/>
    <w:rsid w:val="00E844B3"/>
    <w:rsid w:val="00E848E4"/>
    <w:rsid w:val="00E849AB"/>
    <w:rsid w:val="00E84C67"/>
    <w:rsid w:val="00E84CAD"/>
    <w:rsid w:val="00E84D20"/>
    <w:rsid w:val="00E84D70"/>
    <w:rsid w:val="00E851AD"/>
    <w:rsid w:val="00E851F5"/>
    <w:rsid w:val="00E8530E"/>
    <w:rsid w:val="00E853E4"/>
    <w:rsid w:val="00E855C7"/>
    <w:rsid w:val="00E8577E"/>
    <w:rsid w:val="00E85790"/>
    <w:rsid w:val="00E857FC"/>
    <w:rsid w:val="00E85898"/>
    <w:rsid w:val="00E858D3"/>
    <w:rsid w:val="00E859DC"/>
    <w:rsid w:val="00E85C2E"/>
    <w:rsid w:val="00E85F2C"/>
    <w:rsid w:val="00E85FD7"/>
    <w:rsid w:val="00E86005"/>
    <w:rsid w:val="00E860F1"/>
    <w:rsid w:val="00E862B8"/>
    <w:rsid w:val="00E8653B"/>
    <w:rsid w:val="00E865C4"/>
    <w:rsid w:val="00E867BE"/>
    <w:rsid w:val="00E868EA"/>
    <w:rsid w:val="00E86ACE"/>
    <w:rsid w:val="00E86AD1"/>
    <w:rsid w:val="00E86C00"/>
    <w:rsid w:val="00E86FB4"/>
    <w:rsid w:val="00E86FFE"/>
    <w:rsid w:val="00E8717C"/>
    <w:rsid w:val="00E871E0"/>
    <w:rsid w:val="00E87376"/>
    <w:rsid w:val="00E874D7"/>
    <w:rsid w:val="00E8751E"/>
    <w:rsid w:val="00E87778"/>
    <w:rsid w:val="00E87870"/>
    <w:rsid w:val="00E878D2"/>
    <w:rsid w:val="00E87AC9"/>
    <w:rsid w:val="00E87BAC"/>
    <w:rsid w:val="00E87DA6"/>
    <w:rsid w:val="00E87FF9"/>
    <w:rsid w:val="00E9002B"/>
    <w:rsid w:val="00E904AD"/>
    <w:rsid w:val="00E904D4"/>
    <w:rsid w:val="00E9057F"/>
    <w:rsid w:val="00E90838"/>
    <w:rsid w:val="00E909FB"/>
    <w:rsid w:val="00E90AAB"/>
    <w:rsid w:val="00E90C57"/>
    <w:rsid w:val="00E90C9D"/>
    <w:rsid w:val="00E90CE6"/>
    <w:rsid w:val="00E90E20"/>
    <w:rsid w:val="00E90E67"/>
    <w:rsid w:val="00E90F10"/>
    <w:rsid w:val="00E9118F"/>
    <w:rsid w:val="00E913A4"/>
    <w:rsid w:val="00E9146A"/>
    <w:rsid w:val="00E9156B"/>
    <w:rsid w:val="00E91599"/>
    <w:rsid w:val="00E9160D"/>
    <w:rsid w:val="00E9165C"/>
    <w:rsid w:val="00E91740"/>
    <w:rsid w:val="00E917B4"/>
    <w:rsid w:val="00E918A4"/>
    <w:rsid w:val="00E918F9"/>
    <w:rsid w:val="00E919E5"/>
    <w:rsid w:val="00E91CF5"/>
    <w:rsid w:val="00E91E29"/>
    <w:rsid w:val="00E91FD8"/>
    <w:rsid w:val="00E92026"/>
    <w:rsid w:val="00E9209F"/>
    <w:rsid w:val="00E9226B"/>
    <w:rsid w:val="00E92357"/>
    <w:rsid w:val="00E92499"/>
    <w:rsid w:val="00E9272E"/>
    <w:rsid w:val="00E9279C"/>
    <w:rsid w:val="00E9285E"/>
    <w:rsid w:val="00E929A1"/>
    <w:rsid w:val="00E92A6D"/>
    <w:rsid w:val="00E92E40"/>
    <w:rsid w:val="00E92E58"/>
    <w:rsid w:val="00E92EBD"/>
    <w:rsid w:val="00E9311A"/>
    <w:rsid w:val="00E9320A"/>
    <w:rsid w:val="00E93295"/>
    <w:rsid w:val="00E9336A"/>
    <w:rsid w:val="00E9355A"/>
    <w:rsid w:val="00E938FF"/>
    <w:rsid w:val="00E9396C"/>
    <w:rsid w:val="00E93B33"/>
    <w:rsid w:val="00E93BA6"/>
    <w:rsid w:val="00E93C72"/>
    <w:rsid w:val="00E93CEB"/>
    <w:rsid w:val="00E93E98"/>
    <w:rsid w:val="00E9420F"/>
    <w:rsid w:val="00E94301"/>
    <w:rsid w:val="00E945D4"/>
    <w:rsid w:val="00E94609"/>
    <w:rsid w:val="00E9473C"/>
    <w:rsid w:val="00E94B0C"/>
    <w:rsid w:val="00E94B21"/>
    <w:rsid w:val="00E94BC8"/>
    <w:rsid w:val="00E9517C"/>
    <w:rsid w:val="00E95194"/>
    <w:rsid w:val="00E951FA"/>
    <w:rsid w:val="00E953CE"/>
    <w:rsid w:val="00E9540E"/>
    <w:rsid w:val="00E95471"/>
    <w:rsid w:val="00E95651"/>
    <w:rsid w:val="00E95676"/>
    <w:rsid w:val="00E9597D"/>
    <w:rsid w:val="00E95A58"/>
    <w:rsid w:val="00E95C20"/>
    <w:rsid w:val="00E95CDA"/>
    <w:rsid w:val="00E95D66"/>
    <w:rsid w:val="00E95EB3"/>
    <w:rsid w:val="00E95EC5"/>
    <w:rsid w:val="00E96008"/>
    <w:rsid w:val="00E961BB"/>
    <w:rsid w:val="00E962AF"/>
    <w:rsid w:val="00E964EE"/>
    <w:rsid w:val="00E966B3"/>
    <w:rsid w:val="00E969E3"/>
    <w:rsid w:val="00E96A34"/>
    <w:rsid w:val="00E96D32"/>
    <w:rsid w:val="00E96E46"/>
    <w:rsid w:val="00E96E8D"/>
    <w:rsid w:val="00E971FD"/>
    <w:rsid w:val="00E972AA"/>
    <w:rsid w:val="00E972E9"/>
    <w:rsid w:val="00E9741E"/>
    <w:rsid w:val="00E9770A"/>
    <w:rsid w:val="00E977B3"/>
    <w:rsid w:val="00E9780E"/>
    <w:rsid w:val="00E97830"/>
    <w:rsid w:val="00E97D37"/>
    <w:rsid w:val="00E97E6D"/>
    <w:rsid w:val="00EA00CF"/>
    <w:rsid w:val="00EA01BC"/>
    <w:rsid w:val="00EA0541"/>
    <w:rsid w:val="00EA05CE"/>
    <w:rsid w:val="00EA0685"/>
    <w:rsid w:val="00EA073F"/>
    <w:rsid w:val="00EA0798"/>
    <w:rsid w:val="00EA08B6"/>
    <w:rsid w:val="00EA096E"/>
    <w:rsid w:val="00EA0A84"/>
    <w:rsid w:val="00EA0E51"/>
    <w:rsid w:val="00EA0F4C"/>
    <w:rsid w:val="00EA1072"/>
    <w:rsid w:val="00EA1185"/>
    <w:rsid w:val="00EA12C5"/>
    <w:rsid w:val="00EA139C"/>
    <w:rsid w:val="00EA1465"/>
    <w:rsid w:val="00EA1637"/>
    <w:rsid w:val="00EA1663"/>
    <w:rsid w:val="00EA1753"/>
    <w:rsid w:val="00EA181F"/>
    <w:rsid w:val="00EA1895"/>
    <w:rsid w:val="00EA1AF4"/>
    <w:rsid w:val="00EA1C2B"/>
    <w:rsid w:val="00EA1C84"/>
    <w:rsid w:val="00EA1DE3"/>
    <w:rsid w:val="00EA1E6C"/>
    <w:rsid w:val="00EA2153"/>
    <w:rsid w:val="00EA249F"/>
    <w:rsid w:val="00EA2792"/>
    <w:rsid w:val="00EA2B17"/>
    <w:rsid w:val="00EA2C1E"/>
    <w:rsid w:val="00EA2EDF"/>
    <w:rsid w:val="00EA2F5F"/>
    <w:rsid w:val="00EA30B9"/>
    <w:rsid w:val="00EA31E9"/>
    <w:rsid w:val="00EA322E"/>
    <w:rsid w:val="00EA33A6"/>
    <w:rsid w:val="00EA36DF"/>
    <w:rsid w:val="00EA37C3"/>
    <w:rsid w:val="00EA3981"/>
    <w:rsid w:val="00EA3ADC"/>
    <w:rsid w:val="00EA3B07"/>
    <w:rsid w:val="00EA3C42"/>
    <w:rsid w:val="00EA3E24"/>
    <w:rsid w:val="00EA3EF5"/>
    <w:rsid w:val="00EA3F15"/>
    <w:rsid w:val="00EA40F6"/>
    <w:rsid w:val="00EA4409"/>
    <w:rsid w:val="00EA4414"/>
    <w:rsid w:val="00EA4438"/>
    <w:rsid w:val="00EA464E"/>
    <w:rsid w:val="00EA479A"/>
    <w:rsid w:val="00EA48DB"/>
    <w:rsid w:val="00EA4955"/>
    <w:rsid w:val="00EA4BC7"/>
    <w:rsid w:val="00EA4BE1"/>
    <w:rsid w:val="00EA4BFA"/>
    <w:rsid w:val="00EA4C73"/>
    <w:rsid w:val="00EA4C99"/>
    <w:rsid w:val="00EA4DE8"/>
    <w:rsid w:val="00EA4E70"/>
    <w:rsid w:val="00EA4EC6"/>
    <w:rsid w:val="00EA4F15"/>
    <w:rsid w:val="00EA5035"/>
    <w:rsid w:val="00EA5416"/>
    <w:rsid w:val="00EA5544"/>
    <w:rsid w:val="00EA5816"/>
    <w:rsid w:val="00EA5A20"/>
    <w:rsid w:val="00EA5B5A"/>
    <w:rsid w:val="00EA5E12"/>
    <w:rsid w:val="00EA5FF0"/>
    <w:rsid w:val="00EA63F9"/>
    <w:rsid w:val="00EA676B"/>
    <w:rsid w:val="00EA67A5"/>
    <w:rsid w:val="00EA67BC"/>
    <w:rsid w:val="00EA6AE9"/>
    <w:rsid w:val="00EA6C9B"/>
    <w:rsid w:val="00EA6DB0"/>
    <w:rsid w:val="00EA6E82"/>
    <w:rsid w:val="00EA6F48"/>
    <w:rsid w:val="00EA75B8"/>
    <w:rsid w:val="00EA77DC"/>
    <w:rsid w:val="00EA79E5"/>
    <w:rsid w:val="00EA7A83"/>
    <w:rsid w:val="00EA7C32"/>
    <w:rsid w:val="00EA7ECE"/>
    <w:rsid w:val="00EA7F23"/>
    <w:rsid w:val="00EB006E"/>
    <w:rsid w:val="00EB0098"/>
    <w:rsid w:val="00EB0173"/>
    <w:rsid w:val="00EB01EE"/>
    <w:rsid w:val="00EB0240"/>
    <w:rsid w:val="00EB0337"/>
    <w:rsid w:val="00EB0338"/>
    <w:rsid w:val="00EB0585"/>
    <w:rsid w:val="00EB0B3B"/>
    <w:rsid w:val="00EB0C57"/>
    <w:rsid w:val="00EB0C7C"/>
    <w:rsid w:val="00EB0E27"/>
    <w:rsid w:val="00EB0EEB"/>
    <w:rsid w:val="00EB0F77"/>
    <w:rsid w:val="00EB12AA"/>
    <w:rsid w:val="00EB1543"/>
    <w:rsid w:val="00EB162A"/>
    <w:rsid w:val="00EB16EA"/>
    <w:rsid w:val="00EB1875"/>
    <w:rsid w:val="00EB1904"/>
    <w:rsid w:val="00EB19BC"/>
    <w:rsid w:val="00EB1A53"/>
    <w:rsid w:val="00EB1BC0"/>
    <w:rsid w:val="00EB1DB5"/>
    <w:rsid w:val="00EB1E7A"/>
    <w:rsid w:val="00EB2115"/>
    <w:rsid w:val="00EB232B"/>
    <w:rsid w:val="00EB23B1"/>
    <w:rsid w:val="00EB24B7"/>
    <w:rsid w:val="00EB254B"/>
    <w:rsid w:val="00EB2616"/>
    <w:rsid w:val="00EB2805"/>
    <w:rsid w:val="00EB2962"/>
    <w:rsid w:val="00EB29A0"/>
    <w:rsid w:val="00EB2B76"/>
    <w:rsid w:val="00EB2CB8"/>
    <w:rsid w:val="00EB2D64"/>
    <w:rsid w:val="00EB31C5"/>
    <w:rsid w:val="00EB3374"/>
    <w:rsid w:val="00EB349D"/>
    <w:rsid w:val="00EB3584"/>
    <w:rsid w:val="00EB3680"/>
    <w:rsid w:val="00EB37BE"/>
    <w:rsid w:val="00EB38FD"/>
    <w:rsid w:val="00EB3A36"/>
    <w:rsid w:val="00EB3A91"/>
    <w:rsid w:val="00EB3EFE"/>
    <w:rsid w:val="00EB4157"/>
    <w:rsid w:val="00EB43A6"/>
    <w:rsid w:val="00EB44F2"/>
    <w:rsid w:val="00EB4592"/>
    <w:rsid w:val="00EB46F8"/>
    <w:rsid w:val="00EB4726"/>
    <w:rsid w:val="00EB4755"/>
    <w:rsid w:val="00EB4853"/>
    <w:rsid w:val="00EB4B27"/>
    <w:rsid w:val="00EB4B44"/>
    <w:rsid w:val="00EB4E48"/>
    <w:rsid w:val="00EB54E7"/>
    <w:rsid w:val="00EB5779"/>
    <w:rsid w:val="00EB5885"/>
    <w:rsid w:val="00EB5A43"/>
    <w:rsid w:val="00EB5ABD"/>
    <w:rsid w:val="00EB5BAD"/>
    <w:rsid w:val="00EB5C25"/>
    <w:rsid w:val="00EB5E64"/>
    <w:rsid w:val="00EB6053"/>
    <w:rsid w:val="00EB6334"/>
    <w:rsid w:val="00EB64B1"/>
    <w:rsid w:val="00EB64E4"/>
    <w:rsid w:val="00EB64F0"/>
    <w:rsid w:val="00EB6658"/>
    <w:rsid w:val="00EB66D7"/>
    <w:rsid w:val="00EB6AFE"/>
    <w:rsid w:val="00EB6CE4"/>
    <w:rsid w:val="00EB6D42"/>
    <w:rsid w:val="00EB6D7F"/>
    <w:rsid w:val="00EB6F66"/>
    <w:rsid w:val="00EB6F8A"/>
    <w:rsid w:val="00EB722B"/>
    <w:rsid w:val="00EB731C"/>
    <w:rsid w:val="00EB75C1"/>
    <w:rsid w:val="00EB767D"/>
    <w:rsid w:val="00EB77AE"/>
    <w:rsid w:val="00EB7A4A"/>
    <w:rsid w:val="00EB7BED"/>
    <w:rsid w:val="00EB7DF7"/>
    <w:rsid w:val="00EC025A"/>
    <w:rsid w:val="00EC072F"/>
    <w:rsid w:val="00EC07ED"/>
    <w:rsid w:val="00EC0807"/>
    <w:rsid w:val="00EC098D"/>
    <w:rsid w:val="00EC0E11"/>
    <w:rsid w:val="00EC0FBB"/>
    <w:rsid w:val="00EC1071"/>
    <w:rsid w:val="00EC11B0"/>
    <w:rsid w:val="00EC12E9"/>
    <w:rsid w:val="00EC1330"/>
    <w:rsid w:val="00EC1358"/>
    <w:rsid w:val="00EC13C2"/>
    <w:rsid w:val="00EC15B6"/>
    <w:rsid w:val="00EC1633"/>
    <w:rsid w:val="00EC16CF"/>
    <w:rsid w:val="00EC171E"/>
    <w:rsid w:val="00EC179B"/>
    <w:rsid w:val="00EC18D2"/>
    <w:rsid w:val="00EC1AED"/>
    <w:rsid w:val="00EC1CAD"/>
    <w:rsid w:val="00EC1D4C"/>
    <w:rsid w:val="00EC1DA1"/>
    <w:rsid w:val="00EC28B0"/>
    <w:rsid w:val="00EC2A67"/>
    <w:rsid w:val="00EC2C69"/>
    <w:rsid w:val="00EC2CC8"/>
    <w:rsid w:val="00EC2DDE"/>
    <w:rsid w:val="00EC302B"/>
    <w:rsid w:val="00EC322E"/>
    <w:rsid w:val="00EC32DA"/>
    <w:rsid w:val="00EC3385"/>
    <w:rsid w:val="00EC3719"/>
    <w:rsid w:val="00EC3745"/>
    <w:rsid w:val="00EC392C"/>
    <w:rsid w:val="00EC396D"/>
    <w:rsid w:val="00EC3A92"/>
    <w:rsid w:val="00EC3C29"/>
    <w:rsid w:val="00EC3C87"/>
    <w:rsid w:val="00EC48C4"/>
    <w:rsid w:val="00EC49C0"/>
    <w:rsid w:val="00EC4A23"/>
    <w:rsid w:val="00EC4B58"/>
    <w:rsid w:val="00EC4D20"/>
    <w:rsid w:val="00EC4E53"/>
    <w:rsid w:val="00EC4E8C"/>
    <w:rsid w:val="00EC524C"/>
    <w:rsid w:val="00EC5267"/>
    <w:rsid w:val="00EC5276"/>
    <w:rsid w:val="00EC5442"/>
    <w:rsid w:val="00EC561F"/>
    <w:rsid w:val="00EC5766"/>
    <w:rsid w:val="00EC5858"/>
    <w:rsid w:val="00EC5A2A"/>
    <w:rsid w:val="00EC5B31"/>
    <w:rsid w:val="00EC5C70"/>
    <w:rsid w:val="00EC5C7F"/>
    <w:rsid w:val="00EC5DE5"/>
    <w:rsid w:val="00EC5ED8"/>
    <w:rsid w:val="00EC6082"/>
    <w:rsid w:val="00EC6100"/>
    <w:rsid w:val="00EC611E"/>
    <w:rsid w:val="00EC61EE"/>
    <w:rsid w:val="00EC6319"/>
    <w:rsid w:val="00EC645F"/>
    <w:rsid w:val="00EC6525"/>
    <w:rsid w:val="00EC678D"/>
    <w:rsid w:val="00EC67A7"/>
    <w:rsid w:val="00EC6AA6"/>
    <w:rsid w:val="00EC6BCE"/>
    <w:rsid w:val="00EC6EAD"/>
    <w:rsid w:val="00EC72B0"/>
    <w:rsid w:val="00EC72DF"/>
    <w:rsid w:val="00EC79EF"/>
    <w:rsid w:val="00EC7C35"/>
    <w:rsid w:val="00EC7C4E"/>
    <w:rsid w:val="00EC7F18"/>
    <w:rsid w:val="00EC7FE7"/>
    <w:rsid w:val="00ED00B4"/>
    <w:rsid w:val="00ED0122"/>
    <w:rsid w:val="00ED0135"/>
    <w:rsid w:val="00ED02FB"/>
    <w:rsid w:val="00ED039E"/>
    <w:rsid w:val="00ED04D1"/>
    <w:rsid w:val="00ED06EF"/>
    <w:rsid w:val="00ED07CF"/>
    <w:rsid w:val="00ED092A"/>
    <w:rsid w:val="00ED09B0"/>
    <w:rsid w:val="00ED0A2A"/>
    <w:rsid w:val="00ED0DB1"/>
    <w:rsid w:val="00ED0EF3"/>
    <w:rsid w:val="00ED0F8B"/>
    <w:rsid w:val="00ED1182"/>
    <w:rsid w:val="00ED12F0"/>
    <w:rsid w:val="00ED1314"/>
    <w:rsid w:val="00ED163C"/>
    <w:rsid w:val="00ED184A"/>
    <w:rsid w:val="00ED1907"/>
    <w:rsid w:val="00ED1D81"/>
    <w:rsid w:val="00ED1EBC"/>
    <w:rsid w:val="00ED2106"/>
    <w:rsid w:val="00ED21BA"/>
    <w:rsid w:val="00ED21BB"/>
    <w:rsid w:val="00ED2257"/>
    <w:rsid w:val="00ED230D"/>
    <w:rsid w:val="00ED24DA"/>
    <w:rsid w:val="00ED2C43"/>
    <w:rsid w:val="00ED2CF1"/>
    <w:rsid w:val="00ED2D7D"/>
    <w:rsid w:val="00ED2E43"/>
    <w:rsid w:val="00ED2EF9"/>
    <w:rsid w:val="00ED316E"/>
    <w:rsid w:val="00ED31A0"/>
    <w:rsid w:val="00ED33A3"/>
    <w:rsid w:val="00ED3593"/>
    <w:rsid w:val="00ED3785"/>
    <w:rsid w:val="00ED3842"/>
    <w:rsid w:val="00ED38C9"/>
    <w:rsid w:val="00ED3B99"/>
    <w:rsid w:val="00ED3C36"/>
    <w:rsid w:val="00ED3D1E"/>
    <w:rsid w:val="00ED3D91"/>
    <w:rsid w:val="00ED418C"/>
    <w:rsid w:val="00ED4210"/>
    <w:rsid w:val="00ED42EF"/>
    <w:rsid w:val="00ED44C9"/>
    <w:rsid w:val="00ED44FC"/>
    <w:rsid w:val="00ED4535"/>
    <w:rsid w:val="00ED4926"/>
    <w:rsid w:val="00ED4D78"/>
    <w:rsid w:val="00ED4DAD"/>
    <w:rsid w:val="00ED4E98"/>
    <w:rsid w:val="00ED4FD2"/>
    <w:rsid w:val="00ED5161"/>
    <w:rsid w:val="00ED5193"/>
    <w:rsid w:val="00ED5259"/>
    <w:rsid w:val="00ED530B"/>
    <w:rsid w:val="00ED541C"/>
    <w:rsid w:val="00ED5852"/>
    <w:rsid w:val="00ED5A6C"/>
    <w:rsid w:val="00ED5ABD"/>
    <w:rsid w:val="00ED5E24"/>
    <w:rsid w:val="00ED5F05"/>
    <w:rsid w:val="00ED60F8"/>
    <w:rsid w:val="00ED613E"/>
    <w:rsid w:val="00ED64D3"/>
    <w:rsid w:val="00ED6517"/>
    <w:rsid w:val="00ED6876"/>
    <w:rsid w:val="00ED6ACD"/>
    <w:rsid w:val="00ED6ADB"/>
    <w:rsid w:val="00ED6B4A"/>
    <w:rsid w:val="00ED6D53"/>
    <w:rsid w:val="00ED6E68"/>
    <w:rsid w:val="00ED721F"/>
    <w:rsid w:val="00ED7560"/>
    <w:rsid w:val="00ED75D3"/>
    <w:rsid w:val="00ED7786"/>
    <w:rsid w:val="00ED78CF"/>
    <w:rsid w:val="00ED78DA"/>
    <w:rsid w:val="00ED7AFF"/>
    <w:rsid w:val="00ED7CEC"/>
    <w:rsid w:val="00ED7D38"/>
    <w:rsid w:val="00ED7E7F"/>
    <w:rsid w:val="00ED7F8F"/>
    <w:rsid w:val="00EE0178"/>
    <w:rsid w:val="00EE02F1"/>
    <w:rsid w:val="00EE03FD"/>
    <w:rsid w:val="00EE060C"/>
    <w:rsid w:val="00EE07B9"/>
    <w:rsid w:val="00EE0915"/>
    <w:rsid w:val="00EE0A6D"/>
    <w:rsid w:val="00EE0CA7"/>
    <w:rsid w:val="00EE0D5B"/>
    <w:rsid w:val="00EE0DE7"/>
    <w:rsid w:val="00EE0E63"/>
    <w:rsid w:val="00EE0E97"/>
    <w:rsid w:val="00EE0F9C"/>
    <w:rsid w:val="00EE10C4"/>
    <w:rsid w:val="00EE1377"/>
    <w:rsid w:val="00EE14B6"/>
    <w:rsid w:val="00EE169D"/>
    <w:rsid w:val="00EE1957"/>
    <w:rsid w:val="00EE19B2"/>
    <w:rsid w:val="00EE1A83"/>
    <w:rsid w:val="00EE1A8C"/>
    <w:rsid w:val="00EE1A94"/>
    <w:rsid w:val="00EE1AF5"/>
    <w:rsid w:val="00EE1B83"/>
    <w:rsid w:val="00EE1E6F"/>
    <w:rsid w:val="00EE1EDB"/>
    <w:rsid w:val="00EE1F05"/>
    <w:rsid w:val="00EE2000"/>
    <w:rsid w:val="00EE20F0"/>
    <w:rsid w:val="00EE222C"/>
    <w:rsid w:val="00EE2467"/>
    <w:rsid w:val="00EE24B0"/>
    <w:rsid w:val="00EE257B"/>
    <w:rsid w:val="00EE2803"/>
    <w:rsid w:val="00EE294D"/>
    <w:rsid w:val="00EE2B67"/>
    <w:rsid w:val="00EE2B82"/>
    <w:rsid w:val="00EE2D16"/>
    <w:rsid w:val="00EE3201"/>
    <w:rsid w:val="00EE35ED"/>
    <w:rsid w:val="00EE3691"/>
    <w:rsid w:val="00EE37BE"/>
    <w:rsid w:val="00EE391B"/>
    <w:rsid w:val="00EE39FE"/>
    <w:rsid w:val="00EE3BBD"/>
    <w:rsid w:val="00EE3BCB"/>
    <w:rsid w:val="00EE3BD2"/>
    <w:rsid w:val="00EE3FBE"/>
    <w:rsid w:val="00EE42DF"/>
    <w:rsid w:val="00EE4479"/>
    <w:rsid w:val="00EE48D5"/>
    <w:rsid w:val="00EE4A09"/>
    <w:rsid w:val="00EE4AD7"/>
    <w:rsid w:val="00EE4C56"/>
    <w:rsid w:val="00EE4DCE"/>
    <w:rsid w:val="00EE4EA2"/>
    <w:rsid w:val="00EE4EFD"/>
    <w:rsid w:val="00EE507A"/>
    <w:rsid w:val="00EE51E9"/>
    <w:rsid w:val="00EE542B"/>
    <w:rsid w:val="00EE5523"/>
    <w:rsid w:val="00EE55EA"/>
    <w:rsid w:val="00EE5740"/>
    <w:rsid w:val="00EE5863"/>
    <w:rsid w:val="00EE5872"/>
    <w:rsid w:val="00EE5A73"/>
    <w:rsid w:val="00EE5AC2"/>
    <w:rsid w:val="00EE5D0B"/>
    <w:rsid w:val="00EE5D18"/>
    <w:rsid w:val="00EE5F7A"/>
    <w:rsid w:val="00EE5FF0"/>
    <w:rsid w:val="00EE6042"/>
    <w:rsid w:val="00EE60A7"/>
    <w:rsid w:val="00EE612C"/>
    <w:rsid w:val="00EE62E4"/>
    <w:rsid w:val="00EE6730"/>
    <w:rsid w:val="00EE678F"/>
    <w:rsid w:val="00EE6841"/>
    <w:rsid w:val="00EE6979"/>
    <w:rsid w:val="00EE6B83"/>
    <w:rsid w:val="00EE6CD4"/>
    <w:rsid w:val="00EE6D8D"/>
    <w:rsid w:val="00EE6F4E"/>
    <w:rsid w:val="00EE71BF"/>
    <w:rsid w:val="00EE73C0"/>
    <w:rsid w:val="00EE7485"/>
    <w:rsid w:val="00EE75D2"/>
    <w:rsid w:val="00EE761E"/>
    <w:rsid w:val="00EE7900"/>
    <w:rsid w:val="00EE7A94"/>
    <w:rsid w:val="00EE7FAE"/>
    <w:rsid w:val="00EE7FCD"/>
    <w:rsid w:val="00EF007C"/>
    <w:rsid w:val="00EF0209"/>
    <w:rsid w:val="00EF021A"/>
    <w:rsid w:val="00EF0247"/>
    <w:rsid w:val="00EF0561"/>
    <w:rsid w:val="00EF05B3"/>
    <w:rsid w:val="00EF066E"/>
    <w:rsid w:val="00EF06C8"/>
    <w:rsid w:val="00EF0718"/>
    <w:rsid w:val="00EF077A"/>
    <w:rsid w:val="00EF07A3"/>
    <w:rsid w:val="00EF08C7"/>
    <w:rsid w:val="00EF0B1D"/>
    <w:rsid w:val="00EF0B65"/>
    <w:rsid w:val="00EF0B72"/>
    <w:rsid w:val="00EF0CDD"/>
    <w:rsid w:val="00EF0D38"/>
    <w:rsid w:val="00EF0E2C"/>
    <w:rsid w:val="00EF104C"/>
    <w:rsid w:val="00EF124A"/>
    <w:rsid w:val="00EF153B"/>
    <w:rsid w:val="00EF1618"/>
    <w:rsid w:val="00EF17C8"/>
    <w:rsid w:val="00EF1825"/>
    <w:rsid w:val="00EF1A5B"/>
    <w:rsid w:val="00EF1C3C"/>
    <w:rsid w:val="00EF1DBC"/>
    <w:rsid w:val="00EF1E63"/>
    <w:rsid w:val="00EF2000"/>
    <w:rsid w:val="00EF20AB"/>
    <w:rsid w:val="00EF220C"/>
    <w:rsid w:val="00EF23EB"/>
    <w:rsid w:val="00EF250A"/>
    <w:rsid w:val="00EF257B"/>
    <w:rsid w:val="00EF271D"/>
    <w:rsid w:val="00EF29C7"/>
    <w:rsid w:val="00EF2B1B"/>
    <w:rsid w:val="00EF2E29"/>
    <w:rsid w:val="00EF308C"/>
    <w:rsid w:val="00EF3252"/>
    <w:rsid w:val="00EF3638"/>
    <w:rsid w:val="00EF3760"/>
    <w:rsid w:val="00EF3B97"/>
    <w:rsid w:val="00EF3D80"/>
    <w:rsid w:val="00EF3DCA"/>
    <w:rsid w:val="00EF440A"/>
    <w:rsid w:val="00EF4413"/>
    <w:rsid w:val="00EF4508"/>
    <w:rsid w:val="00EF457A"/>
    <w:rsid w:val="00EF488C"/>
    <w:rsid w:val="00EF4A81"/>
    <w:rsid w:val="00EF4AD6"/>
    <w:rsid w:val="00EF4CAB"/>
    <w:rsid w:val="00EF4CC0"/>
    <w:rsid w:val="00EF4E80"/>
    <w:rsid w:val="00EF4EB6"/>
    <w:rsid w:val="00EF4FEF"/>
    <w:rsid w:val="00EF5043"/>
    <w:rsid w:val="00EF5384"/>
    <w:rsid w:val="00EF53D6"/>
    <w:rsid w:val="00EF5673"/>
    <w:rsid w:val="00EF58CC"/>
    <w:rsid w:val="00EF59FD"/>
    <w:rsid w:val="00EF5AB2"/>
    <w:rsid w:val="00EF5CC1"/>
    <w:rsid w:val="00EF5DC4"/>
    <w:rsid w:val="00EF609F"/>
    <w:rsid w:val="00EF625E"/>
    <w:rsid w:val="00EF63D1"/>
    <w:rsid w:val="00EF63E4"/>
    <w:rsid w:val="00EF650D"/>
    <w:rsid w:val="00EF6539"/>
    <w:rsid w:val="00EF6612"/>
    <w:rsid w:val="00EF68D9"/>
    <w:rsid w:val="00EF6D39"/>
    <w:rsid w:val="00EF71BD"/>
    <w:rsid w:val="00EF7305"/>
    <w:rsid w:val="00EF73B3"/>
    <w:rsid w:val="00EF749F"/>
    <w:rsid w:val="00EF757B"/>
    <w:rsid w:val="00EF76BF"/>
    <w:rsid w:val="00EF7B86"/>
    <w:rsid w:val="00EF7E98"/>
    <w:rsid w:val="00EF7E9D"/>
    <w:rsid w:val="00EF7F0E"/>
    <w:rsid w:val="00F00246"/>
    <w:rsid w:val="00F0041B"/>
    <w:rsid w:val="00F0058F"/>
    <w:rsid w:val="00F0080E"/>
    <w:rsid w:val="00F009E8"/>
    <w:rsid w:val="00F00A04"/>
    <w:rsid w:val="00F00A58"/>
    <w:rsid w:val="00F00B19"/>
    <w:rsid w:val="00F00E2F"/>
    <w:rsid w:val="00F00F5A"/>
    <w:rsid w:val="00F01063"/>
    <w:rsid w:val="00F010AE"/>
    <w:rsid w:val="00F01217"/>
    <w:rsid w:val="00F01468"/>
    <w:rsid w:val="00F014B3"/>
    <w:rsid w:val="00F014F2"/>
    <w:rsid w:val="00F01723"/>
    <w:rsid w:val="00F0176D"/>
    <w:rsid w:val="00F01954"/>
    <w:rsid w:val="00F01ACE"/>
    <w:rsid w:val="00F01B82"/>
    <w:rsid w:val="00F01C8F"/>
    <w:rsid w:val="00F01E48"/>
    <w:rsid w:val="00F01E66"/>
    <w:rsid w:val="00F01EC7"/>
    <w:rsid w:val="00F01EDB"/>
    <w:rsid w:val="00F020AA"/>
    <w:rsid w:val="00F02162"/>
    <w:rsid w:val="00F02310"/>
    <w:rsid w:val="00F02559"/>
    <w:rsid w:val="00F02B53"/>
    <w:rsid w:val="00F02BB4"/>
    <w:rsid w:val="00F02C8C"/>
    <w:rsid w:val="00F02F2B"/>
    <w:rsid w:val="00F02FA1"/>
    <w:rsid w:val="00F03159"/>
    <w:rsid w:val="00F0316D"/>
    <w:rsid w:val="00F03302"/>
    <w:rsid w:val="00F03338"/>
    <w:rsid w:val="00F0339F"/>
    <w:rsid w:val="00F03AAC"/>
    <w:rsid w:val="00F03ACC"/>
    <w:rsid w:val="00F03C52"/>
    <w:rsid w:val="00F04576"/>
    <w:rsid w:val="00F04795"/>
    <w:rsid w:val="00F048C7"/>
    <w:rsid w:val="00F04A37"/>
    <w:rsid w:val="00F04A3C"/>
    <w:rsid w:val="00F04A53"/>
    <w:rsid w:val="00F04BE0"/>
    <w:rsid w:val="00F05004"/>
    <w:rsid w:val="00F0562D"/>
    <w:rsid w:val="00F05B40"/>
    <w:rsid w:val="00F05CFC"/>
    <w:rsid w:val="00F05F61"/>
    <w:rsid w:val="00F06171"/>
    <w:rsid w:val="00F06402"/>
    <w:rsid w:val="00F065F4"/>
    <w:rsid w:val="00F06793"/>
    <w:rsid w:val="00F06823"/>
    <w:rsid w:val="00F068A1"/>
    <w:rsid w:val="00F06AD4"/>
    <w:rsid w:val="00F06B7D"/>
    <w:rsid w:val="00F06BF3"/>
    <w:rsid w:val="00F06CA7"/>
    <w:rsid w:val="00F06D16"/>
    <w:rsid w:val="00F07230"/>
    <w:rsid w:val="00F07269"/>
    <w:rsid w:val="00F072F7"/>
    <w:rsid w:val="00F0743A"/>
    <w:rsid w:val="00F07648"/>
    <w:rsid w:val="00F07678"/>
    <w:rsid w:val="00F077AC"/>
    <w:rsid w:val="00F07934"/>
    <w:rsid w:val="00F07978"/>
    <w:rsid w:val="00F07A51"/>
    <w:rsid w:val="00F07ABD"/>
    <w:rsid w:val="00F07D79"/>
    <w:rsid w:val="00F07F06"/>
    <w:rsid w:val="00F100D4"/>
    <w:rsid w:val="00F10335"/>
    <w:rsid w:val="00F10568"/>
    <w:rsid w:val="00F1058A"/>
    <w:rsid w:val="00F105D4"/>
    <w:rsid w:val="00F1084B"/>
    <w:rsid w:val="00F108F5"/>
    <w:rsid w:val="00F10936"/>
    <w:rsid w:val="00F109C9"/>
    <w:rsid w:val="00F10B02"/>
    <w:rsid w:val="00F10E09"/>
    <w:rsid w:val="00F10E67"/>
    <w:rsid w:val="00F1113F"/>
    <w:rsid w:val="00F111F4"/>
    <w:rsid w:val="00F1123B"/>
    <w:rsid w:val="00F112BF"/>
    <w:rsid w:val="00F114EB"/>
    <w:rsid w:val="00F1161B"/>
    <w:rsid w:val="00F116C8"/>
    <w:rsid w:val="00F11BF9"/>
    <w:rsid w:val="00F11DBA"/>
    <w:rsid w:val="00F11FA3"/>
    <w:rsid w:val="00F11FA4"/>
    <w:rsid w:val="00F12123"/>
    <w:rsid w:val="00F12290"/>
    <w:rsid w:val="00F123C7"/>
    <w:rsid w:val="00F1241D"/>
    <w:rsid w:val="00F126C8"/>
    <w:rsid w:val="00F128B8"/>
    <w:rsid w:val="00F12C3D"/>
    <w:rsid w:val="00F12FD0"/>
    <w:rsid w:val="00F131CF"/>
    <w:rsid w:val="00F131DE"/>
    <w:rsid w:val="00F13293"/>
    <w:rsid w:val="00F132C1"/>
    <w:rsid w:val="00F1345A"/>
    <w:rsid w:val="00F135E0"/>
    <w:rsid w:val="00F1384E"/>
    <w:rsid w:val="00F13854"/>
    <w:rsid w:val="00F138FD"/>
    <w:rsid w:val="00F13A0D"/>
    <w:rsid w:val="00F13A1C"/>
    <w:rsid w:val="00F13A62"/>
    <w:rsid w:val="00F13B29"/>
    <w:rsid w:val="00F13BD1"/>
    <w:rsid w:val="00F13D1B"/>
    <w:rsid w:val="00F1409E"/>
    <w:rsid w:val="00F142E0"/>
    <w:rsid w:val="00F143AD"/>
    <w:rsid w:val="00F146AD"/>
    <w:rsid w:val="00F148B7"/>
    <w:rsid w:val="00F14949"/>
    <w:rsid w:val="00F149F8"/>
    <w:rsid w:val="00F14AEE"/>
    <w:rsid w:val="00F14B6B"/>
    <w:rsid w:val="00F14DA7"/>
    <w:rsid w:val="00F14E41"/>
    <w:rsid w:val="00F15111"/>
    <w:rsid w:val="00F156BA"/>
    <w:rsid w:val="00F158B4"/>
    <w:rsid w:val="00F15995"/>
    <w:rsid w:val="00F15AB7"/>
    <w:rsid w:val="00F15ED8"/>
    <w:rsid w:val="00F160F2"/>
    <w:rsid w:val="00F16225"/>
    <w:rsid w:val="00F16431"/>
    <w:rsid w:val="00F16550"/>
    <w:rsid w:val="00F165CD"/>
    <w:rsid w:val="00F1660A"/>
    <w:rsid w:val="00F16732"/>
    <w:rsid w:val="00F16942"/>
    <w:rsid w:val="00F169EA"/>
    <w:rsid w:val="00F16BC9"/>
    <w:rsid w:val="00F16C14"/>
    <w:rsid w:val="00F16E35"/>
    <w:rsid w:val="00F16F36"/>
    <w:rsid w:val="00F16FDE"/>
    <w:rsid w:val="00F170D1"/>
    <w:rsid w:val="00F1783E"/>
    <w:rsid w:val="00F202DF"/>
    <w:rsid w:val="00F20415"/>
    <w:rsid w:val="00F204D6"/>
    <w:rsid w:val="00F205F5"/>
    <w:rsid w:val="00F20604"/>
    <w:rsid w:val="00F20771"/>
    <w:rsid w:val="00F20835"/>
    <w:rsid w:val="00F208B1"/>
    <w:rsid w:val="00F208BF"/>
    <w:rsid w:val="00F20D19"/>
    <w:rsid w:val="00F211B8"/>
    <w:rsid w:val="00F211C9"/>
    <w:rsid w:val="00F211EE"/>
    <w:rsid w:val="00F212A5"/>
    <w:rsid w:val="00F212AD"/>
    <w:rsid w:val="00F216C6"/>
    <w:rsid w:val="00F21A33"/>
    <w:rsid w:val="00F21AA1"/>
    <w:rsid w:val="00F21B1F"/>
    <w:rsid w:val="00F21B41"/>
    <w:rsid w:val="00F221E9"/>
    <w:rsid w:val="00F221FB"/>
    <w:rsid w:val="00F22313"/>
    <w:rsid w:val="00F22338"/>
    <w:rsid w:val="00F223E4"/>
    <w:rsid w:val="00F2264C"/>
    <w:rsid w:val="00F2272F"/>
    <w:rsid w:val="00F2274B"/>
    <w:rsid w:val="00F22755"/>
    <w:rsid w:val="00F22782"/>
    <w:rsid w:val="00F22904"/>
    <w:rsid w:val="00F22E65"/>
    <w:rsid w:val="00F230C2"/>
    <w:rsid w:val="00F230F7"/>
    <w:rsid w:val="00F23246"/>
    <w:rsid w:val="00F23261"/>
    <w:rsid w:val="00F23399"/>
    <w:rsid w:val="00F23440"/>
    <w:rsid w:val="00F23456"/>
    <w:rsid w:val="00F234AE"/>
    <w:rsid w:val="00F234E8"/>
    <w:rsid w:val="00F235B9"/>
    <w:rsid w:val="00F23672"/>
    <w:rsid w:val="00F236D8"/>
    <w:rsid w:val="00F23CD2"/>
    <w:rsid w:val="00F23E53"/>
    <w:rsid w:val="00F24015"/>
    <w:rsid w:val="00F24067"/>
    <w:rsid w:val="00F240B8"/>
    <w:rsid w:val="00F24626"/>
    <w:rsid w:val="00F24697"/>
    <w:rsid w:val="00F246F2"/>
    <w:rsid w:val="00F24944"/>
    <w:rsid w:val="00F24F9C"/>
    <w:rsid w:val="00F24FAB"/>
    <w:rsid w:val="00F24FBE"/>
    <w:rsid w:val="00F250EF"/>
    <w:rsid w:val="00F25226"/>
    <w:rsid w:val="00F25250"/>
    <w:rsid w:val="00F25313"/>
    <w:rsid w:val="00F255FB"/>
    <w:rsid w:val="00F25612"/>
    <w:rsid w:val="00F2571B"/>
    <w:rsid w:val="00F258DE"/>
    <w:rsid w:val="00F25A3B"/>
    <w:rsid w:val="00F25B34"/>
    <w:rsid w:val="00F25BD1"/>
    <w:rsid w:val="00F25C26"/>
    <w:rsid w:val="00F25F3A"/>
    <w:rsid w:val="00F26093"/>
    <w:rsid w:val="00F262A4"/>
    <w:rsid w:val="00F2637A"/>
    <w:rsid w:val="00F265CE"/>
    <w:rsid w:val="00F26956"/>
    <w:rsid w:val="00F26998"/>
    <w:rsid w:val="00F26AC7"/>
    <w:rsid w:val="00F26D79"/>
    <w:rsid w:val="00F26DB5"/>
    <w:rsid w:val="00F26E0D"/>
    <w:rsid w:val="00F26E31"/>
    <w:rsid w:val="00F26F9A"/>
    <w:rsid w:val="00F2706C"/>
    <w:rsid w:val="00F272E0"/>
    <w:rsid w:val="00F272E7"/>
    <w:rsid w:val="00F2755B"/>
    <w:rsid w:val="00F2756A"/>
    <w:rsid w:val="00F27A3D"/>
    <w:rsid w:val="00F27C2C"/>
    <w:rsid w:val="00F27D0F"/>
    <w:rsid w:val="00F27FB5"/>
    <w:rsid w:val="00F30186"/>
    <w:rsid w:val="00F3019A"/>
    <w:rsid w:val="00F303A7"/>
    <w:rsid w:val="00F30414"/>
    <w:rsid w:val="00F3071C"/>
    <w:rsid w:val="00F30974"/>
    <w:rsid w:val="00F30A11"/>
    <w:rsid w:val="00F30A24"/>
    <w:rsid w:val="00F30AFC"/>
    <w:rsid w:val="00F30B0C"/>
    <w:rsid w:val="00F30C3B"/>
    <w:rsid w:val="00F30D38"/>
    <w:rsid w:val="00F30E56"/>
    <w:rsid w:val="00F30EA3"/>
    <w:rsid w:val="00F30EE1"/>
    <w:rsid w:val="00F30F41"/>
    <w:rsid w:val="00F312D9"/>
    <w:rsid w:val="00F31314"/>
    <w:rsid w:val="00F31438"/>
    <w:rsid w:val="00F31567"/>
    <w:rsid w:val="00F31647"/>
    <w:rsid w:val="00F31771"/>
    <w:rsid w:val="00F318ED"/>
    <w:rsid w:val="00F319FC"/>
    <w:rsid w:val="00F31AAD"/>
    <w:rsid w:val="00F31AF9"/>
    <w:rsid w:val="00F31B29"/>
    <w:rsid w:val="00F31CDE"/>
    <w:rsid w:val="00F31D26"/>
    <w:rsid w:val="00F31D27"/>
    <w:rsid w:val="00F31DA0"/>
    <w:rsid w:val="00F31E13"/>
    <w:rsid w:val="00F32255"/>
    <w:rsid w:val="00F32259"/>
    <w:rsid w:val="00F322EA"/>
    <w:rsid w:val="00F322F7"/>
    <w:rsid w:val="00F324B2"/>
    <w:rsid w:val="00F326BE"/>
    <w:rsid w:val="00F32AC2"/>
    <w:rsid w:val="00F32B60"/>
    <w:rsid w:val="00F33337"/>
    <w:rsid w:val="00F333B0"/>
    <w:rsid w:val="00F3362D"/>
    <w:rsid w:val="00F33834"/>
    <w:rsid w:val="00F338F0"/>
    <w:rsid w:val="00F33C02"/>
    <w:rsid w:val="00F33C0F"/>
    <w:rsid w:val="00F33C77"/>
    <w:rsid w:val="00F33E12"/>
    <w:rsid w:val="00F33FA1"/>
    <w:rsid w:val="00F33FC5"/>
    <w:rsid w:val="00F33FD8"/>
    <w:rsid w:val="00F340B6"/>
    <w:rsid w:val="00F343D4"/>
    <w:rsid w:val="00F34573"/>
    <w:rsid w:val="00F345EB"/>
    <w:rsid w:val="00F346F6"/>
    <w:rsid w:val="00F34816"/>
    <w:rsid w:val="00F34891"/>
    <w:rsid w:val="00F34E9F"/>
    <w:rsid w:val="00F34EE3"/>
    <w:rsid w:val="00F34F93"/>
    <w:rsid w:val="00F353F5"/>
    <w:rsid w:val="00F3560D"/>
    <w:rsid w:val="00F357F6"/>
    <w:rsid w:val="00F35C2D"/>
    <w:rsid w:val="00F35CB9"/>
    <w:rsid w:val="00F35EC2"/>
    <w:rsid w:val="00F360A7"/>
    <w:rsid w:val="00F36406"/>
    <w:rsid w:val="00F3646F"/>
    <w:rsid w:val="00F36649"/>
    <w:rsid w:val="00F366DB"/>
    <w:rsid w:val="00F3689B"/>
    <w:rsid w:val="00F36A0D"/>
    <w:rsid w:val="00F36D80"/>
    <w:rsid w:val="00F36DB0"/>
    <w:rsid w:val="00F36E21"/>
    <w:rsid w:val="00F36EF6"/>
    <w:rsid w:val="00F37174"/>
    <w:rsid w:val="00F3720E"/>
    <w:rsid w:val="00F374D2"/>
    <w:rsid w:val="00F37767"/>
    <w:rsid w:val="00F377BB"/>
    <w:rsid w:val="00F37D1A"/>
    <w:rsid w:val="00F37EC8"/>
    <w:rsid w:val="00F4001C"/>
    <w:rsid w:val="00F400FE"/>
    <w:rsid w:val="00F403B6"/>
    <w:rsid w:val="00F40560"/>
    <w:rsid w:val="00F408C2"/>
    <w:rsid w:val="00F40955"/>
    <w:rsid w:val="00F40C3F"/>
    <w:rsid w:val="00F40CF1"/>
    <w:rsid w:val="00F410FB"/>
    <w:rsid w:val="00F41171"/>
    <w:rsid w:val="00F414F9"/>
    <w:rsid w:val="00F415B5"/>
    <w:rsid w:val="00F417FF"/>
    <w:rsid w:val="00F41CA5"/>
    <w:rsid w:val="00F41DB9"/>
    <w:rsid w:val="00F41E33"/>
    <w:rsid w:val="00F41EB3"/>
    <w:rsid w:val="00F4221A"/>
    <w:rsid w:val="00F423DA"/>
    <w:rsid w:val="00F425AB"/>
    <w:rsid w:val="00F425E0"/>
    <w:rsid w:val="00F4273F"/>
    <w:rsid w:val="00F428E7"/>
    <w:rsid w:val="00F42E76"/>
    <w:rsid w:val="00F43261"/>
    <w:rsid w:val="00F436E6"/>
    <w:rsid w:val="00F437C2"/>
    <w:rsid w:val="00F43A2E"/>
    <w:rsid w:val="00F43C74"/>
    <w:rsid w:val="00F44251"/>
    <w:rsid w:val="00F44267"/>
    <w:rsid w:val="00F442A3"/>
    <w:rsid w:val="00F442E3"/>
    <w:rsid w:val="00F44392"/>
    <w:rsid w:val="00F444EE"/>
    <w:rsid w:val="00F44524"/>
    <w:rsid w:val="00F445A3"/>
    <w:rsid w:val="00F44707"/>
    <w:rsid w:val="00F4473E"/>
    <w:rsid w:val="00F4482C"/>
    <w:rsid w:val="00F449F6"/>
    <w:rsid w:val="00F44A91"/>
    <w:rsid w:val="00F44CC7"/>
    <w:rsid w:val="00F44D63"/>
    <w:rsid w:val="00F44E3B"/>
    <w:rsid w:val="00F44EF6"/>
    <w:rsid w:val="00F4521F"/>
    <w:rsid w:val="00F45249"/>
    <w:rsid w:val="00F4543D"/>
    <w:rsid w:val="00F45505"/>
    <w:rsid w:val="00F455BC"/>
    <w:rsid w:val="00F45684"/>
    <w:rsid w:val="00F45880"/>
    <w:rsid w:val="00F45A65"/>
    <w:rsid w:val="00F45A68"/>
    <w:rsid w:val="00F45ABE"/>
    <w:rsid w:val="00F45AE5"/>
    <w:rsid w:val="00F45AF2"/>
    <w:rsid w:val="00F45C74"/>
    <w:rsid w:val="00F45F7C"/>
    <w:rsid w:val="00F45F91"/>
    <w:rsid w:val="00F460E5"/>
    <w:rsid w:val="00F46319"/>
    <w:rsid w:val="00F4647C"/>
    <w:rsid w:val="00F46850"/>
    <w:rsid w:val="00F468F0"/>
    <w:rsid w:val="00F46A36"/>
    <w:rsid w:val="00F46A90"/>
    <w:rsid w:val="00F46B32"/>
    <w:rsid w:val="00F46C74"/>
    <w:rsid w:val="00F46F36"/>
    <w:rsid w:val="00F471B6"/>
    <w:rsid w:val="00F471D4"/>
    <w:rsid w:val="00F47277"/>
    <w:rsid w:val="00F473E9"/>
    <w:rsid w:val="00F4751C"/>
    <w:rsid w:val="00F4755C"/>
    <w:rsid w:val="00F47699"/>
    <w:rsid w:val="00F4797C"/>
    <w:rsid w:val="00F47B58"/>
    <w:rsid w:val="00F47C38"/>
    <w:rsid w:val="00F47DDC"/>
    <w:rsid w:val="00F47E5E"/>
    <w:rsid w:val="00F47F46"/>
    <w:rsid w:val="00F50200"/>
    <w:rsid w:val="00F50458"/>
    <w:rsid w:val="00F50BB0"/>
    <w:rsid w:val="00F50DAA"/>
    <w:rsid w:val="00F51104"/>
    <w:rsid w:val="00F51764"/>
    <w:rsid w:val="00F517BA"/>
    <w:rsid w:val="00F517D4"/>
    <w:rsid w:val="00F51870"/>
    <w:rsid w:val="00F51876"/>
    <w:rsid w:val="00F518D3"/>
    <w:rsid w:val="00F51A3E"/>
    <w:rsid w:val="00F51CC0"/>
    <w:rsid w:val="00F51DAF"/>
    <w:rsid w:val="00F51DFD"/>
    <w:rsid w:val="00F51F17"/>
    <w:rsid w:val="00F52262"/>
    <w:rsid w:val="00F523A0"/>
    <w:rsid w:val="00F52431"/>
    <w:rsid w:val="00F52475"/>
    <w:rsid w:val="00F52733"/>
    <w:rsid w:val="00F52799"/>
    <w:rsid w:val="00F52D37"/>
    <w:rsid w:val="00F52DBF"/>
    <w:rsid w:val="00F52E31"/>
    <w:rsid w:val="00F52F9E"/>
    <w:rsid w:val="00F53033"/>
    <w:rsid w:val="00F5307C"/>
    <w:rsid w:val="00F53200"/>
    <w:rsid w:val="00F534EF"/>
    <w:rsid w:val="00F53704"/>
    <w:rsid w:val="00F5370B"/>
    <w:rsid w:val="00F537DA"/>
    <w:rsid w:val="00F538FE"/>
    <w:rsid w:val="00F53982"/>
    <w:rsid w:val="00F539C0"/>
    <w:rsid w:val="00F539FD"/>
    <w:rsid w:val="00F53AE0"/>
    <w:rsid w:val="00F53CD1"/>
    <w:rsid w:val="00F53EE6"/>
    <w:rsid w:val="00F53F93"/>
    <w:rsid w:val="00F543BE"/>
    <w:rsid w:val="00F543F6"/>
    <w:rsid w:val="00F54418"/>
    <w:rsid w:val="00F5446E"/>
    <w:rsid w:val="00F544B9"/>
    <w:rsid w:val="00F548DE"/>
    <w:rsid w:val="00F54AED"/>
    <w:rsid w:val="00F54C73"/>
    <w:rsid w:val="00F54D28"/>
    <w:rsid w:val="00F54E5B"/>
    <w:rsid w:val="00F54E71"/>
    <w:rsid w:val="00F54F50"/>
    <w:rsid w:val="00F550AA"/>
    <w:rsid w:val="00F551DB"/>
    <w:rsid w:val="00F55248"/>
    <w:rsid w:val="00F55397"/>
    <w:rsid w:val="00F554C0"/>
    <w:rsid w:val="00F55A06"/>
    <w:rsid w:val="00F55B2B"/>
    <w:rsid w:val="00F55B6F"/>
    <w:rsid w:val="00F55B7E"/>
    <w:rsid w:val="00F55B98"/>
    <w:rsid w:val="00F55E1D"/>
    <w:rsid w:val="00F55F0E"/>
    <w:rsid w:val="00F55F82"/>
    <w:rsid w:val="00F55F83"/>
    <w:rsid w:val="00F5606A"/>
    <w:rsid w:val="00F56089"/>
    <w:rsid w:val="00F562AC"/>
    <w:rsid w:val="00F564E0"/>
    <w:rsid w:val="00F566E2"/>
    <w:rsid w:val="00F567B6"/>
    <w:rsid w:val="00F567D1"/>
    <w:rsid w:val="00F56F81"/>
    <w:rsid w:val="00F5713F"/>
    <w:rsid w:val="00F57253"/>
    <w:rsid w:val="00F5753A"/>
    <w:rsid w:val="00F5788A"/>
    <w:rsid w:val="00F579C4"/>
    <w:rsid w:val="00F57A37"/>
    <w:rsid w:val="00F57A80"/>
    <w:rsid w:val="00F57AE0"/>
    <w:rsid w:val="00F57B41"/>
    <w:rsid w:val="00F600C9"/>
    <w:rsid w:val="00F60175"/>
    <w:rsid w:val="00F6025D"/>
    <w:rsid w:val="00F602D0"/>
    <w:rsid w:val="00F602DC"/>
    <w:rsid w:val="00F604B1"/>
    <w:rsid w:val="00F604FF"/>
    <w:rsid w:val="00F609EC"/>
    <w:rsid w:val="00F60BDE"/>
    <w:rsid w:val="00F60CE9"/>
    <w:rsid w:val="00F61147"/>
    <w:rsid w:val="00F61169"/>
    <w:rsid w:val="00F61172"/>
    <w:rsid w:val="00F612B3"/>
    <w:rsid w:val="00F6132B"/>
    <w:rsid w:val="00F613F1"/>
    <w:rsid w:val="00F61438"/>
    <w:rsid w:val="00F61477"/>
    <w:rsid w:val="00F61487"/>
    <w:rsid w:val="00F614A0"/>
    <w:rsid w:val="00F617A6"/>
    <w:rsid w:val="00F617DF"/>
    <w:rsid w:val="00F6185B"/>
    <w:rsid w:val="00F6193F"/>
    <w:rsid w:val="00F61BE9"/>
    <w:rsid w:val="00F61E49"/>
    <w:rsid w:val="00F61EB9"/>
    <w:rsid w:val="00F61EC2"/>
    <w:rsid w:val="00F61ECD"/>
    <w:rsid w:val="00F62394"/>
    <w:rsid w:val="00F623B2"/>
    <w:rsid w:val="00F62699"/>
    <w:rsid w:val="00F626F1"/>
    <w:rsid w:val="00F6283D"/>
    <w:rsid w:val="00F62B9E"/>
    <w:rsid w:val="00F62F9E"/>
    <w:rsid w:val="00F630FE"/>
    <w:rsid w:val="00F63172"/>
    <w:rsid w:val="00F63AE9"/>
    <w:rsid w:val="00F63D3D"/>
    <w:rsid w:val="00F63D40"/>
    <w:rsid w:val="00F6408C"/>
    <w:rsid w:val="00F64335"/>
    <w:rsid w:val="00F643A2"/>
    <w:rsid w:val="00F644F5"/>
    <w:rsid w:val="00F646BE"/>
    <w:rsid w:val="00F646CD"/>
    <w:rsid w:val="00F64A11"/>
    <w:rsid w:val="00F64A61"/>
    <w:rsid w:val="00F64EEF"/>
    <w:rsid w:val="00F64F63"/>
    <w:rsid w:val="00F64FE1"/>
    <w:rsid w:val="00F659CD"/>
    <w:rsid w:val="00F65DAB"/>
    <w:rsid w:val="00F65DC6"/>
    <w:rsid w:val="00F65F17"/>
    <w:rsid w:val="00F662E8"/>
    <w:rsid w:val="00F66429"/>
    <w:rsid w:val="00F665A6"/>
    <w:rsid w:val="00F66615"/>
    <w:rsid w:val="00F667B7"/>
    <w:rsid w:val="00F6688C"/>
    <w:rsid w:val="00F668E8"/>
    <w:rsid w:val="00F66921"/>
    <w:rsid w:val="00F66936"/>
    <w:rsid w:val="00F66FF5"/>
    <w:rsid w:val="00F67205"/>
    <w:rsid w:val="00F673E3"/>
    <w:rsid w:val="00F675EE"/>
    <w:rsid w:val="00F6780E"/>
    <w:rsid w:val="00F67826"/>
    <w:rsid w:val="00F67C3B"/>
    <w:rsid w:val="00F67CC1"/>
    <w:rsid w:val="00F67F4F"/>
    <w:rsid w:val="00F67F77"/>
    <w:rsid w:val="00F67FB2"/>
    <w:rsid w:val="00F67FF8"/>
    <w:rsid w:val="00F7026F"/>
    <w:rsid w:val="00F70452"/>
    <w:rsid w:val="00F704C3"/>
    <w:rsid w:val="00F706D8"/>
    <w:rsid w:val="00F70BDD"/>
    <w:rsid w:val="00F70F37"/>
    <w:rsid w:val="00F7106E"/>
    <w:rsid w:val="00F71206"/>
    <w:rsid w:val="00F71337"/>
    <w:rsid w:val="00F7133B"/>
    <w:rsid w:val="00F716A3"/>
    <w:rsid w:val="00F719FF"/>
    <w:rsid w:val="00F71B0D"/>
    <w:rsid w:val="00F71B6E"/>
    <w:rsid w:val="00F71BC9"/>
    <w:rsid w:val="00F71E5C"/>
    <w:rsid w:val="00F71FAD"/>
    <w:rsid w:val="00F72343"/>
    <w:rsid w:val="00F7236F"/>
    <w:rsid w:val="00F72474"/>
    <w:rsid w:val="00F72524"/>
    <w:rsid w:val="00F72947"/>
    <w:rsid w:val="00F72A37"/>
    <w:rsid w:val="00F72C1E"/>
    <w:rsid w:val="00F72CBD"/>
    <w:rsid w:val="00F72D16"/>
    <w:rsid w:val="00F72D5A"/>
    <w:rsid w:val="00F72DEA"/>
    <w:rsid w:val="00F72E26"/>
    <w:rsid w:val="00F72E33"/>
    <w:rsid w:val="00F72E70"/>
    <w:rsid w:val="00F72F2E"/>
    <w:rsid w:val="00F7332E"/>
    <w:rsid w:val="00F7341A"/>
    <w:rsid w:val="00F735D0"/>
    <w:rsid w:val="00F73779"/>
    <w:rsid w:val="00F737AB"/>
    <w:rsid w:val="00F738EE"/>
    <w:rsid w:val="00F739B1"/>
    <w:rsid w:val="00F73ABB"/>
    <w:rsid w:val="00F73AD2"/>
    <w:rsid w:val="00F73B17"/>
    <w:rsid w:val="00F73B93"/>
    <w:rsid w:val="00F73C2A"/>
    <w:rsid w:val="00F73D30"/>
    <w:rsid w:val="00F73FFC"/>
    <w:rsid w:val="00F7420E"/>
    <w:rsid w:val="00F742F3"/>
    <w:rsid w:val="00F74538"/>
    <w:rsid w:val="00F746B9"/>
    <w:rsid w:val="00F74861"/>
    <w:rsid w:val="00F74B64"/>
    <w:rsid w:val="00F74BA7"/>
    <w:rsid w:val="00F74D34"/>
    <w:rsid w:val="00F74F33"/>
    <w:rsid w:val="00F7518B"/>
    <w:rsid w:val="00F75343"/>
    <w:rsid w:val="00F75409"/>
    <w:rsid w:val="00F759D9"/>
    <w:rsid w:val="00F75A01"/>
    <w:rsid w:val="00F75C1C"/>
    <w:rsid w:val="00F75C28"/>
    <w:rsid w:val="00F75D82"/>
    <w:rsid w:val="00F75DB1"/>
    <w:rsid w:val="00F75EA9"/>
    <w:rsid w:val="00F76098"/>
    <w:rsid w:val="00F761D2"/>
    <w:rsid w:val="00F7638E"/>
    <w:rsid w:val="00F765CA"/>
    <w:rsid w:val="00F76941"/>
    <w:rsid w:val="00F76947"/>
    <w:rsid w:val="00F76ABB"/>
    <w:rsid w:val="00F76D3D"/>
    <w:rsid w:val="00F76D59"/>
    <w:rsid w:val="00F76D9C"/>
    <w:rsid w:val="00F76E53"/>
    <w:rsid w:val="00F76F3D"/>
    <w:rsid w:val="00F77249"/>
    <w:rsid w:val="00F77509"/>
    <w:rsid w:val="00F77679"/>
    <w:rsid w:val="00F77A24"/>
    <w:rsid w:val="00F77A38"/>
    <w:rsid w:val="00F77AC9"/>
    <w:rsid w:val="00F77B5A"/>
    <w:rsid w:val="00F77FA6"/>
    <w:rsid w:val="00F800CA"/>
    <w:rsid w:val="00F800E3"/>
    <w:rsid w:val="00F8017B"/>
    <w:rsid w:val="00F801B4"/>
    <w:rsid w:val="00F80361"/>
    <w:rsid w:val="00F8041B"/>
    <w:rsid w:val="00F804EA"/>
    <w:rsid w:val="00F804F5"/>
    <w:rsid w:val="00F8083E"/>
    <w:rsid w:val="00F8088F"/>
    <w:rsid w:val="00F808E1"/>
    <w:rsid w:val="00F8090D"/>
    <w:rsid w:val="00F80963"/>
    <w:rsid w:val="00F80E28"/>
    <w:rsid w:val="00F80EDC"/>
    <w:rsid w:val="00F80EFF"/>
    <w:rsid w:val="00F81071"/>
    <w:rsid w:val="00F812AC"/>
    <w:rsid w:val="00F81986"/>
    <w:rsid w:val="00F81AF4"/>
    <w:rsid w:val="00F81D69"/>
    <w:rsid w:val="00F81D76"/>
    <w:rsid w:val="00F8200A"/>
    <w:rsid w:val="00F823D1"/>
    <w:rsid w:val="00F8240B"/>
    <w:rsid w:val="00F8247B"/>
    <w:rsid w:val="00F8251B"/>
    <w:rsid w:val="00F826A7"/>
    <w:rsid w:val="00F827F0"/>
    <w:rsid w:val="00F827F6"/>
    <w:rsid w:val="00F8283F"/>
    <w:rsid w:val="00F828A7"/>
    <w:rsid w:val="00F82A2F"/>
    <w:rsid w:val="00F82B44"/>
    <w:rsid w:val="00F82C48"/>
    <w:rsid w:val="00F82C49"/>
    <w:rsid w:val="00F82F85"/>
    <w:rsid w:val="00F8302B"/>
    <w:rsid w:val="00F83350"/>
    <w:rsid w:val="00F83400"/>
    <w:rsid w:val="00F83611"/>
    <w:rsid w:val="00F83621"/>
    <w:rsid w:val="00F836EB"/>
    <w:rsid w:val="00F83B2B"/>
    <w:rsid w:val="00F83C1F"/>
    <w:rsid w:val="00F83C86"/>
    <w:rsid w:val="00F83D47"/>
    <w:rsid w:val="00F84003"/>
    <w:rsid w:val="00F84092"/>
    <w:rsid w:val="00F841B1"/>
    <w:rsid w:val="00F842C1"/>
    <w:rsid w:val="00F842C6"/>
    <w:rsid w:val="00F8436A"/>
    <w:rsid w:val="00F843EF"/>
    <w:rsid w:val="00F8456E"/>
    <w:rsid w:val="00F8483E"/>
    <w:rsid w:val="00F8493E"/>
    <w:rsid w:val="00F84C4C"/>
    <w:rsid w:val="00F851B1"/>
    <w:rsid w:val="00F853A2"/>
    <w:rsid w:val="00F85559"/>
    <w:rsid w:val="00F85584"/>
    <w:rsid w:val="00F8563B"/>
    <w:rsid w:val="00F85700"/>
    <w:rsid w:val="00F8584B"/>
    <w:rsid w:val="00F858DB"/>
    <w:rsid w:val="00F85BD5"/>
    <w:rsid w:val="00F85DA8"/>
    <w:rsid w:val="00F85F7A"/>
    <w:rsid w:val="00F86055"/>
    <w:rsid w:val="00F86194"/>
    <w:rsid w:val="00F86239"/>
    <w:rsid w:val="00F8648C"/>
    <w:rsid w:val="00F865AD"/>
    <w:rsid w:val="00F865D4"/>
    <w:rsid w:val="00F86656"/>
    <w:rsid w:val="00F866E3"/>
    <w:rsid w:val="00F86922"/>
    <w:rsid w:val="00F86AD3"/>
    <w:rsid w:val="00F86BD7"/>
    <w:rsid w:val="00F86D4B"/>
    <w:rsid w:val="00F86F1A"/>
    <w:rsid w:val="00F86F9C"/>
    <w:rsid w:val="00F87133"/>
    <w:rsid w:val="00F87166"/>
    <w:rsid w:val="00F87216"/>
    <w:rsid w:val="00F87231"/>
    <w:rsid w:val="00F87703"/>
    <w:rsid w:val="00F878B3"/>
    <w:rsid w:val="00F87A22"/>
    <w:rsid w:val="00F87B16"/>
    <w:rsid w:val="00F87B55"/>
    <w:rsid w:val="00F87C0C"/>
    <w:rsid w:val="00F87D57"/>
    <w:rsid w:val="00F87E7D"/>
    <w:rsid w:val="00F87F92"/>
    <w:rsid w:val="00F90001"/>
    <w:rsid w:val="00F90123"/>
    <w:rsid w:val="00F9017F"/>
    <w:rsid w:val="00F90410"/>
    <w:rsid w:val="00F904FB"/>
    <w:rsid w:val="00F9067B"/>
    <w:rsid w:val="00F90D1E"/>
    <w:rsid w:val="00F90D2D"/>
    <w:rsid w:val="00F90D6F"/>
    <w:rsid w:val="00F90E10"/>
    <w:rsid w:val="00F90E3A"/>
    <w:rsid w:val="00F90E75"/>
    <w:rsid w:val="00F90F63"/>
    <w:rsid w:val="00F916A5"/>
    <w:rsid w:val="00F91839"/>
    <w:rsid w:val="00F91876"/>
    <w:rsid w:val="00F919FF"/>
    <w:rsid w:val="00F91CA1"/>
    <w:rsid w:val="00F91E38"/>
    <w:rsid w:val="00F91F1C"/>
    <w:rsid w:val="00F92429"/>
    <w:rsid w:val="00F929F1"/>
    <w:rsid w:val="00F92A0E"/>
    <w:rsid w:val="00F92A1B"/>
    <w:rsid w:val="00F92A21"/>
    <w:rsid w:val="00F92C21"/>
    <w:rsid w:val="00F92C4B"/>
    <w:rsid w:val="00F9320E"/>
    <w:rsid w:val="00F93227"/>
    <w:rsid w:val="00F9330D"/>
    <w:rsid w:val="00F9333D"/>
    <w:rsid w:val="00F93402"/>
    <w:rsid w:val="00F93459"/>
    <w:rsid w:val="00F93584"/>
    <w:rsid w:val="00F935BA"/>
    <w:rsid w:val="00F93795"/>
    <w:rsid w:val="00F937B3"/>
    <w:rsid w:val="00F93827"/>
    <w:rsid w:val="00F93B2F"/>
    <w:rsid w:val="00F93E3B"/>
    <w:rsid w:val="00F93F26"/>
    <w:rsid w:val="00F9405A"/>
    <w:rsid w:val="00F943E3"/>
    <w:rsid w:val="00F946FB"/>
    <w:rsid w:val="00F947BC"/>
    <w:rsid w:val="00F948AF"/>
    <w:rsid w:val="00F94A42"/>
    <w:rsid w:val="00F94B2D"/>
    <w:rsid w:val="00F94D19"/>
    <w:rsid w:val="00F94D3F"/>
    <w:rsid w:val="00F94E4D"/>
    <w:rsid w:val="00F95082"/>
    <w:rsid w:val="00F950C8"/>
    <w:rsid w:val="00F95668"/>
    <w:rsid w:val="00F958DE"/>
    <w:rsid w:val="00F95982"/>
    <w:rsid w:val="00F95B97"/>
    <w:rsid w:val="00F95C8D"/>
    <w:rsid w:val="00F95DD3"/>
    <w:rsid w:val="00F95E70"/>
    <w:rsid w:val="00F95E97"/>
    <w:rsid w:val="00F95F30"/>
    <w:rsid w:val="00F96132"/>
    <w:rsid w:val="00F9618D"/>
    <w:rsid w:val="00F96327"/>
    <w:rsid w:val="00F96461"/>
    <w:rsid w:val="00F9688A"/>
    <w:rsid w:val="00F9698D"/>
    <w:rsid w:val="00F96A0D"/>
    <w:rsid w:val="00F96A82"/>
    <w:rsid w:val="00F96D2B"/>
    <w:rsid w:val="00F96D5B"/>
    <w:rsid w:val="00F96FC1"/>
    <w:rsid w:val="00F97115"/>
    <w:rsid w:val="00F9729F"/>
    <w:rsid w:val="00F972BF"/>
    <w:rsid w:val="00F972E0"/>
    <w:rsid w:val="00F97301"/>
    <w:rsid w:val="00F973A5"/>
    <w:rsid w:val="00F974AF"/>
    <w:rsid w:val="00F974DD"/>
    <w:rsid w:val="00F9750F"/>
    <w:rsid w:val="00F976AE"/>
    <w:rsid w:val="00F976F0"/>
    <w:rsid w:val="00F97DAF"/>
    <w:rsid w:val="00F97DF8"/>
    <w:rsid w:val="00FA02DC"/>
    <w:rsid w:val="00FA0366"/>
    <w:rsid w:val="00FA04BF"/>
    <w:rsid w:val="00FA053B"/>
    <w:rsid w:val="00FA057C"/>
    <w:rsid w:val="00FA057E"/>
    <w:rsid w:val="00FA0969"/>
    <w:rsid w:val="00FA097D"/>
    <w:rsid w:val="00FA09AE"/>
    <w:rsid w:val="00FA0A39"/>
    <w:rsid w:val="00FA0CD2"/>
    <w:rsid w:val="00FA0CD5"/>
    <w:rsid w:val="00FA0D35"/>
    <w:rsid w:val="00FA0F65"/>
    <w:rsid w:val="00FA0FF2"/>
    <w:rsid w:val="00FA132D"/>
    <w:rsid w:val="00FA1365"/>
    <w:rsid w:val="00FA13DA"/>
    <w:rsid w:val="00FA15A4"/>
    <w:rsid w:val="00FA1B21"/>
    <w:rsid w:val="00FA1B74"/>
    <w:rsid w:val="00FA1BD3"/>
    <w:rsid w:val="00FA1F3B"/>
    <w:rsid w:val="00FA206A"/>
    <w:rsid w:val="00FA20ED"/>
    <w:rsid w:val="00FA224E"/>
    <w:rsid w:val="00FA24D0"/>
    <w:rsid w:val="00FA24FC"/>
    <w:rsid w:val="00FA2550"/>
    <w:rsid w:val="00FA26DC"/>
    <w:rsid w:val="00FA298F"/>
    <w:rsid w:val="00FA29AA"/>
    <w:rsid w:val="00FA2A79"/>
    <w:rsid w:val="00FA2B4F"/>
    <w:rsid w:val="00FA2C55"/>
    <w:rsid w:val="00FA3226"/>
    <w:rsid w:val="00FA334E"/>
    <w:rsid w:val="00FA37D1"/>
    <w:rsid w:val="00FA3956"/>
    <w:rsid w:val="00FA39FB"/>
    <w:rsid w:val="00FA3AE3"/>
    <w:rsid w:val="00FA3B9A"/>
    <w:rsid w:val="00FA3C0F"/>
    <w:rsid w:val="00FA3CE7"/>
    <w:rsid w:val="00FA3DE5"/>
    <w:rsid w:val="00FA3E57"/>
    <w:rsid w:val="00FA4214"/>
    <w:rsid w:val="00FA4293"/>
    <w:rsid w:val="00FA44A4"/>
    <w:rsid w:val="00FA45A3"/>
    <w:rsid w:val="00FA46A1"/>
    <w:rsid w:val="00FA4DA0"/>
    <w:rsid w:val="00FA4DFC"/>
    <w:rsid w:val="00FA4E41"/>
    <w:rsid w:val="00FA5036"/>
    <w:rsid w:val="00FA5229"/>
    <w:rsid w:val="00FA53CB"/>
    <w:rsid w:val="00FA5424"/>
    <w:rsid w:val="00FA5478"/>
    <w:rsid w:val="00FA5558"/>
    <w:rsid w:val="00FA5649"/>
    <w:rsid w:val="00FA5669"/>
    <w:rsid w:val="00FA56C8"/>
    <w:rsid w:val="00FA57E4"/>
    <w:rsid w:val="00FA5C57"/>
    <w:rsid w:val="00FA5D5E"/>
    <w:rsid w:val="00FA5E33"/>
    <w:rsid w:val="00FA5F62"/>
    <w:rsid w:val="00FA6294"/>
    <w:rsid w:val="00FA638D"/>
    <w:rsid w:val="00FA65F8"/>
    <w:rsid w:val="00FA668B"/>
    <w:rsid w:val="00FA690E"/>
    <w:rsid w:val="00FA696F"/>
    <w:rsid w:val="00FA6C6A"/>
    <w:rsid w:val="00FA6CA3"/>
    <w:rsid w:val="00FA6D77"/>
    <w:rsid w:val="00FA6E2D"/>
    <w:rsid w:val="00FA6EC3"/>
    <w:rsid w:val="00FA721A"/>
    <w:rsid w:val="00FA7269"/>
    <w:rsid w:val="00FA731B"/>
    <w:rsid w:val="00FA73BB"/>
    <w:rsid w:val="00FA7423"/>
    <w:rsid w:val="00FA779F"/>
    <w:rsid w:val="00FA77A4"/>
    <w:rsid w:val="00FA77B1"/>
    <w:rsid w:val="00FA7884"/>
    <w:rsid w:val="00FA78B5"/>
    <w:rsid w:val="00FA7A9A"/>
    <w:rsid w:val="00FA7DD3"/>
    <w:rsid w:val="00FA7E48"/>
    <w:rsid w:val="00FB0098"/>
    <w:rsid w:val="00FB0121"/>
    <w:rsid w:val="00FB06CE"/>
    <w:rsid w:val="00FB0793"/>
    <w:rsid w:val="00FB0865"/>
    <w:rsid w:val="00FB0915"/>
    <w:rsid w:val="00FB0D84"/>
    <w:rsid w:val="00FB11FE"/>
    <w:rsid w:val="00FB1287"/>
    <w:rsid w:val="00FB1309"/>
    <w:rsid w:val="00FB13A8"/>
    <w:rsid w:val="00FB1509"/>
    <w:rsid w:val="00FB1563"/>
    <w:rsid w:val="00FB168A"/>
    <w:rsid w:val="00FB1718"/>
    <w:rsid w:val="00FB1941"/>
    <w:rsid w:val="00FB1E37"/>
    <w:rsid w:val="00FB1EC1"/>
    <w:rsid w:val="00FB1EE8"/>
    <w:rsid w:val="00FB217B"/>
    <w:rsid w:val="00FB24D4"/>
    <w:rsid w:val="00FB25DF"/>
    <w:rsid w:val="00FB27DC"/>
    <w:rsid w:val="00FB2954"/>
    <w:rsid w:val="00FB29CA"/>
    <w:rsid w:val="00FB2B5A"/>
    <w:rsid w:val="00FB2C55"/>
    <w:rsid w:val="00FB30FC"/>
    <w:rsid w:val="00FB342B"/>
    <w:rsid w:val="00FB3612"/>
    <w:rsid w:val="00FB3664"/>
    <w:rsid w:val="00FB3680"/>
    <w:rsid w:val="00FB39CC"/>
    <w:rsid w:val="00FB39E0"/>
    <w:rsid w:val="00FB3A68"/>
    <w:rsid w:val="00FB3B19"/>
    <w:rsid w:val="00FB3B25"/>
    <w:rsid w:val="00FB3BDF"/>
    <w:rsid w:val="00FB3C13"/>
    <w:rsid w:val="00FB3D85"/>
    <w:rsid w:val="00FB3F77"/>
    <w:rsid w:val="00FB40C3"/>
    <w:rsid w:val="00FB448A"/>
    <w:rsid w:val="00FB4967"/>
    <w:rsid w:val="00FB4998"/>
    <w:rsid w:val="00FB4A6C"/>
    <w:rsid w:val="00FB4BC7"/>
    <w:rsid w:val="00FB4D29"/>
    <w:rsid w:val="00FB5198"/>
    <w:rsid w:val="00FB5256"/>
    <w:rsid w:val="00FB5445"/>
    <w:rsid w:val="00FB54B1"/>
    <w:rsid w:val="00FB5571"/>
    <w:rsid w:val="00FB55D3"/>
    <w:rsid w:val="00FB59AC"/>
    <w:rsid w:val="00FB5A69"/>
    <w:rsid w:val="00FB5B07"/>
    <w:rsid w:val="00FB5C6F"/>
    <w:rsid w:val="00FB5E0D"/>
    <w:rsid w:val="00FB5EA0"/>
    <w:rsid w:val="00FB5ECA"/>
    <w:rsid w:val="00FB5ECE"/>
    <w:rsid w:val="00FB5ED8"/>
    <w:rsid w:val="00FB6006"/>
    <w:rsid w:val="00FB6236"/>
    <w:rsid w:val="00FB64E1"/>
    <w:rsid w:val="00FB6554"/>
    <w:rsid w:val="00FB6776"/>
    <w:rsid w:val="00FB6800"/>
    <w:rsid w:val="00FB6B4C"/>
    <w:rsid w:val="00FB6BAA"/>
    <w:rsid w:val="00FB6C4B"/>
    <w:rsid w:val="00FB6D79"/>
    <w:rsid w:val="00FB6E69"/>
    <w:rsid w:val="00FB710E"/>
    <w:rsid w:val="00FB71B0"/>
    <w:rsid w:val="00FB725C"/>
    <w:rsid w:val="00FB7443"/>
    <w:rsid w:val="00FB750E"/>
    <w:rsid w:val="00FB7668"/>
    <w:rsid w:val="00FB767C"/>
    <w:rsid w:val="00FB7C4C"/>
    <w:rsid w:val="00FB7C7E"/>
    <w:rsid w:val="00FB7F71"/>
    <w:rsid w:val="00FB7F84"/>
    <w:rsid w:val="00FC0300"/>
    <w:rsid w:val="00FC03CD"/>
    <w:rsid w:val="00FC0552"/>
    <w:rsid w:val="00FC05F8"/>
    <w:rsid w:val="00FC0673"/>
    <w:rsid w:val="00FC0947"/>
    <w:rsid w:val="00FC0AF7"/>
    <w:rsid w:val="00FC0B45"/>
    <w:rsid w:val="00FC0D7C"/>
    <w:rsid w:val="00FC0EBE"/>
    <w:rsid w:val="00FC1086"/>
    <w:rsid w:val="00FC1098"/>
    <w:rsid w:val="00FC114C"/>
    <w:rsid w:val="00FC11BD"/>
    <w:rsid w:val="00FC16E5"/>
    <w:rsid w:val="00FC1988"/>
    <w:rsid w:val="00FC1B3E"/>
    <w:rsid w:val="00FC1C52"/>
    <w:rsid w:val="00FC1EBA"/>
    <w:rsid w:val="00FC2018"/>
    <w:rsid w:val="00FC2202"/>
    <w:rsid w:val="00FC2434"/>
    <w:rsid w:val="00FC2687"/>
    <w:rsid w:val="00FC284F"/>
    <w:rsid w:val="00FC28EC"/>
    <w:rsid w:val="00FC2E07"/>
    <w:rsid w:val="00FC2F2A"/>
    <w:rsid w:val="00FC2FA4"/>
    <w:rsid w:val="00FC2FF2"/>
    <w:rsid w:val="00FC3094"/>
    <w:rsid w:val="00FC30BE"/>
    <w:rsid w:val="00FC35EA"/>
    <w:rsid w:val="00FC370D"/>
    <w:rsid w:val="00FC39F8"/>
    <w:rsid w:val="00FC3ACE"/>
    <w:rsid w:val="00FC3DC4"/>
    <w:rsid w:val="00FC3E57"/>
    <w:rsid w:val="00FC3E61"/>
    <w:rsid w:val="00FC3E7F"/>
    <w:rsid w:val="00FC3F35"/>
    <w:rsid w:val="00FC45BD"/>
    <w:rsid w:val="00FC4724"/>
    <w:rsid w:val="00FC477B"/>
    <w:rsid w:val="00FC477F"/>
    <w:rsid w:val="00FC49FB"/>
    <w:rsid w:val="00FC4C00"/>
    <w:rsid w:val="00FC4CAD"/>
    <w:rsid w:val="00FC4ED4"/>
    <w:rsid w:val="00FC4F16"/>
    <w:rsid w:val="00FC4F8A"/>
    <w:rsid w:val="00FC4FD0"/>
    <w:rsid w:val="00FC5001"/>
    <w:rsid w:val="00FC504B"/>
    <w:rsid w:val="00FC5083"/>
    <w:rsid w:val="00FC5106"/>
    <w:rsid w:val="00FC5326"/>
    <w:rsid w:val="00FC5759"/>
    <w:rsid w:val="00FC58CE"/>
    <w:rsid w:val="00FC5927"/>
    <w:rsid w:val="00FC5B51"/>
    <w:rsid w:val="00FC5EC1"/>
    <w:rsid w:val="00FC5EF5"/>
    <w:rsid w:val="00FC604E"/>
    <w:rsid w:val="00FC6178"/>
    <w:rsid w:val="00FC64CD"/>
    <w:rsid w:val="00FC64ED"/>
    <w:rsid w:val="00FC65BA"/>
    <w:rsid w:val="00FC6637"/>
    <w:rsid w:val="00FC6671"/>
    <w:rsid w:val="00FC6692"/>
    <w:rsid w:val="00FC6810"/>
    <w:rsid w:val="00FC6B65"/>
    <w:rsid w:val="00FC6C1A"/>
    <w:rsid w:val="00FC6DC2"/>
    <w:rsid w:val="00FC70BA"/>
    <w:rsid w:val="00FC71DC"/>
    <w:rsid w:val="00FC782F"/>
    <w:rsid w:val="00FC7923"/>
    <w:rsid w:val="00FC7B39"/>
    <w:rsid w:val="00FC7D70"/>
    <w:rsid w:val="00FC7E68"/>
    <w:rsid w:val="00FD006B"/>
    <w:rsid w:val="00FD0122"/>
    <w:rsid w:val="00FD01E5"/>
    <w:rsid w:val="00FD0209"/>
    <w:rsid w:val="00FD02A4"/>
    <w:rsid w:val="00FD02C3"/>
    <w:rsid w:val="00FD057F"/>
    <w:rsid w:val="00FD05AD"/>
    <w:rsid w:val="00FD0668"/>
    <w:rsid w:val="00FD07C3"/>
    <w:rsid w:val="00FD07D9"/>
    <w:rsid w:val="00FD085C"/>
    <w:rsid w:val="00FD09D7"/>
    <w:rsid w:val="00FD09E6"/>
    <w:rsid w:val="00FD0FDA"/>
    <w:rsid w:val="00FD1057"/>
    <w:rsid w:val="00FD120D"/>
    <w:rsid w:val="00FD1217"/>
    <w:rsid w:val="00FD123E"/>
    <w:rsid w:val="00FD1349"/>
    <w:rsid w:val="00FD16BB"/>
    <w:rsid w:val="00FD16BC"/>
    <w:rsid w:val="00FD1733"/>
    <w:rsid w:val="00FD1AC8"/>
    <w:rsid w:val="00FD1AE8"/>
    <w:rsid w:val="00FD1C0B"/>
    <w:rsid w:val="00FD1DF2"/>
    <w:rsid w:val="00FD2044"/>
    <w:rsid w:val="00FD2410"/>
    <w:rsid w:val="00FD25DD"/>
    <w:rsid w:val="00FD2698"/>
    <w:rsid w:val="00FD2B8A"/>
    <w:rsid w:val="00FD2CE7"/>
    <w:rsid w:val="00FD2ECC"/>
    <w:rsid w:val="00FD30E5"/>
    <w:rsid w:val="00FD3148"/>
    <w:rsid w:val="00FD334E"/>
    <w:rsid w:val="00FD38D1"/>
    <w:rsid w:val="00FD3AAD"/>
    <w:rsid w:val="00FD4596"/>
    <w:rsid w:val="00FD49D8"/>
    <w:rsid w:val="00FD4A1B"/>
    <w:rsid w:val="00FD4BA0"/>
    <w:rsid w:val="00FD4CCD"/>
    <w:rsid w:val="00FD4D8F"/>
    <w:rsid w:val="00FD4DA5"/>
    <w:rsid w:val="00FD4EAB"/>
    <w:rsid w:val="00FD52E6"/>
    <w:rsid w:val="00FD5457"/>
    <w:rsid w:val="00FD552D"/>
    <w:rsid w:val="00FD586E"/>
    <w:rsid w:val="00FD59B3"/>
    <w:rsid w:val="00FD5A9A"/>
    <w:rsid w:val="00FD5BFA"/>
    <w:rsid w:val="00FD5C30"/>
    <w:rsid w:val="00FD5C91"/>
    <w:rsid w:val="00FD60F2"/>
    <w:rsid w:val="00FD61AF"/>
    <w:rsid w:val="00FD622E"/>
    <w:rsid w:val="00FD6398"/>
    <w:rsid w:val="00FD6633"/>
    <w:rsid w:val="00FD68E1"/>
    <w:rsid w:val="00FD6A07"/>
    <w:rsid w:val="00FD6C7D"/>
    <w:rsid w:val="00FD6ECE"/>
    <w:rsid w:val="00FD7113"/>
    <w:rsid w:val="00FD72BA"/>
    <w:rsid w:val="00FD756D"/>
    <w:rsid w:val="00FD7605"/>
    <w:rsid w:val="00FD7643"/>
    <w:rsid w:val="00FD78AF"/>
    <w:rsid w:val="00FD7A14"/>
    <w:rsid w:val="00FD7D18"/>
    <w:rsid w:val="00FD7D94"/>
    <w:rsid w:val="00FD7DC5"/>
    <w:rsid w:val="00FD7E6C"/>
    <w:rsid w:val="00FD7E7A"/>
    <w:rsid w:val="00FD7F2E"/>
    <w:rsid w:val="00FE009E"/>
    <w:rsid w:val="00FE0141"/>
    <w:rsid w:val="00FE024C"/>
    <w:rsid w:val="00FE0322"/>
    <w:rsid w:val="00FE0494"/>
    <w:rsid w:val="00FE04D4"/>
    <w:rsid w:val="00FE053D"/>
    <w:rsid w:val="00FE0588"/>
    <w:rsid w:val="00FE066D"/>
    <w:rsid w:val="00FE0691"/>
    <w:rsid w:val="00FE0AE5"/>
    <w:rsid w:val="00FE0B25"/>
    <w:rsid w:val="00FE0C6D"/>
    <w:rsid w:val="00FE0E5E"/>
    <w:rsid w:val="00FE0FF1"/>
    <w:rsid w:val="00FE10D1"/>
    <w:rsid w:val="00FE11CA"/>
    <w:rsid w:val="00FE11E7"/>
    <w:rsid w:val="00FE14D7"/>
    <w:rsid w:val="00FE19BF"/>
    <w:rsid w:val="00FE1B8B"/>
    <w:rsid w:val="00FE1CB9"/>
    <w:rsid w:val="00FE22A5"/>
    <w:rsid w:val="00FE232A"/>
    <w:rsid w:val="00FE2413"/>
    <w:rsid w:val="00FE2523"/>
    <w:rsid w:val="00FE25DB"/>
    <w:rsid w:val="00FE26DF"/>
    <w:rsid w:val="00FE2920"/>
    <w:rsid w:val="00FE2A07"/>
    <w:rsid w:val="00FE2B0D"/>
    <w:rsid w:val="00FE2B9F"/>
    <w:rsid w:val="00FE2BA5"/>
    <w:rsid w:val="00FE2C37"/>
    <w:rsid w:val="00FE2D51"/>
    <w:rsid w:val="00FE2D69"/>
    <w:rsid w:val="00FE33FF"/>
    <w:rsid w:val="00FE3521"/>
    <w:rsid w:val="00FE3876"/>
    <w:rsid w:val="00FE3BDE"/>
    <w:rsid w:val="00FE3C00"/>
    <w:rsid w:val="00FE3F69"/>
    <w:rsid w:val="00FE4109"/>
    <w:rsid w:val="00FE417B"/>
    <w:rsid w:val="00FE43EE"/>
    <w:rsid w:val="00FE4416"/>
    <w:rsid w:val="00FE4439"/>
    <w:rsid w:val="00FE466F"/>
    <w:rsid w:val="00FE4971"/>
    <w:rsid w:val="00FE4972"/>
    <w:rsid w:val="00FE4A79"/>
    <w:rsid w:val="00FE4B04"/>
    <w:rsid w:val="00FE4BA8"/>
    <w:rsid w:val="00FE4BB7"/>
    <w:rsid w:val="00FE4BF5"/>
    <w:rsid w:val="00FE5278"/>
    <w:rsid w:val="00FE53AF"/>
    <w:rsid w:val="00FE5442"/>
    <w:rsid w:val="00FE5462"/>
    <w:rsid w:val="00FE5552"/>
    <w:rsid w:val="00FE567C"/>
    <w:rsid w:val="00FE56D1"/>
    <w:rsid w:val="00FE584A"/>
    <w:rsid w:val="00FE58EE"/>
    <w:rsid w:val="00FE58FD"/>
    <w:rsid w:val="00FE59F9"/>
    <w:rsid w:val="00FE5FB9"/>
    <w:rsid w:val="00FE6173"/>
    <w:rsid w:val="00FE634A"/>
    <w:rsid w:val="00FE63AA"/>
    <w:rsid w:val="00FE640E"/>
    <w:rsid w:val="00FE65AB"/>
    <w:rsid w:val="00FE6749"/>
    <w:rsid w:val="00FE6A2A"/>
    <w:rsid w:val="00FE6A92"/>
    <w:rsid w:val="00FE6ABA"/>
    <w:rsid w:val="00FE6C21"/>
    <w:rsid w:val="00FE6C82"/>
    <w:rsid w:val="00FE6D9A"/>
    <w:rsid w:val="00FE7119"/>
    <w:rsid w:val="00FE7278"/>
    <w:rsid w:val="00FE72D5"/>
    <w:rsid w:val="00FE7329"/>
    <w:rsid w:val="00FE738A"/>
    <w:rsid w:val="00FE7411"/>
    <w:rsid w:val="00FE772F"/>
    <w:rsid w:val="00FE7986"/>
    <w:rsid w:val="00FE7AA9"/>
    <w:rsid w:val="00FE7B09"/>
    <w:rsid w:val="00FE7B96"/>
    <w:rsid w:val="00FE7C0A"/>
    <w:rsid w:val="00FE7C28"/>
    <w:rsid w:val="00FE7CBE"/>
    <w:rsid w:val="00FE7EEF"/>
    <w:rsid w:val="00FF018C"/>
    <w:rsid w:val="00FF0373"/>
    <w:rsid w:val="00FF0403"/>
    <w:rsid w:val="00FF0596"/>
    <w:rsid w:val="00FF0B8E"/>
    <w:rsid w:val="00FF0BA6"/>
    <w:rsid w:val="00FF0BC0"/>
    <w:rsid w:val="00FF0E01"/>
    <w:rsid w:val="00FF1021"/>
    <w:rsid w:val="00FF1378"/>
    <w:rsid w:val="00FF1384"/>
    <w:rsid w:val="00FF13EB"/>
    <w:rsid w:val="00FF13F1"/>
    <w:rsid w:val="00FF17D1"/>
    <w:rsid w:val="00FF18DB"/>
    <w:rsid w:val="00FF198A"/>
    <w:rsid w:val="00FF1CA9"/>
    <w:rsid w:val="00FF1FC9"/>
    <w:rsid w:val="00FF203C"/>
    <w:rsid w:val="00FF2084"/>
    <w:rsid w:val="00FF2328"/>
    <w:rsid w:val="00FF241A"/>
    <w:rsid w:val="00FF274E"/>
    <w:rsid w:val="00FF2931"/>
    <w:rsid w:val="00FF29B5"/>
    <w:rsid w:val="00FF2CB3"/>
    <w:rsid w:val="00FF3200"/>
    <w:rsid w:val="00FF336C"/>
    <w:rsid w:val="00FF338A"/>
    <w:rsid w:val="00FF3397"/>
    <w:rsid w:val="00FF35D2"/>
    <w:rsid w:val="00FF35F9"/>
    <w:rsid w:val="00FF36EA"/>
    <w:rsid w:val="00FF37D3"/>
    <w:rsid w:val="00FF38BB"/>
    <w:rsid w:val="00FF3968"/>
    <w:rsid w:val="00FF3A59"/>
    <w:rsid w:val="00FF3C7A"/>
    <w:rsid w:val="00FF3C8B"/>
    <w:rsid w:val="00FF3CB2"/>
    <w:rsid w:val="00FF4048"/>
    <w:rsid w:val="00FF4779"/>
    <w:rsid w:val="00FF49FD"/>
    <w:rsid w:val="00FF4B93"/>
    <w:rsid w:val="00FF4BBB"/>
    <w:rsid w:val="00FF4E96"/>
    <w:rsid w:val="00FF5127"/>
    <w:rsid w:val="00FF51A4"/>
    <w:rsid w:val="00FF534B"/>
    <w:rsid w:val="00FF540B"/>
    <w:rsid w:val="00FF5452"/>
    <w:rsid w:val="00FF5477"/>
    <w:rsid w:val="00FF54B7"/>
    <w:rsid w:val="00FF54D4"/>
    <w:rsid w:val="00FF5564"/>
    <w:rsid w:val="00FF5673"/>
    <w:rsid w:val="00FF56D1"/>
    <w:rsid w:val="00FF56F9"/>
    <w:rsid w:val="00FF5A94"/>
    <w:rsid w:val="00FF5D78"/>
    <w:rsid w:val="00FF619B"/>
    <w:rsid w:val="00FF61A8"/>
    <w:rsid w:val="00FF64E9"/>
    <w:rsid w:val="00FF6580"/>
    <w:rsid w:val="00FF65A4"/>
    <w:rsid w:val="00FF67F2"/>
    <w:rsid w:val="00FF68B3"/>
    <w:rsid w:val="00FF68E3"/>
    <w:rsid w:val="00FF68E9"/>
    <w:rsid w:val="00FF6B74"/>
    <w:rsid w:val="00FF6BB1"/>
    <w:rsid w:val="00FF6BD2"/>
    <w:rsid w:val="00FF6FD2"/>
    <w:rsid w:val="00FF6FE4"/>
    <w:rsid w:val="00FF70DB"/>
    <w:rsid w:val="00FF7104"/>
    <w:rsid w:val="00FF71D9"/>
    <w:rsid w:val="00FF760B"/>
    <w:rsid w:val="00FF7685"/>
    <w:rsid w:val="00FF787E"/>
    <w:rsid w:val="00FF7945"/>
    <w:rsid w:val="00FF7A8F"/>
    <w:rsid w:val="00FF7B83"/>
    <w:rsid w:val="00FF7C72"/>
    <w:rsid w:val="00FF7FF1"/>
    <w:rsid w:val="013446CE"/>
    <w:rsid w:val="013E16B0"/>
    <w:rsid w:val="01B7445A"/>
    <w:rsid w:val="01BB6890"/>
    <w:rsid w:val="01E1361A"/>
    <w:rsid w:val="01E37851"/>
    <w:rsid w:val="01FF2978"/>
    <w:rsid w:val="02090BE1"/>
    <w:rsid w:val="02474D05"/>
    <w:rsid w:val="024E5058"/>
    <w:rsid w:val="02543B98"/>
    <w:rsid w:val="027215CC"/>
    <w:rsid w:val="02B938FC"/>
    <w:rsid w:val="02C12E27"/>
    <w:rsid w:val="02D91296"/>
    <w:rsid w:val="02DD20B4"/>
    <w:rsid w:val="035349D6"/>
    <w:rsid w:val="039D6FDC"/>
    <w:rsid w:val="039E0756"/>
    <w:rsid w:val="03C83D80"/>
    <w:rsid w:val="03D44CFA"/>
    <w:rsid w:val="03D55141"/>
    <w:rsid w:val="03D90898"/>
    <w:rsid w:val="03FC4D22"/>
    <w:rsid w:val="041458B1"/>
    <w:rsid w:val="04472841"/>
    <w:rsid w:val="044C60A9"/>
    <w:rsid w:val="04817A78"/>
    <w:rsid w:val="049156E5"/>
    <w:rsid w:val="049159AA"/>
    <w:rsid w:val="04AE17E6"/>
    <w:rsid w:val="04D062D2"/>
    <w:rsid w:val="04EB36EC"/>
    <w:rsid w:val="04F144BF"/>
    <w:rsid w:val="05181338"/>
    <w:rsid w:val="051A7089"/>
    <w:rsid w:val="05267CA5"/>
    <w:rsid w:val="054C12E4"/>
    <w:rsid w:val="05662ECE"/>
    <w:rsid w:val="059B7713"/>
    <w:rsid w:val="05AF591E"/>
    <w:rsid w:val="05BC1B7D"/>
    <w:rsid w:val="05FE1178"/>
    <w:rsid w:val="061F25D0"/>
    <w:rsid w:val="06280C6A"/>
    <w:rsid w:val="06387C21"/>
    <w:rsid w:val="064139C8"/>
    <w:rsid w:val="066E5069"/>
    <w:rsid w:val="06E4602C"/>
    <w:rsid w:val="07163D42"/>
    <w:rsid w:val="074113AC"/>
    <w:rsid w:val="07431876"/>
    <w:rsid w:val="0758096E"/>
    <w:rsid w:val="0764036F"/>
    <w:rsid w:val="078B096E"/>
    <w:rsid w:val="078F108F"/>
    <w:rsid w:val="07973C1E"/>
    <w:rsid w:val="080B7906"/>
    <w:rsid w:val="0813062C"/>
    <w:rsid w:val="082F5320"/>
    <w:rsid w:val="08696F82"/>
    <w:rsid w:val="088B43F2"/>
    <w:rsid w:val="08C34370"/>
    <w:rsid w:val="08C92A8C"/>
    <w:rsid w:val="09011F4A"/>
    <w:rsid w:val="090A483D"/>
    <w:rsid w:val="09110AC2"/>
    <w:rsid w:val="09327316"/>
    <w:rsid w:val="094F3664"/>
    <w:rsid w:val="097210F7"/>
    <w:rsid w:val="099539F8"/>
    <w:rsid w:val="09A66955"/>
    <w:rsid w:val="09EB41D4"/>
    <w:rsid w:val="0A080548"/>
    <w:rsid w:val="0A0872BE"/>
    <w:rsid w:val="0A0D635B"/>
    <w:rsid w:val="0A105005"/>
    <w:rsid w:val="0A341873"/>
    <w:rsid w:val="0A3F08AE"/>
    <w:rsid w:val="0A54122F"/>
    <w:rsid w:val="0A8225FD"/>
    <w:rsid w:val="0A9E7623"/>
    <w:rsid w:val="0AA1770F"/>
    <w:rsid w:val="0AE66055"/>
    <w:rsid w:val="0B117554"/>
    <w:rsid w:val="0B316CA5"/>
    <w:rsid w:val="0B3E1AA3"/>
    <w:rsid w:val="0B481248"/>
    <w:rsid w:val="0B5D1272"/>
    <w:rsid w:val="0B8975E4"/>
    <w:rsid w:val="0B904469"/>
    <w:rsid w:val="0BEA2514"/>
    <w:rsid w:val="0C206BE8"/>
    <w:rsid w:val="0C290A06"/>
    <w:rsid w:val="0C47563D"/>
    <w:rsid w:val="0C61341D"/>
    <w:rsid w:val="0C74240E"/>
    <w:rsid w:val="0C8341F7"/>
    <w:rsid w:val="0C8416A8"/>
    <w:rsid w:val="0CA23E9C"/>
    <w:rsid w:val="0CAD7884"/>
    <w:rsid w:val="0CBE1C4F"/>
    <w:rsid w:val="0CF2141D"/>
    <w:rsid w:val="0D013874"/>
    <w:rsid w:val="0D0E3119"/>
    <w:rsid w:val="0D1F64AE"/>
    <w:rsid w:val="0D2830F7"/>
    <w:rsid w:val="0D377381"/>
    <w:rsid w:val="0D6E08E3"/>
    <w:rsid w:val="0D735101"/>
    <w:rsid w:val="0D83034B"/>
    <w:rsid w:val="0DE20EB7"/>
    <w:rsid w:val="0E051542"/>
    <w:rsid w:val="0E4A272D"/>
    <w:rsid w:val="0EA744F7"/>
    <w:rsid w:val="0EAC2403"/>
    <w:rsid w:val="0EBD29FD"/>
    <w:rsid w:val="0EFB3A4B"/>
    <w:rsid w:val="0EFF1AE4"/>
    <w:rsid w:val="0F136D81"/>
    <w:rsid w:val="0F1644BE"/>
    <w:rsid w:val="0F233006"/>
    <w:rsid w:val="0F2A2202"/>
    <w:rsid w:val="0F4B17E9"/>
    <w:rsid w:val="0F6003F8"/>
    <w:rsid w:val="0F62000E"/>
    <w:rsid w:val="0F6835B8"/>
    <w:rsid w:val="0F6E00D9"/>
    <w:rsid w:val="0F6F484A"/>
    <w:rsid w:val="0F8E4644"/>
    <w:rsid w:val="0FD57428"/>
    <w:rsid w:val="0FEA3D88"/>
    <w:rsid w:val="1007276F"/>
    <w:rsid w:val="10303144"/>
    <w:rsid w:val="103E4361"/>
    <w:rsid w:val="105912D2"/>
    <w:rsid w:val="10600613"/>
    <w:rsid w:val="10604783"/>
    <w:rsid w:val="10AB0D3A"/>
    <w:rsid w:val="10C2497F"/>
    <w:rsid w:val="10DB44BA"/>
    <w:rsid w:val="10DD579C"/>
    <w:rsid w:val="10EB186E"/>
    <w:rsid w:val="10F662DF"/>
    <w:rsid w:val="113218D7"/>
    <w:rsid w:val="113D23EC"/>
    <w:rsid w:val="113F294C"/>
    <w:rsid w:val="11577E05"/>
    <w:rsid w:val="115B1A39"/>
    <w:rsid w:val="11606F30"/>
    <w:rsid w:val="116A0B2E"/>
    <w:rsid w:val="116E7FFE"/>
    <w:rsid w:val="118D7278"/>
    <w:rsid w:val="11BF44C2"/>
    <w:rsid w:val="11EE4FD0"/>
    <w:rsid w:val="1221313A"/>
    <w:rsid w:val="12214BAB"/>
    <w:rsid w:val="122A3C74"/>
    <w:rsid w:val="12696C52"/>
    <w:rsid w:val="12850BAD"/>
    <w:rsid w:val="12FD686C"/>
    <w:rsid w:val="131D48D6"/>
    <w:rsid w:val="134F2361"/>
    <w:rsid w:val="136C2B91"/>
    <w:rsid w:val="13AE3E73"/>
    <w:rsid w:val="13D3028A"/>
    <w:rsid w:val="145D38A0"/>
    <w:rsid w:val="1464727D"/>
    <w:rsid w:val="14A44964"/>
    <w:rsid w:val="14BE1142"/>
    <w:rsid w:val="14EB5FC9"/>
    <w:rsid w:val="14F5514E"/>
    <w:rsid w:val="14F65FA4"/>
    <w:rsid w:val="14FD0281"/>
    <w:rsid w:val="154D7850"/>
    <w:rsid w:val="15B0406E"/>
    <w:rsid w:val="15BA1A4B"/>
    <w:rsid w:val="15D432B6"/>
    <w:rsid w:val="15F1092C"/>
    <w:rsid w:val="16074B9D"/>
    <w:rsid w:val="161A5C9B"/>
    <w:rsid w:val="16370B4A"/>
    <w:rsid w:val="165A19F1"/>
    <w:rsid w:val="16671811"/>
    <w:rsid w:val="16832127"/>
    <w:rsid w:val="16C340BB"/>
    <w:rsid w:val="1706322F"/>
    <w:rsid w:val="171F38E9"/>
    <w:rsid w:val="17261676"/>
    <w:rsid w:val="17287DEF"/>
    <w:rsid w:val="17360267"/>
    <w:rsid w:val="173D78A4"/>
    <w:rsid w:val="17555742"/>
    <w:rsid w:val="17573209"/>
    <w:rsid w:val="177B2F73"/>
    <w:rsid w:val="178373AA"/>
    <w:rsid w:val="17A06951"/>
    <w:rsid w:val="17A51B6B"/>
    <w:rsid w:val="17A62C83"/>
    <w:rsid w:val="17AD2839"/>
    <w:rsid w:val="17AD56D7"/>
    <w:rsid w:val="17B20DC6"/>
    <w:rsid w:val="17B54945"/>
    <w:rsid w:val="17CF3E9F"/>
    <w:rsid w:val="180A4A73"/>
    <w:rsid w:val="181B62B2"/>
    <w:rsid w:val="183600EE"/>
    <w:rsid w:val="186329EC"/>
    <w:rsid w:val="186419A1"/>
    <w:rsid w:val="18790153"/>
    <w:rsid w:val="18E606DC"/>
    <w:rsid w:val="18F65227"/>
    <w:rsid w:val="19120A3E"/>
    <w:rsid w:val="191A08B6"/>
    <w:rsid w:val="191C4F84"/>
    <w:rsid w:val="192F299C"/>
    <w:rsid w:val="193C3DCB"/>
    <w:rsid w:val="193F056C"/>
    <w:rsid w:val="194C3150"/>
    <w:rsid w:val="195A76F1"/>
    <w:rsid w:val="19942724"/>
    <w:rsid w:val="199A315A"/>
    <w:rsid w:val="199D14F8"/>
    <w:rsid w:val="19EC58D1"/>
    <w:rsid w:val="19FF5DCC"/>
    <w:rsid w:val="1A3A6D72"/>
    <w:rsid w:val="1A4414D0"/>
    <w:rsid w:val="1A8B0255"/>
    <w:rsid w:val="1AD177AA"/>
    <w:rsid w:val="1AEA3E7F"/>
    <w:rsid w:val="1B1945B7"/>
    <w:rsid w:val="1B355525"/>
    <w:rsid w:val="1B4100BE"/>
    <w:rsid w:val="1B6000D1"/>
    <w:rsid w:val="1BD33CAE"/>
    <w:rsid w:val="1BFE23A8"/>
    <w:rsid w:val="1C1B05AF"/>
    <w:rsid w:val="1C1E5355"/>
    <w:rsid w:val="1C3C1EF0"/>
    <w:rsid w:val="1C3F206B"/>
    <w:rsid w:val="1C44040E"/>
    <w:rsid w:val="1C5943D7"/>
    <w:rsid w:val="1C96157F"/>
    <w:rsid w:val="1CD550D2"/>
    <w:rsid w:val="1CDB2EEC"/>
    <w:rsid w:val="1CF576A2"/>
    <w:rsid w:val="1D17571E"/>
    <w:rsid w:val="1D3872E1"/>
    <w:rsid w:val="1D460125"/>
    <w:rsid w:val="1D610663"/>
    <w:rsid w:val="1D664783"/>
    <w:rsid w:val="1D6D6070"/>
    <w:rsid w:val="1D7448E2"/>
    <w:rsid w:val="1D791BE1"/>
    <w:rsid w:val="1D8B4EB2"/>
    <w:rsid w:val="1D8B5148"/>
    <w:rsid w:val="1DBF0B5A"/>
    <w:rsid w:val="1DE31035"/>
    <w:rsid w:val="1DF0118E"/>
    <w:rsid w:val="1E2C6EE9"/>
    <w:rsid w:val="1E407B22"/>
    <w:rsid w:val="1E423FFC"/>
    <w:rsid w:val="1E444922"/>
    <w:rsid w:val="1E472B98"/>
    <w:rsid w:val="1E503854"/>
    <w:rsid w:val="1E672261"/>
    <w:rsid w:val="1E8251F1"/>
    <w:rsid w:val="1EB85996"/>
    <w:rsid w:val="1EBF7945"/>
    <w:rsid w:val="1EC67B46"/>
    <w:rsid w:val="1EE506A8"/>
    <w:rsid w:val="1EFA6B95"/>
    <w:rsid w:val="1F043D9F"/>
    <w:rsid w:val="1F092AD4"/>
    <w:rsid w:val="1F180979"/>
    <w:rsid w:val="1F574988"/>
    <w:rsid w:val="1F8873D8"/>
    <w:rsid w:val="1FB128AB"/>
    <w:rsid w:val="1FD55BDE"/>
    <w:rsid w:val="2051018F"/>
    <w:rsid w:val="205D5441"/>
    <w:rsid w:val="2063282D"/>
    <w:rsid w:val="20674E63"/>
    <w:rsid w:val="208F3705"/>
    <w:rsid w:val="20B06743"/>
    <w:rsid w:val="20B11150"/>
    <w:rsid w:val="20D6427A"/>
    <w:rsid w:val="21017CF7"/>
    <w:rsid w:val="21183045"/>
    <w:rsid w:val="21434CC9"/>
    <w:rsid w:val="21A016C2"/>
    <w:rsid w:val="21C11FAF"/>
    <w:rsid w:val="21D76BCE"/>
    <w:rsid w:val="223420B0"/>
    <w:rsid w:val="22506502"/>
    <w:rsid w:val="22560E97"/>
    <w:rsid w:val="22563EAC"/>
    <w:rsid w:val="225B523E"/>
    <w:rsid w:val="226F6E07"/>
    <w:rsid w:val="228F40AC"/>
    <w:rsid w:val="22B5582F"/>
    <w:rsid w:val="23135401"/>
    <w:rsid w:val="231C21CC"/>
    <w:rsid w:val="236F608E"/>
    <w:rsid w:val="23762EC6"/>
    <w:rsid w:val="237C1828"/>
    <w:rsid w:val="23984320"/>
    <w:rsid w:val="23B55791"/>
    <w:rsid w:val="23F84385"/>
    <w:rsid w:val="24283FF2"/>
    <w:rsid w:val="2443775B"/>
    <w:rsid w:val="248246EB"/>
    <w:rsid w:val="24827243"/>
    <w:rsid w:val="249C1EBE"/>
    <w:rsid w:val="24A93A4A"/>
    <w:rsid w:val="24CD7E7F"/>
    <w:rsid w:val="24E91E96"/>
    <w:rsid w:val="251839E8"/>
    <w:rsid w:val="253D521C"/>
    <w:rsid w:val="25505DC4"/>
    <w:rsid w:val="25517CF0"/>
    <w:rsid w:val="255C0689"/>
    <w:rsid w:val="256734C7"/>
    <w:rsid w:val="257D47BD"/>
    <w:rsid w:val="259507F7"/>
    <w:rsid w:val="25B472EE"/>
    <w:rsid w:val="262742F1"/>
    <w:rsid w:val="263E6334"/>
    <w:rsid w:val="26A745C4"/>
    <w:rsid w:val="26C64902"/>
    <w:rsid w:val="26EA0AA2"/>
    <w:rsid w:val="26FE484E"/>
    <w:rsid w:val="27377A38"/>
    <w:rsid w:val="27495DBA"/>
    <w:rsid w:val="276D046E"/>
    <w:rsid w:val="276D7C4D"/>
    <w:rsid w:val="279E3AA0"/>
    <w:rsid w:val="27EF5B3F"/>
    <w:rsid w:val="28161881"/>
    <w:rsid w:val="28304EF3"/>
    <w:rsid w:val="28440C71"/>
    <w:rsid w:val="285A2584"/>
    <w:rsid w:val="28F860C7"/>
    <w:rsid w:val="29060AF8"/>
    <w:rsid w:val="290B47F9"/>
    <w:rsid w:val="294057DA"/>
    <w:rsid w:val="29405B72"/>
    <w:rsid w:val="29545271"/>
    <w:rsid w:val="29582256"/>
    <w:rsid w:val="296E5753"/>
    <w:rsid w:val="29921755"/>
    <w:rsid w:val="299509D6"/>
    <w:rsid w:val="29BC6914"/>
    <w:rsid w:val="29C1747D"/>
    <w:rsid w:val="29C61DE9"/>
    <w:rsid w:val="29C65CE7"/>
    <w:rsid w:val="2A2362ED"/>
    <w:rsid w:val="2A427ACC"/>
    <w:rsid w:val="2A6A7492"/>
    <w:rsid w:val="2A7C74BA"/>
    <w:rsid w:val="2A865735"/>
    <w:rsid w:val="2AEC78F0"/>
    <w:rsid w:val="2B102079"/>
    <w:rsid w:val="2B2B7D16"/>
    <w:rsid w:val="2B327D90"/>
    <w:rsid w:val="2B37704E"/>
    <w:rsid w:val="2B5733BA"/>
    <w:rsid w:val="2B574EBB"/>
    <w:rsid w:val="2B5C4E93"/>
    <w:rsid w:val="2BF1787B"/>
    <w:rsid w:val="2C162F60"/>
    <w:rsid w:val="2C2A4DDC"/>
    <w:rsid w:val="2C386E9B"/>
    <w:rsid w:val="2C3B2435"/>
    <w:rsid w:val="2C6E6479"/>
    <w:rsid w:val="2C7454B0"/>
    <w:rsid w:val="2C8B691D"/>
    <w:rsid w:val="2C9C416C"/>
    <w:rsid w:val="2CA900B8"/>
    <w:rsid w:val="2CAB0ECC"/>
    <w:rsid w:val="2CBE4616"/>
    <w:rsid w:val="2CF66D65"/>
    <w:rsid w:val="2D0D00F1"/>
    <w:rsid w:val="2D21030F"/>
    <w:rsid w:val="2D242663"/>
    <w:rsid w:val="2D2E3A06"/>
    <w:rsid w:val="2D3654AB"/>
    <w:rsid w:val="2D5140B7"/>
    <w:rsid w:val="2D626E5D"/>
    <w:rsid w:val="2DC2748A"/>
    <w:rsid w:val="2DDC20E4"/>
    <w:rsid w:val="2DDD6EBB"/>
    <w:rsid w:val="2DE51E2C"/>
    <w:rsid w:val="2DF37122"/>
    <w:rsid w:val="2E04137A"/>
    <w:rsid w:val="2E082BB9"/>
    <w:rsid w:val="2E180A46"/>
    <w:rsid w:val="2E3171B0"/>
    <w:rsid w:val="2E540998"/>
    <w:rsid w:val="2E783FB6"/>
    <w:rsid w:val="2EA66964"/>
    <w:rsid w:val="2EB31F1F"/>
    <w:rsid w:val="2EBC68A5"/>
    <w:rsid w:val="2ECE3794"/>
    <w:rsid w:val="2ED76912"/>
    <w:rsid w:val="2EDD546C"/>
    <w:rsid w:val="2EEC3CC4"/>
    <w:rsid w:val="2EFE13F0"/>
    <w:rsid w:val="2F145A0A"/>
    <w:rsid w:val="2F473539"/>
    <w:rsid w:val="2F585745"/>
    <w:rsid w:val="2F6659F5"/>
    <w:rsid w:val="2FC7746F"/>
    <w:rsid w:val="301E0CA7"/>
    <w:rsid w:val="30273639"/>
    <w:rsid w:val="30347640"/>
    <w:rsid w:val="30562CD4"/>
    <w:rsid w:val="305F2F86"/>
    <w:rsid w:val="30925502"/>
    <w:rsid w:val="30AC1E0B"/>
    <w:rsid w:val="30AF440A"/>
    <w:rsid w:val="30B95BBD"/>
    <w:rsid w:val="30C62CB3"/>
    <w:rsid w:val="30D326A8"/>
    <w:rsid w:val="31177315"/>
    <w:rsid w:val="31670135"/>
    <w:rsid w:val="31746124"/>
    <w:rsid w:val="31BC3D04"/>
    <w:rsid w:val="31DC3023"/>
    <w:rsid w:val="321B6A8B"/>
    <w:rsid w:val="32217A74"/>
    <w:rsid w:val="323E0249"/>
    <w:rsid w:val="325A0447"/>
    <w:rsid w:val="325E2876"/>
    <w:rsid w:val="32C516C3"/>
    <w:rsid w:val="32D80F36"/>
    <w:rsid w:val="335D249B"/>
    <w:rsid w:val="33643F27"/>
    <w:rsid w:val="33697A58"/>
    <w:rsid w:val="3396308A"/>
    <w:rsid w:val="33A2752D"/>
    <w:rsid w:val="33AF40B1"/>
    <w:rsid w:val="33B8651E"/>
    <w:rsid w:val="33CD7E2F"/>
    <w:rsid w:val="33D2775C"/>
    <w:rsid w:val="33DE126F"/>
    <w:rsid w:val="33F26CA0"/>
    <w:rsid w:val="3410626C"/>
    <w:rsid w:val="3426149B"/>
    <w:rsid w:val="344E4AA9"/>
    <w:rsid w:val="345A0D00"/>
    <w:rsid w:val="347A1012"/>
    <w:rsid w:val="349253AA"/>
    <w:rsid w:val="34AA0A7A"/>
    <w:rsid w:val="34B25920"/>
    <w:rsid w:val="34C83E18"/>
    <w:rsid w:val="34D3413A"/>
    <w:rsid w:val="35034D32"/>
    <w:rsid w:val="351838B4"/>
    <w:rsid w:val="353B73D2"/>
    <w:rsid w:val="355A7BF1"/>
    <w:rsid w:val="3576442A"/>
    <w:rsid w:val="358F5ABB"/>
    <w:rsid w:val="35A62FEC"/>
    <w:rsid w:val="35B35F82"/>
    <w:rsid w:val="35B80D71"/>
    <w:rsid w:val="35ED38C4"/>
    <w:rsid w:val="36055DA8"/>
    <w:rsid w:val="361F3292"/>
    <w:rsid w:val="363F2619"/>
    <w:rsid w:val="36407CFB"/>
    <w:rsid w:val="36443B73"/>
    <w:rsid w:val="36444DC5"/>
    <w:rsid w:val="368E3CC6"/>
    <w:rsid w:val="36B0170B"/>
    <w:rsid w:val="36BD3C92"/>
    <w:rsid w:val="36C24C43"/>
    <w:rsid w:val="36D22ED7"/>
    <w:rsid w:val="36FC0FFF"/>
    <w:rsid w:val="36FC5F27"/>
    <w:rsid w:val="37103E1F"/>
    <w:rsid w:val="37356AA7"/>
    <w:rsid w:val="373C12ED"/>
    <w:rsid w:val="373C1F82"/>
    <w:rsid w:val="373D38D4"/>
    <w:rsid w:val="373F678B"/>
    <w:rsid w:val="377A61DD"/>
    <w:rsid w:val="3780159A"/>
    <w:rsid w:val="37C908F1"/>
    <w:rsid w:val="37DC3037"/>
    <w:rsid w:val="37F943D4"/>
    <w:rsid w:val="37FF3E52"/>
    <w:rsid w:val="380F7B34"/>
    <w:rsid w:val="38127D04"/>
    <w:rsid w:val="38272F4D"/>
    <w:rsid w:val="382D22A9"/>
    <w:rsid w:val="38474454"/>
    <w:rsid w:val="38622112"/>
    <w:rsid w:val="388E5B64"/>
    <w:rsid w:val="38A4223C"/>
    <w:rsid w:val="38A8743F"/>
    <w:rsid w:val="38F54371"/>
    <w:rsid w:val="391C024C"/>
    <w:rsid w:val="391E4BC3"/>
    <w:rsid w:val="392C3BA4"/>
    <w:rsid w:val="39331D96"/>
    <w:rsid w:val="393F60DE"/>
    <w:rsid w:val="399C6C57"/>
    <w:rsid w:val="39A552F0"/>
    <w:rsid w:val="39A5643B"/>
    <w:rsid w:val="39A7614F"/>
    <w:rsid w:val="39C61862"/>
    <w:rsid w:val="39F91494"/>
    <w:rsid w:val="3A0E49C7"/>
    <w:rsid w:val="3A3113D4"/>
    <w:rsid w:val="3A3566C0"/>
    <w:rsid w:val="3A8D5450"/>
    <w:rsid w:val="3A9839F7"/>
    <w:rsid w:val="3AC01AD8"/>
    <w:rsid w:val="3B173C86"/>
    <w:rsid w:val="3B554539"/>
    <w:rsid w:val="3BA17DD6"/>
    <w:rsid w:val="3BAD3477"/>
    <w:rsid w:val="3C192E5B"/>
    <w:rsid w:val="3C3A3DDE"/>
    <w:rsid w:val="3C67381C"/>
    <w:rsid w:val="3C9B5D7E"/>
    <w:rsid w:val="3CA55A3A"/>
    <w:rsid w:val="3CC542F6"/>
    <w:rsid w:val="3CCB2A94"/>
    <w:rsid w:val="3CF06580"/>
    <w:rsid w:val="3D3C10E5"/>
    <w:rsid w:val="3D3D1315"/>
    <w:rsid w:val="3D4A305F"/>
    <w:rsid w:val="3D537370"/>
    <w:rsid w:val="3D6A5FDB"/>
    <w:rsid w:val="3D71682E"/>
    <w:rsid w:val="3D9E0AE1"/>
    <w:rsid w:val="3DD26F15"/>
    <w:rsid w:val="3E581DFB"/>
    <w:rsid w:val="3E615D55"/>
    <w:rsid w:val="3E8C512F"/>
    <w:rsid w:val="3F0755A2"/>
    <w:rsid w:val="3F2E1AC5"/>
    <w:rsid w:val="3F516091"/>
    <w:rsid w:val="3F5B4BE4"/>
    <w:rsid w:val="3F602A65"/>
    <w:rsid w:val="3FA858AC"/>
    <w:rsid w:val="3FCB641C"/>
    <w:rsid w:val="3FD041CD"/>
    <w:rsid w:val="3FD85CE2"/>
    <w:rsid w:val="3FDE7368"/>
    <w:rsid w:val="3FDF0A1B"/>
    <w:rsid w:val="3FFC005D"/>
    <w:rsid w:val="4028094C"/>
    <w:rsid w:val="405D592A"/>
    <w:rsid w:val="408B2A19"/>
    <w:rsid w:val="408D7E8E"/>
    <w:rsid w:val="409F47E1"/>
    <w:rsid w:val="40D069BC"/>
    <w:rsid w:val="40E23272"/>
    <w:rsid w:val="40E71456"/>
    <w:rsid w:val="40FF6A6F"/>
    <w:rsid w:val="41140684"/>
    <w:rsid w:val="416A53E4"/>
    <w:rsid w:val="416F45A3"/>
    <w:rsid w:val="41D64034"/>
    <w:rsid w:val="41EF45C5"/>
    <w:rsid w:val="42181B21"/>
    <w:rsid w:val="42395AFE"/>
    <w:rsid w:val="42E04BAE"/>
    <w:rsid w:val="42E1380C"/>
    <w:rsid w:val="431412A0"/>
    <w:rsid w:val="43771684"/>
    <w:rsid w:val="43A22AF5"/>
    <w:rsid w:val="43AC60A4"/>
    <w:rsid w:val="43B138C3"/>
    <w:rsid w:val="43B2475E"/>
    <w:rsid w:val="43E02C4A"/>
    <w:rsid w:val="443C6B3A"/>
    <w:rsid w:val="444568E3"/>
    <w:rsid w:val="44851461"/>
    <w:rsid w:val="44D4138C"/>
    <w:rsid w:val="44F63835"/>
    <w:rsid w:val="453D2404"/>
    <w:rsid w:val="453E1340"/>
    <w:rsid w:val="45507D1F"/>
    <w:rsid w:val="455409BD"/>
    <w:rsid w:val="45765130"/>
    <w:rsid w:val="457F2B71"/>
    <w:rsid w:val="45CF4DA7"/>
    <w:rsid w:val="45D841D4"/>
    <w:rsid w:val="45E517B3"/>
    <w:rsid w:val="45EC1A97"/>
    <w:rsid w:val="45EE5326"/>
    <w:rsid w:val="4607313C"/>
    <w:rsid w:val="46555657"/>
    <w:rsid w:val="466753D0"/>
    <w:rsid w:val="467C309C"/>
    <w:rsid w:val="46A13B5F"/>
    <w:rsid w:val="46C34953"/>
    <w:rsid w:val="470B1A7F"/>
    <w:rsid w:val="473B3047"/>
    <w:rsid w:val="475E4082"/>
    <w:rsid w:val="477D13AB"/>
    <w:rsid w:val="47F55254"/>
    <w:rsid w:val="483427BB"/>
    <w:rsid w:val="483A3493"/>
    <w:rsid w:val="486E7016"/>
    <w:rsid w:val="48B17FF2"/>
    <w:rsid w:val="48E62B9A"/>
    <w:rsid w:val="48E74A45"/>
    <w:rsid w:val="48EB4FEF"/>
    <w:rsid w:val="48EE6F5B"/>
    <w:rsid w:val="490E44F1"/>
    <w:rsid w:val="49105209"/>
    <w:rsid w:val="49145F33"/>
    <w:rsid w:val="493015F4"/>
    <w:rsid w:val="493429DE"/>
    <w:rsid w:val="49450C07"/>
    <w:rsid w:val="49653B01"/>
    <w:rsid w:val="496C47DA"/>
    <w:rsid w:val="497925B0"/>
    <w:rsid w:val="498844C5"/>
    <w:rsid w:val="49BC60C7"/>
    <w:rsid w:val="49C77D50"/>
    <w:rsid w:val="49D83A62"/>
    <w:rsid w:val="49E056FF"/>
    <w:rsid w:val="49E43EF2"/>
    <w:rsid w:val="4A0424C6"/>
    <w:rsid w:val="4A436725"/>
    <w:rsid w:val="4A8C0536"/>
    <w:rsid w:val="4A9500E1"/>
    <w:rsid w:val="4AB063CD"/>
    <w:rsid w:val="4AC94681"/>
    <w:rsid w:val="4AD13731"/>
    <w:rsid w:val="4B1D52C9"/>
    <w:rsid w:val="4B58463E"/>
    <w:rsid w:val="4B690A51"/>
    <w:rsid w:val="4B6C2E42"/>
    <w:rsid w:val="4B6C6C27"/>
    <w:rsid w:val="4B6E7A08"/>
    <w:rsid w:val="4B9141F0"/>
    <w:rsid w:val="4B9247A1"/>
    <w:rsid w:val="4B9C3E9A"/>
    <w:rsid w:val="4BA665AB"/>
    <w:rsid w:val="4BC438F7"/>
    <w:rsid w:val="4BDF2E46"/>
    <w:rsid w:val="4C2A71E9"/>
    <w:rsid w:val="4C57672C"/>
    <w:rsid w:val="4C625D24"/>
    <w:rsid w:val="4CF15BBC"/>
    <w:rsid w:val="4CFF3AF4"/>
    <w:rsid w:val="4D7162C8"/>
    <w:rsid w:val="4DAC767C"/>
    <w:rsid w:val="4DCB0791"/>
    <w:rsid w:val="4DCB7E97"/>
    <w:rsid w:val="4DE33CDE"/>
    <w:rsid w:val="4DF57F07"/>
    <w:rsid w:val="4E090FB8"/>
    <w:rsid w:val="4E111E23"/>
    <w:rsid w:val="4E2914E7"/>
    <w:rsid w:val="4E2915CB"/>
    <w:rsid w:val="4E4F1883"/>
    <w:rsid w:val="4E5936E6"/>
    <w:rsid w:val="4E752330"/>
    <w:rsid w:val="4EA3539F"/>
    <w:rsid w:val="4EA720C0"/>
    <w:rsid w:val="4EAA07FC"/>
    <w:rsid w:val="4EB15CB6"/>
    <w:rsid w:val="4EB87B7D"/>
    <w:rsid w:val="4ECC0012"/>
    <w:rsid w:val="4EEB2FEB"/>
    <w:rsid w:val="4EF75AA5"/>
    <w:rsid w:val="4EFC72D7"/>
    <w:rsid w:val="4EFF4D79"/>
    <w:rsid w:val="4F215078"/>
    <w:rsid w:val="4F3A0A25"/>
    <w:rsid w:val="4F455C50"/>
    <w:rsid w:val="4F87333B"/>
    <w:rsid w:val="4F876689"/>
    <w:rsid w:val="4F9B3B36"/>
    <w:rsid w:val="4FB813C7"/>
    <w:rsid w:val="4FBC7C40"/>
    <w:rsid w:val="4FCB4B69"/>
    <w:rsid w:val="50175E8F"/>
    <w:rsid w:val="50586386"/>
    <w:rsid w:val="505B5C07"/>
    <w:rsid w:val="50C05DB0"/>
    <w:rsid w:val="50FC7A5C"/>
    <w:rsid w:val="511E7958"/>
    <w:rsid w:val="514B35F9"/>
    <w:rsid w:val="5151040C"/>
    <w:rsid w:val="51C16E1E"/>
    <w:rsid w:val="51D704FF"/>
    <w:rsid w:val="51D727F6"/>
    <w:rsid w:val="521A5C4F"/>
    <w:rsid w:val="52273C71"/>
    <w:rsid w:val="52306091"/>
    <w:rsid w:val="52444C7B"/>
    <w:rsid w:val="524E646D"/>
    <w:rsid w:val="52525290"/>
    <w:rsid w:val="526B22BD"/>
    <w:rsid w:val="528B2DF0"/>
    <w:rsid w:val="52906BF1"/>
    <w:rsid w:val="52BA08AC"/>
    <w:rsid w:val="52D77286"/>
    <w:rsid w:val="52F2351D"/>
    <w:rsid w:val="52F85BD4"/>
    <w:rsid w:val="53061E27"/>
    <w:rsid w:val="5306230E"/>
    <w:rsid w:val="531C482A"/>
    <w:rsid w:val="53471530"/>
    <w:rsid w:val="534D7517"/>
    <w:rsid w:val="534F2B69"/>
    <w:rsid w:val="536922B7"/>
    <w:rsid w:val="537422FD"/>
    <w:rsid w:val="53AF4498"/>
    <w:rsid w:val="53BE1202"/>
    <w:rsid w:val="53E46AD0"/>
    <w:rsid w:val="540A1F84"/>
    <w:rsid w:val="54121271"/>
    <w:rsid w:val="54137638"/>
    <w:rsid w:val="54273585"/>
    <w:rsid w:val="54720BCF"/>
    <w:rsid w:val="5477343C"/>
    <w:rsid w:val="547A6B56"/>
    <w:rsid w:val="547C0EC1"/>
    <w:rsid w:val="549A41C6"/>
    <w:rsid w:val="54BB4EB2"/>
    <w:rsid w:val="54F1529F"/>
    <w:rsid w:val="55232182"/>
    <w:rsid w:val="554B46CD"/>
    <w:rsid w:val="554E6A8B"/>
    <w:rsid w:val="55894B2B"/>
    <w:rsid w:val="55BE34F9"/>
    <w:rsid w:val="55BE5DEB"/>
    <w:rsid w:val="55CE5F5A"/>
    <w:rsid w:val="55DC1DC5"/>
    <w:rsid w:val="55E157D5"/>
    <w:rsid w:val="56326D89"/>
    <w:rsid w:val="5637752F"/>
    <w:rsid w:val="563E3A38"/>
    <w:rsid w:val="56634259"/>
    <w:rsid w:val="5665235C"/>
    <w:rsid w:val="56680E06"/>
    <w:rsid w:val="56954644"/>
    <w:rsid w:val="56C8685A"/>
    <w:rsid w:val="56D37BA4"/>
    <w:rsid w:val="57584521"/>
    <w:rsid w:val="57692478"/>
    <w:rsid w:val="576B7254"/>
    <w:rsid w:val="577C2065"/>
    <w:rsid w:val="57CF67BE"/>
    <w:rsid w:val="57D52607"/>
    <w:rsid w:val="582D0FA5"/>
    <w:rsid w:val="583248F8"/>
    <w:rsid w:val="58971F76"/>
    <w:rsid w:val="58A90AA5"/>
    <w:rsid w:val="58B90DB7"/>
    <w:rsid w:val="58C030B0"/>
    <w:rsid w:val="59037C59"/>
    <w:rsid w:val="594260BF"/>
    <w:rsid w:val="59970A58"/>
    <w:rsid w:val="59A04444"/>
    <w:rsid w:val="59C0063A"/>
    <w:rsid w:val="59CB4111"/>
    <w:rsid w:val="59EA4D14"/>
    <w:rsid w:val="59FC633C"/>
    <w:rsid w:val="5A0F78F7"/>
    <w:rsid w:val="5A1C64F4"/>
    <w:rsid w:val="5A3326F4"/>
    <w:rsid w:val="5A5263AB"/>
    <w:rsid w:val="5A765981"/>
    <w:rsid w:val="5ABC3FDA"/>
    <w:rsid w:val="5ACE7C04"/>
    <w:rsid w:val="5AEA36B8"/>
    <w:rsid w:val="5B2D3ADF"/>
    <w:rsid w:val="5B5D4191"/>
    <w:rsid w:val="5B627E41"/>
    <w:rsid w:val="5B6768CB"/>
    <w:rsid w:val="5B75198F"/>
    <w:rsid w:val="5B797AB0"/>
    <w:rsid w:val="5BB41677"/>
    <w:rsid w:val="5BB560E6"/>
    <w:rsid w:val="5BD37C2F"/>
    <w:rsid w:val="5BD66162"/>
    <w:rsid w:val="5BEF1EBE"/>
    <w:rsid w:val="5C372B67"/>
    <w:rsid w:val="5C504278"/>
    <w:rsid w:val="5C5738AB"/>
    <w:rsid w:val="5C5F062F"/>
    <w:rsid w:val="5C684A84"/>
    <w:rsid w:val="5C6E3DDF"/>
    <w:rsid w:val="5C8A2C01"/>
    <w:rsid w:val="5CA5605E"/>
    <w:rsid w:val="5CD92EE1"/>
    <w:rsid w:val="5CE01079"/>
    <w:rsid w:val="5CEB4B40"/>
    <w:rsid w:val="5D1553B4"/>
    <w:rsid w:val="5D4B7163"/>
    <w:rsid w:val="5D530942"/>
    <w:rsid w:val="5D6C3EF6"/>
    <w:rsid w:val="5D9E136B"/>
    <w:rsid w:val="5DC549B3"/>
    <w:rsid w:val="5DDA394C"/>
    <w:rsid w:val="5DE56036"/>
    <w:rsid w:val="5DF53666"/>
    <w:rsid w:val="5DF876AE"/>
    <w:rsid w:val="5E045519"/>
    <w:rsid w:val="5E5402AD"/>
    <w:rsid w:val="5E5F5C04"/>
    <w:rsid w:val="5E730D5C"/>
    <w:rsid w:val="5E75471C"/>
    <w:rsid w:val="5E9C5DD1"/>
    <w:rsid w:val="5EA721C3"/>
    <w:rsid w:val="5EB64A4B"/>
    <w:rsid w:val="5EBA2CF1"/>
    <w:rsid w:val="5EE731C8"/>
    <w:rsid w:val="5EFD376B"/>
    <w:rsid w:val="5F19778C"/>
    <w:rsid w:val="5F1E2CE9"/>
    <w:rsid w:val="5F3C173E"/>
    <w:rsid w:val="5F607742"/>
    <w:rsid w:val="5F915671"/>
    <w:rsid w:val="5F92788E"/>
    <w:rsid w:val="5FB22612"/>
    <w:rsid w:val="5FC0519F"/>
    <w:rsid w:val="5FCA30D1"/>
    <w:rsid w:val="5FE57CCC"/>
    <w:rsid w:val="60764559"/>
    <w:rsid w:val="608D6092"/>
    <w:rsid w:val="609A2953"/>
    <w:rsid w:val="60A87F63"/>
    <w:rsid w:val="60A96EC6"/>
    <w:rsid w:val="60DA0B9C"/>
    <w:rsid w:val="60E776F2"/>
    <w:rsid w:val="6109310D"/>
    <w:rsid w:val="612A27A7"/>
    <w:rsid w:val="61327ADF"/>
    <w:rsid w:val="61441B66"/>
    <w:rsid w:val="6151027D"/>
    <w:rsid w:val="616E5DB6"/>
    <w:rsid w:val="61740AF8"/>
    <w:rsid w:val="6191632C"/>
    <w:rsid w:val="61A20FCF"/>
    <w:rsid w:val="61C16A48"/>
    <w:rsid w:val="61EB765F"/>
    <w:rsid w:val="61ED299C"/>
    <w:rsid w:val="61F4105A"/>
    <w:rsid w:val="61F45719"/>
    <w:rsid w:val="62007F94"/>
    <w:rsid w:val="62036B50"/>
    <w:rsid w:val="6212270E"/>
    <w:rsid w:val="622D47F5"/>
    <w:rsid w:val="62366E39"/>
    <w:rsid w:val="62437695"/>
    <w:rsid w:val="62574FCD"/>
    <w:rsid w:val="62702EC5"/>
    <w:rsid w:val="62784F5D"/>
    <w:rsid w:val="629C7874"/>
    <w:rsid w:val="62F82F7B"/>
    <w:rsid w:val="630F0B17"/>
    <w:rsid w:val="632E07DB"/>
    <w:rsid w:val="635A15EE"/>
    <w:rsid w:val="63864B5C"/>
    <w:rsid w:val="63924730"/>
    <w:rsid w:val="63C13779"/>
    <w:rsid w:val="63D01EFD"/>
    <w:rsid w:val="63D92EB4"/>
    <w:rsid w:val="640C305D"/>
    <w:rsid w:val="642E6B30"/>
    <w:rsid w:val="64536BAD"/>
    <w:rsid w:val="647C50D2"/>
    <w:rsid w:val="649C2791"/>
    <w:rsid w:val="64A66827"/>
    <w:rsid w:val="64EE6E45"/>
    <w:rsid w:val="65237F37"/>
    <w:rsid w:val="658F74C3"/>
    <w:rsid w:val="659C4ACF"/>
    <w:rsid w:val="65DB002B"/>
    <w:rsid w:val="65FF228A"/>
    <w:rsid w:val="66042740"/>
    <w:rsid w:val="660E67AD"/>
    <w:rsid w:val="663400D0"/>
    <w:rsid w:val="66440736"/>
    <w:rsid w:val="665F775F"/>
    <w:rsid w:val="666D189A"/>
    <w:rsid w:val="66A91AF8"/>
    <w:rsid w:val="66C6403A"/>
    <w:rsid w:val="66D635E6"/>
    <w:rsid w:val="66F140BE"/>
    <w:rsid w:val="670B66BD"/>
    <w:rsid w:val="67194978"/>
    <w:rsid w:val="671D2EFD"/>
    <w:rsid w:val="675E20D6"/>
    <w:rsid w:val="6784513C"/>
    <w:rsid w:val="678E7A1F"/>
    <w:rsid w:val="67CE170F"/>
    <w:rsid w:val="67DB5811"/>
    <w:rsid w:val="67E46D08"/>
    <w:rsid w:val="680020EF"/>
    <w:rsid w:val="680043BD"/>
    <w:rsid w:val="6831778E"/>
    <w:rsid w:val="683518DB"/>
    <w:rsid w:val="684000C0"/>
    <w:rsid w:val="68462204"/>
    <w:rsid w:val="68512865"/>
    <w:rsid w:val="68E66C14"/>
    <w:rsid w:val="68ED05D2"/>
    <w:rsid w:val="690C5090"/>
    <w:rsid w:val="69405974"/>
    <w:rsid w:val="694967B7"/>
    <w:rsid w:val="69593D93"/>
    <w:rsid w:val="69605DAA"/>
    <w:rsid w:val="6973081F"/>
    <w:rsid w:val="69767A4D"/>
    <w:rsid w:val="698F2B08"/>
    <w:rsid w:val="69A4525E"/>
    <w:rsid w:val="69C31C8C"/>
    <w:rsid w:val="69D73E7C"/>
    <w:rsid w:val="69DB68BD"/>
    <w:rsid w:val="6A220411"/>
    <w:rsid w:val="6A5F07C7"/>
    <w:rsid w:val="6AAB5F63"/>
    <w:rsid w:val="6AAE0F88"/>
    <w:rsid w:val="6AAF6D3E"/>
    <w:rsid w:val="6AB2670C"/>
    <w:rsid w:val="6AD95096"/>
    <w:rsid w:val="6AE42277"/>
    <w:rsid w:val="6AF03AC2"/>
    <w:rsid w:val="6AF729E2"/>
    <w:rsid w:val="6B2303A4"/>
    <w:rsid w:val="6B424A94"/>
    <w:rsid w:val="6B4449D5"/>
    <w:rsid w:val="6B460EA8"/>
    <w:rsid w:val="6B521999"/>
    <w:rsid w:val="6B615C37"/>
    <w:rsid w:val="6B7B0272"/>
    <w:rsid w:val="6B991302"/>
    <w:rsid w:val="6BB76DC3"/>
    <w:rsid w:val="6BC168EC"/>
    <w:rsid w:val="6BCB5199"/>
    <w:rsid w:val="6C044666"/>
    <w:rsid w:val="6C3B39CB"/>
    <w:rsid w:val="6C43237B"/>
    <w:rsid w:val="6C6D5BB0"/>
    <w:rsid w:val="6CA26FD5"/>
    <w:rsid w:val="6CB11101"/>
    <w:rsid w:val="6CB61DFA"/>
    <w:rsid w:val="6CB708AC"/>
    <w:rsid w:val="6CDD3BDF"/>
    <w:rsid w:val="6CFE495D"/>
    <w:rsid w:val="6DB650E5"/>
    <w:rsid w:val="6DB9531C"/>
    <w:rsid w:val="6E3E24AC"/>
    <w:rsid w:val="6E77591A"/>
    <w:rsid w:val="6E8C0087"/>
    <w:rsid w:val="6E9C6ACC"/>
    <w:rsid w:val="6F472093"/>
    <w:rsid w:val="6F4C67BC"/>
    <w:rsid w:val="6F535A1D"/>
    <w:rsid w:val="6F876AE8"/>
    <w:rsid w:val="6FA946C2"/>
    <w:rsid w:val="6FDC36E2"/>
    <w:rsid w:val="6FE30E9B"/>
    <w:rsid w:val="6FEA3861"/>
    <w:rsid w:val="6FF62F19"/>
    <w:rsid w:val="700E0FDE"/>
    <w:rsid w:val="7023444E"/>
    <w:rsid w:val="70501794"/>
    <w:rsid w:val="70706980"/>
    <w:rsid w:val="70F5647D"/>
    <w:rsid w:val="71266F4E"/>
    <w:rsid w:val="71305A6E"/>
    <w:rsid w:val="71395AE6"/>
    <w:rsid w:val="713B17EF"/>
    <w:rsid w:val="7188382D"/>
    <w:rsid w:val="71DB679A"/>
    <w:rsid w:val="71ED0ED2"/>
    <w:rsid w:val="71F0222A"/>
    <w:rsid w:val="72066311"/>
    <w:rsid w:val="7209409E"/>
    <w:rsid w:val="72216655"/>
    <w:rsid w:val="726723BC"/>
    <w:rsid w:val="72804106"/>
    <w:rsid w:val="7283642B"/>
    <w:rsid w:val="728E0AFB"/>
    <w:rsid w:val="728E78C2"/>
    <w:rsid w:val="72954492"/>
    <w:rsid w:val="72AE1012"/>
    <w:rsid w:val="72D062AB"/>
    <w:rsid w:val="72D15C10"/>
    <w:rsid w:val="730D517A"/>
    <w:rsid w:val="732D537B"/>
    <w:rsid w:val="73692C2A"/>
    <w:rsid w:val="737C7923"/>
    <w:rsid w:val="737E3138"/>
    <w:rsid w:val="737F4815"/>
    <w:rsid w:val="7397387E"/>
    <w:rsid w:val="739B624E"/>
    <w:rsid w:val="73DC0E21"/>
    <w:rsid w:val="73DF457A"/>
    <w:rsid w:val="73EC2C8E"/>
    <w:rsid w:val="73F90E73"/>
    <w:rsid w:val="742F42A1"/>
    <w:rsid w:val="744D0491"/>
    <w:rsid w:val="746C3FDE"/>
    <w:rsid w:val="74DE1C90"/>
    <w:rsid w:val="74F31143"/>
    <w:rsid w:val="7554392A"/>
    <w:rsid w:val="757C71A6"/>
    <w:rsid w:val="75BA3B5D"/>
    <w:rsid w:val="76415DF3"/>
    <w:rsid w:val="76495238"/>
    <w:rsid w:val="765F47D6"/>
    <w:rsid w:val="76843327"/>
    <w:rsid w:val="76AE1274"/>
    <w:rsid w:val="76D52B1F"/>
    <w:rsid w:val="77286993"/>
    <w:rsid w:val="77292F23"/>
    <w:rsid w:val="77495006"/>
    <w:rsid w:val="777A5DF1"/>
    <w:rsid w:val="77D315D6"/>
    <w:rsid w:val="77F30CFD"/>
    <w:rsid w:val="77F626D6"/>
    <w:rsid w:val="783949E7"/>
    <w:rsid w:val="784842CE"/>
    <w:rsid w:val="7901239A"/>
    <w:rsid w:val="79014026"/>
    <w:rsid w:val="791F6BA9"/>
    <w:rsid w:val="79741897"/>
    <w:rsid w:val="79BD3A65"/>
    <w:rsid w:val="7A115EDC"/>
    <w:rsid w:val="7A156D55"/>
    <w:rsid w:val="7A240417"/>
    <w:rsid w:val="7A4642A9"/>
    <w:rsid w:val="7A5E3B47"/>
    <w:rsid w:val="7A867DA1"/>
    <w:rsid w:val="7AC0154B"/>
    <w:rsid w:val="7AF96278"/>
    <w:rsid w:val="7AFC4172"/>
    <w:rsid w:val="7B183385"/>
    <w:rsid w:val="7B251968"/>
    <w:rsid w:val="7B356584"/>
    <w:rsid w:val="7B5C34B3"/>
    <w:rsid w:val="7B8475E1"/>
    <w:rsid w:val="7BB52316"/>
    <w:rsid w:val="7BC04C23"/>
    <w:rsid w:val="7BC07718"/>
    <w:rsid w:val="7BCD5134"/>
    <w:rsid w:val="7C0E7EA7"/>
    <w:rsid w:val="7C137FB5"/>
    <w:rsid w:val="7C384451"/>
    <w:rsid w:val="7C7F1017"/>
    <w:rsid w:val="7CD92239"/>
    <w:rsid w:val="7CF56137"/>
    <w:rsid w:val="7CF65AC9"/>
    <w:rsid w:val="7D2D336E"/>
    <w:rsid w:val="7D391052"/>
    <w:rsid w:val="7D4845EB"/>
    <w:rsid w:val="7D4F611C"/>
    <w:rsid w:val="7D661BE7"/>
    <w:rsid w:val="7D95258E"/>
    <w:rsid w:val="7DC8448F"/>
    <w:rsid w:val="7DEA6033"/>
    <w:rsid w:val="7DFD327E"/>
    <w:rsid w:val="7E0103DF"/>
    <w:rsid w:val="7E1B2F42"/>
    <w:rsid w:val="7E2B2E15"/>
    <w:rsid w:val="7E645295"/>
    <w:rsid w:val="7E6B75B8"/>
    <w:rsid w:val="7E744367"/>
    <w:rsid w:val="7E7D789C"/>
    <w:rsid w:val="7E94245A"/>
    <w:rsid w:val="7EAA2D28"/>
    <w:rsid w:val="7ED72DC1"/>
    <w:rsid w:val="7EF43752"/>
    <w:rsid w:val="7F292C61"/>
    <w:rsid w:val="7F360131"/>
    <w:rsid w:val="7F5D664B"/>
    <w:rsid w:val="7F6D68C8"/>
    <w:rsid w:val="7F9479AF"/>
    <w:rsid w:val="7FA06226"/>
    <w:rsid w:val="7FDE1DAF"/>
    <w:rsid w:val="FCEF6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f">
      <v:fill on="t" focussize="0,0"/>
      <v:stroke on="f"/>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99"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iPriority="0" w:name="Salutation"/>
    <w:lsdException w:uiPriority="0" w:name="Date"/>
    <w:lsdException w:uiPriority="99"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unhideWhenUsed="0" w:uiPriority="0" w:semiHidden="0" w:name="Strong"/>
    <w:lsdException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99"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Times New Roman" w:hAnsi="Times New Roman" w:eastAsia="仿宋_GB2312" w:cs="宋体"/>
      <w:sz w:val="24"/>
      <w:szCs w:val="24"/>
      <w:lang w:val="en-US" w:eastAsia="zh-CN" w:bidi="ar-SA"/>
    </w:rPr>
  </w:style>
  <w:style w:type="paragraph" w:styleId="2">
    <w:name w:val="heading 1"/>
    <w:basedOn w:val="1"/>
    <w:next w:val="1"/>
    <w:qFormat/>
    <w:uiPriority w:val="9"/>
    <w:pPr>
      <w:widowControl w:val="0"/>
      <w:numPr>
        <w:ilvl w:val="0"/>
        <w:numId w:val="1"/>
      </w:numPr>
      <w:adjustRightInd w:val="0"/>
      <w:ind w:firstLine="0" w:firstLineChars="0"/>
      <w:contextualSpacing/>
      <w:jc w:val="center"/>
      <w:outlineLvl w:val="0"/>
    </w:pPr>
    <w:rPr>
      <w:rFonts w:cs="Times New Roman"/>
      <w:b/>
      <w:color w:val="000000"/>
      <w:sz w:val="36"/>
      <w:szCs w:val="36"/>
      <w:lang w:eastAsia="en-US"/>
    </w:rPr>
  </w:style>
  <w:style w:type="paragraph" w:styleId="3">
    <w:name w:val="heading 2"/>
    <w:basedOn w:val="1"/>
    <w:next w:val="1"/>
    <w:link w:val="62"/>
    <w:unhideWhenUsed/>
    <w:qFormat/>
    <w:uiPriority w:val="9"/>
    <w:pPr>
      <w:widowControl w:val="0"/>
      <w:numPr>
        <w:ilvl w:val="1"/>
        <w:numId w:val="1"/>
      </w:numPr>
      <w:spacing w:before="50" w:beforeLines="50" w:after="50" w:afterLines="50"/>
      <w:ind w:left="0" w:firstLine="0" w:firstLineChars="0"/>
      <w:outlineLvl w:val="1"/>
    </w:pPr>
    <w:rPr>
      <w:rFonts w:cs="Times New Roman"/>
      <w:b/>
      <w:color w:val="000000" w:themeColor="text1"/>
      <w:sz w:val="30"/>
      <w:szCs w:val="30"/>
      <w:lang w:eastAsia="en-US"/>
      <w14:textFill>
        <w14:solidFill>
          <w14:schemeClr w14:val="tx1"/>
        </w14:solidFill>
      </w14:textFill>
    </w:rPr>
  </w:style>
  <w:style w:type="paragraph" w:styleId="4">
    <w:name w:val="heading 3"/>
    <w:basedOn w:val="1"/>
    <w:next w:val="1"/>
    <w:link w:val="37"/>
    <w:unhideWhenUsed/>
    <w:qFormat/>
    <w:uiPriority w:val="9"/>
    <w:pPr>
      <w:widowControl w:val="0"/>
      <w:numPr>
        <w:ilvl w:val="2"/>
        <w:numId w:val="1"/>
      </w:numPr>
      <w:adjustRightInd w:val="0"/>
      <w:snapToGrid w:val="0"/>
      <w:spacing w:before="50" w:beforeLines="50" w:after="50" w:afterLines="50"/>
      <w:ind w:left="0" w:firstLine="0" w:firstLineChars="0"/>
      <w:outlineLvl w:val="2"/>
    </w:pPr>
    <w:rPr>
      <w:rFonts w:cs="Times New Roman"/>
      <w:b/>
      <w:color w:val="000000" w:themeColor="text1"/>
      <w:sz w:val="28"/>
      <w:szCs w:val="28"/>
      <w14:textFill>
        <w14:solidFill>
          <w14:schemeClr w14:val="tx1"/>
        </w14:solidFill>
      </w14:textFill>
    </w:rPr>
  </w:style>
  <w:style w:type="paragraph" w:styleId="5">
    <w:name w:val="heading 4"/>
    <w:basedOn w:val="1"/>
    <w:next w:val="1"/>
    <w:link w:val="125"/>
    <w:unhideWhenUsed/>
    <w:qFormat/>
    <w:uiPriority w:val="9"/>
    <w:pPr>
      <w:keepNext/>
      <w:keepLines/>
      <w:widowControl w:val="0"/>
      <w:numPr>
        <w:ilvl w:val="3"/>
        <w:numId w:val="1"/>
      </w:numPr>
      <w:ind w:left="0" w:firstLine="0" w:firstLineChars="0"/>
      <w:outlineLvl w:val="3"/>
    </w:pPr>
    <w:rPr>
      <w:rFonts w:cs="Times New Roman"/>
      <w:b/>
      <w:bCs/>
      <w:szCs w:val="28"/>
    </w:rPr>
  </w:style>
  <w:style w:type="paragraph" w:styleId="6">
    <w:name w:val="heading 5"/>
    <w:basedOn w:val="1"/>
    <w:next w:val="1"/>
    <w:link w:val="38"/>
    <w:qFormat/>
    <w:uiPriority w:val="0"/>
    <w:pPr>
      <w:keepNext/>
      <w:keepLines/>
      <w:numPr>
        <w:ilvl w:val="4"/>
        <w:numId w:val="1"/>
      </w:numPr>
      <w:tabs>
        <w:tab w:val="left" w:pos="1008"/>
      </w:tabs>
      <w:spacing w:line="300" w:lineRule="auto"/>
      <w:ind w:firstLine="0" w:firstLineChars="0"/>
      <w:outlineLvl w:val="4"/>
    </w:pPr>
    <w:rPr>
      <w:rFonts w:eastAsia="楷体_GB2312" w:cs="Times New Roman"/>
      <w:b/>
      <w:kern w:val="2"/>
      <w:sz w:val="28"/>
      <w:szCs w:val="20"/>
    </w:rPr>
  </w:style>
  <w:style w:type="paragraph" w:styleId="7">
    <w:name w:val="heading 6"/>
    <w:basedOn w:val="1"/>
    <w:next w:val="1"/>
    <w:link w:val="39"/>
    <w:qFormat/>
    <w:uiPriority w:val="0"/>
    <w:pPr>
      <w:keepNext/>
      <w:keepLines/>
      <w:numPr>
        <w:ilvl w:val="5"/>
        <w:numId w:val="1"/>
      </w:numPr>
      <w:tabs>
        <w:tab w:val="left" w:pos="1152"/>
      </w:tabs>
      <w:adjustRightInd w:val="0"/>
      <w:spacing w:before="240" w:after="64" w:line="320" w:lineRule="atLeast"/>
      <w:ind w:firstLine="0" w:firstLineChars="0"/>
      <w:textAlignment w:val="baseline"/>
      <w:outlineLvl w:val="5"/>
    </w:pPr>
    <w:rPr>
      <w:rFonts w:ascii="Arial" w:hAnsi="Arial" w:eastAsia="黑体" w:cs="Times New Roman"/>
      <w:b/>
      <w:spacing w:val="28"/>
      <w:kern w:val="18"/>
      <w:szCs w:val="20"/>
    </w:rPr>
  </w:style>
  <w:style w:type="paragraph" w:styleId="8">
    <w:name w:val="heading 7"/>
    <w:basedOn w:val="1"/>
    <w:next w:val="1"/>
    <w:link w:val="40"/>
    <w:qFormat/>
    <w:uiPriority w:val="0"/>
    <w:pPr>
      <w:keepNext/>
      <w:keepLines/>
      <w:numPr>
        <w:ilvl w:val="6"/>
        <w:numId w:val="1"/>
      </w:numPr>
      <w:tabs>
        <w:tab w:val="left" w:pos="1296"/>
      </w:tabs>
      <w:adjustRightInd w:val="0"/>
      <w:spacing w:before="240" w:after="64" w:line="320" w:lineRule="atLeast"/>
      <w:ind w:firstLine="0" w:firstLineChars="0"/>
      <w:textAlignment w:val="baseline"/>
      <w:outlineLvl w:val="6"/>
    </w:pPr>
    <w:rPr>
      <w:rFonts w:cs="Times New Roman"/>
      <w:b/>
      <w:spacing w:val="28"/>
      <w:kern w:val="18"/>
      <w:szCs w:val="20"/>
    </w:rPr>
  </w:style>
  <w:style w:type="paragraph" w:styleId="9">
    <w:name w:val="heading 8"/>
    <w:basedOn w:val="1"/>
    <w:next w:val="1"/>
    <w:link w:val="41"/>
    <w:qFormat/>
    <w:uiPriority w:val="0"/>
    <w:pPr>
      <w:keepNext/>
      <w:keepLines/>
      <w:numPr>
        <w:ilvl w:val="7"/>
        <w:numId w:val="1"/>
      </w:numPr>
      <w:tabs>
        <w:tab w:val="left" w:pos="1440"/>
      </w:tabs>
      <w:adjustRightInd w:val="0"/>
      <w:spacing w:before="240" w:after="64" w:line="320" w:lineRule="atLeast"/>
      <w:ind w:firstLine="0" w:firstLineChars="0"/>
      <w:textAlignment w:val="baseline"/>
      <w:outlineLvl w:val="7"/>
    </w:pPr>
    <w:rPr>
      <w:rFonts w:ascii="Arial" w:hAnsi="Arial" w:eastAsia="黑体" w:cs="Times New Roman"/>
      <w:spacing w:val="28"/>
      <w:kern w:val="18"/>
      <w:szCs w:val="20"/>
    </w:rPr>
  </w:style>
  <w:style w:type="paragraph" w:styleId="10">
    <w:name w:val="heading 9"/>
    <w:basedOn w:val="1"/>
    <w:next w:val="1"/>
    <w:link w:val="42"/>
    <w:autoRedefine/>
    <w:qFormat/>
    <w:uiPriority w:val="0"/>
    <w:pPr>
      <w:keepNext/>
      <w:keepLines/>
      <w:numPr>
        <w:ilvl w:val="8"/>
        <w:numId w:val="1"/>
      </w:numPr>
      <w:tabs>
        <w:tab w:val="left" w:pos="1584"/>
      </w:tabs>
      <w:adjustRightInd w:val="0"/>
      <w:spacing w:before="240" w:after="64" w:line="320" w:lineRule="atLeast"/>
      <w:ind w:firstLine="0" w:firstLineChars="0"/>
      <w:textAlignment w:val="baseline"/>
      <w:outlineLvl w:val="8"/>
    </w:pPr>
    <w:rPr>
      <w:rFonts w:ascii="Arial" w:hAnsi="Arial" w:eastAsia="黑体" w:cs="Times New Roman"/>
      <w:spacing w:val="28"/>
      <w:kern w:val="18"/>
      <w:sz w:val="21"/>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widowControl w:val="0"/>
      <w:spacing w:line="240" w:lineRule="auto"/>
      <w:ind w:left="2520" w:leftChars="1200" w:firstLine="0" w:firstLineChars="0"/>
    </w:pPr>
    <w:rPr>
      <w:rFonts w:ascii="等线" w:hAnsi="等线" w:eastAsia="等线" w:cs="Times New Roman"/>
      <w:kern w:val="2"/>
      <w:sz w:val="21"/>
      <w:szCs w:val="22"/>
    </w:rPr>
  </w:style>
  <w:style w:type="paragraph" w:styleId="12">
    <w:name w:val="Body Text"/>
    <w:basedOn w:val="1"/>
    <w:link w:val="86"/>
    <w:unhideWhenUsed/>
    <w:qFormat/>
    <w:uiPriority w:val="0"/>
    <w:rPr>
      <w:rFonts w:ascii="Calibri" w:hAnsi="Calibri" w:eastAsia="宋体" w:cs="Times New Roman"/>
      <w:szCs w:val="20"/>
    </w:rPr>
  </w:style>
  <w:style w:type="paragraph" w:styleId="13">
    <w:name w:val="toc 5"/>
    <w:basedOn w:val="1"/>
    <w:next w:val="1"/>
    <w:autoRedefine/>
    <w:unhideWhenUsed/>
    <w:qFormat/>
    <w:uiPriority w:val="39"/>
    <w:pPr>
      <w:widowControl w:val="0"/>
      <w:spacing w:line="240" w:lineRule="auto"/>
      <w:ind w:left="1680" w:leftChars="800" w:firstLine="0" w:firstLineChars="0"/>
    </w:pPr>
    <w:rPr>
      <w:rFonts w:ascii="等线" w:hAnsi="等线" w:eastAsia="等线" w:cs="Times New Roman"/>
      <w:kern w:val="2"/>
      <w:sz w:val="21"/>
      <w:szCs w:val="22"/>
    </w:rPr>
  </w:style>
  <w:style w:type="paragraph" w:styleId="14">
    <w:name w:val="toc 3"/>
    <w:basedOn w:val="1"/>
    <w:next w:val="1"/>
    <w:qFormat/>
    <w:uiPriority w:val="39"/>
    <w:pPr>
      <w:tabs>
        <w:tab w:val="left" w:pos="1680"/>
        <w:tab w:val="right" w:leader="dot" w:pos="9060"/>
      </w:tabs>
      <w:ind w:left="960" w:leftChars="400" w:firstLine="480"/>
      <w:jc w:val="left"/>
    </w:pPr>
  </w:style>
  <w:style w:type="paragraph" w:styleId="15">
    <w:name w:val="toc 8"/>
    <w:basedOn w:val="1"/>
    <w:next w:val="1"/>
    <w:unhideWhenUsed/>
    <w:qFormat/>
    <w:uiPriority w:val="39"/>
    <w:pPr>
      <w:widowControl w:val="0"/>
      <w:spacing w:line="240" w:lineRule="auto"/>
      <w:ind w:left="2940" w:leftChars="1400" w:firstLine="0" w:firstLineChars="0"/>
    </w:pPr>
    <w:rPr>
      <w:rFonts w:ascii="等线" w:hAnsi="等线" w:eastAsia="等线" w:cs="Times New Roman"/>
      <w:kern w:val="2"/>
      <w:sz w:val="21"/>
      <w:szCs w:val="22"/>
    </w:rPr>
  </w:style>
  <w:style w:type="paragraph" w:styleId="16">
    <w:name w:val="Balloon Text"/>
    <w:basedOn w:val="1"/>
    <w:link w:val="126"/>
    <w:unhideWhenUsed/>
    <w:qFormat/>
    <w:uiPriority w:val="0"/>
    <w:pPr>
      <w:spacing w:line="240" w:lineRule="auto"/>
    </w:pPr>
    <w:rPr>
      <w:sz w:val="18"/>
      <w:szCs w:val="18"/>
    </w:rPr>
  </w:style>
  <w:style w:type="paragraph" w:styleId="17">
    <w:name w:val="footer"/>
    <w:basedOn w:val="1"/>
    <w:link w:val="48"/>
    <w:qFormat/>
    <w:uiPriority w:val="99"/>
    <w:pPr>
      <w:pBdr>
        <w:top w:val="single" w:color="auto" w:sz="4" w:space="1"/>
      </w:pBdr>
      <w:tabs>
        <w:tab w:val="center" w:pos="4153"/>
        <w:tab w:val="right" w:pos="8306"/>
      </w:tabs>
      <w:snapToGrid w:val="0"/>
      <w:spacing w:line="240" w:lineRule="auto"/>
      <w:ind w:firstLine="420"/>
      <w:jc w:val="right"/>
    </w:pPr>
    <w:rPr>
      <w:sz w:val="21"/>
      <w:szCs w:val="18"/>
    </w:rPr>
  </w:style>
  <w:style w:type="paragraph" w:styleId="18">
    <w:name w:val="header"/>
    <w:basedOn w:val="1"/>
    <w:link w:val="47"/>
    <w:qFormat/>
    <w:uiPriority w:val="99"/>
    <w:pPr>
      <w:pBdr>
        <w:bottom w:val="single" w:color="auto" w:sz="6" w:space="1"/>
      </w:pBdr>
      <w:tabs>
        <w:tab w:val="center" w:pos="4153"/>
        <w:tab w:val="right" w:pos="8306"/>
      </w:tabs>
      <w:snapToGrid w:val="0"/>
      <w:spacing w:line="240" w:lineRule="auto"/>
      <w:ind w:firstLine="360" w:firstLineChars="0"/>
      <w:jc w:val="right"/>
    </w:pPr>
    <w:rPr>
      <w:sz w:val="18"/>
      <w:szCs w:val="18"/>
    </w:rPr>
  </w:style>
  <w:style w:type="paragraph" w:styleId="19">
    <w:name w:val="toc 1"/>
    <w:basedOn w:val="1"/>
    <w:next w:val="1"/>
    <w:qFormat/>
    <w:uiPriority w:val="39"/>
    <w:pPr>
      <w:tabs>
        <w:tab w:val="left" w:pos="420"/>
        <w:tab w:val="left" w:pos="960"/>
        <w:tab w:val="right" w:leader="dot" w:pos="8364"/>
      </w:tabs>
      <w:adjustRightInd w:val="0"/>
      <w:snapToGrid w:val="0"/>
      <w:ind w:firstLine="480"/>
      <w:jc w:val="left"/>
    </w:pPr>
  </w:style>
  <w:style w:type="paragraph" w:styleId="20">
    <w:name w:val="toc 4"/>
    <w:basedOn w:val="1"/>
    <w:next w:val="1"/>
    <w:unhideWhenUsed/>
    <w:qFormat/>
    <w:uiPriority w:val="39"/>
    <w:pPr>
      <w:widowControl w:val="0"/>
      <w:spacing w:line="240" w:lineRule="auto"/>
      <w:ind w:left="1260" w:leftChars="600" w:firstLine="0" w:firstLineChars="0"/>
    </w:pPr>
    <w:rPr>
      <w:rFonts w:ascii="等线" w:hAnsi="等线" w:eastAsia="等线" w:cs="Times New Roman"/>
      <w:kern w:val="2"/>
      <w:sz w:val="21"/>
      <w:szCs w:val="22"/>
    </w:rPr>
  </w:style>
  <w:style w:type="paragraph" w:styleId="21">
    <w:name w:val="Subtitle"/>
    <w:basedOn w:val="1"/>
    <w:next w:val="1"/>
    <w:link w:val="43"/>
    <w:qFormat/>
    <w:uiPriority w:val="99"/>
    <w:pPr>
      <w:spacing w:before="240" w:after="60" w:line="312" w:lineRule="auto"/>
      <w:jc w:val="center"/>
      <w:outlineLvl w:val="1"/>
    </w:pPr>
    <w:rPr>
      <w:rFonts w:ascii="等线 Light" w:hAnsi="等线 Light" w:cs="Times New Roman"/>
      <w:b/>
      <w:bCs/>
      <w:kern w:val="28"/>
      <w:sz w:val="32"/>
      <w:szCs w:val="32"/>
    </w:rPr>
  </w:style>
  <w:style w:type="paragraph" w:styleId="22">
    <w:name w:val="toc 6"/>
    <w:basedOn w:val="1"/>
    <w:next w:val="1"/>
    <w:unhideWhenUsed/>
    <w:qFormat/>
    <w:uiPriority w:val="39"/>
    <w:pPr>
      <w:widowControl w:val="0"/>
      <w:spacing w:line="240" w:lineRule="auto"/>
      <w:ind w:left="2100" w:leftChars="1000" w:firstLine="0" w:firstLineChars="0"/>
    </w:pPr>
    <w:rPr>
      <w:rFonts w:ascii="等线" w:hAnsi="等线" w:eastAsia="等线" w:cs="Times New Roman"/>
      <w:kern w:val="2"/>
      <w:sz w:val="21"/>
      <w:szCs w:val="22"/>
    </w:rPr>
  </w:style>
  <w:style w:type="paragraph" w:styleId="23">
    <w:name w:val="toc 2"/>
    <w:basedOn w:val="1"/>
    <w:next w:val="1"/>
    <w:qFormat/>
    <w:uiPriority w:val="39"/>
    <w:pPr>
      <w:ind w:left="420" w:leftChars="200"/>
    </w:pPr>
  </w:style>
  <w:style w:type="paragraph" w:styleId="24">
    <w:name w:val="toc 9"/>
    <w:basedOn w:val="1"/>
    <w:next w:val="1"/>
    <w:unhideWhenUsed/>
    <w:qFormat/>
    <w:uiPriority w:val="39"/>
    <w:pPr>
      <w:widowControl w:val="0"/>
      <w:spacing w:line="240" w:lineRule="auto"/>
      <w:ind w:left="3360" w:leftChars="1600" w:firstLine="0" w:firstLineChars="0"/>
    </w:pPr>
    <w:rPr>
      <w:rFonts w:ascii="等线" w:hAnsi="等线" w:eastAsia="等线" w:cs="Times New Roman"/>
      <w:kern w:val="2"/>
      <w:sz w:val="21"/>
      <w:szCs w:val="22"/>
    </w:rPr>
  </w:style>
  <w:style w:type="paragraph" w:styleId="25">
    <w:name w:val="Normal (Web)"/>
    <w:basedOn w:val="1"/>
    <w:semiHidden/>
    <w:unhideWhenUsed/>
    <w:qFormat/>
    <w:uiPriority w:val="99"/>
    <w:pPr>
      <w:spacing w:before="100" w:beforeAutospacing="1" w:after="100" w:afterAutospacing="1" w:line="240" w:lineRule="auto"/>
      <w:ind w:firstLine="0" w:firstLineChars="0"/>
      <w:jc w:val="left"/>
    </w:pPr>
    <w:rPr>
      <w:rFonts w:ascii="宋体" w:hAnsi="宋体" w:eastAsia="宋体"/>
    </w:rPr>
  </w:style>
  <w:style w:type="paragraph" w:styleId="26">
    <w:name w:val="Title"/>
    <w:basedOn w:val="1"/>
    <w:next w:val="1"/>
    <w:link w:val="32"/>
    <w:qFormat/>
    <w:uiPriority w:val="10"/>
    <w:pPr>
      <w:widowControl w:val="0"/>
      <w:spacing w:before="240" w:after="60"/>
      <w:jc w:val="center"/>
      <w:outlineLvl w:val="0"/>
    </w:pPr>
    <w:rPr>
      <w:rFonts w:ascii="Cambria" w:hAnsi="Cambria" w:cs="Times New Roman"/>
      <w:b/>
      <w:bCs/>
      <w:sz w:val="32"/>
      <w:szCs w:val="32"/>
      <w:lang w:eastAsia="en-US"/>
    </w:rPr>
  </w:style>
  <w:style w:type="table" w:styleId="28">
    <w:name w:val="Table Grid"/>
    <w:basedOn w:val="27"/>
    <w:qFormat/>
    <w:uiPriority w:val="0"/>
    <w:pPr>
      <w:jc w:val="center"/>
    </w:pPr>
    <w:rPr>
      <w:rFonts w:eastAsia="仿宋_GB2312"/>
      <w:color w:val="000000" w:themeColor="text1"/>
      <w:sz w:val="21"/>
      <w14:textFill>
        <w14:solidFill>
          <w14:schemeClr w14:val="tx1"/>
        </w14:solidFill>
      </w14:textFill>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tcPr>
        <w:tcBorders>
          <w:bottom w:val="single" w:color="auto" w:sz="4" w:space="0"/>
        </w:tcBorders>
      </w:tcPr>
    </w:tblStylePr>
  </w:style>
  <w:style w:type="character" w:styleId="30">
    <w:name w:val="FollowedHyperlink"/>
    <w:unhideWhenUsed/>
    <w:qFormat/>
    <w:uiPriority w:val="99"/>
    <w:rPr>
      <w:color w:val="800080"/>
      <w:u w:val="single"/>
    </w:rPr>
  </w:style>
  <w:style w:type="character" w:styleId="31">
    <w:name w:val="Hyperlink"/>
    <w:unhideWhenUsed/>
    <w:qFormat/>
    <w:uiPriority w:val="99"/>
    <w:rPr>
      <w:color w:val="0000FF"/>
      <w:u w:val="single"/>
    </w:rPr>
  </w:style>
  <w:style w:type="character" w:customStyle="1" w:styleId="32">
    <w:name w:val="标题 字符"/>
    <w:link w:val="26"/>
    <w:autoRedefine/>
    <w:qFormat/>
    <w:uiPriority w:val="10"/>
    <w:rPr>
      <w:rFonts w:ascii="Cambria" w:hAnsi="Cambria"/>
      <w:b/>
      <w:bCs/>
      <w:sz w:val="32"/>
      <w:szCs w:val="32"/>
      <w:lang w:eastAsia="en-US"/>
    </w:rPr>
  </w:style>
  <w:style w:type="paragraph" w:customStyle="1" w:styleId="33">
    <w:name w:val="表格"/>
    <w:basedOn w:val="1"/>
    <w:link w:val="34"/>
    <w:qFormat/>
    <w:uiPriority w:val="0"/>
    <w:pPr>
      <w:widowControl w:val="0"/>
      <w:spacing w:line="240" w:lineRule="auto"/>
      <w:ind w:firstLine="0" w:firstLineChars="0"/>
      <w:jc w:val="center"/>
    </w:pPr>
    <w:rPr>
      <w:rFonts w:cs="Times New Roman"/>
      <w:color w:val="000000"/>
      <w:sz w:val="21"/>
      <w:szCs w:val="21"/>
    </w:rPr>
  </w:style>
  <w:style w:type="character" w:customStyle="1" w:styleId="34">
    <w:name w:val="表格 Char"/>
    <w:link w:val="33"/>
    <w:autoRedefine/>
    <w:qFormat/>
    <w:uiPriority w:val="0"/>
    <w:rPr>
      <w:rFonts w:eastAsia="仿宋_GB2312"/>
      <w:color w:val="000000"/>
      <w:sz w:val="21"/>
      <w:szCs w:val="21"/>
    </w:rPr>
  </w:style>
  <w:style w:type="paragraph" w:customStyle="1" w:styleId="35">
    <w:name w:val="图头"/>
    <w:basedOn w:val="21"/>
    <w:link w:val="36"/>
    <w:qFormat/>
    <w:uiPriority w:val="0"/>
    <w:pPr>
      <w:widowControl w:val="0"/>
      <w:spacing w:before="0" w:after="0" w:line="240" w:lineRule="auto"/>
      <w:ind w:firstLine="0" w:firstLineChars="0"/>
      <w:textAlignment w:val="center"/>
      <w:outlineLvl w:val="9"/>
    </w:pPr>
    <w:rPr>
      <w:rFonts w:ascii="Times New Roman" w:hAnsi="Times New Roman" w:eastAsia="宋体" w:cs="仿宋"/>
      <w:bCs w:val="0"/>
      <w:spacing w:val="4"/>
      <w:kern w:val="0"/>
      <w:sz w:val="24"/>
      <w:szCs w:val="18"/>
      <w:lang w:eastAsia="en-US"/>
    </w:rPr>
  </w:style>
  <w:style w:type="character" w:customStyle="1" w:styleId="36">
    <w:name w:val="图头 字符"/>
    <w:link w:val="35"/>
    <w:qFormat/>
    <w:uiPriority w:val="0"/>
    <w:rPr>
      <w:rFonts w:cs="仿宋"/>
      <w:b/>
      <w:spacing w:val="4"/>
      <w:sz w:val="24"/>
      <w:szCs w:val="18"/>
      <w:lang w:eastAsia="en-US"/>
    </w:rPr>
  </w:style>
  <w:style w:type="character" w:customStyle="1" w:styleId="37">
    <w:name w:val="标题 3 字符"/>
    <w:link w:val="4"/>
    <w:autoRedefine/>
    <w:qFormat/>
    <w:uiPriority w:val="9"/>
    <w:rPr>
      <w:rFonts w:eastAsia="仿宋_GB2312"/>
      <w:b/>
      <w:color w:val="000000" w:themeColor="text1"/>
      <w:sz w:val="28"/>
      <w:szCs w:val="28"/>
      <w14:textFill>
        <w14:solidFill>
          <w14:schemeClr w14:val="tx1"/>
        </w14:solidFill>
      </w14:textFill>
    </w:rPr>
  </w:style>
  <w:style w:type="character" w:customStyle="1" w:styleId="38">
    <w:name w:val="标题 5 字符"/>
    <w:link w:val="6"/>
    <w:autoRedefine/>
    <w:qFormat/>
    <w:uiPriority w:val="0"/>
    <w:rPr>
      <w:rFonts w:eastAsia="楷体_GB2312"/>
      <w:b/>
      <w:kern w:val="2"/>
      <w:sz w:val="28"/>
    </w:rPr>
  </w:style>
  <w:style w:type="character" w:customStyle="1" w:styleId="39">
    <w:name w:val="标题 6 字符"/>
    <w:link w:val="7"/>
    <w:qFormat/>
    <w:uiPriority w:val="0"/>
    <w:rPr>
      <w:rFonts w:ascii="Arial" w:hAnsi="Arial" w:eastAsia="黑体"/>
      <w:b/>
      <w:spacing w:val="28"/>
      <w:kern w:val="18"/>
      <w:sz w:val="24"/>
    </w:rPr>
  </w:style>
  <w:style w:type="character" w:customStyle="1" w:styleId="40">
    <w:name w:val="标题 7 字符"/>
    <w:link w:val="8"/>
    <w:autoRedefine/>
    <w:qFormat/>
    <w:uiPriority w:val="0"/>
    <w:rPr>
      <w:rFonts w:eastAsia="仿宋_GB2312"/>
      <w:b/>
      <w:spacing w:val="28"/>
      <w:kern w:val="18"/>
      <w:sz w:val="24"/>
    </w:rPr>
  </w:style>
  <w:style w:type="character" w:customStyle="1" w:styleId="41">
    <w:name w:val="标题 8 字符"/>
    <w:link w:val="9"/>
    <w:autoRedefine/>
    <w:qFormat/>
    <w:uiPriority w:val="0"/>
    <w:rPr>
      <w:rFonts w:ascii="Arial" w:hAnsi="Arial" w:eastAsia="黑体"/>
      <w:spacing w:val="28"/>
      <w:kern w:val="18"/>
      <w:sz w:val="24"/>
    </w:rPr>
  </w:style>
  <w:style w:type="character" w:customStyle="1" w:styleId="42">
    <w:name w:val="标题 9 字符"/>
    <w:link w:val="10"/>
    <w:qFormat/>
    <w:uiPriority w:val="0"/>
    <w:rPr>
      <w:rFonts w:ascii="Arial" w:hAnsi="Arial" w:eastAsia="黑体"/>
      <w:spacing w:val="28"/>
      <w:kern w:val="18"/>
      <w:sz w:val="21"/>
    </w:rPr>
  </w:style>
  <w:style w:type="character" w:customStyle="1" w:styleId="43">
    <w:name w:val="副标题 字符"/>
    <w:link w:val="21"/>
    <w:autoRedefine/>
    <w:qFormat/>
    <w:uiPriority w:val="99"/>
    <w:rPr>
      <w:rFonts w:ascii="等线 Light" w:hAnsi="等线 Light" w:cs="Times New Roman"/>
      <w:b/>
      <w:bCs/>
      <w:kern w:val="28"/>
      <w:sz w:val="32"/>
      <w:szCs w:val="32"/>
    </w:rPr>
  </w:style>
  <w:style w:type="paragraph" w:customStyle="1" w:styleId="44">
    <w:name w:val="表头"/>
    <w:basedOn w:val="35"/>
    <w:link w:val="45"/>
    <w:qFormat/>
    <w:uiPriority w:val="0"/>
    <w:pPr>
      <w:spacing w:before="120" w:beforeLines="50" w:after="120" w:afterLines="50"/>
      <w:ind w:left="240" w:leftChars="100"/>
      <w:jc w:val="left"/>
    </w:pPr>
  </w:style>
  <w:style w:type="character" w:customStyle="1" w:styleId="45">
    <w:name w:val="表头 字符"/>
    <w:link w:val="44"/>
    <w:autoRedefine/>
    <w:qFormat/>
    <w:uiPriority w:val="0"/>
    <w:rPr>
      <w:rFonts w:cs="仿宋"/>
      <w:b/>
      <w:spacing w:val="4"/>
      <w:sz w:val="24"/>
      <w:szCs w:val="18"/>
      <w:lang w:eastAsia="en-US"/>
    </w:rPr>
  </w:style>
  <w:style w:type="paragraph" w:styleId="46">
    <w:name w:val="List Paragraph"/>
    <w:basedOn w:val="1"/>
    <w:autoRedefine/>
    <w:qFormat/>
    <w:uiPriority w:val="1"/>
    <w:pPr>
      <w:ind w:firstLine="482"/>
    </w:pPr>
    <w:rPr>
      <w:b/>
      <w:color w:val="000000" w:themeColor="text1"/>
      <w14:textFill>
        <w14:solidFill>
          <w14:schemeClr w14:val="tx1"/>
        </w14:solidFill>
      </w14:textFill>
    </w:rPr>
  </w:style>
  <w:style w:type="character" w:customStyle="1" w:styleId="47">
    <w:name w:val="页眉 字符"/>
    <w:link w:val="18"/>
    <w:qFormat/>
    <w:uiPriority w:val="99"/>
    <w:rPr>
      <w:rFonts w:eastAsia="仿宋_GB2312" w:cs="宋体"/>
      <w:sz w:val="18"/>
      <w:szCs w:val="18"/>
    </w:rPr>
  </w:style>
  <w:style w:type="character" w:customStyle="1" w:styleId="48">
    <w:name w:val="页脚 字符"/>
    <w:link w:val="17"/>
    <w:autoRedefine/>
    <w:qFormat/>
    <w:uiPriority w:val="99"/>
    <w:rPr>
      <w:rFonts w:eastAsia="仿宋_GB2312" w:cs="宋体"/>
      <w:sz w:val="21"/>
      <w:szCs w:val="18"/>
    </w:rPr>
  </w:style>
  <w:style w:type="paragraph" w:customStyle="1" w:styleId="49">
    <w:name w:val="目录标题"/>
    <w:basedOn w:val="1"/>
    <w:link w:val="51"/>
    <w:qFormat/>
    <w:uiPriority w:val="0"/>
    <w:pPr>
      <w:ind w:firstLine="643"/>
      <w:contextualSpacing/>
      <w:jc w:val="center"/>
    </w:pPr>
    <w:rPr>
      <w:rFonts w:ascii="黑体" w:hAnsi="黑体" w:eastAsia="黑体" w:cs="Times New Roman"/>
      <w:b/>
      <w:sz w:val="32"/>
      <w:szCs w:val="32"/>
    </w:rPr>
  </w:style>
  <w:style w:type="paragraph" w:customStyle="1" w:styleId="50">
    <w:name w:val="目录其他"/>
    <w:basedOn w:val="1"/>
    <w:link w:val="53"/>
    <w:qFormat/>
    <w:uiPriority w:val="0"/>
    <w:pPr>
      <w:tabs>
        <w:tab w:val="right" w:leader="dot" w:pos="9062"/>
      </w:tabs>
      <w:ind w:firstLine="0" w:firstLineChars="0"/>
    </w:pPr>
    <w:rPr>
      <w:rFonts w:cs="Times New Roman"/>
      <w:bCs/>
      <w:caps/>
      <w:sz w:val="28"/>
    </w:rPr>
  </w:style>
  <w:style w:type="character" w:customStyle="1" w:styleId="51">
    <w:name w:val="目录标题 字符"/>
    <w:link w:val="49"/>
    <w:qFormat/>
    <w:uiPriority w:val="0"/>
    <w:rPr>
      <w:rFonts w:ascii="黑体" w:hAnsi="黑体" w:eastAsia="黑体"/>
      <w:b/>
      <w:sz w:val="32"/>
      <w:szCs w:val="32"/>
    </w:rPr>
  </w:style>
  <w:style w:type="paragraph" w:customStyle="1" w:styleId="52">
    <w:name w:val="项目名称"/>
    <w:basedOn w:val="1"/>
    <w:link w:val="55"/>
    <w:qFormat/>
    <w:uiPriority w:val="0"/>
    <w:pPr>
      <w:widowControl w:val="0"/>
      <w:ind w:firstLine="883"/>
      <w:jc w:val="center"/>
    </w:pPr>
    <w:rPr>
      <w:rFonts w:eastAsia="宋体" w:cs="Times New Roman"/>
      <w:b/>
      <w:color w:val="000000"/>
      <w:kern w:val="2"/>
      <w:sz w:val="44"/>
      <w:szCs w:val="44"/>
    </w:rPr>
  </w:style>
  <w:style w:type="character" w:customStyle="1" w:styleId="53">
    <w:name w:val="目录其他 字符"/>
    <w:link w:val="50"/>
    <w:qFormat/>
    <w:uiPriority w:val="0"/>
    <w:rPr>
      <w:rFonts w:eastAsia="仿宋_GB2312"/>
      <w:bCs/>
      <w:caps/>
      <w:sz w:val="28"/>
      <w:szCs w:val="24"/>
    </w:rPr>
  </w:style>
  <w:style w:type="paragraph" w:customStyle="1" w:styleId="54">
    <w:name w:val="水土保持名称"/>
    <w:basedOn w:val="1"/>
    <w:link w:val="57"/>
    <w:qFormat/>
    <w:uiPriority w:val="0"/>
    <w:pPr>
      <w:widowControl w:val="0"/>
      <w:ind w:left="-283" w:leftChars="-118" w:firstLine="1680"/>
      <w:jc w:val="center"/>
    </w:pPr>
    <w:rPr>
      <w:rFonts w:eastAsia="黑体" w:cs="Times New Roman"/>
      <w:bCs/>
      <w:color w:val="000000"/>
      <w:kern w:val="72"/>
      <w:sz w:val="72"/>
      <w:szCs w:val="72"/>
    </w:rPr>
  </w:style>
  <w:style w:type="character" w:customStyle="1" w:styleId="55">
    <w:name w:val="项目名称 字符"/>
    <w:link w:val="52"/>
    <w:qFormat/>
    <w:uiPriority w:val="0"/>
    <w:rPr>
      <w:b/>
      <w:color w:val="000000"/>
      <w:kern w:val="2"/>
      <w:sz w:val="44"/>
      <w:szCs w:val="44"/>
    </w:rPr>
  </w:style>
  <w:style w:type="paragraph" w:customStyle="1" w:styleId="56">
    <w:name w:val="单位名称"/>
    <w:basedOn w:val="1"/>
    <w:link w:val="59"/>
    <w:autoRedefine/>
    <w:qFormat/>
    <w:uiPriority w:val="0"/>
    <w:pPr>
      <w:widowControl w:val="0"/>
      <w:ind w:firstLine="1274" w:firstLineChars="398"/>
    </w:pPr>
    <w:rPr>
      <w:rFonts w:eastAsia="宋体" w:cs="Times New Roman"/>
      <w:color w:val="000000"/>
      <w:kern w:val="2"/>
      <w:sz w:val="32"/>
      <w:szCs w:val="32"/>
    </w:rPr>
  </w:style>
  <w:style w:type="character" w:customStyle="1" w:styleId="57">
    <w:name w:val="水土保持名称 字符"/>
    <w:link w:val="54"/>
    <w:qFormat/>
    <w:uiPriority w:val="0"/>
    <w:rPr>
      <w:rFonts w:eastAsia="黑体"/>
      <w:bCs/>
      <w:color w:val="000000"/>
      <w:kern w:val="72"/>
      <w:sz w:val="72"/>
      <w:szCs w:val="72"/>
    </w:rPr>
  </w:style>
  <w:style w:type="paragraph" w:customStyle="1" w:styleId="58">
    <w:name w:val="页眉1"/>
    <w:basedOn w:val="18"/>
    <w:link w:val="61"/>
    <w:qFormat/>
    <w:uiPriority w:val="0"/>
    <w:pPr>
      <w:ind w:firstLine="480"/>
    </w:pPr>
    <w:rPr>
      <w:sz w:val="21"/>
    </w:rPr>
  </w:style>
  <w:style w:type="character" w:customStyle="1" w:styleId="59">
    <w:name w:val="单位名称 字符"/>
    <w:link w:val="56"/>
    <w:autoRedefine/>
    <w:qFormat/>
    <w:uiPriority w:val="0"/>
    <w:rPr>
      <w:color w:val="000000"/>
      <w:kern w:val="2"/>
      <w:sz w:val="32"/>
      <w:szCs w:val="32"/>
    </w:rPr>
  </w:style>
  <w:style w:type="paragraph" w:customStyle="1" w:styleId="60">
    <w:name w:val="页脚1"/>
    <w:basedOn w:val="17"/>
    <w:link w:val="63"/>
    <w:qFormat/>
    <w:uiPriority w:val="0"/>
  </w:style>
  <w:style w:type="character" w:customStyle="1" w:styleId="61">
    <w:name w:val="页眉1 字符"/>
    <w:link w:val="58"/>
    <w:autoRedefine/>
    <w:qFormat/>
    <w:uiPriority w:val="0"/>
    <w:rPr>
      <w:rFonts w:eastAsia="仿宋_GB2312" w:cs="宋体"/>
      <w:sz w:val="21"/>
      <w:szCs w:val="18"/>
    </w:rPr>
  </w:style>
  <w:style w:type="character" w:customStyle="1" w:styleId="62">
    <w:name w:val="标题 2 字符"/>
    <w:link w:val="3"/>
    <w:qFormat/>
    <w:uiPriority w:val="9"/>
    <w:rPr>
      <w:rFonts w:eastAsia="仿宋_GB2312"/>
      <w:b/>
      <w:color w:val="000000" w:themeColor="text1"/>
      <w:sz w:val="30"/>
      <w:szCs w:val="30"/>
      <w:lang w:eastAsia="en-US"/>
      <w14:textFill>
        <w14:solidFill>
          <w14:schemeClr w14:val="tx1"/>
        </w14:solidFill>
      </w14:textFill>
    </w:rPr>
  </w:style>
  <w:style w:type="character" w:customStyle="1" w:styleId="63">
    <w:name w:val="页脚1 字符"/>
    <w:basedOn w:val="48"/>
    <w:link w:val="60"/>
    <w:qFormat/>
    <w:uiPriority w:val="0"/>
    <w:rPr>
      <w:rFonts w:eastAsia="仿宋_GB2312" w:cs="宋体"/>
      <w:sz w:val="21"/>
      <w:szCs w:val="18"/>
    </w:rPr>
  </w:style>
  <w:style w:type="paragraph" w:customStyle="1" w:styleId="64">
    <w:name w:val="首行缩进"/>
    <w:basedOn w:val="1"/>
    <w:autoRedefine/>
    <w:qFormat/>
    <w:uiPriority w:val="0"/>
    <w:pPr>
      <w:widowControl w:val="0"/>
    </w:pPr>
    <w:rPr>
      <w:rFonts w:eastAsia="宋体" w:cs="Times New Roman"/>
      <w:kern w:val="2"/>
    </w:rPr>
  </w:style>
  <w:style w:type="character" w:customStyle="1" w:styleId="65">
    <w:name w:val="[正文格式] Char"/>
    <w:link w:val="66"/>
    <w:qFormat/>
    <w:locked/>
    <w:uiPriority w:val="0"/>
    <w:rPr>
      <w:rFonts w:eastAsia="仿宋_GB2312"/>
      <w:color w:val="000000" w:themeColor="text1"/>
      <w:sz w:val="24"/>
      <w:szCs w:val="24"/>
      <w14:textFill>
        <w14:solidFill>
          <w14:schemeClr w14:val="tx1"/>
        </w14:solidFill>
      </w14:textFill>
    </w:rPr>
  </w:style>
  <w:style w:type="paragraph" w:customStyle="1" w:styleId="66">
    <w:name w:val="[正文格式]"/>
    <w:basedOn w:val="1"/>
    <w:link w:val="65"/>
    <w:qFormat/>
    <w:uiPriority w:val="0"/>
    <w:pPr>
      <w:widowControl w:val="0"/>
      <w:ind w:firstLine="480"/>
    </w:pPr>
    <w:rPr>
      <w:rFonts w:cs="Times New Roman"/>
      <w:color w:val="000000" w:themeColor="text1"/>
      <w14:textFill>
        <w14:solidFill>
          <w14:schemeClr w14:val="tx1"/>
        </w14:solidFill>
      </w14:textFill>
    </w:rPr>
  </w:style>
  <w:style w:type="paragraph" w:customStyle="1" w:styleId="67">
    <w:name w:val="msonormal"/>
    <w:basedOn w:val="1"/>
    <w:autoRedefine/>
    <w:qFormat/>
    <w:uiPriority w:val="0"/>
    <w:pPr>
      <w:spacing w:before="100" w:beforeAutospacing="1" w:after="100" w:afterAutospacing="1" w:line="240" w:lineRule="auto"/>
      <w:ind w:firstLine="0" w:firstLineChars="0"/>
    </w:pPr>
    <w:rPr>
      <w:rFonts w:ascii="宋体" w:hAnsi="宋体" w:eastAsia="宋体"/>
    </w:rPr>
  </w:style>
  <w:style w:type="paragraph" w:customStyle="1" w:styleId="68">
    <w:name w:val="font5"/>
    <w:basedOn w:val="1"/>
    <w:autoRedefine/>
    <w:qFormat/>
    <w:uiPriority w:val="0"/>
    <w:pPr>
      <w:spacing w:before="100" w:beforeAutospacing="1" w:after="100" w:afterAutospacing="1" w:line="240" w:lineRule="auto"/>
      <w:ind w:firstLine="0" w:firstLineChars="0"/>
    </w:pPr>
    <w:rPr>
      <w:rFonts w:eastAsia="宋体" w:cs="Times New Roman"/>
    </w:rPr>
  </w:style>
  <w:style w:type="paragraph" w:customStyle="1" w:styleId="69">
    <w:name w:val="font6"/>
    <w:basedOn w:val="1"/>
    <w:autoRedefine/>
    <w:qFormat/>
    <w:uiPriority w:val="0"/>
    <w:pPr>
      <w:spacing w:before="100" w:beforeAutospacing="1" w:after="100" w:afterAutospacing="1" w:line="240" w:lineRule="auto"/>
      <w:ind w:firstLine="0" w:firstLineChars="0"/>
    </w:pPr>
    <w:rPr>
      <w:rFonts w:ascii="宋体" w:hAnsi="宋体" w:eastAsia="宋体"/>
    </w:rPr>
  </w:style>
  <w:style w:type="paragraph" w:customStyle="1" w:styleId="70">
    <w:name w:val="font7"/>
    <w:basedOn w:val="1"/>
    <w:autoRedefine/>
    <w:qFormat/>
    <w:uiPriority w:val="0"/>
    <w:pPr>
      <w:spacing w:before="100" w:beforeAutospacing="1" w:after="100" w:afterAutospacing="1" w:line="240" w:lineRule="auto"/>
      <w:ind w:firstLine="0" w:firstLineChars="0"/>
    </w:pPr>
    <w:rPr>
      <w:rFonts w:ascii="宋体" w:hAnsi="宋体" w:eastAsia="宋体"/>
      <w:sz w:val="18"/>
      <w:szCs w:val="18"/>
    </w:rPr>
  </w:style>
  <w:style w:type="paragraph" w:customStyle="1" w:styleId="71">
    <w:name w:val="xl7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rPr>
  </w:style>
  <w:style w:type="paragraph" w:customStyle="1" w:styleId="72">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rPr>
  </w:style>
  <w:style w:type="paragraph" w:customStyle="1" w:styleId="73">
    <w:name w:val="xl76"/>
    <w:basedOn w:val="1"/>
    <w:autoRedefine/>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pPr>
    <w:rPr>
      <w:rFonts w:eastAsia="宋体" w:cs="Times New Roman"/>
    </w:rPr>
  </w:style>
  <w:style w:type="paragraph" w:customStyle="1" w:styleId="74">
    <w:name w:val="xl7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pPr>
    <w:rPr>
      <w:rFonts w:eastAsia="宋体" w:cs="Times New Roman"/>
    </w:rPr>
  </w:style>
  <w:style w:type="paragraph" w:customStyle="1" w:styleId="75">
    <w:name w:val="xl7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rPr>
  </w:style>
  <w:style w:type="paragraph" w:customStyle="1" w:styleId="76">
    <w:name w:val="xl79"/>
    <w:basedOn w:val="1"/>
    <w:qFormat/>
    <w:uiPriority w:val="0"/>
    <w:pPr>
      <w:spacing w:before="100" w:beforeAutospacing="1" w:after="100" w:afterAutospacing="1" w:line="240" w:lineRule="auto"/>
      <w:ind w:firstLine="0" w:firstLineChars="0"/>
      <w:jc w:val="center"/>
    </w:pPr>
    <w:rPr>
      <w:rFonts w:eastAsia="宋体" w:cs="Times New Roman"/>
    </w:rPr>
  </w:style>
  <w:style w:type="paragraph" w:customStyle="1" w:styleId="77">
    <w:name w:val="xl8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rPr>
  </w:style>
  <w:style w:type="paragraph" w:customStyle="1" w:styleId="78">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olor w:val="FF0000"/>
    </w:rPr>
  </w:style>
  <w:style w:type="paragraph" w:customStyle="1" w:styleId="79">
    <w:name w:val="xl8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rPr>
  </w:style>
  <w:style w:type="paragraph" w:customStyle="1" w:styleId="80">
    <w:name w:val="xl83"/>
    <w:basedOn w:val="1"/>
    <w:autoRedefine/>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pPr>
    <w:rPr>
      <w:rFonts w:eastAsia="宋体" w:cs="Times New Roman"/>
    </w:rPr>
  </w:style>
  <w:style w:type="paragraph" w:customStyle="1" w:styleId="81">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rPr>
  </w:style>
  <w:style w:type="paragraph" w:customStyle="1" w:styleId="82">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rPr>
  </w:style>
  <w:style w:type="paragraph" w:customStyle="1" w:styleId="83">
    <w:name w:val="xl8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rPr>
  </w:style>
  <w:style w:type="paragraph" w:customStyle="1" w:styleId="84">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rPr>
  </w:style>
  <w:style w:type="paragraph" w:customStyle="1" w:styleId="85">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rPr>
  </w:style>
  <w:style w:type="character" w:customStyle="1" w:styleId="86">
    <w:name w:val="正文文本 字符"/>
    <w:link w:val="12"/>
    <w:qFormat/>
    <w:uiPriority w:val="0"/>
    <w:rPr>
      <w:rFonts w:ascii="Calibri" w:hAnsi="Calibri"/>
      <w:sz w:val="24"/>
    </w:rPr>
  </w:style>
  <w:style w:type="paragraph" w:customStyle="1" w:styleId="87">
    <w:name w:val="font8"/>
    <w:basedOn w:val="1"/>
    <w:autoRedefine/>
    <w:qFormat/>
    <w:uiPriority w:val="0"/>
    <w:pPr>
      <w:spacing w:before="100" w:beforeAutospacing="1" w:after="100" w:afterAutospacing="1" w:line="240" w:lineRule="auto"/>
      <w:ind w:firstLine="0" w:firstLineChars="0"/>
    </w:pPr>
    <w:rPr>
      <w:rFonts w:ascii="宋体" w:hAnsi="宋体" w:eastAsia="宋体"/>
      <w:sz w:val="18"/>
      <w:szCs w:val="18"/>
    </w:rPr>
  </w:style>
  <w:style w:type="paragraph" w:customStyle="1" w:styleId="88">
    <w:name w:val="font9"/>
    <w:basedOn w:val="1"/>
    <w:autoRedefine/>
    <w:qFormat/>
    <w:uiPriority w:val="0"/>
    <w:pPr>
      <w:spacing w:before="100" w:beforeAutospacing="1" w:after="100" w:afterAutospacing="1" w:line="240" w:lineRule="auto"/>
      <w:ind w:firstLine="0" w:firstLineChars="0"/>
    </w:pPr>
    <w:rPr>
      <w:rFonts w:ascii="宋体" w:hAnsi="宋体" w:eastAsia="宋体"/>
      <w:color w:val="FF0000"/>
    </w:rPr>
  </w:style>
  <w:style w:type="paragraph" w:customStyle="1" w:styleId="89">
    <w:name w:val="xl8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rPr>
  </w:style>
  <w:style w:type="paragraph" w:customStyle="1" w:styleId="90">
    <w:name w:val="font10"/>
    <w:basedOn w:val="1"/>
    <w:autoRedefine/>
    <w:qFormat/>
    <w:uiPriority w:val="0"/>
    <w:pPr>
      <w:spacing w:before="100" w:beforeAutospacing="1" w:after="100" w:afterAutospacing="1" w:line="240" w:lineRule="auto"/>
      <w:ind w:firstLine="0" w:firstLineChars="0"/>
    </w:pPr>
    <w:rPr>
      <w:rFonts w:eastAsia="宋体" w:cs="Times New Roman"/>
      <w:color w:val="000000"/>
    </w:rPr>
  </w:style>
  <w:style w:type="paragraph" w:customStyle="1" w:styleId="91">
    <w:name w:val="font11"/>
    <w:basedOn w:val="1"/>
    <w:autoRedefine/>
    <w:qFormat/>
    <w:uiPriority w:val="0"/>
    <w:pPr>
      <w:spacing w:before="100" w:beforeAutospacing="1" w:after="100" w:afterAutospacing="1" w:line="240" w:lineRule="auto"/>
      <w:ind w:firstLine="0" w:firstLineChars="0"/>
    </w:pPr>
    <w:rPr>
      <w:rFonts w:ascii="仿宋_GB2312" w:hAnsi="宋体"/>
      <w:color w:val="000000"/>
    </w:rPr>
  </w:style>
  <w:style w:type="paragraph" w:customStyle="1" w:styleId="92">
    <w:name w:val="font12"/>
    <w:basedOn w:val="1"/>
    <w:autoRedefine/>
    <w:qFormat/>
    <w:uiPriority w:val="0"/>
    <w:pPr>
      <w:spacing w:before="100" w:beforeAutospacing="1" w:after="100" w:afterAutospacing="1" w:line="240" w:lineRule="auto"/>
      <w:ind w:firstLine="0" w:firstLineChars="0"/>
    </w:pPr>
    <w:rPr>
      <w:rFonts w:eastAsia="宋体" w:cs="Times New Roman"/>
    </w:rPr>
  </w:style>
  <w:style w:type="paragraph" w:customStyle="1" w:styleId="93">
    <w:name w:val="font13"/>
    <w:basedOn w:val="1"/>
    <w:autoRedefine/>
    <w:qFormat/>
    <w:uiPriority w:val="0"/>
    <w:pPr>
      <w:spacing w:before="100" w:beforeAutospacing="1" w:after="100" w:afterAutospacing="1" w:line="240" w:lineRule="auto"/>
      <w:ind w:firstLine="0" w:firstLineChars="0"/>
    </w:pPr>
    <w:rPr>
      <w:rFonts w:ascii="仿宋_GB2312" w:hAnsi="宋体"/>
      <w:color w:val="000000"/>
      <w:u w:val="single"/>
    </w:rPr>
  </w:style>
  <w:style w:type="paragraph" w:customStyle="1" w:styleId="94">
    <w:name w:val="font14"/>
    <w:basedOn w:val="1"/>
    <w:autoRedefine/>
    <w:qFormat/>
    <w:uiPriority w:val="0"/>
    <w:pPr>
      <w:spacing w:before="100" w:beforeAutospacing="1" w:after="100" w:afterAutospacing="1" w:line="240" w:lineRule="auto"/>
      <w:ind w:firstLine="0" w:firstLineChars="0"/>
    </w:pPr>
    <w:rPr>
      <w:rFonts w:eastAsia="宋体" w:cs="Times New Roman"/>
      <w:color w:val="000000"/>
      <w:u w:val="single"/>
    </w:rPr>
  </w:style>
  <w:style w:type="paragraph" w:customStyle="1" w:styleId="95">
    <w:name w:val="font15"/>
    <w:basedOn w:val="1"/>
    <w:autoRedefine/>
    <w:qFormat/>
    <w:uiPriority w:val="0"/>
    <w:pPr>
      <w:spacing w:before="100" w:beforeAutospacing="1" w:after="100" w:afterAutospacing="1" w:line="240" w:lineRule="auto"/>
      <w:ind w:firstLine="0" w:firstLineChars="0"/>
    </w:pPr>
    <w:rPr>
      <w:rFonts w:ascii="宋体" w:hAnsi="宋体" w:eastAsia="宋体"/>
      <w:color w:val="000000"/>
    </w:rPr>
  </w:style>
  <w:style w:type="paragraph" w:customStyle="1" w:styleId="96">
    <w:name w:val="xl9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rPr>
  </w:style>
  <w:style w:type="paragraph" w:customStyle="1" w:styleId="97">
    <w:name w:val="xl9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bottom"/>
    </w:pPr>
    <w:rPr>
      <w:rFonts w:ascii="仿宋_GB2312" w:hAnsi="宋体"/>
    </w:rPr>
  </w:style>
  <w:style w:type="paragraph" w:customStyle="1" w:styleId="98">
    <w:name w:val="xl9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rPr>
  </w:style>
  <w:style w:type="paragraph" w:customStyle="1" w:styleId="99">
    <w:name w:val="xl9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rPr>
  </w:style>
  <w:style w:type="paragraph" w:customStyle="1" w:styleId="100">
    <w:name w:val="xl9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rPr>
  </w:style>
  <w:style w:type="paragraph" w:customStyle="1" w:styleId="101">
    <w:name w:val="xl95"/>
    <w:basedOn w:val="1"/>
    <w:autoRedefine/>
    <w:qFormat/>
    <w:uiPriority w:val="0"/>
    <w:pPr>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line="240" w:lineRule="auto"/>
      <w:ind w:firstLine="0" w:firstLineChars="0"/>
      <w:jc w:val="center"/>
    </w:pPr>
    <w:rPr>
      <w:rFonts w:ascii="宋体" w:hAnsi="宋体" w:eastAsia="宋体"/>
      <w:color w:val="000000"/>
    </w:rPr>
  </w:style>
  <w:style w:type="paragraph" w:customStyle="1" w:styleId="102">
    <w:name w:val="xl9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color w:val="000000"/>
    </w:rPr>
  </w:style>
  <w:style w:type="paragraph" w:customStyle="1" w:styleId="103">
    <w:name w:val="xl9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olor w:val="000000"/>
    </w:rPr>
  </w:style>
  <w:style w:type="paragraph" w:customStyle="1" w:styleId="104">
    <w:name w:val="xl9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olor w:val="000000"/>
    </w:rPr>
  </w:style>
  <w:style w:type="paragraph" w:customStyle="1" w:styleId="105">
    <w:name w:val="xl9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rPr>
  </w:style>
  <w:style w:type="paragraph" w:customStyle="1" w:styleId="106">
    <w:name w:val="xl10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color w:val="000000"/>
    </w:rPr>
  </w:style>
  <w:style w:type="paragraph" w:customStyle="1" w:styleId="107">
    <w:name w:val="xl10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rPr>
  </w:style>
  <w:style w:type="paragraph" w:customStyle="1" w:styleId="108">
    <w:name w:val="xl10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color w:val="000000"/>
    </w:rPr>
  </w:style>
  <w:style w:type="paragraph" w:customStyle="1" w:styleId="109">
    <w:name w:val="xl10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rPr>
  </w:style>
  <w:style w:type="paragraph" w:customStyle="1" w:styleId="110">
    <w:name w:val="xl10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rPr>
  </w:style>
  <w:style w:type="paragraph" w:customStyle="1" w:styleId="111">
    <w:name w:val="xl10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rPr>
  </w:style>
  <w:style w:type="paragraph" w:customStyle="1" w:styleId="112">
    <w:name w:val="xl10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color w:val="000000"/>
    </w:rPr>
  </w:style>
  <w:style w:type="paragraph" w:customStyle="1" w:styleId="113">
    <w:name w:val="xl107"/>
    <w:basedOn w:val="1"/>
    <w:autoRedefine/>
    <w:qFormat/>
    <w:uiPriority w:val="0"/>
    <w:pPr>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line="240" w:lineRule="auto"/>
      <w:ind w:firstLine="0" w:firstLineChars="0"/>
      <w:jc w:val="center"/>
    </w:pPr>
    <w:rPr>
      <w:rFonts w:ascii="宋体" w:hAnsi="宋体" w:eastAsia="宋体"/>
    </w:rPr>
  </w:style>
  <w:style w:type="paragraph" w:customStyle="1" w:styleId="114">
    <w:name w:val="xl10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rPr>
  </w:style>
  <w:style w:type="paragraph" w:customStyle="1" w:styleId="115">
    <w:name w:val="xl10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rPr>
  </w:style>
  <w:style w:type="paragraph" w:customStyle="1" w:styleId="116">
    <w:name w:val="xl11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rPr>
  </w:style>
  <w:style w:type="paragraph" w:customStyle="1" w:styleId="117">
    <w:name w:val="xl11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eastAsia="宋体" w:cs="Times New Roman"/>
    </w:rPr>
  </w:style>
  <w:style w:type="paragraph" w:customStyle="1" w:styleId="118">
    <w:name w:val="xl11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rPr>
  </w:style>
  <w:style w:type="paragraph" w:customStyle="1" w:styleId="119">
    <w:name w:val="xl11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u w:val="single"/>
    </w:rPr>
  </w:style>
  <w:style w:type="paragraph" w:customStyle="1" w:styleId="120">
    <w:name w:val="xl11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宋体" w:hAnsi="宋体" w:eastAsia="宋体"/>
    </w:rPr>
  </w:style>
  <w:style w:type="paragraph" w:customStyle="1" w:styleId="121">
    <w:name w:val="xl11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仿宋_GB2312" w:hAnsi="宋体"/>
      <w:u w:val="single"/>
    </w:rPr>
  </w:style>
  <w:style w:type="paragraph" w:customStyle="1" w:styleId="122">
    <w:name w:val="xl116"/>
    <w:basedOn w:val="1"/>
    <w:autoRedefine/>
    <w:qFormat/>
    <w:uiPriority w:val="0"/>
    <w:pPr>
      <w:pBdr>
        <w:top w:val="single" w:color="auto" w:sz="4" w:space="0"/>
        <w:left w:val="single" w:color="auto" w:sz="4" w:space="0"/>
        <w:bottom w:val="single" w:color="auto" w:sz="4" w:space="0"/>
        <w:right w:val="single" w:color="auto" w:sz="4" w:space="0"/>
      </w:pBdr>
      <w:shd w:val="clear" w:color="000000" w:fill="E26B0A"/>
      <w:spacing w:before="100" w:beforeAutospacing="1" w:after="100" w:afterAutospacing="1" w:line="240" w:lineRule="auto"/>
      <w:ind w:firstLine="0" w:firstLineChars="0"/>
      <w:jc w:val="center"/>
    </w:pPr>
    <w:rPr>
      <w:rFonts w:ascii="宋体" w:hAnsi="宋体" w:eastAsia="宋体"/>
    </w:rPr>
  </w:style>
  <w:style w:type="paragraph" w:customStyle="1" w:styleId="123">
    <w:name w:val="xl117"/>
    <w:basedOn w:val="1"/>
    <w:autoRedefine/>
    <w:qFormat/>
    <w:uiPriority w:val="0"/>
    <w:pPr>
      <w:pBdr>
        <w:top w:val="single" w:color="auto" w:sz="4" w:space="0"/>
        <w:left w:val="single" w:color="auto" w:sz="4" w:space="0"/>
        <w:bottom w:val="single" w:color="auto" w:sz="4" w:space="0"/>
        <w:right w:val="single" w:color="auto" w:sz="4" w:space="0"/>
      </w:pBdr>
      <w:shd w:val="clear" w:color="000000" w:fill="E26B0A"/>
      <w:spacing w:before="100" w:beforeAutospacing="1" w:after="100" w:afterAutospacing="1" w:line="240" w:lineRule="auto"/>
      <w:ind w:firstLine="0" w:firstLineChars="0"/>
      <w:jc w:val="center"/>
    </w:pPr>
    <w:rPr>
      <w:rFonts w:ascii="宋体" w:hAnsi="宋体" w:eastAsia="宋体"/>
    </w:rPr>
  </w:style>
  <w:style w:type="character" w:customStyle="1" w:styleId="124">
    <w:name w:val="未处理的提及1"/>
    <w:autoRedefine/>
    <w:semiHidden/>
    <w:unhideWhenUsed/>
    <w:qFormat/>
    <w:uiPriority w:val="99"/>
    <w:rPr>
      <w:color w:val="605E5C"/>
      <w:shd w:val="clear" w:color="auto" w:fill="E1DFDD"/>
    </w:rPr>
  </w:style>
  <w:style w:type="character" w:customStyle="1" w:styleId="125">
    <w:name w:val="标题 4 字符"/>
    <w:link w:val="5"/>
    <w:autoRedefine/>
    <w:qFormat/>
    <w:uiPriority w:val="9"/>
    <w:rPr>
      <w:rFonts w:eastAsia="仿宋_GB2312"/>
      <w:b/>
      <w:bCs/>
      <w:sz w:val="24"/>
      <w:szCs w:val="28"/>
    </w:rPr>
  </w:style>
  <w:style w:type="character" w:customStyle="1" w:styleId="126">
    <w:name w:val="批注框文本 字符"/>
    <w:basedOn w:val="29"/>
    <w:link w:val="16"/>
    <w:autoRedefine/>
    <w:qFormat/>
    <w:uiPriority w:val="0"/>
    <w:rPr>
      <w:rFonts w:eastAsia="仿宋_GB2312" w:cs="宋体"/>
      <w:sz w:val="18"/>
      <w:szCs w:val="18"/>
    </w:rPr>
  </w:style>
  <w:style w:type="paragraph" w:customStyle="1" w:styleId="127">
    <w:name w:val="备注"/>
    <w:basedOn w:val="1"/>
    <w:link w:val="128"/>
    <w:autoRedefine/>
    <w:qFormat/>
    <w:uiPriority w:val="0"/>
    <w:pPr>
      <w:spacing w:line="300" w:lineRule="auto"/>
      <w:ind w:firstLine="0" w:firstLineChars="0"/>
    </w:pPr>
    <w:rPr>
      <w:i/>
      <w:sz w:val="21"/>
      <w:szCs w:val="21"/>
    </w:rPr>
  </w:style>
  <w:style w:type="character" w:customStyle="1" w:styleId="128">
    <w:name w:val="备注 字符"/>
    <w:basedOn w:val="29"/>
    <w:link w:val="127"/>
    <w:autoRedefine/>
    <w:qFormat/>
    <w:uiPriority w:val="0"/>
    <w:rPr>
      <w:rFonts w:eastAsia="仿宋_GB2312" w:cs="宋体"/>
      <w:i/>
      <w:sz w:val="21"/>
      <w:szCs w:val="21"/>
    </w:rPr>
  </w:style>
  <w:style w:type="table" w:customStyle="1" w:styleId="129">
    <w:name w:val="网格型1"/>
    <w:basedOn w:val="27"/>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0">
    <w:name w:val="xl6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rPr>
  </w:style>
  <w:style w:type="paragraph" w:customStyle="1" w:styleId="131">
    <w:name w:val="xl6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rPr>
  </w:style>
  <w:style w:type="paragraph" w:customStyle="1" w:styleId="132">
    <w:name w:val="xl65"/>
    <w:basedOn w:val="1"/>
    <w:autoRedefine/>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left"/>
    </w:pPr>
    <w:rPr>
      <w:rFonts w:ascii="宋体" w:hAnsi="宋体" w:eastAsia="宋体"/>
    </w:rPr>
  </w:style>
  <w:style w:type="paragraph" w:customStyle="1" w:styleId="133">
    <w:name w:val="xl6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olor w:val="7030A0"/>
    </w:rPr>
  </w:style>
  <w:style w:type="paragraph" w:customStyle="1" w:styleId="134">
    <w:name w:val="xl6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olor w:val="FF0000"/>
    </w:rPr>
  </w:style>
  <w:style w:type="paragraph" w:customStyle="1" w:styleId="135">
    <w:name w:val="xl68"/>
    <w:basedOn w:val="1"/>
    <w:autoRedefine/>
    <w:qFormat/>
    <w:uiPriority w:val="0"/>
    <w:pPr>
      <w:pBdr>
        <w:top w:val="single" w:color="auto" w:sz="4" w:space="0"/>
        <w:left w:val="single" w:color="auto" w:sz="4" w:space="0"/>
        <w:bottom w:val="single" w:color="auto" w:sz="4" w:space="0"/>
        <w:right w:val="single" w:color="auto" w:sz="4" w:space="0"/>
      </w:pBdr>
      <w:shd w:val="clear" w:color="000000" w:fill="E2EFDA"/>
      <w:spacing w:before="100" w:beforeAutospacing="1" w:after="100" w:afterAutospacing="1" w:line="240" w:lineRule="auto"/>
      <w:ind w:firstLine="0" w:firstLineChars="0"/>
      <w:jc w:val="left"/>
      <w:textAlignment w:val="center"/>
    </w:pPr>
    <w:rPr>
      <w:rFonts w:ascii="宋体" w:hAnsi="宋体" w:eastAsia="宋体"/>
      <w:color w:val="000000"/>
    </w:rPr>
  </w:style>
  <w:style w:type="paragraph" w:customStyle="1" w:styleId="136">
    <w:name w:val="xl69"/>
    <w:basedOn w:val="1"/>
    <w:autoRedefine/>
    <w:qFormat/>
    <w:uiPriority w:val="0"/>
    <w:pPr>
      <w:pBdr>
        <w:top w:val="single" w:color="auto" w:sz="4" w:space="0"/>
        <w:left w:val="single" w:color="auto" w:sz="4" w:space="0"/>
        <w:bottom w:val="single" w:color="auto" w:sz="4" w:space="0"/>
        <w:right w:val="single" w:color="auto" w:sz="4" w:space="0"/>
      </w:pBdr>
      <w:shd w:val="clear" w:color="000000" w:fill="E2EFDA"/>
      <w:spacing w:before="100" w:beforeAutospacing="1" w:after="100" w:afterAutospacing="1" w:line="240" w:lineRule="auto"/>
      <w:ind w:firstLine="0" w:firstLineChars="0"/>
      <w:jc w:val="center"/>
      <w:textAlignment w:val="center"/>
    </w:pPr>
    <w:rPr>
      <w:rFonts w:ascii="仿宋_GB2312" w:hAnsi="宋体"/>
      <w:color w:val="000000"/>
    </w:rPr>
  </w:style>
  <w:style w:type="paragraph" w:customStyle="1" w:styleId="137">
    <w:name w:val="xl7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olor w:val="000000"/>
    </w:rPr>
  </w:style>
  <w:style w:type="paragraph" w:customStyle="1" w:styleId="138">
    <w:name w:val="xl71"/>
    <w:basedOn w:val="1"/>
    <w:autoRedefine/>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pPr>
    <w:rPr>
      <w:rFonts w:ascii="宋体" w:hAnsi="宋体" w:eastAsia="宋体"/>
    </w:rPr>
  </w:style>
  <w:style w:type="paragraph" w:customStyle="1" w:styleId="139">
    <w:name w:val="xl72"/>
    <w:basedOn w:val="1"/>
    <w:autoRedefine/>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textAlignment w:val="center"/>
    </w:pPr>
    <w:rPr>
      <w:rFonts w:ascii="宋体" w:hAnsi="宋体" w:eastAsia="宋体"/>
      <w:color w:val="000000"/>
    </w:rPr>
  </w:style>
  <w:style w:type="paragraph" w:customStyle="1" w:styleId="140">
    <w:name w:val="xl7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仿宋_GB2312" w:hAnsi="宋体"/>
      <w:color w:val="000000"/>
    </w:rPr>
  </w:style>
  <w:style w:type="table" w:customStyle="1" w:styleId="141">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142">
    <w:name w:val="Table Paragraph"/>
    <w:basedOn w:val="1"/>
    <w:autoRedefine/>
    <w:qFormat/>
    <w:uiPriority w:val="1"/>
    <w:pPr>
      <w:widowControl w:val="0"/>
      <w:autoSpaceDE w:val="0"/>
      <w:autoSpaceDN w:val="0"/>
      <w:spacing w:line="240" w:lineRule="auto"/>
      <w:ind w:firstLine="0" w:firstLineChars="0"/>
      <w:jc w:val="center"/>
    </w:pPr>
    <w:rPr>
      <w:rFonts w:ascii="宋体" w:hAnsi="宋体" w:eastAsia="宋体"/>
      <w:sz w:val="22"/>
      <w:szCs w:val="22"/>
    </w:rPr>
  </w:style>
  <w:style w:type="character" w:styleId="143">
    <w:name w:val="Placeholder Text"/>
    <w:basedOn w:val="29"/>
    <w:autoRedefine/>
    <w:unhideWhenUsed/>
    <w:qFormat/>
    <w:uiPriority w:val="99"/>
    <w:rPr>
      <w:color w:val="666666"/>
    </w:rPr>
  </w:style>
  <w:style w:type="paragraph" w:customStyle="1" w:styleId="144">
    <w:name w:val="font0"/>
    <w:basedOn w:val="1"/>
    <w:autoRedefine/>
    <w:qFormat/>
    <w:uiPriority w:val="0"/>
    <w:pPr>
      <w:spacing w:before="100" w:beforeAutospacing="1" w:after="100" w:afterAutospacing="1" w:line="240" w:lineRule="auto"/>
      <w:ind w:firstLine="0" w:firstLineChars="0"/>
      <w:jc w:val="left"/>
    </w:pPr>
    <w:rPr>
      <w:rFonts w:ascii="等线" w:hAnsi="等线" w:eastAsia="等线"/>
      <w:color w:val="000000"/>
      <w:sz w:val="22"/>
      <w:szCs w:val="22"/>
    </w:rPr>
  </w:style>
  <w:style w:type="paragraph" w:customStyle="1" w:styleId="145">
    <w:name w:val="xl11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rPr>
  </w:style>
  <w:style w:type="paragraph" w:customStyle="1" w:styleId="146">
    <w:name w:val="xl119"/>
    <w:basedOn w:val="1"/>
    <w:autoRedefine/>
    <w:qFormat/>
    <w:uiPriority w:val="0"/>
    <w:pPr>
      <w:pBdr>
        <w:top w:val="single" w:color="auto" w:sz="4" w:space="0"/>
        <w:left w:val="single" w:color="auto" w:sz="4" w:space="0"/>
      </w:pBdr>
      <w:spacing w:before="100" w:beforeAutospacing="1" w:after="100" w:afterAutospacing="1" w:line="240" w:lineRule="auto"/>
      <w:ind w:firstLine="0" w:firstLineChars="0"/>
      <w:jc w:val="center"/>
      <w:textAlignment w:val="center"/>
    </w:pPr>
    <w:rPr>
      <w:rFonts w:ascii="宋体" w:hAnsi="宋体" w:eastAsia="宋体"/>
    </w:rPr>
  </w:style>
  <w:style w:type="paragraph" w:customStyle="1" w:styleId="147">
    <w:name w:val="xl120"/>
    <w:basedOn w:val="1"/>
    <w:autoRedefine/>
    <w:qFormat/>
    <w:uiPriority w:val="0"/>
    <w:pPr>
      <w:pBdr>
        <w:left w:val="single" w:color="auto" w:sz="4" w:space="0"/>
        <w:bottom w:val="single" w:color="auto" w:sz="4" w:space="0"/>
      </w:pBdr>
      <w:spacing w:before="100" w:beforeAutospacing="1" w:after="100" w:afterAutospacing="1" w:line="240" w:lineRule="auto"/>
      <w:ind w:firstLine="0" w:firstLineChars="0"/>
      <w:jc w:val="center"/>
      <w:textAlignment w:val="center"/>
    </w:pPr>
    <w:rPr>
      <w:rFonts w:ascii="宋体" w:hAnsi="宋体" w:eastAsia="宋体"/>
    </w:rPr>
  </w:style>
  <w:style w:type="character" w:customStyle="1" w:styleId="148">
    <w:name w:val="ql-font-timesnewroman"/>
    <w:basedOn w:val="29"/>
    <w:autoRedefine/>
    <w:qFormat/>
    <w:uiPriority w:val="0"/>
  </w:style>
  <w:style w:type="paragraph" w:customStyle="1" w:styleId="149">
    <w:name w:val="水表内容"/>
    <w:basedOn w:val="1"/>
    <w:link w:val="150"/>
    <w:autoRedefine/>
    <w:qFormat/>
    <w:uiPriority w:val="0"/>
    <w:pPr>
      <w:spacing w:line="240" w:lineRule="auto"/>
      <w:ind w:firstLine="0" w:firstLineChars="0"/>
      <w:jc w:val="center"/>
    </w:pPr>
    <w:rPr>
      <w:rFonts w:cs="Times New Roman"/>
      <w:color w:val="000000" w:themeColor="text1"/>
      <w:sz w:val="21"/>
      <w:szCs w:val="21"/>
      <w14:textFill>
        <w14:solidFill>
          <w14:schemeClr w14:val="tx1"/>
        </w14:solidFill>
      </w14:textFill>
    </w:rPr>
  </w:style>
  <w:style w:type="character" w:customStyle="1" w:styleId="150">
    <w:name w:val="水表内容 字符"/>
    <w:basedOn w:val="29"/>
    <w:link w:val="149"/>
    <w:autoRedefine/>
    <w:qFormat/>
    <w:uiPriority w:val="0"/>
    <w:rPr>
      <w:rFonts w:eastAsia="仿宋_GB2312"/>
      <w:color w:val="000000" w:themeColor="text1"/>
      <w:sz w:val="21"/>
      <w:szCs w:val="21"/>
      <w14:textFill>
        <w14:solidFill>
          <w14:schemeClr w14:val="tx1"/>
        </w14:solidFill>
      </w14:textFill>
    </w:rPr>
  </w:style>
</w:styles>
</file>

<file path=word/_rels/document.xml.rels><?xml version="1.0" encoding="UTF-8" standalone="yes"?>
<Relationships xmlns="http://schemas.openxmlformats.org/package/2006/relationships"><Relationship Id="rId99" Type="http://schemas.openxmlformats.org/officeDocument/2006/relationships/image" Target="media/image13.emf"/><Relationship Id="rId98" Type="http://schemas.openxmlformats.org/officeDocument/2006/relationships/package" Target="embeddings/Microsoft_Visio___2.vsdx"/><Relationship Id="rId97" Type="http://schemas.openxmlformats.org/officeDocument/2006/relationships/image" Target="media/image12.emf"/><Relationship Id="rId96" Type="http://schemas.openxmlformats.org/officeDocument/2006/relationships/package" Target="embeddings/Microsoft_Visio___1.vsdx"/><Relationship Id="rId95" Type="http://schemas.openxmlformats.org/officeDocument/2006/relationships/image" Target="media/image11.png"/><Relationship Id="rId94" Type="http://schemas.openxmlformats.org/officeDocument/2006/relationships/image" Target="media/image10.png"/><Relationship Id="rId93" Type="http://schemas.openxmlformats.org/officeDocument/2006/relationships/image" Target="media/image9.png"/><Relationship Id="rId92" Type="http://schemas.openxmlformats.org/officeDocument/2006/relationships/image" Target="media/image8.png"/><Relationship Id="rId91" Type="http://schemas.openxmlformats.org/officeDocument/2006/relationships/image" Target="media/image7.png"/><Relationship Id="rId90" Type="http://schemas.openxmlformats.org/officeDocument/2006/relationships/image" Target="media/image6.png"/><Relationship Id="rId9" Type="http://schemas.openxmlformats.org/officeDocument/2006/relationships/header" Target="header4.xml"/><Relationship Id="rId89" Type="http://schemas.openxmlformats.org/officeDocument/2006/relationships/image" Target="media/image5.png"/><Relationship Id="rId88" Type="http://schemas.openxmlformats.org/officeDocument/2006/relationships/image" Target="media/image4.png"/><Relationship Id="rId87" Type="http://schemas.openxmlformats.org/officeDocument/2006/relationships/image" Target="media/image3.png"/><Relationship Id="rId86" Type="http://schemas.openxmlformats.org/officeDocument/2006/relationships/image" Target="media/image2.jpeg"/><Relationship Id="rId85" Type="http://schemas.openxmlformats.org/officeDocument/2006/relationships/image" Target="media/image1.png"/><Relationship Id="rId84" Type="http://schemas.openxmlformats.org/officeDocument/2006/relationships/theme" Target="theme/theme1.xml"/><Relationship Id="rId83" Type="http://schemas.openxmlformats.org/officeDocument/2006/relationships/header" Target="header33.xml"/><Relationship Id="rId82" Type="http://schemas.openxmlformats.org/officeDocument/2006/relationships/header" Target="header32.xml"/><Relationship Id="rId81" Type="http://schemas.openxmlformats.org/officeDocument/2006/relationships/header" Target="header31.xml"/><Relationship Id="rId80" Type="http://schemas.openxmlformats.org/officeDocument/2006/relationships/footer" Target="footer46.xml"/><Relationship Id="rId8" Type="http://schemas.openxmlformats.org/officeDocument/2006/relationships/footer" Target="footer1.xml"/><Relationship Id="rId79" Type="http://schemas.openxmlformats.org/officeDocument/2006/relationships/header" Target="header30.xml"/><Relationship Id="rId78" Type="http://schemas.openxmlformats.org/officeDocument/2006/relationships/footer" Target="footer45.xml"/><Relationship Id="rId77" Type="http://schemas.openxmlformats.org/officeDocument/2006/relationships/header" Target="header29.xml"/><Relationship Id="rId76" Type="http://schemas.openxmlformats.org/officeDocument/2006/relationships/footer" Target="footer44.xml"/><Relationship Id="rId75" Type="http://schemas.openxmlformats.org/officeDocument/2006/relationships/footer" Target="footer43.xml"/><Relationship Id="rId74" Type="http://schemas.openxmlformats.org/officeDocument/2006/relationships/footer" Target="footer42.xml"/><Relationship Id="rId73" Type="http://schemas.openxmlformats.org/officeDocument/2006/relationships/footer" Target="footer41.xml"/><Relationship Id="rId72" Type="http://schemas.openxmlformats.org/officeDocument/2006/relationships/footer" Target="footer40.xml"/><Relationship Id="rId71" Type="http://schemas.openxmlformats.org/officeDocument/2006/relationships/header" Target="header28.xml"/><Relationship Id="rId70" Type="http://schemas.openxmlformats.org/officeDocument/2006/relationships/footer" Target="footer39.xml"/><Relationship Id="rId7" Type="http://schemas.openxmlformats.org/officeDocument/2006/relationships/header" Target="header3.xml"/><Relationship Id="rId69" Type="http://schemas.openxmlformats.org/officeDocument/2006/relationships/header" Target="header27.xml"/><Relationship Id="rId68" Type="http://schemas.openxmlformats.org/officeDocument/2006/relationships/footer" Target="footer38.xml"/><Relationship Id="rId67" Type="http://schemas.openxmlformats.org/officeDocument/2006/relationships/footer" Target="footer37.xml"/><Relationship Id="rId66" Type="http://schemas.openxmlformats.org/officeDocument/2006/relationships/footer" Target="footer36.xml"/><Relationship Id="rId65" Type="http://schemas.openxmlformats.org/officeDocument/2006/relationships/header" Target="header26.xml"/><Relationship Id="rId64" Type="http://schemas.openxmlformats.org/officeDocument/2006/relationships/footer" Target="footer35.xml"/><Relationship Id="rId63" Type="http://schemas.openxmlformats.org/officeDocument/2006/relationships/footer" Target="footer34.xml"/><Relationship Id="rId62" Type="http://schemas.openxmlformats.org/officeDocument/2006/relationships/header" Target="header25.xml"/><Relationship Id="rId61" Type="http://schemas.openxmlformats.org/officeDocument/2006/relationships/footer" Target="footer33.xml"/><Relationship Id="rId60" Type="http://schemas.openxmlformats.org/officeDocument/2006/relationships/header" Target="header24.xml"/><Relationship Id="rId6" Type="http://schemas.openxmlformats.org/officeDocument/2006/relationships/header" Target="header2.xml"/><Relationship Id="rId59" Type="http://schemas.openxmlformats.org/officeDocument/2006/relationships/footer" Target="footer32.xml"/><Relationship Id="rId58" Type="http://schemas.openxmlformats.org/officeDocument/2006/relationships/footer" Target="footer31.xml"/><Relationship Id="rId57" Type="http://schemas.openxmlformats.org/officeDocument/2006/relationships/header" Target="header23.xml"/><Relationship Id="rId56" Type="http://schemas.openxmlformats.org/officeDocument/2006/relationships/footer" Target="footer30.xml"/><Relationship Id="rId55" Type="http://schemas.openxmlformats.org/officeDocument/2006/relationships/footer" Target="footer29.xml"/><Relationship Id="rId54" Type="http://schemas.openxmlformats.org/officeDocument/2006/relationships/header" Target="header22.xml"/><Relationship Id="rId53" Type="http://schemas.openxmlformats.org/officeDocument/2006/relationships/footer" Target="footer28.xml"/><Relationship Id="rId52" Type="http://schemas.openxmlformats.org/officeDocument/2006/relationships/footer" Target="footer27.xml"/><Relationship Id="rId51" Type="http://schemas.openxmlformats.org/officeDocument/2006/relationships/footer" Target="footer26.xml"/><Relationship Id="rId50" Type="http://schemas.openxmlformats.org/officeDocument/2006/relationships/header" Target="header21.xml"/><Relationship Id="rId5" Type="http://schemas.openxmlformats.org/officeDocument/2006/relationships/header" Target="header1.xml"/><Relationship Id="rId49" Type="http://schemas.openxmlformats.org/officeDocument/2006/relationships/header" Target="header20.xml"/><Relationship Id="rId48" Type="http://schemas.openxmlformats.org/officeDocument/2006/relationships/footer" Target="footer25.xml"/><Relationship Id="rId47" Type="http://schemas.openxmlformats.org/officeDocument/2006/relationships/header" Target="header19.xml"/><Relationship Id="rId46" Type="http://schemas.openxmlformats.org/officeDocument/2006/relationships/footer" Target="footer24.xml"/><Relationship Id="rId45" Type="http://schemas.openxmlformats.org/officeDocument/2006/relationships/header" Target="header18.xml"/><Relationship Id="rId44" Type="http://schemas.openxmlformats.org/officeDocument/2006/relationships/footer" Target="footer23.xml"/><Relationship Id="rId43" Type="http://schemas.openxmlformats.org/officeDocument/2006/relationships/header" Target="header17.xml"/><Relationship Id="rId42" Type="http://schemas.openxmlformats.org/officeDocument/2006/relationships/footer" Target="footer22.xml"/><Relationship Id="rId41" Type="http://schemas.openxmlformats.org/officeDocument/2006/relationships/header" Target="header16.xml"/><Relationship Id="rId40" Type="http://schemas.openxmlformats.org/officeDocument/2006/relationships/footer" Target="footer21.xml"/><Relationship Id="rId4" Type="http://schemas.openxmlformats.org/officeDocument/2006/relationships/endnotes" Target="endnotes.xml"/><Relationship Id="rId39" Type="http://schemas.openxmlformats.org/officeDocument/2006/relationships/footer" Target="footer20.xml"/><Relationship Id="rId38" Type="http://schemas.openxmlformats.org/officeDocument/2006/relationships/header" Target="header15.xml"/><Relationship Id="rId37" Type="http://schemas.openxmlformats.org/officeDocument/2006/relationships/footer" Target="footer19.xml"/><Relationship Id="rId36" Type="http://schemas.openxmlformats.org/officeDocument/2006/relationships/header" Target="header14.xml"/><Relationship Id="rId35" Type="http://schemas.openxmlformats.org/officeDocument/2006/relationships/footer" Target="footer18.xml"/><Relationship Id="rId34" Type="http://schemas.openxmlformats.org/officeDocument/2006/relationships/header" Target="header13.xml"/><Relationship Id="rId33" Type="http://schemas.openxmlformats.org/officeDocument/2006/relationships/footer" Target="footer17.xml"/><Relationship Id="rId32" Type="http://schemas.openxmlformats.org/officeDocument/2006/relationships/header" Target="header12.xml"/><Relationship Id="rId31" Type="http://schemas.openxmlformats.org/officeDocument/2006/relationships/footer" Target="footer16.xml"/><Relationship Id="rId30" Type="http://schemas.openxmlformats.org/officeDocument/2006/relationships/header" Target="header11.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header" Target="header10.xml"/><Relationship Id="rId27" Type="http://schemas.openxmlformats.org/officeDocument/2006/relationships/footer" Target="footer14.xml"/><Relationship Id="rId26" Type="http://schemas.openxmlformats.org/officeDocument/2006/relationships/header" Target="header9.xml"/><Relationship Id="rId25" Type="http://schemas.openxmlformats.org/officeDocument/2006/relationships/footer" Target="footer13.xml"/><Relationship Id="rId24" Type="http://schemas.openxmlformats.org/officeDocument/2006/relationships/header" Target="header8.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footer" Target="footer4.xml"/><Relationship Id="rId14" Type="http://schemas.openxmlformats.org/officeDocument/2006/relationships/footer" Target="footer3.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2.xml"/><Relationship Id="rId108" Type="http://schemas.openxmlformats.org/officeDocument/2006/relationships/glossaryDocument" Target="glossary/document.xml"/><Relationship Id="rId107" Type="http://schemas.openxmlformats.org/officeDocument/2006/relationships/fontTable" Target="fontTable.xml"/><Relationship Id="rId106" Type="http://schemas.openxmlformats.org/officeDocument/2006/relationships/numbering" Target="numbering.xml"/><Relationship Id="rId105" Type="http://schemas.openxmlformats.org/officeDocument/2006/relationships/customXml" Target="../customXml/item1.xml"/><Relationship Id="rId104" Type="http://schemas.openxmlformats.org/officeDocument/2006/relationships/image" Target="media/image18.png"/><Relationship Id="rId103" Type="http://schemas.openxmlformats.org/officeDocument/2006/relationships/image" Target="media/image17.png"/><Relationship Id="rId102" Type="http://schemas.openxmlformats.org/officeDocument/2006/relationships/image" Target="media/image16.png"/><Relationship Id="rId101" Type="http://schemas.openxmlformats.org/officeDocument/2006/relationships/image" Target="media/image15.png"/><Relationship Id="rId100" Type="http://schemas.openxmlformats.org/officeDocument/2006/relationships/image" Target="media/image14.jpeg"/><Relationship Id="rId10" Type="http://schemas.openxmlformats.org/officeDocument/2006/relationships/header" Target="head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E4FD89803754E50B7BBA314995DB0B3"/>
        <w:style w:val=""/>
        <w:category>
          <w:name w:val="常规"/>
          <w:gallery w:val="placeholder"/>
        </w:category>
        <w:types>
          <w:type w:val="bbPlcHdr"/>
        </w:types>
        <w:behaviors>
          <w:behavior w:val="content"/>
        </w:behaviors>
        <w:description w:val=""/>
        <w:guid w:val="{32E864A3-C906-4981-810F-9080FB5BA983}"/>
      </w:docPartPr>
      <w:docPartBody>
        <w:p w14:paraId="7114D5FA">
          <w:pPr>
            <w:pStyle w:val="5"/>
          </w:pPr>
          <w:r>
            <w:rPr>
              <w:rStyle w:val="4"/>
              <w:rFonts w:hint="eastAsia"/>
            </w:rPr>
            <w:t>[单位]</w:t>
          </w:r>
        </w:p>
      </w:docPartBody>
    </w:docPart>
    <w:docPart>
      <w:docPartPr>
        <w:name w:val="24751ED1F97E49D3B8EA692ED94B571A"/>
        <w:style w:val=""/>
        <w:category>
          <w:name w:val="常规"/>
          <w:gallery w:val="placeholder"/>
        </w:category>
        <w:types>
          <w:type w:val="bbPlcHdr"/>
        </w:types>
        <w:behaviors>
          <w:behavior w:val="content"/>
        </w:behaviors>
        <w:description w:val=""/>
        <w:guid w:val="{8DA629F3-B9B3-42D7-8CF2-948405721483}"/>
      </w:docPartPr>
      <w:docPartBody>
        <w:p w14:paraId="5E25DBC3">
          <w:pPr>
            <w:pStyle w:val="6"/>
          </w:pPr>
          <w:r>
            <w:rPr>
              <w:rStyle w:val="4"/>
              <w:rFonts w:hint="eastAsia"/>
            </w:rPr>
            <w:t>[单位]</w:t>
          </w:r>
        </w:p>
      </w:docPartBody>
    </w:docPart>
    <w:docPart>
      <w:docPartPr>
        <w:name w:val="7BF0FA30241D48779563ADAED41AC144"/>
        <w:style w:val=""/>
        <w:category>
          <w:name w:val="常规"/>
          <w:gallery w:val="placeholder"/>
        </w:category>
        <w:types>
          <w:type w:val="bbPlcHdr"/>
        </w:types>
        <w:behaviors>
          <w:behavior w:val="content"/>
        </w:behaviors>
        <w:description w:val=""/>
        <w:guid w:val="{C538F902-6739-4AA9-8B64-0DC3154931ED}"/>
      </w:docPartPr>
      <w:docPartBody>
        <w:p w14:paraId="6A26041B">
          <w:pPr>
            <w:pStyle w:val="7"/>
          </w:pPr>
          <w:r>
            <w:rPr>
              <w:rStyle w:val="4"/>
              <w:rFonts w:hint="eastAsia"/>
            </w:rPr>
            <w:t>[单位]</w:t>
          </w:r>
        </w:p>
      </w:docPartBody>
    </w:docPart>
    <w:docPart>
      <w:docPartPr>
        <w:name w:val="796A5C1F8E8A4BBB856E21398F27E1D8"/>
        <w:style w:val=""/>
        <w:category>
          <w:name w:val="常规"/>
          <w:gallery w:val="placeholder"/>
        </w:category>
        <w:types>
          <w:type w:val="bbPlcHdr"/>
        </w:types>
        <w:behaviors>
          <w:behavior w:val="content"/>
        </w:behaviors>
        <w:description w:val=""/>
        <w:guid w:val="{81C1A52E-A79C-422B-A2BA-313E4248095A}"/>
      </w:docPartPr>
      <w:docPartBody>
        <w:p w14:paraId="7E445B92">
          <w:pPr>
            <w:pStyle w:val="8"/>
          </w:pPr>
          <w:r>
            <w:rPr>
              <w:rStyle w:val="4"/>
              <w:rFonts w:hint="eastAsia"/>
            </w:rPr>
            <w:t>[单位]</w:t>
          </w:r>
        </w:p>
      </w:docPartBody>
    </w:docPart>
    <w:docPart>
      <w:docPartPr>
        <w:name w:val="74DFE4D243B94075B1BB4600D319A7E3"/>
        <w:style w:val=""/>
        <w:category>
          <w:name w:val="常规"/>
          <w:gallery w:val="placeholder"/>
        </w:category>
        <w:types>
          <w:type w:val="bbPlcHdr"/>
        </w:types>
        <w:behaviors>
          <w:behavior w:val="content"/>
        </w:behaviors>
        <w:description w:val=""/>
        <w:guid w:val="{DF2B9EAE-69C0-417E-8073-715AFE376D01}"/>
      </w:docPartPr>
      <w:docPartBody>
        <w:p w14:paraId="4CD71B28">
          <w:pPr>
            <w:pStyle w:val="9"/>
          </w:pPr>
          <w:r>
            <w:rPr>
              <w:rStyle w:val="4"/>
              <w:rFonts w:hint="eastAsia"/>
            </w:rPr>
            <w:t>[单位]</w:t>
          </w:r>
        </w:p>
      </w:docPartBody>
    </w:docPart>
    <w:docPart>
      <w:docPartPr>
        <w:name w:val="AA2649C42DAC45C5A9356D454D2F67D9"/>
        <w:style w:val=""/>
        <w:category>
          <w:name w:val="常规"/>
          <w:gallery w:val="placeholder"/>
        </w:category>
        <w:types>
          <w:type w:val="bbPlcHdr"/>
        </w:types>
        <w:behaviors>
          <w:behavior w:val="content"/>
        </w:behaviors>
        <w:description w:val=""/>
        <w:guid w:val="{7AF26E29-1F84-4A80-826D-D187AA334C99}"/>
      </w:docPartPr>
      <w:docPartBody>
        <w:p w14:paraId="0C1F1D9E">
          <w:pPr>
            <w:pStyle w:val="10"/>
          </w:pPr>
          <w:r>
            <w:rPr>
              <w:rStyle w:val="4"/>
              <w:rFonts w:hint="eastAsia"/>
            </w:rPr>
            <w:t>[单位]</w:t>
          </w:r>
        </w:p>
      </w:docPartBody>
    </w:docPart>
    <w:docPart>
      <w:docPartPr>
        <w:name w:val="2F9347A60ADF487B94FCD8BF251D4C15"/>
        <w:style w:val=""/>
        <w:category>
          <w:name w:val="常规"/>
          <w:gallery w:val="placeholder"/>
        </w:category>
        <w:types>
          <w:type w:val="bbPlcHdr"/>
        </w:types>
        <w:behaviors>
          <w:behavior w:val="content"/>
        </w:behaviors>
        <w:description w:val=""/>
        <w:guid w:val="{91B301E8-9187-4AF9-8952-C46A69BE176D}"/>
      </w:docPartPr>
      <w:docPartBody>
        <w:p w14:paraId="66B3CBB4">
          <w:pPr>
            <w:pStyle w:val="11"/>
          </w:pPr>
          <w:r>
            <w:rPr>
              <w:rStyle w:val="4"/>
              <w:rFonts w:hint="eastAsia"/>
            </w:rPr>
            <w:t>[单位]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66C"/>
    <w:rsid w:val="0008223F"/>
    <w:rsid w:val="003D7388"/>
    <w:rsid w:val="00526B23"/>
    <w:rsid w:val="007E666C"/>
    <w:rsid w:val="00A05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iPriority="99" w:semiHidden="0"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unhideWhenUsed/>
    <w:qFormat/>
    <w:uiPriority w:val="99"/>
    <w:rPr>
      <w:color w:val="666666"/>
    </w:rPr>
  </w:style>
  <w:style w:type="paragraph" w:customStyle="1" w:styleId="5">
    <w:name w:val="6E4FD89803754E50B7BBA314995DB0B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24751ED1F97E49D3B8EA692ED94B571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7BF0FA30241D48779563ADAED41AC14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8">
    <w:name w:val="796A5C1F8E8A4BBB856E21398F27E1D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
    <w:name w:val="74DFE4D243B94075B1BB4600D319A7E3"/>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
    <w:name w:val="AA2649C42DAC45C5A9356D454D2F67D9"/>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1">
    <w:name w:val="2F9347A60ADF487B94FCD8BF251D4C15"/>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中材地质工程勘查研究院有限公司</Company>
  <Pages>202</Pages>
  <Words>37964</Words>
  <Characters>45469</Characters>
  <Lines>1164</Lines>
  <Paragraphs>327</Paragraphs>
  <TotalTime>8</TotalTime>
  <ScaleCrop>false</ScaleCrop>
  <LinksUpToDate>false</LinksUpToDate>
  <CharactersWithSpaces>46659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2023-12-20T05:55:00Z</dcterms:created>
  <dc:creator>中材地质工程勘查研究院有限公司</dc:creator>
  <cp:lastModifiedBy>金山园区</cp:lastModifiedBy>
  <cp:lastPrinted>2023-12-20T05:50:00Z</cp:lastPrinted>
  <dcterms:modified xsi:type="dcterms:W3CDTF">2026-07-14T07:06:02Z</dcterms:modified>
  <dc:title>水保资证甲字第64号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EB921ED00FFE46F1A7A3C740BCE7B6E1_13</vt:lpwstr>
  </property>
  <property fmtid="{D5CDD505-2E9C-101B-9397-08002B2CF9AE}" pid="4" name="KSOTemplateDocerSaveRecord">
    <vt:lpwstr>eyJoZGlkIjoiMTI2MDY4NWRhZDY3N2UwNzRmMTJiZmJlNzc4ZTNiODIiLCJ1c2VySWQiOiIzNjQ0NDUyNzMifQ==</vt:lpwstr>
  </property>
</Properties>
</file>