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5645C7">
      <w:pPr>
        <w:pStyle w:val="2"/>
        <w:keepNext w:val="0"/>
        <w:keepLines w:val="0"/>
        <w:pageBreakBefore w:val="0"/>
        <w:widowControl w:val="0"/>
        <w:suppressLineNumbers w:val="0"/>
        <w:kinsoku/>
        <w:wordWrap w:val="0"/>
        <w:overflowPunct w:val="0"/>
        <w:topLinePunct/>
        <w:autoSpaceDE/>
        <w:autoSpaceDN/>
        <w:bidi w:val="0"/>
        <w:spacing w:before="0" w:beforeAutospacing="0" w:line="660" w:lineRule="exact"/>
        <w:ind w:left="0" w:leftChars="0" w:right="0" w:firstLine="0" w:firstLineChars="0"/>
        <w:jc w:val="both"/>
        <w:outlineLvl w:val="0"/>
        <w:rPr>
          <w:rFonts w:hint="eastAsia" w:ascii="黑体" w:hAnsi="黑体" w:eastAsia="黑体" w:cs="黑体"/>
          <w:snapToGrid/>
          <w:color w:val="auto"/>
          <w:spacing w:val="0"/>
          <w:kern w:val="2"/>
          <w:sz w:val="34"/>
          <w:szCs w:val="34"/>
          <w:highlight w:val="none"/>
          <w:lang w:val="en-US" w:eastAsia="zh-CN" w:bidi="ar-SA"/>
        </w:rPr>
      </w:pPr>
      <w:r>
        <w:rPr>
          <w:rFonts w:hint="eastAsia" w:ascii="黑体" w:hAnsi="黑体" w:eastAsia="黑体" w:cs="黑体"/>
          <w:snapToGrid/>
          <w:color w:val="auto"/>
          <w:spacing w:val="0"/>
          <w:kern w:val="2"/>
          <w:sz w:val="34"/>
          <w:szCs w:val="34"/>
          <w:highlight w:val="none"/>
          <w:lang w:val="en-US" w:eastAsia="zh-CN" w:bidi="ar-SA"/>
        </w:rPr>
        <w:t>附件</w:t>
      </w:r>
    </w:p>
    <w:p w14:paraId="11FF6F40">
      <w:pPr>
        <w:pStyle w:val="2"/>
        <w:keepNext w:val="0"/>
        <w:keepLines w:val="0"/>
        <w:pageBreakBefore w:val="0"/>
        <w:widowControl w:val="0"/>
        <w:suppressLineNumbers w:val="0"/>
        <w:kinsoku/>
        <w:wordWrap w:val="0"/>
        <w:overflowPunct w:val="0"/>
        <w:topLinePunct/>
        <w:autoSpaceDE/>
        <w:autoSpaceDN/>
        <w:bidi w:val="0"/>
        <w:spacing w:before="0" w:beforeAutospacing="0" w:line="660" w:lineRule="exact"/>
        <w:ind w:left="0" w:leftChars="0" w:right="0" w:firstLine="0" w:firstLineChars="0"/>
        <w:jc w:val="both"/>
        <w:outlineLvl w:val="0"/>
        <w:rPr>
          <w:rFonts w:hint="default" w:ascii="Times New Roman" w:hAnsi="Times New Roman" w:eastAsia="黑体" w:cs="Times New Roman"/>
          <w:snapToGrid/>
          <w:color w:val="auto"/>
          <w:spacing w:val="0"/>
          <w:kern w:val="2"/>
          <w:sz w:val="34"/>
          <w:szCs w:val="34"/>
          <w:highlight w:val="none"/>
          <w:lang w:val="en-US" w:eastAsia="zh-CN" w:bidi="ar-SA"/>
        </w:rPr>
      </w:pPr>
    </w:p>
    <w:p w14:paraId="7AE98625">
      <w:pPr>
        <w:pStyle w:val="2"/>
        <w:keepNext w:val="0"/>
        <w:keepLines w:val="0"/>
        <w:pageBreakBefore w:val="0"/>
        <w:widowControl w:val="0"/>
        <w:suppressLineNumbers w:val="0"/>
        <w:kinsoku/>
        <w:wordWrap w:val="0"/>
        <w:overflowPunct w:val="0"/>
        <w:topLinePunct/>
        <w:autoSpaceDE/>
        <w:autoSpaceDN/>
        <w:bidi w:val="0"/>
        <w:adjustRightInd w:val="0"/>
        <w:snapToGrid w:val="0"/>
        <w:spacing w:before="0" w:beforeAutospacing="0" w:line="700" w:lineRule="exact"/>
        <w:ind w:left="0" w:leftChars="0" w:right="0" w:firstLine="0" w:firstLineChars="0"/>
        <w:jc w:val="center"/>
        <w:textAlignment w:val="baseline"/>
        <w:outlineLvl w:val="0"/>
        <w:rPr>
          <w:rFonts w:hint="eastAsia" w:ascii="方正小标宋简体" w:hAnsi="方正小标宋简体" w:eastAsia="方正小标宋简体" w:cs="方正小标宋简体"/>
          <w:snapToGrid/>
          <w:color w:val="auto"/>
          <w:spacing w:val="0"/>
          <w:kern w:val="2"/>
          <w:sz w:val="44"/>
          <w:szCs w:val="44"/>
          <w:highlight w:val="none"/>
          <w:lang w:val="en-US" w:eastAsia="zh-CN" w:bidi="ar-SA"/>
        </w:rPr>
      </w:pPr>
      <w:r>
        <w:rPr>
          <w:rFonts w:hint="eastAsia" w:ascii="方正小标宋简体" w:hAnsi="方正小标宋简体" w:eastAsia="方正小标宋简体" w:cs="方正小标宋简体"/>
          <w:snapToGrid/>
          <w:color w:val="auto"/>
          <w:spacing w:val="0"/>
          <w:kern w:val="2"/>
          <w:sz w:val="44"/>
          <w:szCs w:val="44"/>
          <w:highlight w:val="none"/>
          <w:lang w:val="en-US" w:eastAsia="zh-CN" w:bidi="ar-SA"/>
        </w:rPr>
        <w:t>包头市固阳县美丽乡村建设实施方案</w:t>
      </w:r>
    </w:p>
    <w:p w14:paraId="3C9AFC5E">
      <w:pPr>
        <w:pStyle w:val="2"/>
        <w:keepNext w:val="0"/>
        <w:keepLines w:val="0"/>
        <w:pageBreakBefore w:val="0"/>
        <w:widowControl w:val="0"/>
        <w:suppressLineNumbers w:val="0"/>
        <w:kinsoku/>
        <w:wordWrap w:val="0"/>
        <w:overflowPunct w:val="0"/>
        <w:topLinePunct/>
        <w:autoSpaceDE/>
        <w:autoSpaceDN/>
        <w:bidi w:val="0"/>
        <w:adjustRightInd w:val="0"/>
        <w:snapToGrid w:val="0"/>
        <w:spacing w:before="0" w:beforeAutospacing="0" w:line="700" w:lineRule="exact"/>
        <w:ind w:left="0" w:leftChars="0" w:right="0" w:firstLine="0" w:firstLineChars="0"/>
        <w:jc w:val="center"/>
        <w:textAlignment w:val="baseline"/>
        <w:outlineLvl w:val="0"/>
        <w:rPr>
          <w:rFonts w:hint="eastAsia" w:ascii="方正小标宋简体" w:hAnsi="方正小标宋简体" w:eastAsia="方正小标宋简体" w:cs="方正小标宋简体"/>
          <w:snapToGrid/>
          <w:color w:val="auto"/>
          <w:spacing w:val="0"/>
          <w:kern w:val="2"/>
          <w:sz w:val="44"/>
          <w:szCs w:val="44"/>
          <w:highlight w:val="none"/>
          <w:lang w:val="en-US" w:eastAsia="zh-CN" w:bidi="ar-SA"/>
        </w:rPr>
      </w:pPr>
      <w:r>
        <w:rPr>
          <w:rFonts w:hint="eastAsia" w:ascii="方正小标宋简体" w:hAnsi="方正小标宋简体" w:eastAsia="方正小标宋简体" w:cs="方正小标宋简体"/>
          <w:snapToGrid/>
          <w:color w:val="auto"/>
          <w:spacing w:val="0"/>
          <w:kern w:val="2"/>
          <w:sz w:val="44"/>
          <w:szCs w:val="44"/>
          <w:highlight w:val="none"/>
          <w:lang w:val="en-US" w:eastAsia="zh-CN" w:bidi="ar-SA"/>
        </w:rPr>
        <w:t>（征求意见</w:t>
      </w:r>
      <w:bookmarkStart w:id="0" w:name="_GoBack"/>
      <w:bookmarkEnd w:id="0"/>
      <w:r>
        <w:rPr>
          <w:rFonts w:hint="eastAsia" w:ascii="方正小标宋简体" w:hAnsi="方正小标宋简体" w:eastAsia="方正小标宋简体" w:cs="方正小标宋简体"/>
          <w:snapToGrid/>
          <w:color w:val="auto"/>
          <w:spacing w:val="0"/>
          <w:kern w:val="2"/>
          <w:sz w:val="44"/>
          <w:szCs w:val="44"/>
          <w:highlight w:val="none"/>
          <w:lang w:val="en-US" w:eastAsia="zh-CN" w:bidi="ar-SA"/>
        </w:rPr>
        <w:t>稿）</w:t>
      </w:r>
    </w:p>
    <w:p w14:paraId="703BB46D">
      <w:pPr>
        <w:pStyle w:val="2"/>
        <w:keepNext w:val="0"/>
        <w:keepLines w:val="0"/>
        <w:pageBreakBefore w:val="0"/>
        <w:widowControl w:val="0"/>
        <w:suppressLineNumbers w:val="0"/>
        <w:kinsoku/>
        <w:wordWrap w:val="0"/>
        <w:overflowPunct w:val="0"/>
        <w:topLinePunct/>
        <w:autoSpaceDE/>
        <w:autoSpaceDN/>
        <w:bidi w:val="0"/>
        <w:adjustRightInd w:val="0"/>
        <w:snapToGrid w:val="0"/>
        <w:spacing w:before="0" w:beforeAutospacing="0" w:line="578" w:lineRule="exact"/>
        <w:ind w:left="0" w:leftChars="0" w:right="0" w:firstLine="640" w:firstLineChars="200"/>
        <w:jc w:val="left"/>
        <w:textAlignment w:val="baseline"/>
        <w:outlineLvl w:val="0"/>
        <w:rPr>
          <w:rFonts w:hint="eastAsia" w:ascii="仿宋_GB2312" w:hAnsi="仿宋_GB2312" w:eastAsia="仿宋_GB2312" w:cs="仿宋_GB2312"/>
          <w:snapToGrid/>
          <w:color w:val="auto"/>
          <w:kern w:val="2"/>
          <w:sz w:val="32"/>
          <w:szCs w:val="32"/>
          <w:highlight w:val="none"/>
          <w:u w:val="none"/>
          <w:lang w:val="en-US" w:eastAsia="zh-CN" w:bidi="ar-SA"/>
        </w:rPr>
      </w:pPr>
      <w:r>
        <w:rPr>
          <w:rFonts w:hint="eastAsia" w:ascii="仿宋_GB2312" w:hAnsi="仿宋_GB2312" w:eastAsia="仿宋_GB2312" w:cs="仿宋_GB2312"/>
          <w:snapToGrid/>
          <w:color w:val="auto"/>
          <w:kern w:val="2"/>
          <w:sz w:val="32"/>
          <w:szCs w:val="32"/>
          <w:highlight w:val="none"/>
          <w:u w:val="none"/>
          <w:lang w:val="en-US" w:eastAsia="zh-CN" w:bidi="ar-SA"/>
        </w:rPr>
        <w:t>为贯彻落实《中共中央 国务院关于全面推进美丽中国建设的意见》《中共中央 国务院印发&lt;加快建设农业强国规划（</w:t>
      </w:r>
      <w:r>
        <w:rPr>
          <w:rFonts w:hint="eastAsia" w:ascii="仿宋_GB2312" w:hAnsi="仿宋_GB2312" w:eastAsia="仿宋_GB2312" w:cs="仿宋_GB2312"/>
          <w:snapToGrid/>
          <w:color w:val="auto"/>
          <w:spacing w:val="0"/>
          <w:kern w:val="0"/>
          <w:sz w:val="32"/>
          <w:szCs w:val="32"/>
          <w:highlight w:val="none"/>
          <w:lang w:val="en-US" w:eastAsia="zh-CN" w:bidi="ar-SA"/>
        </w:rPr>
        <w:t>2024—2035年）&gt;》《关于建设美丽中国先行区的实施意见》《内蒙古自治区党委 自治区人民政府关于全面推进美丽内蒙古建设的实施意见》，依据生态环境部等九部委印发的《美丽乡村建设实施意见》</w:t>
      </w:r>
      <w:r>
        <w:rPr>
          <w:rFonts w:hint="eastAsia" w:ascii="仿宋_GB2312" w:hAnsi="仿宋_GB2312" w:eastAsia="仿宋_GB2312" w:cs="仿宋_GB2312"/>
          <w:snapToGrid/>
          <w:color w:val="auto"/>
          <w:kern w:val="2"/>
          <w:sz w:val="32"/>
          <w:szCs w:val="32"/>
          <w:highlight w:val="none"/>
          <w:u w:val="none"/>
          <w:lang w:val="en-US" w:eastAsia="zh-CN" w:bidi="ar-SA"/>
        </w:rPr>
        <w:t>结合我县实际</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snapToGrid/>
          <w:color w:val="auto"/>
          <w:kern w:val="2"/>
          <w:sz w:val="32"/>
          <w:szCs w:val="32"/>
          <w:highlight w:val="none"/>
          <w:u w:val="none"/>
          <w:lang w:val="en-US" w:eastAsia="zh-CN" w:bidi="ar-SA"/>
        </w:rPr>
        <w:t>制定本方案。</w:t>
      </w:r>
    </w:p>
    <w:p w14:paraId="613B381C">
      <w:pPr>
        <w:pStyle w:val="2"/>
        <w:keepNext w:val="0"/>
        <w:keepLines w:val="0"/>
        <w:pageBreakBefore w:val="0"/>
        <w:widowControl w:val="0"/>
        <w:suppressLineNumbers w:val="0"/>
        <w:kinsoku/>
        <w:wordWrap w:val="0"/>
        <w:overflowPunct w:val="0"/>
        <w:topLinePunct/>
        <w:autoSpaceDE/>
        <w:autoSpaceDN/>
        <w:bidi w:val="0"/>
        <w:adjustRightInd w:val="0"/>
        <w:snapToGrid w:val="0"/>
        <w:spacing w:before="0" w:line="560" w:lineRule="exact"/>
        <w:ind w:left="0" w:leftChars="0" w:right="0" w:firstLine="640" w:firstLineChars="200"/>
        <w:jc w:val="both"/>
        <w:textAlignment w:val="baseline"/>
        <w:outlineLvl w:val="1"/>
        <w:rPr>
          <w:rFonts w:hint="default" w:ascii="Times New Roman" w:hAnsi="Times New Roman" w:eastAsia="黑体" w:cs="Times New Roman"/>
          <w:snapToGrid/>
          <w:color w:val="auto"/>
          <w:kern w:val="2"/>
          <w:sz w:val="32"/>
          <w:szCs w:val="32"/>
          <w:highlight w:val="none"/>
          <w:u w:val="none"/>
          <w:lang w:val="en-US" w:eastAsia="zh-CN" w:bidi="ar-SA"/>
        </w:rPr>
      </w:pPr>
      <w:r>
        <w:rPr>
          <w:rFonts w:hint="default" w:ascii="Times New Roman" w:hAnsi="Times New Roman" w:eastAsia="黑体" w:cs="Times New Roman"/>
          <w:snapToGrid/>
          <w:color w:val="auto"/>
          <w:kern w:val="2"/>
          <w:sz w:val="32"/>
          <w:szCs w:val="32"/>
          <w:highlight w:val="none"/>
          <w:u w:val="none"/>
          <w:lang w:val="en-US" w:eastAsia="zh-CN" w:bidi="ar-SA"/>
        </w:rPr>
        <w:t>一、总体要求</w:t>
      </w:r>
    </w:p>
    <w:p w14:paraId="3F4B61AA">
      <w:pPr>
        <w:keepNext w:val="0"/>
        <w:keepLines w:val="0"/>
        <w:pageBreakBefore w:val="0"/>
        <w:widowControl w:val="0"/>
        <w:numPr>
          <w:ilvl w:val="0"/>
          <w:numId w:val="0"/>
        </w:numPr>
        <w:kinsoku/>
        <w:wordWrap w:val="0"/>
        <w:overflowPunct w:val="0"/>
        <w:topLinePunct/>
        <w:autoSpaceDE/>
        <w:autoSpaceDN/>
        <w:bidi w:val="0"/>
        <w:adjustRightInd/>
        <w:snapToGrid/>
        <w:spacing w:line="578" w:lineRule="exact"/>
        <w:ind w:left="0" w:leftChars="0" w:right="0" w:rightChars="0" w:firstLine="640" w:firstLineChars="200"/>
        <w:jc w:val="both"/>
        <w:textAlignment w:val="auto"/>
        <w:outlineLvl w:val="1"/>
        <w:rPr>
          <w:rFonts w:hint="default" w:ascii="Times New Roman" w:hAnsi="Times New Roman" w:eastAsia="仿宋_GB2312" w:cs="Times New Roman"/>
          <w:snapToGrid/>
          <w:color w:val="auto"/>
          <w:kern w:val="2"/>
          <w:sz w:val="32"/>
          <w:szCs w:val="32"/>
          <w:highlight w:val="none"/>
          <w:u w:val="none"/>
          <w:lang w:val="en-US" w:eastAsia="zh-CN" w:bidi="ar-SA"/>
        </w:rPr>
      </w:pPr>
      <w:r>
        <w:rPr>
          <w:rFonts w:hint="default" w:ascii="Times New Roman" w:hAnsi="Times New Roman" w:eastAsia="楷体_GB2312" w:cs="Times New Roman"/>
          <w:b w:val="0"/>
          <w:bCs w:val="0"/>
          <w:sz w:val="32"/>
          <w:szCs w:val="32"/>
          <w:highlight w:val="none"/>
          <w:u w:val="none"/>
          <w:lang w:eastAsia="zh-CN"/>
        </w:rPr>
        <w:t>（一）</w:t>
      </w:r>
      <w:r>
        <w:rPr>
          <w:rFonts w:hint="default" w:ascii="Times New Roman" w:hAnsi="Times New Roman" w:eastAsia="楷体_GB2312" w:cs="Times New Roman"/>
          <w:b w:val="0"/>
          <w:bCs w:val="0"/>
          <w:sz w:val="32"/>
          <w:szCs w:val="32"/>
          <w:highlight w:val="none"/>
          <w:u w:val="none"/>
        </w:rPr>
        <w:t>指导思想</w:t>
      </w:r>
      <w:r>
        <w:rPr>
          <w:rFonts w:hint="eastAsia" w:ascii="Times New Roman" w:hAnsi="Times New Roman" w:eastAsia="楷体_GB2312" w:cs="Times New Roman"/>
          <w:b w:val="0"/>
          <w:bCs w:val="0"/>
          <w:sz w:val="32"/>
          <w:szCs w:val="32"/>
          <w:highlight w:val="none"/>
          <w:u w:val="none"/>
          <w:lang w:eastAsia="zh-CN"/>
        </w:rPr>
        <w:t>。</w:t>
      </w:r>
      <w:r>
        <w:rPr>
          <w:rFonts w:hint="default" w:ascii="Times New Roman" w:hAnsi="Times New Roman" w:eastAsia="仿宋_GB2312" w:cs="Times New Roman"/>
          <w:snapToGrid/>
          <w:color w:val="auto"/>
          <w:kern w:val="2"/>
          <w:sz w:val="32"/>
          <w:szCs w:val="32"/>
          <w:highlight w:val="none"/>
          <w:u w:val="none"/>
          <w:lang w:val="en-US" w:eastAsia="zh-CN" w:bidi="ar-SA"/>
        </w:rPr>
        <w:t>以习近平新时代中国特色社会主义思想为指导</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snapToGrid/>
          <w:color w:val="auto"/>
          <w:kern w:val="2"/>
          <w:sz w:val="32"/>
          <w:szCs w:val="32"/>
          <w:highlight w:val="none"/>
          <w:u w:val="none"/>
          <w:lang w:val="en-US" w:eastAsia="zh-CN" w:bidi="ar-SA"/>
        </w:rPr>
        <w:t>全面贯彻习近平生态文明思想</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snapToGrid/>
          <w:color w:val="auto"/>
          <w:kern w:val="2"/>
          <w:sz w:val="32"/>
          <w:szCs w:val="32"/>
          <w:highlight w:val="none"/>
          <w:u w:val="none"/>
          <w:lang w:val="en-US" w:eastAsia="zh-CN" w:bidi="ar-SA"/>
        </w:rPr>
        <w:t>全面落实党的二十大和二十届二中、三中</w:t>
      </w:r>
      <w:r>
        <w:rPr>
          <w:rFonts w:hint="eastAsia" w:ascii="Times New Roman" w:hAnsi="Times New Roman" w:eastAsia="仿宋_GB2312" w:cs="Times New Roman"/>
          <w:snapToGrid/>
          <w:color w:val="auto"/>
          <w:kern w:val="2"/>
          <w:sz w:val="32"/>
          <w:szCs w:val="32"/>
          <w:highlight w:val="none"/>
          <w:u w:val="none"/>
          <w:lang w:val="en-US" w:eastAsia="zh-CN" w:bidi="ar-SA"/>
        </w:rPr>
        <w:t>、四中</w:t>
      </w:r>
      <w:r>
        <w:rPr>
          <w:rFonts w:hint="default" w:ascii="Times New Roman" w:hAnsi="Times New Roman" w:eastAsia="仿宋_GB2312" w:cs="Times New Roman"/>
          <w:snapToGrid/>
          <w:color w:val="auto"/>
          <w:kern w:val="2"/>
          <w:sz w:val="32"/>
          <w:szCs w:val="32"/>
          <w:highlight w:val="none"/>
          <w:u w:val="none"/>
          <w:lang w:val="en-US" w:eastAsia="zh-CN" w:bidi="ar-SA"/>
        </w:rPr>
        <w:t>全会精神</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snapToGrid/>
          <w:color w:val="auto"/>
          <w:kern w:val="2"/>
          <w:sz w:val="32"/>
          <w:szCs w:val="32"/>
          <w:highlight w:val="none"/>
          <w:u w:val="none"/>
          <w:lang w:val="en-US" w:eastAsia="zh-CN" w:bidi="ar-SA"/>
        </w:rPr>
        <w:t>把握铸牢中华民族共同体意识工作主线</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snapToGrid/>
          <w:color w:val="auto"/>
          <w:kern w:val="2"/>
          <w:sz w:val="32"/>
          <w:szCs w:val="32"/>
          <w:highlight w:val="none"/>
          <w:u w:val="none"/>
          <w:lang w:val="en-US" w:eastAsia="zh-CN" w:bidi="ar-SA"/>
        </w:rPr>
        <w:t>深入贯彻习近平总书记关于</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snapToGrid/>
          <w:color w:val="auto"/>
          <w:kern w:val="2"/>
          <w:sz w:val="32"/>
          <w:szCs w:val="32"/>
          <w:highlight w:val="none"/>
          <w:u w:val="none"/>
          <w:lang w:val="en-US" w:eastAsia="zh-CN" w:bidi="ar-SA"/>
        </w:rPr>
        <w:t>三农</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snapToGrid/>
          <w:color w:val="auto"/>
          <w:kern w:val="2"/>
          <w:sz w:val="32"/>
          <w:szCs w:val="32"/>
          <w:highlight w:val="none"/>
          <w:u w:val="none"/>
          <w:lang w:val="en-US" w:eastAsia="zh-CN" w:bidi="ar-SA"/>
        </w:rPr>
        <w:t>工作的重要论述和对内蒙古的重要指示精神</w:t>
      </w:r>
      <w:r>
        <w:rPr>
          <w:rFonts w:hint="default" w:ascii="Times New Roman" w:hAnsi="Times New Roman" w:eastAsia="仿宋_GB2312" w:cs="Times New Roman"/>
          <w:color w:val="auto"/>
          <w:sz w:val="32"/>
          <w:szCs w:val="32"/>
          <w:highlight w:val="none"/>
          <w:u w:val="none"/>
        </w:rPr>
        <w:t>，</w:t>
      </w:r>
      <w:r>
        <w:rPr>
          <w:rFonts w:hint="eastAsia" w:ascii="Times New Roman" w:hAnsi="Times New Roman" w:eastAsia="仿宋_GB2312" w:cs="Times New Roman"/>
          <w:color w:val="auto"/>
          <w:sz w:val="32"/>
          <w:szCs w:val="32"/>
          <w:highlight w:val="none"/>
          <w:u w:val="none"/>
          <w:lang w:val="en-US" w:eastAsia="zh-CN"/>
        </w:rPr>
        <w:t>以人民为中心，让良好生态环境成为幸福生活增长点、经济社会发展支撑点，</w:t>
      </w:r>
      <w:r>
        <w:rPr>
          <w:rFonts w:hint="default" w:ascii="Times New Roman" w:hAnsi="Times New Roman" w:eastAsia="仿宋_GB2312" w:cs="Times New Roman"/>
          <w:snapToGrid/>
          <w:color w:val="auto"/>
          <w:kern w:val="2"/>
          <w:sz w:val="32"/>
          <w:szCs w:val="32"/>
          <w:highlight w:val="none"/>
          <w:u w:val="none"/>
          <w:lang w:val="en-US" w:eastAsia="zh-CN" w:bidi="ar-SA"/>
        </w:rPr>
        <w:t>坚持节约优先、保护优先、自然恢复为主的方针</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snapToGrid/>
          <w:color w:val="auto"/>
          <w:kern w:val="2"/>
          <w:sz w:val="32"/>
          <w:szCs w:val="32"/>
          <w:highlight w:val="none"/>
          <w:u w:val="none"/>
          <w:lang w:val="en-US" w:eastAsia="zh-CN" w:bidi="ar-SA"/>
        </w:rPr>
        <w:t>深入学习运用</w:t>
      </w:r>
      <w:r>
        <w:rPr>
          <w:rFonts w:hint="eastAsia" w:ascii="Times New Roman" w:hAnsi="Times New Roman" w:eastAsia="仿宋_GB2312" w:cs="Times New Roman"/>
          <w:snapToGrid/>
          <w:color w:val="auto"/>
          <w:kern w:val="2"/>
          <w:sz w:val="32"/>
          <w:szCs w:val="32"/>
          <w:highlight w:val="none"/>
          <w:u w:val="none"/>
          <w:lang w:val="en-US" w:eastAsia="zh-CN" w:bidi="ar-SA"/>
        </w:rPr>
        <w:t>“千万工程”经验</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snapToGrid/>
          <w:color w:val="auto"/>
          <w:kern w:val="2"/>
          <w:sz w:val="32"/>
          <w:szCs w:val="32"/>
          <w:highlight w:val="none"/>
          <w:u w:val="none"/>
          <w:lang w:val="en-US" w:eastAsia="zh-CN" w:bidi="ar-SA"/>
        </w:rPr>
        <w:t>统筹乡村生态振兴和农村牧区人居环境整治</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snapToGrid/>
          <w:color w:val="auto"/>
          <w:kern w:val="2"/>
          <w:sz w:val="32"/>
          <w:szCs w:val="32"/>
          <w:highlight w:val="none"/>
          <w:u w:val="none"/>
          <w:lang w:val="en-US" w:eastAsia="zh-CN" w:bidi="ar-SA"/>
        </w:rPr>
        <w:t>建设山清水秀、天蓝地绿、村美人和的美丽乡村。</w:t>
      </w:r>
    </w:p>
    <w:p w14:paraId="2BB57646">
      <w:pPr>
        <w:keepNext w:val="0"/>
        <w:keepLines w:val="0"/>
        <w:pageBreakBefore w:val="0"/>
        <w:widowControl w:val="0"/>
        <w:numPr>
          <w:ilvl w:val="0"/>
          <w:numId w:val="0"/>
        </w:numPr>
        <w:kinsoku/>
        <w:wordWrap w:val="0"/>
        <w:overflowPunct w:val="0"/>
        <w:topLinePunct/>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仿宋_GB2312" w:cs="Times New Roman"/>
          <w:snapToGrid/>
          <w:color w:val="auto"/>
          <w:kern w:val="2"/>
          <w:sz w:val="32"/>
          <w:szCs w:val="32"/>
          <w:highlight w:val="none"/>
          <w:u w:val="single"/>
          <w:lang w:val="en-US" w:eastAsia="zh-CN" w:bidi="ar-SA"/>
        </w:rPr>
      </w:pPr>
      <w:r>
        <w:rPr>
          <w:rFonts w:hint="default" w:ascii="Times New Roman" w:hAnsi="Times New Roman" w:eastAsia="楷体_GB2312" w:cs="Times New Roman"/>
          <w:b w:val="0"/>
          <w:bCs w:val="0"/>
          <w:sz w:val="32"/>
          <w:szCs w:val="32"/>
          <w:highlight w:val="none"/>
          <w:u w:val="none"/>
          <w:lang w:val="en-US" w:eastAsia="zh-CN"/>
        </w:rPr>
        <w:t>（二）主要目标</w:t>
      </w:r>
      <w:r>
        <w:rPr>
          <w:rFonts w:hint="eastAsia" w:ascii="Times New Roman" w:hAnsi="Times New Roman" w:eastAsia="楷体_GB2312" w:cs="Times New Roman"/>
          <w:b w:val="0"/>
          <w:bCs w:val="0"/>
          <w:sz w:val="32"/>
          <w:szCs w:val="32"/>
          <w:highlight w:val="none"/>
          <w:u w:val="none"/>
          <w:lang w:val="en-US" w:eastAsia="zh-CN"/>
        </w:rPr>
        <w:t>。</w:t>
      </w:r>
      <w:r>
        <w:rPr>
          <w:rFonts w:hint="default" w:ascii="Times New Roman" w:hAnsi="Times New Roman" w:eastAsia="仿宋_GB2312" w:cs="Times New Roman"/>
          <w:snapToGrid/>
          <w:color w:val="auto"/>
          <w:kern w:val="2"/>
          <w:sz w:val="32"/>
          <w:szCs w:val="32"/>
          <w:highlight w:val="none"/>
          <w:u w:val="none"/>
          <w:lang w:val="en-US" w:eastAsia="zh-CN" w:bidi="ar-SA"/>
        </w:rPr>
        <w:t>到</w:t>
      </w:r>
      <w:r>
        <w:rPr>
          <w:rFonts w:hint="default" w:ascii="Times New Roman" w:hAnsi="Times New Roman" w:eastAsia="仿宋_GB2312" w:cs="Times New Roman"/>
          <w:snapToGrid/>
          <w:color w:val="auto"/>
          <w:spacing w:val="0"/>
          <w:kern w:val="2"/>
          <w:sz w:val="32"/>
          <w:szCs w:val="32"/>
          <w:highlight w:val="none"/>
          <w:u w:val="none"/>
          <w:lang w:val="en-US" w:eastAsia="zh-CN" w:bidi="ar-SA"/>
        </w:rPr>
        <w:t>2026年</w:t>
      </w:r>
      <w:r>
        <w:rPr>
          <w:rFonts w:hint="default" w:ascii="Times New Roman" w:hAnsi="Times New Roman" w:eastAsia="仿宋_GB2312" w:cs="Times New Roman"/>
          <w:snapToGrid/>
          <w:color w:val="auto"/>
          <w:kern w:val="2"/>
          <w:sz w:val="32"/>
          <w:szCs w:val="32"/>
          <w:highlight w:val="none"/>
          <w:u w:val="none"/>
          <w:lang w:val="en-US" w:eastAsia="zh-CN" w:bidi="ar-SA"/>
        </w:rPr>
        <w:t>底，基本建成</w:t>
      </w:r>
      <w:r>
        <w:rPr>
          <w:rFonts w:hint="eastAsia" w:ascii="Times New Roman" w:hAnsi="Times New Roman" w:eastAsia="仿宋_GB2312" w:cs="Times New Roman"/>
          <w:snapToGrid/>
          <w:color w:val="auto"/>
          <w:kern w:val="2"/>
          <w:sz w:val="32"/>
          <w:szCs w:val="32"/>
          <w:highlight w:val="none"/>
          <w:u w:val="none"/>
          <w:lang w:val="en-US" w:eastAsia="zh-CN" w:bidi="ar-SA"/>
        </w:rPr>
        <w:t>固阳县</w:t>
      </w:r>
      <w:r>
        <w:rPr>
          <w:rFonts w:hint="default" w:ascii="Times New Roman" w:hAnsi="Times New Roman" w:eastAsia="仿宋_GB2312" w:cs="Times New Roman"/>
          <w:snapToGrid/>
          <w:color w:val="auto"/>
          <w:kern w:val="2"/>
          <w:sz w:val="32"/>
          <w:szCs w:val="32"/>
          <w:highlight w:val="none"/>
          <w:u w:val="none"/>
          <w:lang w:val="en-US" w:eastAsia="zh-CN" w:bidi="ar-SA"/>
        </w:rPr>
        <w:t>美丽乡村，重点区域农业面源污染得到有效遏制，行政村环境整治得到巩固，农村牧区继续保持无劣V类水体的成效。农村牧区绿色生产生活方式基本形成，重点村庄全面完成环境整治。</w:t>
      </w:r>
    </w:p>
    <w:p w14:paraId="1566B738">
      <w:pPr>
        <w:pStyle w:val="2"/>
        <w:keepNext w:val="0"/>
        <w:keepLines w:val="0"/>
        <w:pageBreakBefore w:val="0"/>
        <w:widowControl w:val="0"/>
        <w:suppressLineNumbers w:val="0"/>
        <w:kinsoku/>
        <w:wordWrap w:val="0"/>
        <w:overflowPunct w:val="0"/>
        <w:topLinePunct/>
        <w:autoSpaceDE/>
        <w:autoSpaceDN/>
        <w:bidi w:val="0"/>
        <w:adjustRightInd w:val="0"/>
        <w:snapToGrid w:val="0"/>
        <w:spacing w:before="0" w:line="560" w:lineRule="exact"/>
        <w:ind w:left="0" w:leftChars="0" w:right="0" w:firstLine="640" w:firstLineChars="200"/>
        <w:jc w:val="both"/>
        <w:textAlignment w:val="baseline"/>
        <w:outlineLvl w:val="1"/>
        <w:rPr>
          <w:rFonts w:hint="default" w:ascii="Times New Roman" w:hAnsi="Times New Roman" w:eastAsia="黑体" w:cs="Times New Roman"/>
          <w:snapToGrid/>
          <w:color w:val="auto"/>
          <w:kern w:val="2"/>
          <w:sz w:val="32"/>
          <w:szCs w:val="32"/>
          <w:highlight w:val="none"/>
          <w:u w:val="none"/>
          <w:lang w:val="en-US" w:eastAsia="zh-CN" w:bidi="ar-SA"/>
        </w:rPr>
      </w:pPr>
      <w:r>
        <w:rPr>
          <w:rFonts w:hint="default" w:ascii="Times New Roman" w:hAnsi="Times New Roman" w:eastAsia="黑体" w:cs="Times New Roman"/>
          <w:snapToGrid/>
          <w:color w:val="auto"/>
          <w:kern w:val="2"/>
          <w:sz w:val="32"/>
          <w:szCs w:val="32"/>
          <w:highlight w:val="none"/>
          <w:u w:val="none"/>
          <w:lang w:val="en-US" w:eastAsia="zh-CN" w:bidi="ar-SA"/>
        </w:rPr>
        <w:t>二、实施内容</w:t>
      </w:r>
    </w:p>
    <w:p w14:paraId="5139B56C">
      <w:pPr>
        <w:pStyle w:val="2"/>
        <w:keepNext w:val="0"/>
        <w:keepLines w:val="0"/>
        <w:pageBreakBefore w:val="0"/>
        <w:widowControl w:val="0"/>
        <w:suppressLineNumbers w:val="0"/>
        <w:kinsoku/>
        <w:wordWrap w:val="0"/>
        <w:overflowPunct w:val="0"/>
        <w:topLinePunct/>
        <w:autoSpaceDE/>
        <w:autoSpaceDN/>
        <w:bidi w:val="0"/>
        <w:adjustRightInd w:val="0"/>
        <w:snapToGrid w:val="0"/>
        <w:spacing w:before="0" w:beforeAutospacing="0" w:line="578" w:lineRule="exact"/>
        <w:ind w:left="0" w:leftChars="0" w:right="0" w:firstLine="640" w:firstLineChars="200"/>
        <w:jc w:val="both"/>
        <w:textAlignment w:val="baseline"/>
        <w:rPr>
          <w:rFonts w:hint="default" w:ascii="Times New Roman" w:hAnsi="Times New Roman" w:eastAsia="楷体_GB2312" w:cs="Times New Roman"/>
          <w:b w:val="0"/>
          <w:bCs w:val="0"/>
          <w:color w:val="auto"/>
          <w:kern w:val="2"/>
          <w:sz w:val="32"/>
          <w:szCs w:val="32"/>
          <w:highlight w:val="none"/>
          <w:u w:val="none"/>
          <w:lang w:bidi="ar-SA"/>
        </w:rPr>
      </w:pPr>
      <w:r>
        <w:rPr>
          <w:rFonts w:hint="eastAsia" w:ascii="楷体_GB2312" w:hAnsi="楷体_GB2312" w:eastAsia="楷体_GB2312" w:cs="楷体_GB2312"/>
          <w:b w:val="0"/>
          <w:bCs w:val="0"/>
          <w:sz w:val="32"/>
          <w:szCs w:val="32"/>
          <w:highlight w:val="none"/>
          <w:u w:val="none"/>
          <w:lang w:eastAsia="zh-CN"/>
        </w:rPr>
        <w:t>（一）</w:t>
      </w:r>
      <w:r>
        <w:rPr>
          <w:rFonts w:hint="eastAsia" w:ascii="楷体_GB2312" w:hAnsi="楷体_GB2312" w:eastAsia="楷体_GB2312" w:cs="楷体_GB2312"/>
          <w:b w:val="0"/>
          <w:bCs w:val="0"/>
          <w:snapToGrid/>
          <w:color w:val="auto"/>
          <w:kern w:val="2"/>
          <w:sz w:val="32"/>
          <w:szCs w:val="32"/>
          <w:highlight w:val="none"/>
          <w:u w:val="none"/>
          <w:lang w:val="en-US" w:eastAsia="zh-CN" w:bidi="ar-SA"/>
        </w:rPr>
        <w:t>深入学习运用“千万工程”经验。</w:t>
      </w:r>
      <w:r>
        <w:rPr>
          <w:rFonts w:hint="eastAsia" w:ascii="仿宋_GB2312" w:hAnsi="仿宋_GB2312" w:eastAsia="仿宋_GB2312" w:cs="仿宋_GB2312"/>
          <w:snapToGrid/>
          <w:color w:val="auto"/>
          <w:kern w:val="2"/>
          <w:sz w:val="32"/>
          <w:szCs w:val="32"/>
          <w:highlight w:val="none"/>
          <w:u w:val="none"/>
          <w:lang w:val="en-US" w:eastAsia="zh-CN" w:bidi="ar-SA"/>
        </w:rPr>
        <w:t>坚持</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snapToGrid/>
          <w:color w:val="auto"/>
          <w:kern w:val="2"/>
          <w:sz w:val="32"/>
          <w:szCs w:val="32"/>
          <w:highlight w:val="none"/>
          <w:u w:val="none"/>
          <w:lang w:val="en-US" w:eastAsia="zh-CN" w:bidi="ar-SA"/>
        </w:rPr>
        <w:t>问需于农</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snapToGrid/>
          <w:color w:val="auto"/>
          <w:kern w:val="2"/>
          <w:sz w:val="32"/>
          <w:szCs w:val="32"/>
          <w:highlight w:val="none"/>
          <w:u w:val="none"/>
          <w:lang w:val="en-US" w:eastAsia="zh-CN" w:bidi="ar-SA"/>
        </w:rPr>
        <w:t>问计于农</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snapToGrid/>
          <w:color w:val="auto"/>
          <w:kern w:val="2"/>
          <w:sz w:val="32"/>
          <w:szCs w:val="32"/>
          <w:highlight w:val="none"/>
          <w:u w:val="none"/>
          <w:lang w:val="en-US" w:eastAsia="zh-CN" w:bidi="ar-SA"/>
        </w:rPr>
        <w:t>问效于农</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snapToGrid/>
          <w:color w:val="auto"/>
          <w:kern w:val="2"/>
          <w:sz w:val="32"/>
          <w:szCs w:val="32"/>
          <w:highlight w:val="none"/>
          <w:u w:val="none"/>
          <w:lang w:val="en-US" w:eastAsia="zh-CN" w:bidi="ar-SA"/>
        </w:rPr>
        <w:t>集中力量抓好办成一批群众可感可及的实事，推进村庄生态环境质量、农牧业绿色低碳发展水平、农村牧区居民生活品质全面提升</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val="en-US" w:eastAsia="zh-CN"/>
        </w:rPr>
        <w:t>以</w:t>
      </w:r>
      <w:r>
        <w:rPr>
          <w:rFonts w:hint="eastAsia" w:ascii="仿宋_GB2312" w:hAnsi="仿宋_GB2312" w:eastAsia="仿宋_GB2312" w:cs="仿宋_GB2312"/>
          <w:snapToGrid/>
          <w:color w:val="auto"/>
          <w:kern w:val="2"/>
          <w:sz w:val="32"/>
          <w:szCs w:val="32"/>
          <w:highlight w:val="none"/>
          <w:u w:val="none"/>
          <w:lang w:val="en-US" w:eastAsia="zh-CN" w:bidi="ar-SA"/>
        </w:rPr>
        <w:t>银号镇大庙村、下湿壕镇大英图村乡村旅游重点村为示范村，由点带面建成一批生态宜居的美丽乡村为老百姓留住鸟语花香、田园风光</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snapToGrid/>
          <w:color w:val="auto"/>
          <w:kern w:val="2"/>
          <w:sz w:val="32"/>
          <w:szCs w:val="32"/>
          <w:highlight w:val="none"/>
          <w:u w:val="none"/>
          <w:lang w:val="en-US" w:eastAsia="zh-CN" w:bidi="ar-SA"/>
        </w:rPr>
        <w:t>让农村牧区成为安居乐业的美丽家园。</w:t>
      </w:r>
      <w:r>
        <w:rPr>
          <w:rFonts w:hint="default" w:ascii="Times New Roman" w:hAnsi="Times New Roman" w:eastAsia="楷体_GB2312" w:cs="Times New Roman"/>
          <w:snapToGrid/>
          <w:color w:val="auto"/>
          <w:kern w:val="2"/>
          <w:sz w:val="32"/>
          <w:szCs w:val="32"/>
          <w:highlight w:val="none"/>
          <w:u w:val="none"/>
          <w:lang w:val="en-US" w:eastAsia="zh-CN" w:bidi="ar-SA"/>
        </w:rPr>
        <w:t>（</w:t>
      </w:r>
      <w:r>
        <w:rPr>
          <w:rFonts w:hint="eastAsia" w:ascii="Times New Roman" w:hAnsi="Times New Roman" w:eastAsia="楷体_GB2312" w:cs="Times New Roman"/>
          <w:snapToGrid/>
          <w:color w:val="auto"/>
          <w:kern w:val="2"/>
          <w:sz w:val="32"/>
          <w:szCs w:val="32"/>
          <w:highlight w:val="none"/>
          <w:u w:val="none"/>
          <w:lang w:val="en-US" w:eastAsia="zh-CN" w:bidi="ar-SA"/>
        </w:rPr>
        <w:t>牵头单位</w:t>
      </w:r>
      <w:r>
        <w:rPr>
          <w:rFonts w:hint="default" w:ascii="Times New Roman" w:hAnsi="Times New Roman" w:eastAsia="楷体_GB2312" w:cs="Times New Roman"/>
          <w:snapToGrid/>
          <w:color w:val="auto"/>
          <w:kern w:val="2"/>
          <w:sz w:val="32"/>
          <w:szCs w:val="32"/>
          <w:highlight w:val="none"/>
          <w:u w:val="none"/>
          <w:lang w:val="en-US" w:eastAsia="zh-CN" w:bidi="ar-SA"/>
        </w:rPr>
        <w:t>：</w:t>
      </w:r>
      <w:r>
        <w:rPr>
          <w:rFonts w:hint="default" w:ascii="Times New Roman" w:hAnsi="Times New Roman" w:eastAsia="楷体_GB2312" w:cs="Times New Roman"/>
          <w:b w:val="0"/>
          <w:bCs w:val="0"/>
          <w:snapToGrid/>
          <w:color w:val="auto"/>
          <w:kern w:val="2"/>
          <w:sz w:val="32"/>
          <w:szCs w:val="32"/>
          <w:highlight w:val="none"/>
          <w:u w:val="none"/>
          <w:lang w:val="en-US" w:eastAsia="zh-CN" w:bidi="ar-SA"/>
        </w:rPr>
        <w:t>县农牧局</w:t>
      </w:r>
      <w:r>
        <w:rPr>
          <w:rFonts w:hint="eastAsia" w:ascii="Times New Roman" w:hAnsi="Times New Roman" w:eastAsia="楷体_GB2312" w:cs="Times New Roman"/>
          <w:b w:val="0"/>
          <w:bCs w:val="0"/>
          <w:snapToGrid/>
          <w:color w:val="auto"/>
          <w:kern w:val="2"/>
          <w:sz w:val="32"/>
          <w:szCs w:val="32"/>
          <w:highlight w:val="none"/>
          <w:u w:val="none"/>
          <w:lang w:val="en-US" w:eastAsia="zh-CN" w:bidi="ar-SA"/>
        </w:rPr>
        <w:t>、县</w:t>
      </w:r>
      <w:r>
        <w:rPr>
          <w:rFonts w:hint="default" w:ascii="Times New Roman" w:hAnsi="Times New Roman" w:eastAsia="楷体_GB2312" w:cs="Times New Roman"/>
          <w:b w:val="0"/>
          <w:bCs w:val="0"/>
          <w:snapToGrid/>
          <w:color w:val="auto"/>
          <w:kern w:val="2"/>
          <w:sz w:val="32"/>
          <w:szCs w:val="32"/>
          <w:highlight w:val="none"/>
          <w:u w:val="none"/>
          <w:lang w:val="en-US" w:eastAsia="zh-CN" w:bidi="ar-SA"/>
        </w:rPr>
        <w:t>文旅局，</w:t>
      </w:r>
      <w:r>
        <w:rPr>
          <w:rFonts w:hint="eastAsia" w:ascii="Times New Roman" w:hAnsi="Times New Roman" w:eastAsia="楷体_GB2312" w:cs="Times New Roman"/>
          <w:b w:val="0"/>
          <w:bCs w:val="0"/>
          <w:snapToGrid/>
          <w:color w:val="auto"/>
          <w:kern w:val="2"/>
          <w:sz w:val="32"/>
          <w:szCs w:val="32"/>
          <w:highlight w:val="none"/>
          <w:u w:val="none"/>
          <w:lang w:val="en-US" w:eastAsia="zh-CN" w:bidi="ar-SA"/>
        </w:rPr>
        <w:t>配合单位</w:t>
      </w:r>
      <w:r>
        <w:rPr>
          <w:rFonts w:hint="default" w:ascii="Times New Roman" w:hAnsi="Times New Roman" w:eastAsia="楷体_GB2312" w:cs="Times New Roman"/>
          <w:b w:val="0"/>
          <w:bCs w:val="0"/>
          <w:snapToGrid/>
          <w:color w:val="auto"/>
          <w:kern w:val="2"/>
          <w:sz w:val="32"/>
          <w:szCs w:val="32"/>
          <w:highlight w:val="none"/>
          <w:u w:val="none"/>
          <w:lang w:val="en-US" w:eastAsia="zh-CN" w:bidi="ar-SA"/>
        </w:rPr>
        <w:t>：</w:t>
      </w:r>
      <w:r>
        <w:rPr>
          <w:rFonts w:hint="eastAsia" w:ascii="Times New Roman" w:hAnsi="Times New Roman" w:eastAsia="楷体_GB2312" w:cs="Times New Roman"/>
          <w:b w:val="0"/>
          <w:bCs w:val="0"/>
          <w:snapToGrid/>
          <w:color w:val="auto"/>
          <w:kern w:val="2"/>
          <w:sz w:val="32"/>
          <w:szCs w:val="32"/>
          <w:highlight w:val="none"/>
          <w:u w:val="none"/>
          <w:lang w:val="en-US" w:eastAsia="zh-CN" w:bidi="ar-SA"/>
        </w:rPr>
        <w:t>各镇人民政府</w:t>
      </w:r>
      <w:r>
        <w:rPr>
          <w:rFonts w:hint="default" w:ascii="Times New Roman" w:hAnsi="Times New Roman" w:eastAsia="楷体_GB2312" w:cs="Times New Roman"/>
          <w:b w:val="0"/>
          <w:bCs w:val="0"/>
          <w:snapToGrid/>
          <w:color w:val="auto"/>
          <w:kern w:val="2"/>
          <w:sz w:val="32"/>
          <w:szCs w:val="32"/>
          <w:highlight w:val="none"/>
          <w:u w:val="none"/>
          <w:lang w:val="en-US" w:eastAsia="zh-CN" w:bidi="ar-SA"/>
        </w:rPr>
        <w:t>）</w:t>
      </w:r>
    </w:p>
    <w:p w14:paraId="2AA9C3DF">
      <w:pPr>
        <w:pStyle w:val="2"/>
        <w:keepNext w:val="0"/>
        <w:keepLines w:val="0"/>
        <w:pageBreakBefore w:val="0"/>
        <w:widowControl w:val="0"/>
        <w:suppressLineNumbers w:val="0"/>
        <w:kinsoku/>
        <w:wordWrap w:val="0"/>
        <w:overflowPunct w:val="0"/>
        <w:topLinePunct/>
        <w:autoSpaceDE/>
        <w:autoSpaceDN/>
        <w:bidi w:val="0"/>
        <w:adjustRightInd w:val="0"/>
        <w:snapToGrid w:val="0"/>
        <w:spacing w:before="0" w:beforeAutospacing="0" w:line="578" w:lineRule="exact"/>
        <w:ind w:left="0" w:leftChars="0" w:right="0" w:firstLine="640" w:firstLineChars="200"/>
        <w:jc w:val="both"/>
        <w:textAlignment w:val="baseline"/>
        <w:rPr>
          <w:rFonts w:hint="default" w:ascii="仿宋_GB2312" w:hAnsi="仿宋_GB2312" w:eastAsia="仿宋_GB2312" w:cs="仿宋_GB2312"/>
          <w:b w:val="0"/>
          <w:bCs w:val="0"/>
          <w:color w:val="auto"/>
          <w:kern w:val="0"/>
          <w:sz w:val="32"/>
          <w:szCs w:val="32"/>
          <w:highlight w:val="none"/>
          <w:lang w:val="en-US"/>
        </w:rPr>
      </w:pPr>
      <w:r>
        <w:rPr>
          <w:rFonts w:hint="eastAsia" w:ascii="楷体_GB2312" w:hAnsi="楷体_GB2312" w:eastAsia="楷体_GB2312" w:cs="楷体_GB2312"/>
          <w:b w:val="0"/>
          <w:bCs w:val="0"/>
          <w:color w:val="auto"/>
          <w:sz w:val="32"/>
          <w:szCs w:val="32"/>
          <w:highlight w:val="none"/>
          <w:u w:val="none"/>
          <w:lang w:val="en-US" w:eastAsia="zh-CN"/>
        </w:rPr>
        <w:t>（二）</w:t>
      </w:r>
      <w:r>
        <w:rPr>
          <w:rFonts w:hint="eastAsia" w:ascii="楷体_GB2312" w:hAnsi="楷体_GB2312" w:eastAsia="楷体_GB2312" w:cs="楷体_GB2312"/>
          <w:b w:val="0"/>
          <w:bCs w:val="0"/>
          <w:snapToGrid/>
          <w:color w:val="auto"/>
          <w:kern w:val="2"/>
          <w:sz w:val="32"/>
          <w:szCs w:val="32"/>
          <w:highlight w:val="none"/>
          <w:u w:val="none"/>
          <w:lang w:val="en-US" w:eastAsia="zh-CN" w:bidi="ar-SA"/>
        </w:rPr>
        <w:t>发挥重点区域示范引领作用，辐射带动全县整体发展。</w:t>
      </w:r>
      <w:r>
        <w:rPr>
          <w:rFonts w:hint="eastAsia" w:ascii="仿宋_GB2312" w:hAnsi="仿宋_GB2312" w:eastAsia="仿宋_GB2312" w:cs="仿宋_GB2312"/>
          <w:snapToGrid/>
          <w:color w:val="auto"/>
          <w:kern w:val="2"/>
          <w:sz w:val="32"/>
          <w:szCs w:val="32"/>
          <w:highlight w:val="none"/>
          <w:u w:val="none"/>
          <w:lang w:val="en-US" w:eastAsia="zh-CN" w:bidi="ar-SA"/>
        </w:rPr>
        <w:t>选取金山镇万胜壕新村、怀朔镇兴圣公村、下湿壕镇学田会、白银合套村等条件较好的行政村开展推进美丽乡村建设行动</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snapToGrid/>
          <w:color w:val="auto"/>
          <w:kern w:val="2"/>
          <w:sz w:val="32"/>
          <w:szCs w:val="32"/>
          <w:highlight w:val="none"/>
          <w:u w:val="none"/>
          <w:lang w:val="en-US" w:eastAsia="zh-CN" w:bidi="ar-SA"/>
        </w:rPr>
        <w:t>提炼经验做法</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snapToGrid/>
          <w:color w:val="auto"/>
          <w:kern w:val="2"/>
          <w:sz w:val="32"/>
          <w:szCs w:val="32"/>
          <w:highlight w:val="none"/>
          <w:u w:val="none"/>
          <w:lang w:val="en-US" w:eastAsia="zh-CN" w:bidi="ar-SA"/>
        </w:rPr>
        <w:t>全面铺开带动整体推进，推动差异化打造、特质化发展、全域化提升，因地制宜，保证乡村差异化发展，不搞“一刀切”的发展模式。（</w:t>
      </w:r>
      <w:r>
        <w:rPr>
          <w:rFonts w:hint="eastAsia" w:ascii="Times New Roman" w:hAnsi="Times New Roman" w:eastAsia="楷体_GB2312" w:cs="Times New Roman"/>
          <w:b w:val="0"/>
          <w:bCs w:val="0"/>
          <w:snapToGrid/>
          <w:color w:val="auto"/>
          <w:kern w:val="2"/>
          <w:sz w:val="32"/>
          <w:szCs w:val="32"/>
          <w:highlight w:val="none"/>
          <w:u w:val="none"/>
          <w:lang w:val="en-US" w:eastAsia="zh-CN" w:bidi="ar-SA"/>
        </w:rPr>
        <w:t>牵头单位</w:t>
      </w:r>
      <w:r>
        <w:rPr>
          <w:rFonts w:hint="default" w:ascii="Times New Roman" w:hAnsi="Times New Roman" w:eastAsia="楷体_GB2312" w:cs="Times New Roman"/>
          <w:b w:val="0"/>
          <w:bCs w:val="0"/>
          <w:snapToGrid/>
          <w:color w:val="auto"/>
          <w:kern w:val="2"/>
          <w:sz w:val="32"/>
          <w:szCs w:val="32"/>
          <w:highlight w:val="none"/>
          <w:u w:val="none"/>
          <w:lang w:val="en-US" w:eastAsia="zh-CN" w:bidi="ar-SA"/>
        </w:rPr>
        <w:t>：</w:t>
      </w:r>
      <w:r>
        <w:rPr>
          <w:rFonts w:hint="eastAsia" w:ascii="Times New Roman" w:hAnsi="Times New Roman" w:eastAsia="楷体_GB2312" w:cs="Times New Roman"/>
          <w:b w:val="0"/>
          <w:bCs w:val="0"/>
          <w:snapToGrid/>
          <w:color w:val="auto"/>
          <w:kern w:val="2"/>
          <w:sz w:val="32"/>
          <w:szCs w:val="32"/>
          <w:highlight w:val="none"/>
          <w:u w:val="none"/>
          <w:lang w:val="en-US" w:eastAsia="zh-CN" w:bidi="ar-SA"/>
        </w:rPr>
        <w:t>各镇人民政府</w:t>
      </w:r>
      <w:r>
        <w:rPr>
          <w:rFonts w:hint="default" w:ascii="Times New Roman" w:hAnsi="Times New Roman" w:eastAsia="楷体_GB2312" w:cs="Times New Roman"/>
          <w:b w:val="0"/>
          <w:bCs w:val="0"/>
          <w:snapToGrid/>
          <w:color w:val="auto"/>
          <w:kern w:val="2"/>
          <w:sz w:val="32"/>
          <w:szCs w:val="32"/>
          <w:highlight w:val="none"/>
          <w:u w:val="none"/>
          <w:lang w:val="en-US" w:eastAsia="zh-CN" w:bidi="ar-SA"/>
        </w:rPr>
        <w:t>，</w:t>
      </w:r>
      <w:r>
        <w:rPr>
          <w:rFonts w:hint="eastAsia" w:ascii="Times New Roman" w:hAnsi="Times New Roman" w:eastAsia="楷体_GB2312" w:cs="Times New Roman"/>
          <w:b w:val="0"/>
          <w:bCs w:val="0"/>
          <w:snapToGrid/>
          <w:color w:val="auto"/>
          <w:kern w:val="2"/>
          <w:sz w:val="32"/>
          <w:szCs w:val="32"/>
          <w:highlight w:val="none"/>
          <w:u w:val="none"/>
          <w:lang w:val="en-US" w:eastAsia="zh-CN" w:bidi="ar-SA"/>
        </w:rPr>
        <w:t>配合单位</w:t>
      </w:r>
      <w:r>
        <w:rPr>
          <w:rFonts w:hint="default" w:ascii="Times New Roman" w:hAnsi="Times New Roman" w:eastAsia="楷体_GB2312" w:cs="Times New Roman"/>
          <w:b w:val="0"/>
          <w:bCs w:val="0"/>
          <w:snapToGrid/>
          <w:color w:val="auto"/>
          <w:kern w:val="2"/>
          <w:sz w:val="32"/>
          <w:szCs w:val="32"/>
          <w:highlight w:val="none"/>
          <w:u w:val="none"/>
          <w:lang w:val="en-US" w:eastAsia="zh-CN" w:bidi="ar-SA"/>
        </w:rPr>
        <w:t>：</w:t>
      </w:r>
      <w:r>
        <w:rPr>
          <w:rFonts w:hint="eastAsia" w:ascii="Times New Roman" w:hAnsi="Times New Roman" w:eastAsia="楷体_GB2312" w:cs="Times New Roman"/>
          <w:b w:val="0"/>
          <w:bCs w:val="0"/>
          <w:snapToGrid/>
          <w:color w:val="auto"/>
          <w:kern w:val="2"/>
          <w:sz w:val="32"/>
          <w:szCs w:val="32"/>
          <w:highlight w:val="none"/>
          <w:u w:val="none"/>
          <w:lang w:val="en-US" w:eastAsia="zh-CN" w:bidi="ar-SA"/>
        </w:rPr>
        <w:t>县</w:t>
      </w:r>
      <w:r>
        <w:rPr>
          <w:rFonts w:hint="default" w:ascii="Times New Roman" w:hAnsi="Times New Roman" w:eastAsia="楷体_GB2312" w:cs="Times New Roman"/>
          <w:b w:val="0"/>
          <w:bCs w:val="0"/>
          <w:snapToGrid/>
          <w:color w:val="auto"/>
          <w:kern w:val="2"/>
          <w:sz w:val="32"/>
          <w:szCs w:val="32"/>
          <w:highlight w:val="none"/>
          <w:u w:val="none"/>
          <w:lang w:val="en-US" w:eastAsia="zh-CN" w:bidi="ar-SA"/>
        </w:rPr>
        <w:t>财政局、</w:t>
      </w:r>
      <w:r>
        <w:rPr>
          <w:rFonts w:hint="eastAsia" w:ascii="Times New Roman" w:hAnsi="Times New Roman" w:eastAsia="楷体_GB2312" w:cs="Times New Roman"/>
          <w:b w:val="0"/>
          <w:bCs w:val="0"/>
          <w:snapToGrid/>
          <w:color w:val="auto"/>
          <w:kern w:val="2"/>
          <w:sz w:val="32"/>
          <w:szCs w:val="32"/>
          <w:highlight w:val="none"/>
          <w:u w:val="none"/>
          <w:lang w:val="en-US" w:eastAsia="zh-CN" w:bidi="ar-SA"/>
        </w:rPr>
        <w:t>县文旅局）</w:t>
      </w:r>
    </w:p>
    <w:p w14:paraId="14D1A5C1">
      <w:pPr>
        <w:pStyle w:val="2"/>
        <w:keepNext w:val="0"/>
        <w:keepLines w:val="0"/>
        <w:pageBreakBefore w:val="0"/>
        <w:widowControl w:val="0"/>
        <w:suppressLineNumbers w:val="0"/>
        <w:kinsoku/>
        <w:wordWrap w:val="0"/>
        <w:overflowPunct w:val="0"/>
        <w:topLinePunct/>
        <w:autoSpaceDE/>
        <w:autoSpaceDN/>
        <w:bidi w:val="0"/>
        <w:adjustRightInd w:val="0"/>
        <w:snapToGrid w:val="0"/>
        <w:spacing w:before="0" w:beforeAutospacing="0" w:line="578" w:lineRule="exact"/>
        <w:ind w:left="0" w:leftChars="0" w:right="0" w:firstLine="640" w:firstLineChars="200"/>
        <w:jc w:val="both"/>
        <w:textAlignment w:val="baseline"/>
        <w:rPr>
          <w:rFonts w:hint="eastAsia" w:ascii="仿宋_GB2312" w:hAnsi="仿宋_GB2312" w:eastAsia="仿宋_GB2312" w:cs="仿宋_GB2312"/>
          <w:snapToGrid/>
          <w:color w:val="auto"/>
          <w:kern w:val="2"/>
          <w:sz w:val="32"/>
          <w:szCs w:val="32"/>
          <w:highlight w:val="none"/>
          <w:u w:val="none"/>
          <w:lang w:val="en-US" w:eastAsia="zh-CN" w:bidi="ar-SA"/>
        </w:rPr>
      </w:pPr>
      <w:r>
        <w:rPr>
          <w:rFonts w:hint="eastAsia" w:ascii="楷体_GB2312" w:hAnsi="楷体_GB2312" w:eastAsia="楷体_GB2312" w:cs="楷体_GB2312"/>
          <w:b w:val="0"/>
          <w:bCs w:val="0"/>
          <w:snapToGrid/>
          <w:color w:val="auto"/>
          <w:kern w:val="2"/>
          <w:sz w:val="32"/>
          <w:szCs w:val="32"/>
          <w:highlight w:val="none"/>
          <w:u w:val="none"/>
          <w:lang w:val="en-US" w:eastAsia="zh-CN" w:bidi="ar-SA"/>
        </w:rPr>
        <w:t>（三）强化乡村空间设计和风貌引导。</w:t>
      </w:r>
      <w:r>
        <w:rPr>
          <w:rFonts w:hint="eastAsia" w:ascii="仿宋_GB2312" w:hAnsi="仿宋_GB2312" w:eastAsia="仿宋_GB2312" w:cs="仿宋_GB2312"/>
          <w:snapToGrid/>
          <w:color w:val="auto"/>
          <w:kern w:val="2"/>
          <w:sz w:val="32"/>
          <w:szCs w:val="32"/>
          <w:highlight w:val="none"/>
          <w:u w:val="none"/>
          <w:lang w:val="en-US" w:eastAsia="zh-CN" w:bidi="ar-SA"/>
        </w:rPr>
        <w:t>坚守空间管控底线，统筹各类用地需求。结合当地自然条件、传统特色和民风民俗，按照农区的区域主导功能和生产生活方式，合理规划布局宅基地、公共服务设施以及其他乡村建设项目。充分发挥村庄规划指导约束作用，实现延续村庄自然肌理，体现村庄空间的地域性、原真性、历史性和完整性，塑造美丽乡村特色风貌。持续加大乡村历史文化保护，对历史文化名村、传统村落等历史文化遗产及其整体环境实施严格保护和管控，促进活化利用。在传统风貌控制上，落实“保护第一、抢救为主、合理利用、科学管理”的方针，重视古村落建筑、人居环境与自然生态资源的保护。（</w:t>
      </w:r>
      <w:r>
        <w:rPr>
          <w:rFonts w:hint="eastAsia" w:ascii="Times New Roman" w:hAnsi="Times New Roman" w:eastAsia="楷体_GB2312" w:cs="Times New Roman"/>
          <w:b w:val="0"/>
          <w:bCs w:val="0"/>
          <w:snapToGrid/>
          <w:color w:val="auto"/>
          <w:kern w:val="2"/>
          <w:sz w:val="32"/>
          <w:szCs w:val="32"/>
          <w:highlight w:val="none"/>
          <w:u w:val="none"/>
          <w:lang w:val="en-US" w:eastAsia="zh-CN" w:bidi="ar-SA"/>
        </w:rPr>
        <w:t>牵头单位</w:t>
      </w:r>
      <w:r>
        <w:rPr>
          <w:rFonts w:hint="default" w:ascii="Times New Roman" w:hAnsi="Times New Roman" w:eastAsia="楷体_GB2312" w:cs="Times New Roman"/>
          <w:b w:val="0"/>
          <w:bCs w:val="0"/>
          <w:snapToGrid/>
          <w:color w:val="auto"/>
          <w:kern w:val="2"/>
          <w:sz w:val="32"/>
          <w:szCs w:val="32"/>
          <w:highlight w:val="none"/>
          <w:u w:val="none"/>
          <w:lang w:val="en-US" w:eastAsia="zh-CN" w:bidi="ar-SA"/>
        </w:rPr>
        <w:t>：</w:t>
      </w:r>
      <w:r>
        <w:rPr>
          <w:rFonts w:hint="eastAsia" w:ascii="Times New Roman" w:hAnsi="Times New Roman" w:eastAsia="楷体_GB2312" w:cs="Times New Roman"/>
          <w:b w:val="0"/>
          <w:bCs w:val="0"/>
          <w:snapToGrid/>
          <w:color w:val="auto"/>
          <w:kern w:val="2"/>
          <w:sz w:val="32"/>
          <w:szCs w:val="32"/>
          <w:highlight w:val="none"/>
          <w:u w:val="none"/>
          <w:lang w:val="en-US" w:eastAsia="zh-CN" w:bidi="ar-SA"/>
        </w:rPr>
        <w:t>县</w:t>
      </w:r>
      <w:r>
        <w:rPr>
          <w:rFonts w:hint="default" w:ascii="Times New Roman" w:hAnsi="Times New Roman" w:eastAsia="楷体_GB2312" w:cs="Times New Roman"/>
          <w:b w:val="0"/>
          <w:bCs w:val="0"/>
          <w:snapToGrid/>
          <w:color w:val="auto"/>
          <w:kern w:val="2"/>
          <w:sz w:val="32"/>
          <w:szCs w:val="32"/>
          <w:highlight w:val="none"/>
          <w:u w:val="none"/>
          <w:lang w:val="en-US" w:eastAsia="zh-CN" w:bidi="ar-SA"/>
        </w:rPr>
        <w:t>自然资源局负责指导村庄规划、</w:t>
      </w:r>
      <w:r>
        <w:rPr>
          <w:rFonts w:hint="eastAsia" w:ascii="Times New Roman" w:hAnsi="Times New Roman" w:eastAsia="楷体_GB2312" w:cs="Times New Roman"/>
          <w:b w:val="0"/>
          <w:bCs w:val="0"/>
          <w:snapToGrid/>
          <w:color w:val="auto"/>
          <w:kern w:val="2"/>
          <w:sz w:val="32"/>
          <w:szCs w:val="32"/>
          <w:highlight w:val="none"/>
          <w:u w:val="none"/>
          <w:lang w:val="en-US" w:eastAsia="zh-CN" w:bidi="ar-SA"/>
        </w:rPr>
        <w:t>县文旅局</w:t>
      </w:r>
      <w:r>
        <w:rPr>
          <w:rFonts w:hint="default" w:ascii="Times New Roman" w:hAnsi="Times New Roman" w:eastAsia="楷体_GB2312" w:cs="Times New Roman"/>
          <w:b w:val="0"/>
          <w:bCs w:val="0"/>
          <w:snapToGrid/>
          <w:color w:val="auto"/>
          <w:kern w:val="2"/>
          <w:sz w:val="32"/>
          <w:szCs w:val="32"/>
          <w:highlight w:val="none"/>
          <w:u w:val="none"/>
          <w:lang w:val="en-US" w:eastAsia="zh-CN" w:bidi="ar-SA"/>
        </w:rPr>
        <w:t>负责指导历史文化遗产的保护，</w:t>
      </w:r>
      <w:r>
        <w:rPr>
          <w:rFonts w:hint="eastAsia" w:ascii="Times New Roman" w:hAnsi="Times New Roman" w:eastAsia="楷体_GB2312" w:cs="Times New Roman"/>
          <w:b w:val="0"/>
          <w:bCs w:val="0"/>
          <w:snapToGrid/>
          <w:color w:val="auto"/>
          <w:kern w:val="2"/>
          <w:sz w:val="32"/>
          <w:szCs w:val="32"/>
          <w:highlight w:val="none"/>
          <w:u w:val="none"/>
          <w:lang w:val="en-US" w:eastAsia="zh-CN" w:bidi="ar-SA"/>
        </w:rPr>
        <w:t>配合单位</w:t>
      </w:r>
      <w:r>
        <w:rPr>
          <w:rFonts w:hint="default" w:ascii="Times New Roman" w:hAnsi="Times New Roman" w:eastAsia="楷体_GB2312" w:cs="Times New Roman"/>
          <w:b w:val="0"/>
          <w:bCs w:val="0"/>
          <w:snapToGrid/>
          <w:color w:val="auto"/>
          <w:kern w:val="2"/>
          <w:sz w:val="32"/>
          <w:szCs w:val="32"/>
          <w:highlight w:val="none"/>
          <w:u w:val="none"/>
          <w:lang w:val="en-US" w:eastAsia="zh-CN" w:bidi="ar-SA"/>
        </w:rPr>
        <w:t>：</w:t>
      </w:r>
      <w:r>
        <w:rPr>
          <w:rFonts w:hint="eastAsia" w:ascii="Times New Roman" w:hAnsi="Times New Roman" w:eastAsia="楷体_GB2312" w:cs="Times New Roman"/>
          <w:b w:val="0"/>
          <w:bCs w:val="0"/>
          <w:snapToGrid/>
          <w:color w:val="auto"/>
          <w:kern w:val="2"/>
          <w:sz w:val="32"/>
          <w:szCs w:val="32"/>
          <w:highlight w:val="none"/>
          <w:u w:val="none"/>
          <w:lang w:val="en-US" w:eastAsia="zh-CN" w:bidi="ar-SA"/>
        </w:rPr>
        <w:t>各镇人民政府</w:t>
      </w:r>
      <w:r>
        <w:rPr>
          <w:rFonts w:hint="eastAsia" w:ascii="仿宋_GB2312" w:hAnsi="仿宋_GB2312" w:eastAsia="仿宋_GB2312" w:cs="仿宋_GB2312"/>
          <w:snapToGrid/>
          <w:color w:val="auto"/>
          <w:kern w:val="2"/>
          <w:sz w:val="32"/>
          <w:szCs w:val="32"/>
          <w:highlight w:val="none"/>
          <w:u w:val="none"/>
          <w:lang w:val="en-US" w:eastAsia="zh-CN" w:bidi="ar-SA"/>
        </w:rPr>
        <w:t>）</w:t>
      </w:r>
    </w:p>
    <w:p w14:paraId="3C7FF988">
      <w:pPr>
        <w:keepNext w:val="0"/>
        <w:keepLines w:val="0"/>
        <w:pageBreakBefore w:val="0"/>
        <w:widowControl w:val="0"/>
        <w:kinsoku/>
        <w:wordWrap w:val="0"/>
        <w:overflowPunct w:val="0"/>
        <w:topLinePunct/>
        <w:autoSpaceDE/>
        <w:autoSpaceDN/>
        <w:bidi w:val="0"/>
        <w:adjustRightInd/>
        <w:snapToGrid/>
        <w:spacing w:line="578" w:lineRule="exact"/>
        <w:ind w:left="0" w:leftChars="0" w:right="0" w:firstLine="640" w:firstLineChars="200"/>
        <w:jc w:val="both"/>
        <w:textAlignment w:val="auto"/>
        <w:rPr>
          <w:rFonts w:hint="eastAsia" w:ascii="仿宋_GB2312" w:hAnsi="仿宋_GB2312" w:eastAsia="仿宋_GB2312" w:cs="仿宋_GB2312"/>
          <w:b w:val="0"/>
          <w:bCs w:val="0"/>
          <w:snapToGrid/>
          <w:color w:val="auto"/>
          <w:kern w:val="2"/>
          <w:sz w:val="32"/>
          <w:szCs w:val="32"/>
          <w:highlight w:val="none"/>
          <w:u w:val="none"/>
          <w:lang w:val="en-US" w:eastAsia="zh-CN" w:bidi="ar-SA"/>
        </w:rPr>
      </w:pPr>
      <w:r>
        <w:rPr>
          <w:rFonts w:hint="eastAsia" w:ascii="楷体_GB2312" w:hAnsi="楷体_GB2312" w:eastAsia="楷体_GB2312" w:cs="楷体_GB2312"/>
          <w:b w:val="0"/>
          <w:bCs w:val="0"/>
          <w:snapToGrid/>
          <w:color w:val="auto"/>
          <w:kern w:val="2"/>
          <w:sz w:val="32"/>
          <w:szCs w:val="32"/>
          <w:highlight w:val="none"/>
          <w:u w:val="none"/>
          <w:lang w:val="en-US" w:eastAsia="zh-CN" w:bidi="ar-SA"/>
        </w:rPr>
        <w:t>（四）有序推进农村牧区生活污水治理。</w:t>
      </w:r>
      <w:r>
        <w:rPr>
          <w:rFonts w:hint="eastAsia" w:ascii="仿宋_GB2312" w:hAnsi="仿宋_GB2312" w:eastAsia="仿宋_GB2312" w:cs="仿宋_GB2312"/>
          <w:snapToGrid/>
          <w:color w:val="auto"/>
          <w:kern w:val="2"/>
          <w:sz w:val="32"/>
          <w:szCs w:val="32"/>
          <w:highlight w:val="none"/>
          <w:u w:val="none"/>
          <w:lang w:val="en-US" w:eastAsia="zh-CN" w:bidi="ar-SA"/>
        </w:rPr>
        <w:t>按季度开展</w:t>
      </w:r>
      <w:r>
        <w:rPr>
          <w:rFonts w:hint="eastAsia" w:ascii="仿宋_GB2312" w:hAnsi="仿宋_GB2312" w:eastAsia="仿宋_GB2312" w:cs="仿宋_GB2312"/>
          <w:snapToGrid/>
          <w:color w:val="auto"/>
          <w:spacing w:val="0"/>
          <w:kern w:val="0"/>
          <w:sz w:val="32"/>
          <w:szCs w:val="32"/>
          <w:highlight w:val="none"/>
          <w:lang w:val="en-US" w:eastAsia="zh-CN" w:bidi="ar-SA"/>
        </w:rPr>
        <w:t>20</w:t>
      </w:r>
      <w:r>
        <w:rPr>
          <w:rFonts w:hint="eastAsia" w:ascii="仿宋_GB2312" w:hAnsi="仿宋_GB2312" w:eastAsia="仿宋_GB2312" w:cs="仿宋_GB2312"/>
          <w:snapToGrid/>
          <w:color w:val="auto"/>
          <w:kern w:val="2"/>
          <w:sz w:val="32"/>
          <w:szCs w:val="32"/>
          <w:highlight w:val="none"/>
          <w:u w:val="none"/>
          <w:lang w:val="en-US" w:eastAsia="zh-CN" w:bidi="ar-SA"/>
        </w:rPr>
        <w:t>吨及以上集中式农村牧区生活污水处理设施运行情况调度，不定期实地检查设施运行情况。督促运维三方加强污水处理设施的现场维护，保障设施正常稳定运行。</w:t>
      </w:r>
      <w:r>
        <w:rPr>
          <w:rFonts w:hint="eastAsia" w:ascii="仿宋_GB2312" w:hAnsi="仿宋_GB2312" w:eastAsia="仿宋_GB2312" w:cs="仿宋_GB2312"/>
          <w:b w:val="0"/>
          <w:bCs w:val="0"/>
          <w:snapToGrid/>
          <w:color w:val="auto"/>
          <w:kern w:val="2"/>
          <w:sz w:val="32"/>
          <w:szCs w:val="32"/>
          <w:highlight w:val="none"/>
          <w:u w:val="none"/>
          <w:lang w:val="en-US" w:eastAsia="zh-CN" w:bidi="ar-SA"/>
        </w:rPr>
        <w:t>督促协调各镇以各行政村周边、房前屋后的河塘沟渠为重点，实施清淤疏浚，防止出现黑臭水体，保证全县居民良好的人居环境。</w:t>
      </w:r>
      <w:r>
        <w:rPr>
          <w:rFonts w:hint="eastAsia" w:ascii="仿宋_GB2312" w:hAnsi="仿宋_GB2312" w:eastAsia="仿宋_GB2312" w:cs="仿宋_GB2312"/>
          <w:snapToGrid/>
          <w:color w:val="auto"/>
          <w:spacing w:val="0"/>
          <w:kern w:val="0"/>
          <w:sz w:val="32"/>
          <w:szCs w:val="32"/>
          <w:highlight w:val="none"/>
          <w:lang w:val="en-US" w:eastAsia="zh-CN" w:bidi="ar-SA"/>
        </w:rPr>
        <w:t>2026年底，全县农村牧区生活污水治理（管控）率保持在70%以</w:t>
      </w:r>
      <w:r>
        <w:rPr>
          <w:rFonts w:hint="eastAsia" w:ascii="仿宋_GB2312" w:hAnsi="仿宋_GB2312" w:eastAsia="仿宋_GB2312" w:cs="仿宋_GB2312"/>
          <w:snapToGrid/>
          <w:color w:val="auto"/>
          <w:kern w:val="2"/>
          <w:sz w:val="32"/>
          <w:szCs w:val="32"/>
          <w:highlight w:val="none"/>
          <w:u w:val="none"/>
          <w:lang w:val="en-US" w:eastAsia="zh-CN" w:bidi="ar-SA"/>
        </w:rPr>
        <w:t>上。（</w:t>
      </w:r>
      <w:r>
        <w:rPr>
          <w:rFonts w:hint="eastAsia" w:ascii="Times New Roman" w:hAnsi="Times New Roman" w:eastAsia="楷体_GB2312" w:cs="Times New Roman"/>
          <w:b w:val="0"/>
          <w:bCs w:val="0"/>
          <w:snapToGrid/>
          <w:color w:val="auto"/>
          <w:kern w:val="2"/>
          <w:sz w:val="32"/>
          <w:szCs w:val="32"/>
          <w:highlight w:val="none"/>
          <w:u w:val="none"/>
          <w:lang w:val="en-US" w:eastAsia="zh-CN" w:bidi="ar-SA"/>
        </w:rPr>
        <w:t>牵头单位</w:t>
      </w:r>
      <w:r>
        <w:rPr>
          <w:rFonts w:hint="default" w:ascii="Times New Roman" w:hAnsi="Times New Roman" w:eastAsia="楷体_GB2312" w:cs="Times New Roman"/>
          <w:b w:val="0"/>
          <w:bCs w:val="0"/>
          <w:snapToGrid/>
          <w:color w:val="auto"/>
          <w:kern w:val="2"/>
          <w:sz w:val="32"/>
          <w:szCs w:val="32"/>
          <w:highlight w:val="none"/>
          <w:u w:val="none"/>
          <w:lang w:val="en-US" w:eastAsia="zh-CN" w:bidi="ar-SA"/>
        </w:rPr>
        <w:t>：县生态环境分局，</w:t>
      </w:r>
      <w:r>
        <w:rPr>
          <w:rFonts w:hint="eastAsia" w:ascii="Times New Roman" w:hAnsi="Times New Roman" w:eastAsia="楷体_GB2312" w:cs="Times New Roman"/>
          <w:b w:val="0"/>
          <w:bCs w:val="0"/>
          <w:snapToGrid/>
          <w:color w:val="auto"/>
          <w:kern w:val="2"/>
          <w:sz w:val="32"/>
          <w:szCs w:val="32"/>
          <w:highlight w:val="none"/>
          <w:u w:val="none"/>
          <w:lang w:val="en-US" w:eastAsia="zh-CN" w:bidi="ar-SA"/>
        </w:rPr>
        <w:t>配合单位</w:t>
      </w:r>
      <w:r>
        <w:rPr>
          <w:rFonts w:hint="default" w:ascii="Times New Roman" w:hAnsi="Times New Roman" w:eastAsia="楷体_GB2312" w:cs="Times New Roman"/>
          <w:b w:val="0"/>
          <w:bCs w:val="0"/>
          <w:snapToGrid/>
          <w:color w:val="auto"/>
          <w:kern w:val="2"/>
          <w:sz w:val="32"/>
          <w:szCs w:val="32"/>
          <w:highlight w:val="none"/>
          <w:u w:val="none"/>
          <w:lang w:val="en-US" w:eastAsia="zh-CN" w:bidi="ar-SA"/>
        </w:rPr>
        <w:t>：县农牧局、包头市环润环保投资有限责任公司</w:t>
      </w:r>
      <w:r>
        <w:rPr>
          <w:rFonts w:hint="eastAsia" w:ascii="仿宋_GB2312" w:hAnsi="仿宋_GB2312" w:eastAsia="仿宋_GB2312" w:cs="仿宋_GB2312"/>
          <w:b w:val="0"/>
          <w:bCs w:val="0"/>
          <w:snapToGrid/>
          <w:color w:val="auto"/>
          <w:kern w:val="2"/>
          <w:sz w:val="32"/>
          <w:szCs w:val="32"/>
          <w:highlight w:val="none"/>
          <w:u w:val="none"/>
          <w:lang w:val="en-US" w:eastAsia="zh-CN" w:bidi="ar-SA"/>
        </w:rPr>
        <w:t>）</w:t>
      </w:r>
    </w:p>
    <w:p w14:paraId="5B57F873">
      <w:pPr>
        <w:keepNext w:val="0"/>
        <w:keepLines w:val="0"/>
        <w:pageBreakBefore w:val="0"/>
        <w:widowControl w:val="0"/>
        <w:kinsoku/>
        <w:wordWrap w:val="0"/>
        <w:overflowPunct w:val="0"/>
        <w:topLinePunct/>
        <w:autoSpaceDE/>
        <w:autoSpaceDN/>
        <w:bidi w:val="0"/>
        <w:adjustRightInd/>
        <w:snapToGrid/>
        <w:spacing w:line="578" w:lineRule="exact"/>
        <w:ind w:left="0" w:leftChars="0" w:right="0" w:firstLine="640" w:firstLineChars="200"/>
        <w:jc w:val="both"/>
        <w:textAlignment w:val="auto"/>
        <w:rPr>
          <w:rFonts w:hint="default" w:eastAsia="仿宋_GB2312"/>
          <w:color w:val="auto"/>
          <w:highlight w:val="none"/>
          <w:lang w:val="en-US" w:eastAsia="zh-CN"/>
        </w:rPr>
      </w:pPr>
      <w:r>
        <w:rPr>
          <w:rFonts w:hint="eastAsia" w:ascii="楷体_GB2312" w:hAnsi="楷体_GB2312" w:eastAsia="楷体_GB2312" w:cs="楷体_GB2312"/>
          <w:b w:val="0"/>
          <w:bCs w:val="0"/>
          <w:snapToGrid/>
          <w:color w:val="auto"/>
          <w:kern w:val="2"/>
          <w:sz w:val="32"/>
          <w:szCs w:val="32"/>
          <w:highlight w:val="none"/>
          <w:u w:val="none"/>
          <w:lang w:val="en-US" w:eastAsia="zh-CN" w:bidi="ar-SA"/>
        </w:rPr>
        <w:t>（五）有效治理农村牧区生活垃圾。</w:t>
      </w:r>
      <w:r>
        <w:rPr>
          <w:rFonts w:hint="eastAsia" w:ascii="仿宋_GB2312" w:hAnsi="仿宋_GB2312" w:eastAsia="仿宋_GB2312" w:cs="仿宋_GB2312"/>
          <w:b w:val="0"/>
          <w:bCs w:val="0"/>
          <w:snapToGrid/>
          <w:color w:val="auto"/>
          <w:kern w:val="2"/>
          <w:sz w:val="32"/>
          <w:szCs w:val="32"/>
          <w:highlight w:val="none"/>
          <w:u w:val="none"/>
          <w:lang w:val="en-US" w:eastAsia="zh-CN" w:bidi="ar-SA"/>
        </w:rPr>
        <w:t>加强农村牧区生活垃圾收运处置设施建设，明确设施管理维护责任主体和经济来源，保障收运处置设施常态化运行。选择适宜处理技术和模式，因地制宜在偏远村镇探索建设小型化、分散型焚烧处置设施，提升生活垃圾治理科学化规范化水平，到2026年底确保农村牧区生活垃圾处置率达100%。（</w:t>
      </w:r>
      <w:r>
        <w:rPr>
          <w:rFonts w:hint="eastAsia" w:ascii="Times New Roman" w:hAnsi="Times New Roman" w:eastAsia="楷体_GB2312" w:cs="Times New Roman"/>
          <w:b w:val="0"/>
          <w:bCs w:val="0"/>
          <w:snapToGrid/>
          <w:color w:val="auto"/>
          <w:kern w:val="2"/>
          <w:sz w:val="32"/>
          <w:szCs w:val="32"/>
          <w:highlight w:val="none"/>
          <w:u w:val="none"/>
          <w:lang w:val="en-US" w:eastAsia="zh-CN" w:bidi="ar-SA"/>
        </w:rPr>
        <w:t>牵头单位</w:t>
      </w:r>
      <w:r>
        <w:rPr>
          <w:rFonts w:hint="default" w:ascii="Times New Roman" w:hAnsi="Times New Roman" w:eastAsia="楷体_GB2312" w:cs="Times New Roman"/>
          <w:b w:val="0"/>
          <w:bCs w:val="0"/>
          <w:snapToGrid/>
          <w:color w:val="auto"/>
          <w:kern w:val="2"/>
          <w:sz w:val="32"/>
          <w:szCs w:val="32"/>
          <w:highlight w:val="none"/>
          <w:u w:val="none"/>
          <w:lang w:val="en-US" w:eastAsia="zh-CN" w:bidi="ar-SA"/>
        </w:rPr>
        <w:t>：</w:t>
      </w:r>
      <w:r>
        <w:rPr>
          <w:rFonts w:hint="eastAsia" w:ascii="Times New Roman" w:hAnsi="Times New Roman" w:eastAsia="楷体_GB2312" w:cs="Times New Roman"/>
          <w:b w:val="0"/>
          <w:bCs w:val="0"/>
          <w:snapToGrid/>
          <w:color w:val="auto"/>
          <w:kern w:val="2"/>
          <w:sz w:val="32"/>
          <w:szCs w:val="32"/>
          <w:highlight w:val="none"/>
          <w:u w:val="none"/>
          <w:lang w:val="en-US" w:eastAsia="zh-CN" w:bidi="ar-SA"/>
        </w:rPr>
        <w:t>县农牧局</w:t>
      </w:r>
      <w:r>
        <w:rPr>
          <w:rFonts w:hint="default" w:ascii="Times New Roman" w:hAnsi="Times New Roman" w:eastAsia="楷体_GB2312" w:cs="Times New Roman"/>
          <w:b w:val="0"/>
          <w:bCs w:val="0"/>
          <w:snapToGrid/>
          <w:color w:val="auto"/>
          <w:kern w:val="2"/>
          <w:sz w:val="32"/>
          <w:szCs w:val="32"/>
          <w:highlight w:val="none"/>
          <w:u w:val="none"/>
          <w:lang w:val="en-US" w:eastAsia="zh-CN" w:bidi="ar-SA"/>
        </w:rPr>
        <w:t>，</w:t>
      </w:r>
      <w:r>
        <w:rPr>
          <w:rFonts w:hint="eastAsia" w:ascii="Times New Roman" w:hAnsi="Times New Roman" w:eastAsia="楷体_GB2312" w:cs="Times New Roman"/>
          <w:b w:val="0"/>
          <w:bCs w:val="0"/>
          <w:snapToGrid/>
          <w:color w:val="auto"/>
          <w:kern w:val="2"/>
          <w:sz w:val="32"/>
          <w:szCs w:val="32"/>
          <w:highlight w:val="none"/>
          <w:u w:val="none"/>
          <w:lang w:val="en-US" w:eastAsia="zh-CN" w:bidi="ar-SA"/>
        </w:rPr>
        <w:t>配合单位</w:t>
      </w:r>
      <w:r>
        <w:rPr>
          <w:rFonts w:hint="default" w:ascii="Times New Roman" w:hAnsi="Times New Roman" w:eastAsia="楷体_GB2312" w:cs="Times New Roman"/>
          <w:b w:val="0"/>
          <w:bCs w:val="0"/>
          <w:snapToGrid/>
          <w:color w:val="auto"/>
          <w:kern w:val="2"/>
          <w:sz w:val="32"/>
          <w:szCs w:val="32"/>
          <w:highlight w:val="none"/>
          <w:u w:val="none"/>
          <w:lang w:val="en-US" w:eastAsia="zh-CN" w:bidi="ar-SA"/>
        </w:rPr>
        <w:t>：</w:t>
      </w:r>
      <w:r>
        <w:rPr>
          <w:rFonts w:hint="eastAsia" w:ascii="Times New Roman" w:hAnsi="Times New Roman" w:eastAsia="楷体_GB2312" w:cs="Times New Roman"/>
          <w:b w:val="0"/>
          <w:bCs w:val="0"/>
          <w:snapToGrid/>
          <w:color w:val="auto"/>
          <w:kern w:val="2"/>
          <w:sz w:val="32"/>
          <w:szCs w:val="32"/>
          <w:highlight w:val="none"/>
          <w:u w:val="none"/>
          <w:lang w:val="en-US" w:eastAsia="zh-CN" w:bidi="ar-SA"/>
        </w:rPr>
        <w:t>各镇人民政府</w:t>
      </w:r>
      <w:r>
        <w:rPr>
          <w:rFonts w:hint="eastAsia" w:ascii="仿宋_GB2312" w:hAnsi="仿宋_GB2312" w:eastAsia="仿宋_GB2312" w:cs="仿宋_GB2312"/>
          <w:b w:val="0"/>
          <w:bCs w:val="0"/>
          <w:snapToGrid/>
          <w:color w:val="auto"/>
          <w:kern w:val="2"/>
          <w:sz w:val="32"/>
          <w:szCs w:val="32"/>
          <w:highlight w:val="none"/>
          <w:u w:val="none"/>
          <w:lang w:val="en-US" w:eastAsia="zh-CN" w:bidi="ar-SA"/>
        </w:rPr>
        <w:t>）</w:t>
      </w:r>
    </w:p>
    <w:p w14:paraId="6C22BC3A">
      <w:pPr>
        <w:keepNext w:val="0"/>
        <w:keepLines w:val="0"/>
        <w:pageBreakBefore w:val="0"/>
        <w:widowControl w:val="0"/>
        <w:kinsoku/>
        <w:wordWrap w:val="0"/>
        <w:overflowPunct w:val="0"/>
        <w:topLinePunct/>
        <w:autoSpaceDE/>
        <w:autoSpaceDN/>
        <w:bidi w:val="0"/>
        <w:adjustRightInd/>
        <w:snapToGrid/>
        <w:spacing w:line="578" w:lineRule="exact"/>
        <w:ind w:left="0" w:leftChars="0" w:right="0" w:firstLine="640" w:firstLineChars="200"/>
        <w:jc w:val="both"/>
        <w:textAlignment w:val="auto"/>
        <w:rPr>
          <w:rFonts w:hint="eastAsia" w:ascii="楷体_GB2312" w:hAnsi="楷体_GB2312" w:eastAsia="楷体_GB2312" w:cs="楷体_GB2312"/>
          <w:b w:val="0"/>
          <w:bCs w:val="0"/>
          <w:snapToGrid/>
          <w:color w:val="auto"/>
          <w:kern w:val="2"/>
          <w:sz w:val="32"/>
          <w:szCs w:val="32"/>
          <w:highlight w:val="none"/>
          <w:u w:val="none"/>
          <w:lang w:val="en-US" w:eastAsia="zh-CN" w:bidi="ar-SA"/>
        </w:rPr>
      </w:pPr>
      <w:r>
        <w:rPr>
          <w:rFonts w:hint="eastAsia" w:ascii="楷体_GB2312" w:hAnsi="楷体_GB2312" w:eastAsia="楷体_GB2312" w:cs="楷体_GB2312"/>
          <w:b w:val="0"/>
          <w:bCs w:val="0"/>
          <w:snapToGrid/>
          <w:color w:val="auto"/>
          <w:kern w:val="2"/>
          <w:sz w:val="32"/>
          <w:szCs w:val="32"/>
          <w:highlight w:val="none"/>
          <w:u w:val="none"/>
          <w:lang w:val="en-US" w:eastAsia="zh-CN" w:bidi="ar-SA"/>
        </w:rPr>
        <w:t>（六）持续保持农村无黑臭水体和较大面积劣V类水体治理成果。</w:t>
      </w:r>
      <w:r>
        <w:rPr>
          <w:rFonts w:hint="eastAsia" w:ascii="仿宋_GB2312" w:hAnsi="仿宋_GB2312" w:eastAsia="仿宋_GB2312" w:cs="仿宋_GB2312"/>
          <w:b w:val="0"/>
          <w:bCs w:val="0"/>
          <w:snapToGrid/>
          <w:color w:val="auto"/>
          <w:kern w:val="2"/>
          <w:sz w:val="32"/>
          <w:szCs w:val="32"/>
          <w:highlight w:val="none"/>
          <w:u w:val="none"/>
          <w:lang w:val="en-US" w:eastAsia="zh-CN" w:bidi="ar-SA"/>
        </w:rPr>
        <w:t>持续开展农村黑臭水体动态排查，以农村居住集聚区、非正规或简易垃圾填埋场周边、群众反映强烈的水体为重点，开展农村较大面积劣V类水体摸底排查，建立清单并动态更新。坚持以控源截污为根本，统筹农村生活污水垃圾、农牧业源、工业（小作坊）源和内源等污染源，优先采用资源化、生态化治理措施，结合水系连通，综合治理农村黑臭水体、较大面积劣V类水体。鼓励将水体治理与村庄生活环境改善相结合，深入开展村庄清洁行动，常态化清理整治村内沟渠、水塘。建立健全长效管护机制，畅通群众投诉举报和反馈渠道，持续巩固黑臭水体治理成果。</w:t>
      </w:r>
      <w:r>
        <w:rPr>
          <w:rFonts w:hint="eastAsia" w:ascii="楷体_GB2312" w:hAnsi="楷体_GB2312" w:eastAsia="楷体_GB2312" w:cs="楷体_GB2312"/>
          <w:b w:val="0"/>
          <w:bCs w:val="0"/>
          <w:snapToGrid/>
          <w:color w:val="auto"/>
          <w:kern w:val="2"/>
          <w:sz w:val="32"/>
          <w:szCs w:val="32"/>
          <w:highlight w:val="none"/>
          <w:u w:val="none"/>
          <w:lang w:val="en-US" w:eastAsia="zh-CN" w:bidi="ar-SA"/>
        </w:rPr>
        <w:t>（牵头单位：县生态环境分局，配合单位：各镇人民政府、县水务局、县农牧局）</w:t>
      </w:r>
    </w:p>
    <w:p w14:paraId="5FC01684">
      <w:pPr>
        <w:keepNext w:val="0"/>
        <w:keepLines w:val="0"/>
        <w:pageBreakBefore w:val="0"/>
        <w:widowControl w:val="0"/>
        <w:kinsoku/>
        <w:wordWrap w:val="0"/>
        <w:overflowPunct w:val="0"/>
        <w:topLinePunct/>
        <w:autoSpaceDE/>
        <w:autoSpaceDN/>
        <w:bidi w:val="0"/>
        <w:adjustRightInd/>
        <w:snapToGrid/>
        <w:spacing w:line="578" w:lineRule="exact"/>
        <w:ind w:left="0" w:leftChars="0" w:right="0" w:firstLine="640" w:firstLineChars="200"/>
        <w:jc w:val="both"/>
        <w:textAlignment w:val="auto"/>
        <w:rPr>
          <w:rFonts w:hint="eastAsia" w:ascii="仿宋_GB2312" w:hAnsi="仿宋_GB2312" w:eastAsia="仿宋_GB2312" w:cs="仿宋_GB2312"/>
          <w:color w:val="auto"/>
          <w:spacing w:val="0"/>
          <w:kern w:val="0"/>
          <w:sz w:val="32"/>
          <w:szCs w:val="32"/>
          <w:highlight w:val="none"/>
          <w:lang w:eastAsia="zh-CN"/>
        </w:rPr>
      </w:pPr>
      <w:r>
        <w:rPr>
          <w:rFonts w:hint="eastAsia" w:ascii="楷体_GB2312" w:hAnsi="楷体_GB2312" w:eastAsia="楷体_GB2312" w:cs="楷体_GB2312"/>
          <w:b w:val="0"/>
          <w:bCs w:val="0"/>
          <w:snapToGrid/>
          <w:color w:val="auto"/>
          <w:kern w:val="2"/>
          <w:sz w:val="32"/>
          <w:szCs w:val="32"/>
          <w:highlight w:val="none"/>
          <w:u w:val="none"/>
          <w:lang w:val="en-US" w:eastAsia="zh-CN" w:bidi="ar-SA"/>
        </w:rPr>
        <w:t>（七）综合治理乡村水土流失。</w:t>
      </w:r>
      <w:r>
        <w:rPr>
          <w:rFonts w:hint="eastAsia" w:ascii="仿宋_GB2312" w:hAnsi="仿宋_GB2312" w:eastAsia="仿宋_GB2312" w:cs="仿宋_GB2312"/>
          <w:color w:val="auto"/>
          <w:spacing w:val="0"/>
          <w:kern w:val="0"/>
          <w:sz w:val="32"/>
          <w:szCs w:val="32"/>
          <w:highlight w:val="none"/>
        </w:rPr>
        <w:t>统筹生产生活生态</w:t>
      </w:r>
      <w:r>
        <w:rPr>
          <w:rFonts w:hint="eastAsia" w:ascii="仿宋_GB2312" w:hAnsi="仿宋_GB2312" w:eastAsia="仿宋_GB2312" w:cs="仿宋_GB2312"/>
          <w:color w:val="auto"/>
          <w:spacing w:val="0"/>
          <w:kern w:val="0"/>
          <w:sz w:val="32"/>
          <w:szCs w:val="32"/>
          <w:highlight w:val="none"/>
          <w:lang w:eastAsia="zh-CN"/>
        </w:rPr>
        <w:t>，</w:t>
      </w:r>
      <w:r>
        <w:rPr>
          <w:rFonts w:hint="eastAsia" w:ascii="仿宋_GB2312" w:hAnsi="仿宋_GB2312" w:eastAsia="仿宋_GB2312" w:cs="仿宋_GB2312"/>
          <w:color w:val="auto"/>
          <w:spacing w:val="0"/>
          <w:kern w:val="0"/>
          <w:sz w:val="32"/>
          <w:szCs w:val="32"/>
          <w:highlight w:val="none"/>
        </w:rPr>
        <w:t>以流域水系为单元</w:t>
      </w:r>
      <w:r>
        <w:rPr>
          <w:rFonts w:hint="eastAsia" w:ascii="仿宋_GB2312" w:hAnsi="仿宋_GB2312" w:eastAsia="仿宋_GB2312" w:cs="仿宋_GB2312"/>
          <w:color w:val="auto"/>
          <w:spacing w:val="0"/>
          <w:kern w:val="0"/>
          <w:sz w:val="32"/>
          <w:szCs w:val="32"/>
          <w:highlight w:val="none"/>
          <w:lang w:eastAsia="zh-CN"/>
        </w:rPr>
        <w:t>，</w:t>
      </w:r>
      <w:r>
        <w:rPr>
          <w:rFonts w:hint="eastAsia" w:ascii="仿宋_GB2312" w:hAnsi="仿宋_GB2312" w:eastAsia="仿宋_GB2312" w:cs="仿宋_GB2312"/>
          <w:color w:val="auto"/>
          <w:spacing w:val="0"/>
          <w:kern w:val="0"/>
          <w:sz w:val="32"/>
          <w:szCs w:val="32"/>
          <w:highlight w:val="none"/>
        </w:rPr>
        <w:t>整沟、整村、整</w:t>
      </w:r>
      <w:r>
        <w:rPr>
          <w:rFonts w:hint="eastAsia" w:ascii="仿宋_GB2312" w:hAnsi="仿宋_GB2312" w:eastAsia="仿宋_GB2312" w:cs="仿宋_GB2312"/>
          <w:color w:val="auto"/>
          <w:spacing w:val="0"/>
          <w:kern w:val="0"/>
          <w:sz w:val="32"/>
          <w:szCs w:val="32"/>
          <w:highlight w:val="none"/>
          <w:lang w:eastAsia="zh-CN"/>
        </w:rPr>
        <w:t>镇</w:t>
      </w:r>
      <w:r>
        <w:rPr>
          <w:rFonts w:hint="eastAsia" w:ascii="仿宋_GB2312" w:hAnsi="仿宋_GB2312" w:eastAsia="仿宋_GB2312" w:cs="仿宋_GB2312"/>
          <w:color w:val="auto"/>
          <w:spacing w:val="0"/>
          <w:kern w:val="0"/>
          <w:sz w:val="32"/>
          <w:szCs w:val="32"/>
          <w:highlight w:val="none"/>
        </w:rPr>
        <w:t>、整县一体化推进水土流失综合治理。</w:t>
      </w:r>
      <w:r>
        <w:rPr>
          <w:rFonts w:hint="default" w:ascii="仿宋_GB2312" w:hAnsi="仿宋_GB2312" w:eastAsia="仿宋_GB2312" w:cs="仿宋_GB2312"/>
          <w:caps w:val="0"/>
          <w:spacing w:val="0"/>
          <w:sz w:val="32"/>
          <w:szCs w:val="32"/>
          <w:highlight w:val="none"/>
          <w:lang w:val="en-US" w:eastAsia="zh-CN"/>
        </w:rPr>
        <w:t>推进开展苏计沟生态清洁小流域水土保持综合治理续建工程建设，新增水土流失治理面积20平方公里。</w:t>
      </w:r>
      <w:r>
        <w:rPr>
          <w:rFonts w:hint="eastAsia" w:ascii="仿宋_GB2312" w:hAnsi="仿宋_GB2312" w:eastAsia="仿宋_GB2312" w:cs="仿宋_GB2312"/>
          <w:color w:val="auto"/>
          <w:spacing w:val="0"/>
          <w:kern w:val="0"/>
          <w:sz w:val="32"/>
          <w:szCs w:val="32"/>
          <w:highlight w:val="none"/>
          <w:lang w:eastAsia="zh-CN"/>
        </w:rPr>
        <w:t>（</w:t>
      </w:r>
      <w:r>
        <w:rPr>
          <w:rFonts w:hint="eastAsia" w:ascii="楷体_GB2312" w:hAnsi="楷体_GB2312" w:eastAsia="楷体_GB2312" w:cs="楷体_GB2312"/>
          <w:color w:val="auto"/>
          <w:spacing w:val="0"/>
          <w:kern w:val="2"/>
          <w:sz w:val="32"/>
          <w:szCs w:val="32"/>
          <w:highlight w:val="none"/>
          <w:u w:val="none"/>
          <w:lang w:val="en-US" w:eastAsia="zh-CN"/>
        </w:rPr>
        <w:t>牵头单位：县水务局，配合单位：各镇人民政府</w:t>
      </w:r>
      <w:r>
        <w:rPr>
          <w:rFonts w:hint="eastAsia" w:ascii="仿宋_GB2312" w:hAnsi="仿宋_GB2312" w:eastAsia="仿宋_GB2312" w:cs="仿宋_GB2312"/>
          <w:color w:val="auto"/>
          <w:spacing w:val="0"/>
          <w:kern w:val="0"/>
          <w:sz w:val="32"/>
          <w:szCs w:val="32"/>
          <w:highlight w:val="none"/>
          <w:lang w:eastAsia="zh-CN"/>
        </w:rPr>
        <w:t>）</w:t>
      </w:r>
    </w:p>
    <w:p w14:paraId="433A1242">
      <w:pPr>
        <w:keepNext w:val="0"/>
        <w:keepLines w:val="0"/>
        <w:pageBreakBefore w:val="0"/>
        <w:widowControl/>
        <w:suppressLineNumbers w:val="0"/>
        <w:kinsoku/>
        <w:autoSpaceDE/>
        <w:autoSpaceDN/>
        <w:bidi w:val="0"/>
        <w:adjustRightInd/>
        <w:snapToGrid/>
        <w:spacing w:line="578" w:lineRule="exact"/>
        <w:ind w:firstLine="640" w:firstLineChars="200"/>
        <w:jc w:val="left"/>
        <w:textAlignment w:val="auto"/>
        <w:rPr>
          <w:rFonts w:hint="eastAsia" w:ascii="Times New Roman" w:hAnsi="Times New Roman" w:eastAsia="仿宋_GB2312" w:cs="Times New Roman"/>
          <w:snapToGrid/>
          <w:color w:val="auto"/>
          <w:kern w:val="2"/>
          <w:sz w:val="32"/>
          <w:szCs w:val="32"/>
          <w:highlight w:val="none"/>
          <w:u w:val="none"/>
          <w:lang w:val="en-US" w:eastAsia="zh-CN" w:bidi="ar-SA"/>
        </w:rPr>
      </w:pPr>
      <w:r>
        <w:rPr>
          <w:rFonts w:hint="eastAsia" w:ascii="楷体_GB2312" w:hAnsi="楷体_GB2312" w:eastAsia="楷体_GB2312" w:cs="楷体_GB2312"/>
          <w:b w:val="0"/>
          <w:bCs w:val="0"/>
          <w:snapToGrid/>
          <w:color w:val="auto"/>
          <w:kern w:val="2"/>
          <w:sz w:val="32"/>
          <w:szCs w:val="32"/>
          <w:highlight w:val="none"/>
          <w:u w:val="none"/>
          <w:lang w:val="en-US" w:eastAsia="zh-CN" w:bidi="ar-SA"/>
        </w:rPr>
        <w:t>（八）</w:t>
      </w:r>
      <w:r>
        <w:rPr>
          <w:rFonts w:hint="default" w:ascii="楷体_GB2312" w:hAnsi="楷体_GB2312" w:eastAsia="楷体_GB2312" w:cs="楷体_GB2312"/>
          <w:b w:val="0"/>
          <w:bCs w:val="0"/>
          <w:snapToGrid/>
          <w:color w:val="auto"/>
          <w:kern w:val="2"/>
          <w:sz w:val="32"/>
          <w:szCs w:val="32"/>
          <w:highlight w:val="none"/>
          <w:u w:val="none"/>
          <w:lang w:val="en-US" w:eastAsia="zh-CN" w:bidi="ar-SA"/>
        </w:rPr>
        <w:t>长效保护乡村自然生态。</w:t>
      </w:r>
      <w:r>
        <w:rPr>
          <w:rFonts w:hint="default" w:ascii="仿宋_GB2312" w:hAnsi="仿宋_GB2312" w:eastAsia="仿宋_GB2312" w:cs="仿宋_GB2312"/>
          <w:b w:val="0"/>
          <w:bCs w:val="0"/>
          <w:snapToGrid/>
          <w:color w:val="auto"/>
          <w:kern w:val="2"/>
          <w:sz w:val="32"/>
          <w:szCs w:val="32"/>
          <w:highlight w:val="none"/>
          <w:u w:val="none"/>
          <w:lang w:val="en-US" w:eastAsia="zh-CN" w:bidi="ar-SA"/>
        </w:rPr>
        <w:t>落实国土空间用途管制，加强自然保护地、生态保护红线监督管理。保护乡村山体、</w:t>
      </w:r>
      <w:r>
        <w:rPr>
          <w:rFonts w:hint="eastAsia" w:ascii="仿宋_GB2312" w:hAnsi="仿宋_GB2312" w:eastAsia="仿宋_GB2312" w:cs="仿宋_GB2312"/>
          <w:b w:val="0"/>
          <w:bCs w:val="0"/>
          <w:snapToGrid/>
          <w:color w:val="auto"/>
          <w:kern w:val="2"/>
          <w:sz w:val="32"/>
          <w:szCs w:val="32"/>
          <w:highlight w:val="none"/>
          <w:u w:val="none"/>
          <w:lang w:val="en-US" w:eastAsia="zh-CN" w:bidi="ar-SA"/>
        </w:rPr>
        <w:t>河湖、</w:t>
      </w:r>
      <w:r>
        <w:rPr>
          <w:rFonts w:hint="default" w:ascii="Times New Roman" w:hAnsi="Times New Roman" w:eastAsia="仿宋_GB2312" w:cs="Times New Roman"/>
          <w:snapToGrid/>
          <w:color w:val="auto"/>
          <w:kern w:val="2"/>
          <w:sz w:val="32"/>
          <w:szCs w:val="32"/>
          <w:highlight w:val="none"/>
          <w:u w:val="none"/>
          <w:lang w:val="en-US" w:eastAsia="zh-CN" w:bidi="ar-SA"/>
        </w:rPr>
        <w:t>原生植被、珍稀濒危物种。</w:t>
      </w:r>
      <w:r>
        <w:rPr>
          <w:rFonts w:hint="eastAsia" w:ascii="Times New Roman" w:hAnsi="Times New Roman" w:eastAsia="仿宋_GB2312" w:cs="Times New Roman"/>
          <w:snapToGrid/>
          <w:color w:val="auto"/>
          <w:kern w:val="2"/>
          <w:sz w:val="32"/>
          <w:szCs w:val="32"/>
          <w:highlight w:val="none"/>
          <w:u w:val="none"/>
          <w:lang w:val="en-US" w:eastAsia="zh-CN" w:bidi="ar-SA"/>
        </w:rPr>
        <w:t>开展国家重点生态功能区县域生态环境监测与评价，加强国家重点生态功能区生态环境保护。</w:t>
      </w:r>
      <w:r>
        <w:rPr>
          <w:rFonts w:hint="default" w:ascii="Times New Roman" w:hAnsi="Times New Roman" w:eastAsia="仿宋_GB2312" w:cs="Times New Roman"/>
          <w:snapToGrid/>
          <w:color w:val="auto"/>
          <w:kern w:val="2"/>
          <w:sz w:val="32"/>
          <w:szCs w:val="32"/>
          <w:highlight w:val="none"/>
          <w:u w:val="none"/>
          <w:lang w:val="en-US" w:eastAsia="zh-CN" w:bidi="ar-SA"/>
        </w:rPr>
        <w:t>组织</w:t>
      </w:r>
      <w:r>
        <w:rPr>
          <w:rFonts w:hint="eastAsia" w:ascii="Times New Roman" w:hAnsi="Times New Roman" w:eastAsia="仿宋_GB2312" w:cs="Times New Roman"/>
          <w:snapToGrid/>
          <w:color w:val="auto"/>
          <w:kern w:val="2"/>
          <w:sz w:val="32"/>
          <w:szCs w:val="32"/>
          <w:highlight w:val="none"/>
          <w:u w:val="none"/>
          <w:lang w:val="en-US" w:eastAsia="zh-CN" w:bidi="ar-SA"/>
        </w:rPr>
        <w:t>护林、护草等巡护人员</w:t>
      </w:r>
      <w:r>
        <w:rPr>
          <w:rFonts w:hint="default" w:ascii="Times New Roman" w:hAnsi="Times New Roman" w:eastAsia="仿宋_GB2312" w:cs="Times New Roman"/>
          <w:snapToGrid/>
          <w:color w:val="auto"/>
          <w:kern w:val="2"/>
          <w:sz w:val="32"/>
          <w:szCs w:val="32"/>
          <w:highlight w:val="none"/>
          <w:u w:val="none"/>
          <w:lang w:val="en-US" w:eastAsia="zh-CN" w:bidi="ar-SA"/>
        </w:rPr>
        <w:t>开展日常巡护检查，</w:t>
      </w:r>
      <w:r>
        <w:rPr>
          <w:rFonts w:hint="eastAsia" w:ascii="Times New Roman" w:hAnsi="Times New Roman" w:eastAsia="仿宋_GB2312" w:cs="Times New Roman"/>
          <w:snapToGrid/>
          <w:color w:val="auto"/>
          <w:kern w:val="2"/>
          <w:sz w:val="32"/>
          <w:szCs w:val="32"/>
          <w:highlight w:val="none"/>
          <w:u w:val="none"/>
          <w:lang w:val="en-US" w:eastAsia="zh-CN" w:bidi="ar-SA"/>
        </w:rPr>
        <w:t>发现并制止破坏森林、草原、湿地和野生动植物资源</w:t>
      </w:r>
      <w:r>
        <w:rPr>
          <w:rFonts w:hint="default" w:ascii="Times New Roman" w:hAnsi="Times New Roman" w:eastAsia="仿宋_GB2312" w:cs="Times New Roman"/>
          <w:snapToGrid/>
          <w:color w:val="auto"/>
          <w:kern w:val="2"/>
          <w:sz w:val="32"/>
          <w:szCs w:val="32"/>
          <w:highlight w:val="none"/>
          <w:u w:val="none"/>
          <w:lang w:val="en-US" w:eastAsia="zh-CN" w:bidi="ar-SA"/>
        </w:rPr>
        <w:t>行为。</w:t>
      </w:r>
      <w:r>
        <w:rPr>
          <w:rFonts w:hint="eastAsia" w:ascii="Times New Roman" w:hAnsi="Times New Roman" w:eastAsia="仿宋_GB2312" w:cs="Times New Roman"/>
          <w:snapToGrid/>
          <w:color w:val="auto"/>
          <w:kern w:val="2"/>
          <w:sz w:val="32"/>
          <w:szCs w:val="32"/>
          <w:highlight w:val="none"/>
          <w:u w:val="none"/>
          <w:lang w:val="en-US" w:eastAsia="zh-CN" w:bidi="ar-SA"/>
        </w:rPr>
        <w:t>加强天然林、公益林、天然草原保护修复工作，全面落实年度管护任务。全力打好“三北”工程攻坚战，</w:t>
      </w:r>
      <w:r>
        <w:rPr>
          <w:rFonts w:hint="eastAsia" w:ascii="仿宋_GB2312" w:hAnsi="仿宋_GB2312" w:eastAsia="仿宋_GB2312" w:cs="仿宋_GB2312"/>
          <w:snapToGrid/>
          <w:color w:val="auto"/>
          <w:kern w:val="2"/>
          <w:sz w:val="32"/>
          <w:szCs w:val="32"/>
          <w:highlight w:val="none"/>
          <w:u w:val="none"/>
          <w:lang w:val="en-US" w:eastAsia="zh-CN" w:bidi="ar-SA"/>
        </w:rPr>
        <w:t>实施三北工程林草湿荒一体化保护退化湿地修复、阴山北麓（河套平原）生态综合治理人工种草10万亩以及二相南坡绿化提质增效2万亩等三北工程项目，</w:t>
      </w:r>
      <w:r>
        <w:rPr>
          <w:rFonts w:hint="eastAsia" w:ascii="Times New Roman" w:hAnsi="Times New Roman" w:eastAsia="仿宋_GB2312" w:cs="Times New Roman"/>
          <w:snapToGrid/>
          <w:color w:val="auto"/>
          <w:kern w:val="2"/>
          <w:sz w:val="32"/>
          <w:szCs w:val="32"/>
          <w:highlight w:val="none"/>
          <w:u w:val="none"/>
          <w:lang w:val="en-US" w:eastAsia="zh-CN" w:bidi="ar-SA"/>
        </w:rPr>
        <w:t>逐步提高林草覆盖率。</w:t>
      </w:r>
      <w:r>
        <w:rPr>
          <w:rFonts w:hint="eastAsia" w:ascii="仿宋_GB2312" w:hAnsi="仿宋_GB2312" w:eastAsia="仿宋_GB2312" w:cs="仿宋_GB2312"/>
          <w:snapToGrid/>
          <w:color w:val="auto"/>
          <w:kern w:val="2"/>
          <w:sz w:val="32"/>
          <w:szCs w:val="32"/>
          <w:highlight w:val="none"/>
          <w:u w:val="none"/>
          <w:lang w:val="en-US" w:eastAsia="zh-CN" w:bidi="ar-SA"/>
        </w:rPr>
        <w:t>实施同兴功湖、河楞湖、四分子东湖、老羊壕、阿塔山水库、南海子和白灵淖湖7处市级重要湿地修复工程。坚持以水定绿，适地适绿，以雨养、节水为导向，宜乔则乔、</w:t>
      </w:r>
      <w:r>
        <w:rPr>
          <w:rFonts w:hint="default" w:ascii="仿宋_GB2312" w:hAnsi="仿宋_GB2312" w:eastAsia="仿宋_GB2312" w:cs="仿宋_GB2312"/>
          <w:snapToGrid/>
          <w:color w:val="auto"/>
          <w:kern w:val="2"/>
          <w:sz w:val="32"/>
          <w:szCs w:val="32"/>
          <w:highlight w:val="none"/>
          <w:u w:val="none"/>
          <w:lang w:val="en-US" w:eastAsia="zh-CN" w:bidi="ar-SA"/>
        </w:rPr>
        <w:t>宜灌则灌,科学配置树种,构建乡村生态廊道体系。</w:t>
      </w:r>
      <w:r>
        <w:rPr>
          <w:rFonts w:hint="eastAsia" w:ascii="Times New Roman" w:hAnsi="Times New Roman" w:eastAsia="仿宋_GB2312" w:cs="Times New Roman"/>
          <w:snapToGrid/>
          <w:color w:val="auto"/>
          <w:kern w:val="2"/>
          <w:sz w:val="32"/>
          <w:szCs w:val="32"/>
          <w:highlight w:val="none"/>
          <w:u w:val="none"/>
          <w:lang w:val="en-US" w:eastAsia="zh-CN" w:bidi="ar-SA"/>
        </w:rPr>
        <w:t>用好柠条、羊草等乡土草种，科学开展种草改良，加快恢复退化沙化天然草原，提升草原生态质量。</w:t>
      </w:r>
      <w:r>
        <w:rPr>
          <w:rFonts w:hint="eastAsia" w:ascii="仿宋_GB2312" w:hAnsi="仿宋_GB2312" w:eastAsia="仿宋_GB2312" w:cs="仿宋_GB2312"/>
          <w:color w:val="auto"/>
          <w:kern w:val="0"/>
          <w:sz w:val="32"/>
          <w:szCs w:val="32"/>
          <w:highlight w:val="none"/>
          <w:lang w:val="en-US" w:eastAsia="zh-CN" w:bidi="ar"/>
        </w:rPr>
        <w:t>严格落实《河长湖长履职规范(试行)》要求,全面推进乡村河湖长差异化巡查河湖,不断提高河湖管护质效。</w:t>
      </w:r>
      <w:r>
        <w:rPr>
          <w:rFonts w:hint="eastAsia" w:ascii="Times New Roman" w:hAnsi="Times New Roman" w:eastAsia="仿宋_GB2312" w:cs="Times New Roman"/>
          <w:snapToGrid/>
          <w:color w:val="auto"/>
          <w:kern w:val="2"/>
          <w:sz w:val="32"/>
          <w:szCs w:val="32"/>
          <w:highlight w:val="none"/>
          <w:u w:val="none"/>
          <w:lang w:val="en-US" w:eastAsia="zh-CN" w:bidi="ar-SA"/>
        </w:rPr>
        <w:t>加强农村小微水体保护与修复。（</w:t>
      </w:r>
      <w:r>
        <w:rPr>
          <w:rFonts w:hint="eastAsia" w:ascii="楷体_GB2312" w:hAnsi="楷体_GB2312" w:eastAsia="楷体_GB2312" w:cs="楷体_GB2312"/>
          <w:snapToGrid/>
          <w:color w:val="auto"/>
          <w:kern w:val="2"/>
          <w:sz w:val="32"/>
          <w:szCs w:val="32"/>
          <w:highlight w:val="none"/>
          <w:u w:val="none"/>
          <w:lang w:val="en-US" w:eastAsia="zh-CN" w:bidi="ar-SA"/>
        </w:rPr>
        <w:t>县自然资源局、县农牧局、县林草局、县水务局、县生态环境分局等相关部门按职责分工负责</w:t>
      </w:r>
      <w:r>
        <w:rPr>
          <w:rFonts w:hint="eastAsia" w:ascii="Times New Roman" w:hAnsi="Times New Roman" w:eastAsia="仿宋_GB2312" w:cs="Times New Roman"/>
          <w:snapToGrid/>
          <w:color w:val="auto"/>
          <w:kern w:val="2"/>
          <w:sz w:val="32"/>
          <w:szCs w:val="32"/>
          <w:highlight w:val="none"/>
          <w:u w:val="none"/>
          <w:lang w:val="en-US" w:eastAsia="zh-CN" w:bidi="ar-SA"/>
        </w:rPr>
        <w:t>）</w:t>
      </w:r>
    </w:p>
    <w:p w14:paraId="36DA947C">
      <w:pPr>
        <w:keepNext w:val="0"/>
        <w:keepLines w:val="0"/>
        <w:pageBreakBefore w:val="0"/>
        <w:widowControl w:val="0"/>
        <w:kinsoku/>
        <w:wordWrap w:val="0"/>
        <w:overflowPunct w:val="0"/>
        <w:topLinePunct/>
        <w:autoSpaceDE/>
        <w:autoSpaceDN/>
        <w:bidi w:val="0"/>
        <w:adjustRightInd/>
        <w:snapToGrid/>
        <w:spacing w:line="578" w:lineRule="exact"/>
        <w:ind w:left="0" w:leftChars="0" w:right="0" w:firstLine="640" w:firstLineChars="200"/>
        <w:jc w:val="both"/>
        <w:textAlignment w:val="auto"/>
        <w:rPr>
          <w:rFonts w:hint="eastAsia" w:ascii="仿宋_GB2312" w:hAnsi="仿宋_GB2312" w:eastAsia="仿宋_GB2312" w:cs="仿宋_GB2312"/>
          <w:b w:val="0"/>
          <w:bCs w:val="0"/>
          <w:snapToGrid/>
          <w:color w:val="auto"/>
          <w:kern w:val="2"/>
          <w:sz w:val="32"/>
          <w:szCs w:val="32"/>
          <w:highlight w:val="none"/>
          <w:u w:val="none"/>
          <w:lang w:val="en-US" w:eastAsia="zh-CN" w:bidi="ar-SA"/>
        </w:rPr>
      </w:pPr>
      <w:r>
        <w:rPr>
          <w:rFonts w:hint="eastAsia" w:ascii="楷体_GB2312" w:hAnsi="楷体_GB2312" w:eastAsia="楷体_GB2312" w:cs="楷体_GB2312"/>
          <w:b w:val="0"/>
          <w:bCs w:val="0"/>
          <w:snapToGrid/>
          <w:color w:val="auto"/>
          <w:kern w:val="2"/>
          <w:sz w:val="32"/>
          <w:szCs w:val="32"/>
          <w:highlight w:val="none"/>
          <w:u w:val="none"/>
          <w:lang w:val="en-US" w:eastAsia="zh-CN" w:bidi="ar-SA"/>
        </w:rPr>
        <w:t>（九）强化农用地土壤污染源头防控。</w:t>
      </w:r>
      <w:r>
        <w:rPr>
          <w:rFonts w:hint="eastAsia" w:ascii="仿宋_GB2312" w:hAnsi="仿宋_GB2312" w:eastAsia="仿宋_GB2312" w:cs="仿宋_GB2312"/>
          <w:color w:val="auto"/>
          <w:spacing w:val="0"/>
          <w:kern w:val="0"/>
          <w:sz w:val="32"/>
          <w:szCs w:val="32"/>
          <w:highlight w:val="none"/>
          <w:lang w:eastAsia="zh-CN"/>
        </w:rPr>
        <w:t>持续开展涉镉等重金属企业的排查，</w:t>
      </w:r>
      <w:r>
        <w:rPr>
          <w:rFonts w:hint="eastAsia" w:ascii="仿宋_GB2312" w:hAnsi="仿宋_GB2312" w:eastAsia="仿宋_GB2312" w:cs="仿宋_GB2312"/>
          <w:color w:val="auto"/>
          <w:spacing w:val="0"/>
          <w:kern w:val="0"/>
          <w:sz w:val="32"/>
          <w:szCs w:val="32"/>
          <w:highlight w:val="none"/>
          <w:lang w:val="en-US" w:eastAsia="zh-CN"/>
        </w:rPr>
        <w:t>建立</w:t>
      </w:r>
      <w:r>
        <w:rPr>
          <w:rFonts w:hint="eastAsia" w:ascii="仿宋_GB2312" w:hAnsi="仿宋_GB2312" w:eastAsia="仿宋_GB2312" w:cs="仿宋_GB2312"/>
          <w:color w:val="auto"/>
          <w:spacing w:val="0"/>
          <w:kern w:val="0"/>
          <w:sz w:val="32"/>
          <w:szCs w:val="32"/>
          <w:highlight w:val="none"/>
          <w:lang w:eastAsia="zh-CN"/>
        </w:rPr>
        <w:t>涉镉等重金属</w:t>
      </w:r>
      <w:r>
        <w:rPr>
          <w:rFonts w:hint="eastAsia" w:ascii="仿宋_GB2312" w:hAnsi="仿宋_GB2312" w:eastAsia="仿宋_GB2312" w:cs="仿宋_GB2312"/>
          <w:color w:val="auto"/>
          <w:spacing w:val="0"/>
          <w:kern w:val="0"/>
          <w:sz w:val="32"/>
          <w:szCs w:val="32"/>
          <w:highlight w:val="none"/>
          <w:lang w:val="en-US" w:eastAsia="zh-CN"/>
        </w:rPr>
        <w:t>重点行业</w:t>
      </w:r>
      <w:r>
        <w:rPr>
          <w:rFonts w:hint="eastAsia" w:ascii="仿宋_GB2312" w:hAnsi="仿宋_GB2312" w:eastAsia="仿宋_GB2312" w:cs="仿宋_GB2312"/>
          <w:color w:val="auto"/>
          <w:spacing w:val="0"/>
          <w:kern w:val="0"/>
          <w:sz w:val="32"/>
          <w:szCs w:val="32"/>
          <w:highlight w:val="none"/>
          <w:lang w:eastAsia="zh-CN"/>
        </w:rPr>
        <w:t>企业</w:t>
      </w:r>
      <w:r>
        <w:rPr>
          <w:rFonts w:hint="eastAsia" w:ascii="仿宋_GB2312" w:hAnsi="仿宋_GB2312" w:eastAsia="仿宋_GB2312" w:cs="仿宋_GB2312"/>
          <w:color w:val="auto"/>
          <w:spacing w:val="0"/>
          <w:kern w:val="0"/>
          <w:sz w:val="32"/>
          <w:szCs w:val="32"/>
          <w:highlight w:val="none"/>
          <w:lang w:val="en-US" w:eastAsia="zh-CN"/>
        </w:rPr>
        <w:t>排查清单，</w:t>
      </w:r>
      <w:r>
        <w:rPr>
          <w:rFonts w:hint="eastAsia" w:ascii="仿宋_GB2312" w:hAnsi="仿宋_GB2312" w:eastAsia="仿宋_GB2312" w:cs="仿宋_GB2312"/>
          <w:color w:val="auto"/>
          <w:spacing w:val="0"/>
          <w:kern w:val="0"/>
          <w:sz w:val="32"/>
          <w:szCs w:val="32"/>
          <w:highlight w:val="none"/>
          <w:lang w:eastAsia="zh-CN"/>
        </w:rPr>
        <w:t>源头防控镉等重金属进入农田</w:t>
      </w:r>
      <w:r>
        <w:rPr>
          <w:rFonts w:hint="eastAsia" w:ascii="仿宋_GB2312" w:hAnsi="仿宋_GB2312" w:eastAsia="仿宋_GB2312" w:cs="仿宋_GB2312"/>
          <w:color w:val="auto"/>
          <w:spacing w:val="0"/>
          <w:kern w:val="0"/>
          <w:sz w:val="32"/>
          <w:szCs w:val="32"/>
          <w:highlight w:val="none"/>
        </w:rPr>
        <w:t>。加强农用地分类管理</w:t>
      </w:r>
      <w:r>
        <w:rPr>
          <w:rFonts w:hint="eastAsia" w:ascii="仿宋_GB2312" w:hAnsi="仿宋_GB2312" w:eastAsia="仿宋_GB2312" w:cs="仿宋_GB2312"/>
          <w:color w:val="auto"/>
          <w:spacing w:val="0"/>
          <w:kern w:val="0"/>
          <w:sz w:val="32"/>
          <w:szCs w:val="32"/>
          <w:highlight w:val="none"/>
          <w:lang w:eastAsia="zh-CN"/>
        </w:rPr>
        <w:t>，</w:t>
      </w:r>
      <w:r>
        <w:rPr>
          <w:rFonts w:hint="eastAsia" w:ascii="仿宋_GB2312" w:hAnsi="仿宋_GB2312" w:eastAsia="仿宋_GB2312" w:cs="仿宋_GB2312"/>
          <w:color w:val="auto"/>
          <w:spacing w:val="0"/>
          <w:kern w:val="0"/>
          <w:sz w:val="32"/>
          <w:szCs w:val="32"/>
          <w:highlight w:val="none"/>
        </w:rPr>
        <w:t>动态调整耕地土壤环境质量类别。</w:t>
      </w:r>
      <w:r>
        <w:rPr>
          <w:rFonts w:hint="eastAsia" w:ascii="仿宋_GB2312" w:hAnsi="仿宋_GB2312" w:eastAsia="仿宋_GB2312" w:cs="仿宋_GB2312"/>
          <w:color w:val="auto"/>
          <w:spacing w:val="0"/>
          <w:kern w:val="0"/>
          <w:sz w:val="32"/>
          <w:szCs w:val="32"/>
          <w:highlight w:val="none"/>
          <w:lang w:val="en-US" w:eastAsia="zh-CN"/>
        </w:rPr>
        <w:t>加强盐碱地综合利用中的生态环境风险防护，</w:t>
      </w:r>
      <w:r>
        <w:rPr>
          <w:rFonts w:hint="eastAsia" w:ascii="仿宋_GB2312" w:hAnsi="仿宋_GB2312" w:eastAsia="仿宋_GB2312" w:cs="仿宋_GB2312"/>
          <w:color w:val="auto"/>
          <w:spacing w:val="0"/>
          <w:kern w:val="0"/>
          <w:sz w:val="32"/>
          <w:szCs w:val="32"/>
          <w:highlight w:val="none"/>
        </w:rPr>
        <w:t>实施耕地</w:t>
      </w:r>
      <w:r>
        <w:rPr>
          <w:rFonts w:hint="eastAsia" w:ascii="仿宋_GB2312" w:hAnsi="仿宋_GB2312" w:eastAsia="仿宋_GB2312" w:cs="仿宋_GB2312"/>
          <w:color w:val="auto"/>
          <w:spacing w:val="0"/>
          <w:kern w:val="0"/>
          <w:sz w:val="32"/>
          <w:szCs w:val="32"/>
          <w:highlight w:val="none"/>
          <w:lang w:val="en-US" w:eastAsia="zh-CN"/>
        </w:rPr>
        <w:t>有机质</w:t>
      </w:r>
      <w:r>
        <w:rPr>
          <w:rFonts w:hint="eastAsia" w:ascii="仿宋_GB2312" w:hAnsi="仿宋_GB2312" w:eastAsia="仿宋_GB2312" w:cs="仿宋_GB2312"/>
          <w:color w:val="auto"/>
          <w:spacing w:val="0"/>
          <w:kern w:val="0"/>
          <w:sz w:val="32"/>
          <w:szCs w:val="32"/>
          <w:highlight w:val="none"/>
        </w:rPr>
        <w:t>提升行动</w:t>
      </w:r>
      <w:r>
        <w:rPr>
          <w:rFonts w:hint="eastAsia" w:ascii="仿宋_GB2312" w:hAnsi="仿宋_GB2312" w:eastAsia="仿宋_GB2312" w:cs="仿宋_GB2312"/>
          <w:color w:val="auto"/>
          <w:spacing w:val="0"/>
          <w:kern w:val="0"/>
          <w:sz w:val="32"/>
          <w:szCs w:val="32"/>
          <w:highlight w:val="none"/>
          <w:lang w:eastAsia="zh-CN"/>
        </w:rPr>
        <w:t>，</w:t>
      </w:r>
      <w:r>
        <w:rPr>
          <w:rFonts w:hint="eastAsia" w:ascii="仿宋_GB2312" w:hAnsi="仿宋_GB2312" w:eastAsia="仿宋_GB2312" w:cs="仿宋_GB2312"/>
          <w:color w:val="auto"/>
          <w:spacing w:val="0"/>
          <w:kern w:val="0"/>
          <w:sz w:val="32"/>
          <w:szCs w:val="32"/>
          <w:highlight w:val="none"/>
          <w:lang w:val="en-US" w:eastAsia="zh-CN"/>
        </w:rPr>
        <w:t>推动土壤健康有序利用。</w:t>
      </w:r>
      <w:r>
        <w:rPr>
          <w:rFonts w:hint="eastAsia" w:ascii="仿宋_GB2312" w:hAnsi="仿宋_GB2312" w:eastAsia="仿宋_GB2312" w:cs="仿宋_GB2312"/>
          <w:color w:val="auto"/>
          <w:spacing w:val="0"/>
          <w:kern w:val="0"/>
          <w:sz w:val="32"/>
          <w:szCs w:val="32"/>
          <w:highlight w:val="none"/>
        </w:rPr>
        <w:t>严厉打击在农村牧区非法排放、倾倒、利用、处置危险废物等环境违法犯罪行为。</w:t>
      </w:r>
      <w:r>
        <w:rPr>
          <w:rFonts w:hint="eastAsia" w:ascii="仿宋_GB2312" w:hAnsi="仿宋_GB2312" w:eastAsia="仿宋_GB2312" w:cs="仿宋_GB2312"/>
          <w:color w:val="auto"/>
          <w:spacing w:val="0"/>
          <w:kern w:val="0"/>
          <w:sz w:val="32"/>
          <w:szCs w:val="32"/>
          <w:highlight w:val="none"/>
          <w:lang w:eastAsia="zh-CN"/>
        </w:rPr>
        <w:t>（</w:t>
      </w:r>
      <w:r>
        <w:rPr>
          <w:rFonts w:hint="eastAsia" w:ascii="楷体_GB2312" w:hAnsi="楷体_GB2312" w:eastAsia="楷体_GB2312" w:cs="楷体_GB2312"/>
          <w:b w:val="0"/>
          <w:bCs w:val="0"/>
          <w:snapToGrid/>
          <w:color w:val="auto"/>
          <w:kern w:val="2"/>
          <w:sz w:val="32"/>
          <w:szCs w:val="32"/>
          <w:highlight w:val="none"/>
          <w:u w:val="none"/>
          <w:lang w:val="en-US" w:eastAsia="zh-CN" w:bidi="ar-SA"/>
        </w:rPr>
        <w:t>生态环境分局负责重金属企业排查和打击环境违法行为、县农牧局和县自然资源局负责耕地保护质量提升等</w:t>
      </w:r>
      <w:r>
        <w:rPr>
          <w:rFonts w:hint="eastAsia" w:ascii="仿宋_GB2312" w:hAnsi="仿宋_GB2312" w:eastAsia="仿宋_GB2312" w:cs="仿宋_GB2312"/>
          <w:b w:val="0"/>
          <w:bCs w:val="0"/>
          <w:snapToGrid/>
          <w:color w:val="auto"/>
          <w:kern w:val="2"/>
          <w:sz w:val="32"/>
          <w:szCs w:val="32"/>
          <w:highlight w:val="none"/>
          <w:u w:val="none"/>
          <w:lang w:val="en-US" w:eastAsia="zh-CN" w:bidi="ar-SA"/>
        </w:rPr>
        <w:t>）</w:t>
      </w:r>
    </w:p>
    <w:p w14:paraId="53C2EFA8">
      <w:pPr>
        <w:pStyle w:val="2"/>
        <w:keepNext w:val="0"/>
        <w:keepLines w:val="0"/>
        <w:pageBreakBefore w:val="0"/>
        <w:widowControl w:val="0"/>
        <w:suppressLineNumbers w:val="0"/>
        <w:kinsoku/>
        <w:wordWrap w:val="0"/>
        <w:overflowPunct w:val="0"/>
        <w:topLinePunct/>
        <w:autoSpaceDE/>
        <w:autoSpaceDN/>
        <w:bidi w:val="0"/>
        <w:adjustRightInd w:val="0"/>
        <w:snapToGrid w:val="0"/>
        <w:spacing w:before="0" w:beforeAutospacing="0" w:line="578" w:lineRule="exact"/>
        <w:ind w:left="0" w:leftChars="0" w:right="0" w:firstLine="640" w:firstLineChars="200"/>
        <w:jc w:val="both"/>
        <w:textAlignment w:val="baseline"/>
        <w:rPr>
          <w:rFonts w:hint="eastAsia" w:ascii="仿宋_GB2312" w:hAnsi="仿宋_GB2312" w:eastAsia="仿宋_GB2312" w:cs="仿宋_GB2312"/>
          <w:b w:val="0"/>
          <w:bCs w:val="0"/>
          <w:snapToGrid/>
          <w:color w:val="auto"/>
          <w:kern w:val="2"/>
          <w:sz w:val="32"/>
          <w:szCs w:val="32"/>
          <w:highlight w:val="none"/>
          <w:u w:val="none"/>
          <w:lang w:val="en-US" w:eastAsia="zh-CN" w:bidi="ar-SA"/>
        </w:rPr>
      </w:pPr>
      <w:r>
        <w:rPr>
          <w:rFonts w:hint="eastAsia" w:ascii="楷体_GB2312" w:hAnsi="楷体_GB2312" w:eastAsia="楷体_GB2312" w:cs="楷体_GB2312"/>
          <w:b w:val="0"/>
          <w:bCs w:val="0"/>
          <w:snapToGrid/>
          <w:color w:val="auto"/>
          <w:kern w:val="2"/>
          <w:sz w:val="32"/>
          <w:szCs w:val="32"/>
          <w:highlight w:val="none"/>
          <w:u w:val="none"/>
          <w:lang w:val="en-US" w:eastAsia="zh-CN" w:bidi="ar-SA"/>
        </w:rPr>
        <w:t>（十）加强生态养殖和健康养殖引导。</w:t>
      </w:r>
      <w:r>
        <w:rPr>
          <w:rFonts w:hint="eastAsia" w:ascii="仿宋_GB2312" w:hAnsi="仿宋_GB2312" w:eastAsia="仿宋_GB2312" w:cs="仿宋_GB2312"/>
          <w:color w:val="auto"/>
          <w:spacing w:val="0"/>
          <w:kern w:val="0"/>
          <w:sz w:val="32"/>
          <w:szCs w:val="32"/>
          <w:highlight w:val="none"/>
          <w:lang w:eastAsia="zh-CN"/>
        </w:rPr>
        <w:t>严格把关新建养殖项目选址，远离人口集中区、水源保护区、地表水等环境敏感区。</w:t>
      </w:r>
      <w:r>
        <w:rPr>
          <w:rFonts w:hint="eastAsia" w:ascii="仿宋_GB2312" w:hAnsi="仿宋_GB2312" w:eastAsia="仿宋_GB2312" w:cs="仿宋_GB2312"/>
          <w:color w:val="auto"/>
          <w:spacing w:val="0"/>
          <w:kern w:val="0"/>
          <w:sz w:val="32"/>
          <w:szCs w:val="32"/>
          <w:highlight w:val="none"/>
        </w:rPr>
        <w:t>引导养殖主体建设完善粪污处理、粪肥还田设施设备</w:t>
      </w:r>
      <w:r>
        <w:rPr>
          <w:rFonts w:hint="eastAsia" w:ascii="仿宋_GB2312" w:hAnsi="仿宋_GB2312" w:eastAsia="仿宋_GB2312" w:cs="仿宋_GB2312"/>
          <w:color w:val="auto"/>
          <w:spacing w:val="0"/>
          <w:kern w:val="0"/>
          <w:sz w:val="32"/>
          <w:szCs w:val="32"/>
          <w:highlight w:val="none"/>
          <w:lang w:eastAsia="zh-CN"/>
        </w:rPr>
        <w:t>，</w:t>
      </w:r>
      <w:r>
        <w:rPr>
          <w:rFonts w:hint="eastAsia" w:ascii="仿宋_GB2312" w:hAnsi="仿宋_GB2312" w:eastAsia="仿宋_GB2312" w:cs="仿宋_GB2312"/>
          <w:color w:val="auto"/>
          <w:spacing w:val="0"/>
          <w:kern w:val="0"/>
          <w:sz w:val="32"/>
          <w:szCs w:val="32"/>
          <w:highlight w:val="none"/>
        </w:rPr>
        <w:t>提高畜禽粪污处理利用能力。到</w:t>
      </w:r>
      <w:r>
        <w:rPr>
          <w:rFonts w:hint="eastAsia" w:ascii="仿宋_GB2312" w:hAnsi="仿宋_GB2312" w:eastAsia="仿宋_GB2312" w:cs="仿宋_GB2312"/>
          <w:color w:val="auto"/>
          <w:spacing w:val="0"/>
          <w:kern w:val="0"/>
          <w:position w:val="0"/>
          <w:sz w:val="32"/>
          <w:szCs w:val="32"/>
          <w:highlight w:val="none"/>
          <w:lang w:val="en-US" w:eastAsia="zh-CN"/>
        </w:rPr>
        <w:t>2026</w:t>
      </w:r>
      <w:r>
        <w:rPr>
          <w:rFonts w:hint="eastAsia" w:ascii="仿宋_GB2312" w:hAnsi="仿宋_GB2312" w:eastAsia="仿宋_GB2312" w:cs="仿宋_GB2312"/>
          <w:color w:val="auto"/>
          <w:spacing w:val="0"/>
          <w:kern w:val="0"/>
          <w:sz w:val="32"/>
          <w:szCs w:val="32"/>
          <w:highlight w:val="none"/>
        </w:rPr>
        <w:t>年</w:t>
      </w:r>
      <w:r>
        <w:rPr>
          <w:rFonts w:hint="eastAsia" w:ascii="仿宋_GB2312" w:hAnsi="仿宋_GB2312" w:eastAsia="仿宋_GB2312" w:cs="仿宋_GB2312"/>
          <w:color w:val="auto"/>
          <w:spacing w:val="0"/>
          <w:kern w:val="0"/>
          <w:sz w:val="32"/>
          <w:szCs w:val="32"/>
          <w:highlight w:val="none"/>
          <w:lang w:eastAsia="zh-CN"/>
        </w:rPr>
        <w:t>底</w:t>
      </w:r>
      <w:r>
        <w:rPr>
          <w:rFonts w:hint="eastAsia" w:ascii="仿宋_GB2312" w:hAnsi="仿宋_GB2312" w:eastAsia="仿宋_GB2312" w:cs="仿宋_GB2312"/>
          <w:color w:val="auto"/>
          <w:spacing w:val="0"/>
          <w:kern w:val="0"/>
          <w:sz w:val="32"/>
          <w:szCs w:val="32"/>
          <w:highlight w:val="none"/>
        </w:rPr>
        <w:t>全</w:t>
      </w:r>
      <w:r>
        <w:rPr>
          <w:rFonts w:hint="eastAsia" w:ascii="仿宋_GB2312" w:hAnsi="仿宋_GB2312" w:eastAsia="仿宋_GB2312" w:cs="仿宋_GB2312"/>
          <w:color w:val="auto"/>
          <w:spacing w:val="0"/>
          <w:kern w:val="0"/>
          <w:sz w:val="32"/>
          <w:szCs w:val="32"/>
          <w:highlight w:val="none"/>
          <w:lang w:val="en-US" w:eastAsia="zh-CN"/>
        </w:rPr>
        <w:t>县</w:t>
      </w:r>
      <w:r>
        <w:rPr>
          <w:rFonts w:hint="eastAsia" w:ascii="仿宋_GB2312" w:hAnsi="仿宋_GB2312" w:eastAsia="仿宋_GB2312" w:cs="仿宋_GB2312"/>
          <w:color w:val="auto"/>
          <w:spacing w:val="0"/>
          <w:kern w:val="0"/>
          <w:sz w:val="32"/>
          <w:szCs w:val="32"/>
          <w:highlight w:val="none"/>
        </w:rPr>
        <w:t>畜禽粪污综合利用率达到</w:t>
      </w:r>
      <w:r>
        <w:rPr>
          <w:rFonts w:hint="eastAsia" w:ascii="仿宋_GB2312" w:hAnsi="仿宋_GB2312" w:eastAsia="仿宋_GB2312" w:cs="仿宋_GB2312"/>
          <w:color w:val="auto"/>
          <w:spacing w:val="0"/>
          <w:kern w:val="0"/>
          <w:position w:val="0"/>
          <w:sz w:val="32"/>
          <w:szCs w:val="32"/>
          <w:highlight w:val="none"/>
          <w:lang w:val="en-US" w:eastAsia="zh-CN"/>
        </w:rPr>
        <w:t>90%</w:t>
      </w:r>
      <w:r>
        <w:rPr>
          <w:rFonts w:hint="eastAsia" w:ascii="仿宋_GB2312" w:hAnsi="仿宋_GB2312" w:eastAsia="仿宋_GB2312" w:cs="仿宋_GB2312"/>
          <w:color w:val="auto"/>
          <w:spacing w:val="0"/>
          <w:kern w:val="0"/>
          <w:position w:val="0"/>
          <w:sz w:val="32"/>
          <w:szCs w:val="32"/>
          <w:highlight w:val="none"/>
        </w:rPr>
        <w:t>以上</w:t>
      </w:r>
      <w:r>
        <w:rPr>
          <w:rFonts w:hint="eastAsia" w:ascii="仿宋_GB2312" w:hAnsi="仿宋_GB2312" w:eastAsia="仿宋_GB2312" w:cs="仿宋_GB2312"/>
          <w:color w:val="auto"/>
          <w:spacing w:val="0"/>
          <w:kern w:val="0"/>
          <w:position w:val="1"/>
          <w:sz w:val="32"/>
          <w:szCs w:val="32"/>
          <w:highlight w:val="none"/>
        </w:rPr>
        <w:t>。</w:t>
      </w:r>
      <w:r>
        <w:rPr>
          <w:rFonts w:hint="eastAsia" w:ascii="仿宋_GB2312" w:hAnsi="仿宋_GB2312" w:eastAsia="仿宋_GB2312" w:cs="仿宋_GB2312"/>
          <w:color w:val="auto"/>
          <w:spacing w:val="0"/>
          <w:kern w:val="0"/>
          <w:sz w:val="32"/>
          <w:szCs w:val="32"/>
          <w:highlight w:val="none"/>
        </w:rPr>
        <w:t>加强养殖废气收集和处理</w:t>
      </w:r>
      <w:r>
        <w:rPr>
          <w:rFonts w:hint="eastAsia" w:ascii="仿宋_GB2312" w:hAnsi="仿宋_GB2312" w:eastAsia="仿宋_GB2312" w:cs="仿宋_GB2312"/>
          <w:color w:val="auto"/>
          <w:spacing w:val="0"/>
          <w:kern w:val="0"/>
          <w:sz w:val="32"/>
          <w:szCs w:val="32"/>
          <w:highlight w:val="none"/>
          <w:lang w:eastAsia="zh-CN"/>
        </w:rPr>
        <w:t>，</w:t>
      </w:r>
      <w:r>
        <w:rPr>
          <w:rFonts w:hint="eastAsia" w:ascii="仿宋_GB2312" w:hAnsi="仿宋_GB2312" w:eastAsia="仿宋_GB2312" w:cs="仿宋_GB2312"/>
          <w:color w:val="auto"/>
          <w:spacing w:val="0"/>
          <w:kern w:val="0"/>
          <w:sz w:val="32"/>
          <w:szCs w:val="32"/>
          <w:highlight w:val="none"/>
        </w:rPr>
        <w:t>鼓励粪污输送、储存及处理设施封闭管理</w:t>
      </w:r>
      <w:r>
        <w:rPr>
          <w:rFonts w:hint="eastAsia" w:ascii="仿宋_GB2312" w:hAnsi="仿宋_GB2312" w:eastAsia="仿宋_GB2312" w:cs="仿宋_GB2312"/>
          <w:color w:val="auto"/>
          <w:spacing w:val="0"/>
          <w:kern w:val="0"/>
          <w:sz w:val="32"/>
          <w:szCs w:val="32"/>
          <w:highlight w:val="none"/>
          <w:lang w:eastAsia="zh-CN"/>
        </w:rPr>
        <w:t>，</w:t>
      </w:r>
      <w:r>
        <w:rPr>
          <w:rFonts w:hint="eastAsia" w:ascii="仿宋_GB2312" w:hAnsi="仿宋_GB2312" w:eastAsia="仿宋_GB2312" w:cs="仿宋_GB2312"/>
          <w:color w:val="auto"/>
          <w:spacing w:val="0"/>
          <w:kern w:val="0"/>
          <w:sz w:val="32"/>
          <w:szCs w:val="32"/>
          <w:highlight w:val="none"/>
        </w:rPr>
        <w:t>对群众反映强烈的恶臭异味等扰民问题加强排查整治。</w:t>
      </w:r>
      <w:r>
        <w:rPr>
          <w:rFonts w:hint="eastAsia" w:ascii="仿宋_GB2312" w:hAnsi="仿宋_GB2312" w:eastAsia="仿宋_GB2312" w:cs="仿宋_GB2312"/>
          <w:color w:val="auto"/>
          <w:spacing w:val="0"/>
          <w:kern w:val="0"/>
          <w:sz w:val="32"/>
          <w:szCs w:val="32"/>
          <w:highlight w:val="none"/>
          <w:lang w:eastAsia="zh-CN"/>
        </w:rPr>
        <w:t>（</w:t>
      </w:r>
      <w:r>
        <w:rPr>
          <w:rFonts w:hint="eastAsia" w:ascii="楷体_GB2312" w:hAnsi="楷体_GB2312" w:eastAsia="楷体_GB2312" w:cs="楷体_GB2312"/>
          <w:b w:val="0"/>
          <w:bCs w:val="0"/>
          <w:snapToGrid/>
          <w:color w:val="auto"/>
          <w:kern w:val="2"/>
          <w:sz w:val="32"/>
          <w:szCs w:val="32"/>
          <w:highlight w:val="none"/>
          <w:u w:val="none"/>
          <w:lang w:val="en-US" w:eastAsia="zh-CN" w:bidi="ar-SA"/>
        </w:rPr>
        <w:t>牵头单位：县农牧局负责粪污资源化利用、县生态环境分局负责规模化养殖废气的监管，配合单位：各镇人民政府</w:t>
      </w:r>
      <w:r>
        <w:rPr>
          <w:rFonts w:hint="eastAsia" w:ascii="仿宋_GB2312" w:hAnsi="仿宋_GB2312" w:eastAsia="仿宋_GB2312" w:cs="仿宋_GB2312"/>
          <w:b w:val="0"/>
          <w:bCs w:val="0"/>
          <w:snapToGrid/>
          <w:color w:val="auto"/>
          <w:kern w:val="2"/>
          <w:sz w:val="32"/>
          <w:szCs w:val="32"/>
          <w:highlight w:val="none"/>
          <w:u w:val="none"/>
          <w:lang w:val="en-US" w:eastAsia="zh-CN" w:bidi="ar-SA"/>
        </w:rPr>
        <w:t>）</w:t>
      </w:r>
    </w:p>
    <w:p w14:paraId="5F1730A3">
      <w:pPr>
        <w:pStyle w:val="2"/>
        <w:keepNext w:val="0"/>
        <w:keepLines w:val="0"/>
        <w:pageBreakBefore w:val="0"/>
        <w:widowControl w:val="0"/>
        <w:suppressLineNumbers w:val="0"/>
        <w:kinsoku/>
        <w:wordWrap w:val="0"/>
        <w:overflowPunct w:val="0"/>
        <w:topLinePunct/>
        <w:autoSpaceDE/>
        <w:autoSpaceDN/>
        <w:bidi w:val="0"/>
        <w:adjustRightInd w:val="0"/>
        <w:snapToGrid w:val="0"/>
        <w:spacing w:before="0" w:beforeAutospacing="0" w:line="578" w:lineRule="exact"/>
        <w:ind w:left="0" w:leftChars="0" w:right="0" w:firstLine="640" w:firstLineChars="200"/>
        <w:jc w:val="both"/>
        <w:textAlignment w:val="baseline"/>
        <w:rPr>
          <w:rFonts w:hint="eastAsia" w:ascii="仿宋_GB2312" w:hAnsi="仿宋_GB2312" w:eastAsia="仿宋_GB2312" w:cs="仿宋_GB2312"/>
          <w:b w:val="0"/>
          <w:bCs w:val="0"/>
          <w:snapToGrid/>
          <w:color w:val="auto"/>
          <w:kern w:val="2"/>
          <w:sz w:val="32"/>
          <w:szCs w:val="32"/>
          <w:highlight w:val="none"/>
          <w:u w:val="none"/>
          <w:lang w:val="en-US" w:eastAsia="zh-CN" w:bidi="ar-SA"/>
        </w:rPr>
      </w:pPr>
      <w:r>
        <w:rPr>
          <w:rFonts w:hint="eastAsia" w:ascii="楷体_GB2312" w:hAnsi="楷体_GB2312" w:eastAsia="楷体_GB2312" w:cs="楷体_GB2312"/>
          <w:b w:val="0"/>
          <w:bCs w:val="0"/>
          <w:snapToGrid/>
          <w:color w:val="auto"/>
          <w:kern w:val="2"/>
          <w:sz w:val="32"/>
          <w:szCs w:val="32"/>
          <w:highlight w:val="none"/>
          <w:u w:val="none"/>
          <w:lang w:val="en-US" w:eastAsia="zh-CN" w:bidi="ar-SA"/>
        </w:rPr>
        <w:t>（十一）加强农膜科学使用处置。</w:t>
      </w:r>
      <w:r>
        <w:rPr>
          <w:rFonts w:hint="eastAsia" w:ascii="仿宋_GB2312" w:hAnsi="仿宋_GB2312" w:eastAsia="仿宋_GB2312" w:cs="仿宋_GB2312"/>
          <w:color w:val="auto"/>
          <w:spacing w:val="0"/>
          <w:kern w:val="0"/>
          <w:sz w:val="32"/>
          <w:szCs w:val="32"/>
          <w:highlight w:val="none"/>
        </w:rPr>
        <w:t>加强农膜源头生产、市场交易、使用回收监管</w:t>
      </w:r>
      <w:r>
        <w:rPr>
          <w:rFonts w:hint="eastAsia" w:ascii="仿宋_GB2312" w:hAnsi="仿宋_GB2312" w:eastAsia="仿宋_GB2312" w:cs="仿宋_GB2312"/>
          <w:color w:val="auto"/>
          <w:spacing w:val="0"/>
          <w:kern w:val="0"/>
          <w:sz w:val="32"/>
          <w:szCs w:val="32"/>
          <w:highlight w:val="none"/>
          <w:lang w:eastAsia="zh-CN"/>
        </w:rPr>
        <w:t>，</w:t>
      </w:r>
      <w:r>
        <w:rPr>
          <w:rFonts w:hint="eastAsia" w:ascii="仿宋_GB2312" w:hAnsi="仿宋_GB2312" w:eastAsia="仿宋_GB2312" w:cs="仿宋_GB2312"/>
          <w:color w:val="auto"/>
          <w:spacing w:val="0"/>
          <w:kern w:val="0"/>
          <w:sz w:val="32"/>
          <w:szCs w:val="32"/>
          <w:highlight w:val="none"/>
        </w:rPr>
        <w:t>常态化开展联合执法检查</w:t>
      </w:r>
      <w:r>
        <w:rPr>
          <w:rFonts w:hint="eastAsia" w:ascii="仿宋_GB2312" w:hAnsi="仿宋_GB2312" w:eastAsia="仿宋_GB2312" w:cs="仿宋_GB2312"/>
          <w:color w:val="auto"/>
          <w:spacing w:val="0"/>
          <w:kern w:val="0"/>
          <w:sz w:val="32"/>
          <w:szCs w:val="32"/>
          <w:highlight w:val="none"/>
          <w:lang w:eastAsia="zh-CN"/>
        </w:rPr>
        <w:t>，</w:t>
      </w:r>
      <w:r>
        <w:rPr>
          <w:rFonts w:hint="eastAsia" w:ascii="仿宋_GB2312" w:hAnsi="仿宋_GB2312" w:eastAsia="仿宋_GB2312" w:cs="仿宋_GB2312"/>
          <w:color w:val="auto"/>
          <w:spacing w:val="0"/>
          <w:kern w:val="0"/>
          <w:sz w:val="32"/>
          <w:szCs w:val="32"/>
          <w:highlight w:val="none"/>
        </w:rPr>
        <w:t>依法严厉打击涉嫌非法制售伪劣农膜和非法处置废旧地膜等行为。</w:t>
      </w:r>
      <w:r>
        <w:rPr>
          <w:rFonts w:hint="eastAsia" w:ascii="仿宋_GB2312" w:hAnsi="仿宋_GB2312" w:eastAsia="仿宋_GB2312" w:cs="仿宋_GB2312"/>
          <w:b w:val="0"/>
          <w:bCs w:val="0"/>
          <w:color w:val="auto"/>
          <w:kern w:val="0"/>
          <w:sz w:val="32"/>
          <w:szCs w:val="32"/>
          <w:highlight w:val="none"/>
          <w:lang w:val="en-US" w:eastAsia="zh-CN" w:bidi="ar-SA"/>
        </w:rPr>
        <w:t>通过清理和回收利用来减少农膜污染，并依靠有利于回收利用的经济政策提高农膜回收利用率，</w:t>
      </w:r>
      <w:r>
        <w:rPr>
          <w:rFonts w:hint="eastAsia" w:ascii="仿宋_GB2312" w:hAnsi="仿宋_GB2312" w:eastAsia="仿宋_GB2312" w:cs="仿宋_GB2312"/>
          <w:color w:val="auto"/>
          <w:spacing w:val="0"/>
          <w:kern w:val="0"/>
          <w:sz w:val="32"/>
          <w:szCs w:val="32"/>
          <w:highlight w:val="none"/>
          <w:lang w:val="en-US" w:eastAsia="zh-CN"/>
        </w:rPr>
        <w:t>继续</w:t>
      </w:r>
      <w:r>
        <w:rPr>
          <w:rFonts w:hint="eastAsia" w:ascii="仿宋_GB2312" w:hAnsi="仿宋_GB2312" w:eastAsia="仿宋_GB2312" w:cs="仿宋_GB2312"/>
          <w:b w:val="0"/>
          <w:bCs w:val="0"/>
          <w:color w:val="auto"/>
          <w:kern w:val="0"/>
          <w:sz w:val="32"/>
          <w:szCs w:val="32"/>
          <w:highlight w:val="none"/>
          <w:lang w:val="en-US" w:eastAsia="zh-CN" w:bidi="ar-SA"/>
        </w:rPr>
        <w:t>推广使用高标准地膜，积极推广高强度加厚地膜、可降解地膜，</w:t>
      </w:r>
      <w:r>
        <w:rPr>
          <w:rFonts w:hint="eastAsia" w:ascii="仿宋_GB2312" w:hAnsi="仿宋_GB2312" w:eastAsia="仿宋_GB2312" w:cs="仿宋_GB2312"/>
          <w:color w:val="auto"/>
          <w:spacing w:val="0"/>
          <w:kern w:val="0"/>
          <w:sz w:val="32"/>
          <w:szCs w:val="32"/>
          <w:highlight w:val="none"/>
          <w:lang w:eastAsia="zh-CN"/>
        </w:rPr>
        <w:t>设置回收点</w:t>
      </w:r>
      <w:r>
        <w:rPr>
          <w:rFonts w:hint="eastAsia" w:ascii="仿宋_GB2312" w:hAnsi="仿宋_GB2312" w:eastAsia="仿宋_GB2312" w:cs="仿宋_GB2312"/>
          <w:color w:val="auto"/>
          <w:spacing w:val="0"/>
          <w:kern w:val="0"/>
          <w:sz w:val="32"/>
          <w:szCs w:val="32"/>
          <w:highlight w:val="none"/>
        </w:rPr>
        <w:t>加强</w:t>
      </w:r>
      <w:r>
        <w:rPr>
          <w:rFonts w:hint="eastAsia" w:ascii="仿宋_GB2312" w:hAnsi="仿宋_GB2312" w:eastAsia="仿宋_GB2312" w:cs="仿宋_GB2312"/>
          <w:color w:val="auto"/>
          <w:spacing w:val="0"/>
          <w:kern w:val="0"/>
          <w:sz w:val="32"/>
          <w:szCs w:val="32"/>
          <w:highlight w:val="none"/>
          <w:lang w:eastAsia="zh-CN"/>
        </w:rPr>
        <w:t>农膜</w:t>
      </w:r>
      <w:r>
        <w:rPr>
          <w:rFonts w:hint="eastAsia" w:ascii="仿宋_GB2312" w:hAnsi="仿宋_GB2312" w:eastAsia="仿宋_GB2312" w:cs="仿宋_GB2312"/>
          <w:color w:val="auto"/>
          <w:spacing w:val="0"/>
          <w:kern w:val="0"/>
          <w:sz w:val="32"/>
          <w:szCs w:val="32"/>
          <w:highlight w:val="none"/>
        </w:rPr>
        <w:t>收集</w:t>
      </w:r>
      <w:r>
        <w:rPr>
          <w:rFonts w:hint="eastAsia" w:ascii="仿宋_GB2312" w:hAnsi="仿宋_GB2312" w:eastAsia="仿宋_GB2312" w:cs="仿宋_GB2312"/>
          <w:color w:val="auto"/>
          <w:spacing w:val="0"/>
          <w:kern w:val="0"/>
          <w:sz w:val="32"/>
          <w:szCs w:val="32"/>
          <w:highlight w:val="none"/>
          <w:lang w:eastAsia="zh-CN"/>
        </w:rPr>
        <w:t>，</w:t>
      </w:r>
      <w:r>
        <w:rPr>
          <w:rFonts w:hint="eastAsia" w:ascii="仿宋_GB2312" w:hAnsi="仿宋_GB2312" w:eastAsia="仿宋_GB2312" w:cs="仿宋_GB2312"/>
          <w:color w:val="auto"/>
          <w:spacing w:val="0"/>
          <w:kern w:val="0"/>
          <w:sz w:val="32"/>
          <w:szCs w:val="32"/>
          <w:highlight w:val="none"/>
        </w:rPr>
        <w:t>开展地膜使用、回收情况统计。鼓励农村土地流转双方在签订土地经营权流转合同时</w:t>
      </w:r>
      <w:r>
        <w:rPr>
          <w:rFonts w:hint="eastAsia" w:ascii="仿宋_GB2312" w:hAnsi="仿宋_GB2312" w:eastAsia="仿宋_GB2312" w:cs="仿宋_GB2312"/>
          <w:color w:val="auto"/>
          <w:spacing w:val="0"/>
          <w:kern w:val="0"/>
          <w:sz w:val="32"/>
          <w:szCs w:val="32"/>
          <w:highlight w:val="none"/>
          <w:lang w:eastAsia="zh-CN"/>
        </w:rPr>
        <w:t>，</w:t>
      </w:r>
      <w:r>
        <w:rPr>
          <w:rFonts w:hint="eastAsia" w:ascii="仿宋_GB2312" w:hAnsi="仿宋_GB2312" w:eastAsia="仿宋_GB2312" w:cs="仿宋_GB2312"/>
          <w:color w:val="auto"/>
          <w:spacing w:val="0"/>
          <w:kern w:val="0"/>
          <w:sz w:val="32"/>
          <w:szCs w:val="32"/>
          <w:highlight w:val="none"/>
        </w:rPr>
        <w:t>对农用薄膜的回收作出约定。</w:t>
      </w:r>
      <w:r>
        <w:rPr>
          <w:rFonts w:hint="eastAsia" w:ascii="仿宋_GB2312" w:hAnsi="仿宋_GB2312" w:eastAsia="仿宋_GB2312" w:cs="仿宋_GB2312"/>
          <w:color w:val="auto"/>
          <w:spacing w:val="0"/>
          <w:kern w:val="0"/>
          <w:sz w:val="32"/>
          <w:szCs w:val="32"/>
          <w:highlight w:val="none"/>
          <w:lang w:eastAsia="zh-CN"/>
        </w:rPr>
        <w:t>（</w:t>
      </w:r>
      <w:r>
        <w:rPr>
          <w:rFonts w:hint="eastAsia" w:ascii="楷体_GB2312" w:hAnsi="楷体_GB2312" w:eastAsia="楷体_GB2312" w:cs="楷体_GB2312"/>
          <w:b w:val="0"/>
          <w:bCs w:val="0"/>
          <w:snapToGrid/>
          <w:color w:val="auto"/>
          <w:kern w:val="2"/>
          <w:sz w:val="32"/>
          <w:szCs w:val="32"/>
          <w:highlight w:val="none"/>
          <w:u w:val="none"/>
          <w:lang w:val="en-US" w:eastAsia="zh-CN" w:bidi="ar-SA"/>
        </w:rPr>
        <w:t>牵头单位：县农牧局，配合单位：各镇人民政府、县市场监督管理局</w:t>
      </w:r>
      <w:r>
        <w:rPr>
          <w:rFonts w:hint="eastAsia" w:ascii="仿宋_GB2312" w:hAnsi="仿宋_GB2312" w:eastAsia="仿宋_GB2312" w:cs="仿宋_GB2312"/>
          <w:b w:val="0"/>
          <w:bCs w:val="0"/>
          <w:snapToGrid/>
          <w:color w:val="auto"/>
          <w:kern w:val="2"/>
          <w:sz w:val="32"/>
          <w:szCs w:val="32"/>
          <w:highlight w:val="none"/>
          <w:u w:val="none"/>
          <w:lang w:val="en-US" w:eastAsia="zh-CN" w:bidi="ar-SA"/>
        </w:rPr>
        <w:t>）</w:t>
      </w:r>
    </w:p>
    <w:p w14:paraId="46F1502F">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b w:val="0"/>
          <w:bCs w:val="0"/>
          <w:snapToGrid/>
          <w:color w:val="auto"/>
          <w:kern w:val="2"/>
          <w:sz w:val="32"/>
          <w:szCs w:val="32"/>
          <w:highlight w:val="none"/>
          <w:u w:val="none"/>
          <w:lang w:val="en-US" w:eastAsia="zh-CN" w:bidi="ar-SA"/>
        </w:rPr>
      </w:pPr>
      <w:r>
        <w:rPr>
          <w:rFonts w:hint="eastAsia" w:ascii="楷体_GB2312" w:hAnsi="楷体_GB2312" w:eastAsia="楷体_GB2312" w:cs="楷体_GB2312"/>
          <w:b w:val="0"/>
          <w:bCs w:val="0"/>
          <w:snapToGrid/>
          <w:color w:val="auto"/>
          <w:kern w:val="2"/>
          <w:sz w:val="32"/>
          <w:szCs w:val="32"/>
          <w:highlight w:val="none"/>
          <w:u w:val="none"/>
          <w:lang w:val="en-US" w:eastAsia="zh-CN" w:bidi="ar-SA"/>
        </w:rPr>
        <w:t>（十二）加强秸秆综合利用和有效管控。</w:t>
      </w:r>
      <w:r>
        <w:rPr>
          <w:rFonts w:hint="eastAsia" w:ascii="仿宋_GB2312" w:hAnsi="仿宋_GB2312" w:eastAsia="仿宋_GB2312" w:cs="仿宋_GB2312"/>
          <w:color w:val="auto"/>
          <w:spacing w:val="0"/>
          <w:kern w:val="0"/>
          <w:sz w:val="32"/>
          <w:szCs w:val="32"/>
          <w:highlight w:val="none"/>
        </w:rPr>
        <w:t>多渠道拓宽秸秆综合利用途径</w:t>
      </w:r>
      <w:r>
        <w:rPr>
          <w:rFonts w:hint="eastAsia" w:ascii="仿宋_GB2312" w:hAnsi="仿宋_GB2312" w:eastAsia="仿宋_GB2312" w:cs="仿宋_GB2312"/>
          <w:color w:val="auto"/>
          <w:spacing w:val="0"/>
          <w:kern w:val="0"/>
          <w:sz w:val="32"/>
          <w:szCs w:val="32"/>
          <w:highlight w:val="none"/>
          <w:lang w:eastAsia="zh-CN"/>
        </w:rPr>
        <w:t>，</w:t>
      </w:r>
      <w:r>
        <w:rPr>
          <w:rFonts w:hint="eastAsia" w:ascii="仿宋_GB2312" w:hAnsi="仿宋_GB2312" w:eastAsia="仿宋_GB2312" w:cs="仿宋_GB2312"/>
          <w:color w:val="auto"/>
          <w:spacing w:val="0"/>
          <w:kern w:val="0"/>
          <w:sz w:val="32"/>
          <w:szCs w:val="32"/>
          <w:highlight w:val="none"/>
        </w:rPr>
        <w:t>提高秸秆还田科学化、标准化、规范化水平。支持以秸秆饲料化、肥料化为重点的五料化利用。</w:t>
      </w:r>
      <w:r>
        <w:rPr>
          <w:rFonts w:hint="eastAsia" w:ascii="仿宋_GB2312" w:hAnsi="仿宋_GB2312" w:eastAsia="仿宋_GB2312" w:cs="仿宋_GB2312"/>
          <w:b w:val="0"/>
          <w:bCs w:val="0"/>
          <w:color w:val="auto"/>
          <w:kern w:val="0"/>
          <w:sz w:val="32"/>
          <w:szCs w:val="32"/>
          <w:highlight w:val="none"/>
          <w:lang w:val="en-US" w:eastAsia="zh-CN" w:bidi="ar-SA"/>
        </w:rPr>
        <w:t>通过机械化秸秆还田、离田、过腹还田等用于生物降解材料等措施综合利用提高农作物秸秆整体综合利用率。加大秸秆禁烧巡查管控力度，</w:t>
      </w:r>
      <w:r>
        <w:rPr>
          <w:rFonts w:hint="eastAsia" w:ascii="仿宋_GB2312" w:hAnsi="仿宋_GB2312" w:eastAsia="仿宋_GB2312" w:cs="仿宋_GB2312"/>
          <w:color w:val="auto"/>
          <w:spacing w:val="0"/>
          <w:kern w:val="0"/>
          <w:sz w:val="32"/>
          <w:szCs w:val="32"/>
          <w:highlight w:val="none"/>
        </w:rPr>
        <w:t>严防因秸秆集中焚烧引发重污染天气</w:t>
      </w:r>
      <w:r>
        <w:rPr>
          <w:rFonts w:hint="eastAsia" w:ascii="仿宋_GB2312" w:hAnsi="仿宋_GB2312" w:eastAsia="仿宋_GB2312" w:cs="仿宋_GB2312"/>
          <w:color w:val="auto"/>
          <w:spacing w:val="0"/>
          <w:kern w:val="0"/>
          <w:position w:val="1"/>
          <w:sz w:val="32"/>
          <w:szCs w:val="32"/>
          <w:highlight w:val="none"/>
        </w:rPr>
        <w:t>。</w:t>
      </w:r>
      <w:r>
        <w:rPr>
          <w:rFonts w:hint="eastAsia" w:ascii="仿宋_GB2312" w:hAnsi="仿宋_GB2312" w:eastAsia="仿宋_GB2312" w:cs="仿宋_GB2312"/>
          <w:color w:val="auto"/>
          <w:spacing w:val="0"/>
          <w:kern w:val="0"/>
          <w:sz w:val="32"/>
          <w:szCs w:val="32"/>
          <w:highlight w:val="none"/>
        </w:rPr>
        <w:t>到</w:t>
      </w:r>
      <w:r>
        <w:rPr>
          <w:rFonts w:hint="eastAsia" w:ascii="仿宋_GB2312" w:hAnsi="仿宋_GB2312" w:eastAsia="仿宋_GB2312" w:cs="仿宋_GB2312"/>
          <w:color w:val="auto"/>
          <w:spacing w:val="0"/>
          <w:kern w:val="0"/>
          <w:position w:val="0"/>
          <w:sz w:val="32"/>
          <w:szCs w:val="32"/>
          <w:highlight w:val="none"/>
        </w:rPr>
        <w:t>202</w:t>
      </w:r>
      <w:r>
        <w:rPr>
          <w:rFonts w:hint="eastAsia" w:ascii="仿宋_GB2312" w:hAnsi="仿宋_GB2312" w:eastAsia="仿宋_GB2312" w:cs="仿宋_GB2312"/>
          <w:color w:val="auto"/>
          <w:spacing w:val="0"/>
          <w:kern w:val="0"/>
          <w:position w:val="0"/>
          <w:sz w:val="32"/>
          <w:szCs w:val="32"/>
          <w:highlight w:val="none"/>
          <w:lang w:val="en-US" w:eastAsia="zh-CN"/>
        </w:rPr>
        <w:t>6</w:t>
      </w:r>
      <w:r>
        <w:rPr>
          <w:rFonts w:hint="eastAsia" w:ascii="仿宋_GB2312" w:hAnsi="仿宋_GB2312" w:eastAsia="仿宋_GB2312" w:cs="仿宋_GB2312"/>
          <w:color w:val="auto"/>
          <w:spacing w:val="0"/>
          <w:kern w:val="0"/>
          <w:sz w:val="32"/>
          <w:szCs w:val="32"/>
          <w:highlight w:val="none"/>
        </w:rPr>
        <w:t>年</w:t>
      </w:r>
      <w:r>
        <w:rPr>
          <w:rFonts w:hint="eastAsia" w:ascii="仿宋_GB2312" w:hAnsi="仿宋_GB2312" w:eastAsia="仿宋_GB2312" w:cs="仿宋_GB2312"/>
          <w:color w:val="auto"/>
          <w:spacing w:val="0"/>
          <w:kern w:val="0"/>
          <w:sz w:val="32"/>
          <w:szCs w:val="32"/>
          <w:highlight w:val="none"/>
          <w:lang w:eastAsia="zh-CN"/>
        </w:rPr>
        <w:t>底，</w:t>
      </w:r>
      <w:r>
        <w:rPr>
          <w:rFonts w:hint="eastAsia" w:ascii="仿宋_GB2312" w:hAnsi="仿宋_GB2312" w:eastAsia="仿宋_GB2312" w:cs="仿宋_GB2312"/>
          <w:color w:val="auto"/>
          <w:spacing w:val="0"/>
          <w:kern w:val="0"/>
          <w:sz w:val="32"/>
          <w:szCs w:val="32"/>
          <w:highlight w:val="none"/>
        </w:rPr>
        <w:t>全</w:t>
      </w:r>
      <w:r>
        <w:rPr>
          <w:rFonts w:hint="eastAsia" w:ascii="仿宋_GB2312" w:hAnsi="仿宋_GB2312" w:eastAsia="仿宋_GB2312" w:cs="仿宋_GB2312"/>
          <w:color w:val="auto"/>
          <w:spacing w:val="0"/>
          <w:kern w:val="0"/>
          <w:sz w:val="32"/>
          <w:szCs w:val="32"/>
          <w:highlight w:val="none"/>
          <w:lang w:val="en-US" w:eastAsia="zh-CN"/>
        </w:rPr>
        <w:t>县</w:t>
      </w:r>
      <w:r>
        <w:rPr>
          <w:rFonts w:hint="eastAsia" w:ascii="仿宋_GB2312" w:hAnsi="仿宋_GB2312" w:eastAsia="仿宋_GB2312" w:cs="仿宋_GB2312"/>
          <w:color w:val="auto"/>
          <w:spacing w:val="0"/>
          <w:kern w:val="0"/>
          <w:sz w:val="32"/>
          <w:szCs w:val="32"/>
          <w:highlight w:val="none"/>
        </w:rPr>
        <w:t>秸秆综合利用率不低于</w:t>
      </w:r>
      <w:r>
        <w:rPr>
          <w:rFonts w:hint="eastAsia" w:ascii="仿宋_GB2312" w:hAnsi="仿宋_GB2312" w:eastAsia="仿宋_GB2312" w:cs="仿宋_GB2312"/>
          <w:color w:val="auto"/>
          <w:spacing w:val="0"/>
          <w:kern w:val="0"/>
          <w:sz w:val="32"/>
          <w:szCs w:val="32"/>
          <w:highlight w:val="none"/>
          <w:lang w:val="en-US" w:eastAsia="zh-CN"/>
        </w:rPr>
        <w:t>90</w:t>
      </w:r>
      <w:r>
        <w:rPr>
          <w:rFonts w:hint="eastAsia" w:ascii="仿宋_GB2312" w:hAnsi="仿宋_GB2312" w:eastAsia="仿宋_GB2312" w:cs="仿宋_GB2312"/>
          <w:color w:val="auto"/>
          <w:spacing w:val="0"/>
          <w:kern w:val="0"/>
          <w:position w:val="0"/>
          <w:sz w:val="32"/>
          <w:szCs w:val="32"/>
          <w:highlight w:val="none"/>
          <w:lang w:val="en-US" w:eastAsia="zh-CN"/>
        </w:rPr>
        <w:t>%，基本消除</w:t>
      </w:r>
      <w:r>
        <w:rPr>
          <w:rFonts w:hint="eastAsia" w:ascii="仿宋_GB2312" w:hAnsi="仿宋_GB2312" w:eastAsia="仿宋_GB2312" w:cs="仿宋_GB2312"/>
          <w:color w:val="auto"/>
          <w:spacing w:val="0"/>
          <w:kern w:val="0"/>
          <w:sz w:val="32"/>
          <w:szCs w:val="32"/>
          <w:highlight w:val="none"/>
        </w:rPr>
        <w:t>因秸秆集中焚烧引发重污染天气</w:t>
      </w:r>
      <w:r>
        <w:rPr>
          <w:rFonts w:hint="eastAsia" w:ascii="仿宋_GB2312" w:hAnsi="仿宋_GB2312" w:eastAsia="仿宋_GB2312" w:cs="仿宋_GB2312"/>
          <w:color w:val="auto"/>
          <w:spacing w:val="0"/>
          <w:kern w:val="0"/>
          <w:position w:val="1"/>
          <w:sz w:val="32"/>
          <w:szCs w:val="32"/>
          <w:highlight w:val="none"/>
        </w:rPr>
        <w:t>。</w:t>
      </w:r>
      <w:r>
        <w:rPr>
          <w:rFonts w:hint="eastAsia" w:ascii="仿宋_GB2312" w:hAnsi="仿宋_GB2312" w:eastAsia="仿宋_GB2312" w:cs="仿宋_GB2312"/>
          <w:color w:val="auto"/>
          <w:spacing w:val="0"/>
          <w:kern w:val="0"/>
          <w:position w:val="1"/>
          <w:sz w:val="32"/>
          <w:szCs w:val="32"/>
          <w:highlight w:val="none"/>
          <w:lang w:eastAsia="zh-CN"/>
        </w:rPr>
        <w:t>（</w:t>
      </w:r>
      <w:r>
        <w:rPr>
          <w:rFonts w:hint="eastAsia" w:ascii="楷体_GB2312" w:hAnsi="楷体_GB2312" w:eastAsia="楷体_GB2312" w:cs="楷体_GB2312"/>
          <w:b w:val="0"/>
          <w:bCs w:val="0"/>
          <w:snapToGrid/>
          <w:color w:val="auto"/>
          <w:kern w:val="2"/>
          <w:sz w:val="32"/>
          <w:szCs w:val="32"/>
          <w:highlight w:val="none"/>
          <w:u w:val="none"/>
          <w:lang w:val="en-US" w:eastAsia="zh-CN" w:bidi="ar-SA"/>
        </w:rPr>
        <w:t>牵头单位：县农牧局，配合单位：县生态环境分局、各镇人民政府</w:t>
      </w:r>
      <w:r>
        <w:rPr>
          <w:rFonts w:hint="eastAsia" w:ascii="仿宋_GB2312" w:hAnsi="仿宋_GB2312" w:eastAsia="仿宋_GB2312" w:cs="仿宋_GB2312"/>
          <w:b w:val="0"/>
          <w:bCs w:val="0"/>
          <w:snapToGrid/>
          <w:color w:val="auto"/>
          <w:kern w:val="2"/>
          <w:sz w:val="32"/>
          <w:szCs w:val="32"/>
          <w:highlight w:val="none"/>
          <w:u w:val="none"/>
          <w:lang w:val="en-US" w:eastAsia="zh-CN" w:bidi="ar-SA"/>
        </w:rPr>
        <w:t>）</w:t>
      </w:r>
    </w:p>
    <w:p w14:paraId="423B1088">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b w:val="0"/>
          <w:bCs w:val="0"/>
          <w:snapToGrid/>
          <w:color w:val="auto"/>
          <w:kern w:val="2"/>
          <w:sz w:val="32"/>
          <w:szCs w:val="32"/>
          <w:highlight w:val="none"/>
          <w:u w:val="none"/>
          <w:lang w:val="en-US" w:eastAsia="zh-CN" w:bidi="ar-SA"/>
        </w:rPr>
      </w:pPr>
      <w:r>
        <w:rPr>
          <w:rFonts w:hint="eastAsia" w:ascii="楷体_GB2312" w:hAnsi="楷体_GB2312" w:eastAsia="楷体_GB2312" w:cs="楷体_GB2312"/>
          <w:b w:val="0"/>
          <w:bCs w:val="0"/>
          <w:snapToGrid/>
          <w:color w:val="auto"/>
          <w:kern w:val="2"/>
          <w:sz w:val="32"/>
          <w:szCs w:val="32"/>
          <w:highlight w:val="none"/>
          <w:u w:val="none"/>
          <w:lang w:val="en-US" w:eastAsia="zh-CN" w:bidi="ar-SA"/>
        </w:rPr>
        <w:t>（十三）加强重点区域系统治理。</w:t>
      </w:r>
      <w:r>
        <w:rPr>
          <w:rFonts w:hint="eastAsia" w:ascii="仿宋_GB2312" w:hAnsi="仿宋_GB2312" w:eastAsia="仿宋_GB2312" w:cs="仿宋_GB2312"/>
          <w:b w:val="0"/>
          <w:bCs w:val="0"/>
          <w:snapToGrid/>
          <w:color w:val="auto"/>
          <w:kern w:val="0"/>
          <w:sz w:val="32"/>
          <w:szCs w:val="32"/>
          <w:highlight w:val="none"/>
          <w:u w:val="none"/>
          <w:lang w:val="en-US" w:eastAsia="zh-CN" w:bidi="ar-SA"/>
        </w:rPr>
        <w:t>加大</w:t>
      </w:r>
      <w:r>
        <w:rPr>
          <w:rFonts w:hint="eastAsia" w:ascii="仿宋_GB2312" w:hAnsi="仿宋_GB2312" w:eastAsia="仿宋_GB2312" w:cs="仿宋_GB2312"/>
          <w:b w:val="0"/>
          <w:bCs w:val="0"/>
          <w:snapToGrid/>
          <w:color w:val="auto"/>
          <w:kern w:val="0"/>
          <w:sz w:val="32"/>
          <w:szCs w:val="32"/>
          <w:highlight w:val="none"/>
          <w:lang w:val="en-US" w:eastAsia="zh-CN" w:bidi="ar-SA"/>
        </w:rPr>
        <w:t>农业面源污染管控措施，鼓励农药使用者妥善收集农药包装物等废弃物;农药生产企业、农药经营者应当回收农药废弃物，结合当前农村人居环境整治等政策，防止农药污染环境和农药中毒事故的发生，加大对农药包装废弃物管理处理力度</w:t>
      </w:r>
      <w:r>
        <w:rPr>
          <w:rFonts w:hint="eastAsia" w:ascii="仿宋_GB2312" w:hAnsi="仿宋_GB2312" w:eastAsia="仿宋_GB2312" w:cs="仿宋_GB2312"/>
          <w:b w:val="0"/>
          <w:bCs w:val="0"/>
          <w:color w:val="auto"/>
          <w:kern w:val="0"/>
          <w:sz w:val="32"/>
          <w:szCs w:val="32"/>
          <w:highlight w:val="none"/>
          <w:lang w:val="en-US" w:eastAsia="zh-CN" w:bidi="ar-SA"/>
        </w:rPr>
        <w:t>。</w:t>
      </w:r>
      <w:r>
        <w:rPr>
          <w:rFonts w:hint="eastAsia" w:ascii="仿宋_GB2312" w:hAnsi="仿宋_GB2312" w:eastAsia="仿宋_GB2312" w:cs="仿宋_GB2312"/>
          <w:b w:val="0"/>
          <w:bCs w:val="0"/>
          <w:snapToGrid/>
          <w:color w:val="auto"/>
          <w:kern w:val="0"/>
          <w:sz w:val="32"/>
          <w:szCs w:val="32"/>
          <w:highlight w:val="none"/>
          <w:lang w:val="en-US" w:eastAsia="zh-CN" w:bidi="ar-SA"/>
        </w:rPr>
        <w:t>到2026年底，农药包装废弃物回收率达到80%以上。强化新型高效肥料产品示范推广力度，为农民推荐优质高效新型肥料。提升基层农技人员业务水平和农民科学施肥能力。到2027年，全县主要作物测土配方施肥技术覆盖率稳定在90%以上。（</w:t>
      </w:r>
      <w:r>
        <w:rPr>
          <w:rFonts w:hint="eastAsia" w:ascii="楷体_GB2312" w:hAnsi="楷体_GB2312" w:eastAsia="楷体_GB2312" w:cs="楷体_GB2312"/>
          <w:b w:val="0"/>
          <w:bCs w:val="0"/>
          <w:snapToGrid/>
          <w:color w:val="auto"/>
          <w:kern w:val="0"/>
          <w:sz w:val="32"/>
          <w:szCs w:val="32"/>
          <w:highlight w:val="none"/>
          <w:lang w:val="en-US" w:eastAsia="zh-CN" w:bidi="ar-SA"/>
        </w:rPr>
        <w:t>牵头单位：县农牧局，配合单位：县生态环境分局、县市场监督管理局、各镇人民政府</w:t>
      </w:r>
      <w:r>
        <w:rPr>
          <w:rFonts w:hint="eastAsia" w:ascii="仿宋_GB2312" w:hAnsi="仿宋_GB2312" w:eastAsia="仿宋_GB2312" w:cs="仿宋_GB2312"/>
          <w:b w:val="0"/>
          <w:bCs w:val="0"/>
          <w:snapToGrid/>
          <w:color w:val="auto"/>
          <w:kern w:val="0"/>
          <w:sz w:val="32"/>
          <w:szCs w:val="32"/>
          <w:highlight w:val="none"/>
          <w:lang w:val="en-US" w:eastAsia="zh-CN" w:bidi="ar-SA"/>
        </w:rPr>
        <w:t>）</w:t>
      </w:r>
    </w:p>
    <w:p w14:paraId="140198C9">
      <w:pPr>
        <w:pStyle w:val="2"/>
        <w:keepNext w:val="0"/>
        <w:keepLines w:val="0"/>
        <w:pageBreakBefore w:val="0"/>
        <w:widowControl w:val="0"/>
        <w:suppressLineNumbers w:val="0"/>
        <w:kinsoku/>
        <w:wordWrap w:val="0"/>
        <w:overflowPunct w:val="0"/>
        <w:topLinePunct/>
        <w:autoSpaceDE/>
        <w:autoSpaceDN/>
        <w:bidi w:val="0"/>
        <w:adjustRightInd w:val="0"/>
        <w:snapToGrid w:val="0"/>
        <w:spacing w:before="0" w:beforeAutospacing="0" w:line="578" w:lineRule="exact"/>
        <w:ind w:left="0" w:leftChars="0" w:right="0" w:firstLine="640" w:firstLineChars="200"/>
        <w:jc w:val="both"/>
        <w:textAlignment w:val="baseline"/>
        <w:rPr>
          <w:rFonts w:hint="eastAsia" w:ascii="仿宋_GB2312" w:hAnsi="仿宋_GB2312" w:eastAsia="仿宋_GB2312" w:cs="仿宋_GB2312"/>
          <w:b w:val="0"/>
          <w:bCs w:val="0"/>
          <w:snapToGrid/>
          <w:color w:val="auto"/>
          <w:kern w:val="2"/>
          <w:sz w:val="32"/>
          <w:szCs w:val="32"/>
          <w:highlight w:val="none"/>
          <w:u w:val="none"/>
          <w:lang w:val="en-US" w:eastAsia="zh-CN" w:bidi="ar-SA"/>
        </w:rPr>
      </w:pPr>
      <w:r>
        <w:rPr>
          <w:rFonts w:hint="eastAsia" w:ascii="楷体_GB2312" w:hAnsi="楷体_GB2312" w:eastAsia="楷体_GB2312" w:cs="楷体_GB2312"/>
          <w:b w:val="0"/>
          <w:bCs w:val="0"/>
          <w:snapToGrid/>
          <w:color w:val="auto"/>
          <w:kern w:val="0"/>
          <w:sz w:val="32"/>
          <w:szCs w:val="32"/>
          <w:highlight w:val="none"/>
          <w:lang w:val="en-US" w:eastAsia="zh-CN" w:bidi="ar-SA"/>
        </w:rPr>
        <w:t>（十四）扎实推进农村牧区厕所革命。</w:t>
      </w:r>
      <w:r>
        <w:rPr>
          <w:rFonts w:hint="eastAsia" w:ascii="仿宋_GB2312" w:hAnsi="仿宋_GB2312" w:eastAsia="仿宋_GB2312" w:cs="仿宋_GB2312"/>
          <w:b w:val="0"/>
          <w:bCs w:val="0"/>
          <w:snapToGrid/>
          <w:color w:val="auto"/>
          <w:kern w:val="0"/>
          <w:sz w:val="32"/>
          <w:szCs w:val="32"/>
          <w:highlight w:val="none"/>
          <w:lang w:val="en-US" w:eastAsia="zh-CN" w:bidi="ar-SA"/>
        </w:rPr>
        <w:t>因地制宜选择技术模式，因村施策、因户建设，宜水则水、宜旱则旱，稳步推进卫生户厕改造，合理安排建设数量和时序。鼓励推广节水型、少水型设施设备。积极推进厕所粪污就地就近进行无害化消纳、资源化利用。加强农村厕所改造与生活污水治理有机衔接，推动厕污协同治理，探索推进厕所粪污和生活污水一体化规划布局、一体化施工建设、一体化管护利用处理模式。建立健全日常巡检、维修清掏、资源化利用等长效管护机制，推进农村改厕建管用闭环管理，推动实现改好用好管好。</w:t>
      </w:r>
      <w:r>
        <w:rPr>
          <w:rFonts w:hint="eastAsia" w:ascii="仿宋_GB2312" w:hAnsi="仿宋_GB2312" w:eastAsia="仿宋_GB2312" w:cs="仿宋_GB2312"/>
          <w:color w:val="auto"/>
          <w:spacing w:val="0"/>
          <w:kern w:val="0"/>
          <w:sz w:val="32"/>
          <w:szCs w:val="32"/>
          <w:highlight w:val="none"/>
          <w:lang w:eastAsia="zh-CN"/>
        </w:rPr>
        <w:t>（</w:t>
      </w:r>
      <w:r>
        <w:rPr>
          <w:rFonts w:hint="eastAsia" w:ascii="楷体_GB2312" w:hAnsi="楷体_GB2312" w:eastAsia="楷体_GB2312" w:cs="楷体_GB2312"/>
          <w:b w:val="0"/>
          <w:bCs w:val="0"/>
          <w:snapToGrid/>
          <w:color w:val="auto"/>
          <w:kern w:val="2"/>
          <w:sz w:val="32"/>
          <w:szCs w:val="32"/>
          <w:highlight w:val="none"/>
          <w:u w:val="none"/>
          <w:lang w:val="en-US" w:eastAsia="zh-CN" w:bidi="ar-SA"/>
        </w:rPr>
        <w:t>牵头单位：县农牧局，配合单位：各镇人民政府</w:t>
      </w:r>
      <w:r>
        <w:rPr>
          <w:rFonts w:hint="eastAsia" w:ascii="仿宋_GB2312" w:hAnsi="仿宋_GB2312" w:eastAsia="仿宋_GB2312" w:cs="仿宋_GB2312"/>
          <w:b w:val="0"/>
          <w:bCs w:val="0"/>
          <w:snapToGrid/>
          <w:color w:val="auto"/>
          <w:kern w:val="2"/>
          <w:sz w:val="32"/>
          <w:szCs w:val="32"/>
          <w:highlight w:val="none"/>
          <w:u w:val="none"/>
          <w:lang w:val="en-US" w:eastAsia="zh-CN" w:bidi="ar-SA"/>
        </w:rPr>
        <w:t>）</w:t>
      </w:r>
    </w:p>
    <w:p w14:paraId="12F9FE22">
      <w:pPr>
        <w:keepNext w:val="0"/>
        <w:keepLines w:val="0"/>
        <w:pageBreakBefore w:val="0"/>
        <w:widowControl w:val="0"/>
        <w:kinsoku/>
        <w:wordWrap/>
        <w:overflowPunct/>
        <w:topLinePunct/>
        <w:autoSpaceDE/>
        <w:autoSpaceDN/>
        <w:bidi w:val="0"/>
        <w:adjustRightInd w:val="0"/>
        <w:snapToGrid w:val="0"/>
        <w:spacing w:line="578" w:lineRule="exact"/>
        <w:ind w:left="0" w:leftChars="0" w:right="0" w:rightChars="0" w:firstLine="640" w:firstLineChars="200"/>
        <w:jc w:val="both"/>
        <w:textAlignment w:val="baseline"/>
        <w:rPr>
          <w:rFonts w:hint="eastAsia" w:ascii="仿宋_GB2312" w:hAnsi="仿宋_GB2312" w:eastAsia="仿宋_GB2312" w:cs="仿宋_GB2312"/>
          <w:b/>
          <w:bCs/>
          <w:snapToGrid/>
          <w:color w:val="auto"/>
          <w:kern w:val="2"/>
          <w:sz w:val="32"/>
          <w:szCs w:val="32"/>
          <w:highlight w:val="none"/>
          <w:u w:val="none"/>
          <w:lang w:val="en-US" w:eastAsia="zh-CN" w:bidi="ar-SA"/>
        </w:rPr>
      </w:pPr>
      <w:r>
        <w:rPr>
          <w:rFonts w:hint="eastAsia" w:ascii="楷体_GB2312" w:hAnsi="楷体_GB2312" w:eastAsia="楷体_GB2312" w:cs="楷体_GB2312"/>
          <w:b w:val="0"/>
          <w:bCs w:val="0"/>
          <w:snapToGrid/>
          <w:color w:val="auto"/>
          <w:kern w:val="0"/>
          <w:sz w:val="32"/>
          <w:szCs w:val="32"/>
          <w:highlight w:val="none"/>
          <w:lang w:val="en-US" w:eastAsia="zh-CN" w:bidi="ar-SA"/>
        </w:rPr>
        <w:t>（十五）大力推进农村地区清洁能源替代</w:t>
      </w:r>
      <w:r>
        <w:rPr>
          <w:rFonts w:hint="eastAsia" w:ascii="仿宋_GB2312" w:hAnsi="仿宋_GB2312" w:eastAsia="仿宋_GB2312" w:cs="仿宋_GB2312"/>
          <w:b w:val="0"/>
          <w:bCs w:val="0"/>
          <w:snapToGrid/>
          <w:color w:val="auto"/>
          <w:kern w:val="0"/>
          <w:sz w:val="32"/>
          <w:szCs w:val="32"/>
          <w:highlight w:val="none"/>
          <w:lang w:val="en-US" w:eastAsia="zh-CN" w:bidi="ar-SA"/>
        </w:rPr>
        <w:t>。加强</w:t>
      </w:r>
      <w:r>
        <w:rPr>
          <w:rFonts w:hint="eastAsia" w:ascii="仿宋_GB2312" w:hAnsi="仿宋_GB2312" w:eastAsia="仿宋_GB2312" w:cs="仿宋_GB2312"/>
          <w:color w:val="auto"/>
          <w:kern w:val="0"/>
          <w:sz w:val="32"/>
          <w:szCs w:val="32"/>
          <w:highlight w:val="none"/>
          <w:lang w:eastAsia="zh-CN"/>
        </w:rPr>
        <w:t>清洁能源替代宣传工作</w:t>
      </w:r>
      <w:r>
        <w:rPr>
          <w:rFonts w:hint="eastAsia" w:ascii="仿宋_GB2312" w:hAnsi="仿宋_GB2312" w:eastAsia="仿宋_GB2312" w:cs="仿宋_GB2312"/>
          <w:color w:val="auto"/>
          <w:kern w:val="0"/>
          <w:sz w:val="32"/>
          <w:szCs w:val="32"/>
          <w:highlight w:val="none"/>
        </w:rPr>
        <w:t>，做好电源保障工作，防止农村散煤复烧。积极推广生物质能、太阳能等绿色用能模式，加快农牧业设施等清洁能源替代。（</w:t>
      </w:r>
      <w:r>
        <w:rPr>
          <w:rFonts w:hint="eastAsia" w:ascii="楷体_GB2312" w:hAnsi="楷体_GB2312" w:eastAsia="楷体_GB2312" w:cs="楷体_GB2312"/>
          <w:color w:val="auto"/>
          <w:kern w:val="0"/>
          <w:sz w:val="32"/>
          <w:szCs w:val="32"/>
          <w:highlight w:val="none"/>
          <w:lang w:eastAsia="zh-CN"/>
        </w:rPr>
        <w:t>牵头单位</w:t>
      </w:r>
      <w:r>
        <w:rPr>
          <w:rFonts w:hint="eastAsia" w:ascii="楷体_GB2312" w:hAnsi="楷体_GB2312" w:eastAsia="楷体_GB2312" w:cs="楷体_GB2312"/>
          <w:color w:val="auto"/>
          <w:kern w:val="0"/>
          <w:sz w:val="32"/>
          <w:szCs w:val="32"/>
          <w:highlight w:val="none"/>
        </w:rPr>
        <w:t>：</w:t>
      </w:r>
      <w:r>
        <w:rPr>
          <w:rFonts w:hint="eastAsia" w:ascii="楷体_GB2312" w:hAnsi="楷体_GB2312" w:eastAsia="楷体_GB2312" w:cs="楷体_GB2312"/>
          <w:color w:val="auto"/>
          <w:kern w:val="0"/>
          <w:sz w:val="32"/>
          <w:szCs w:val="32"/>
          <w:highlight w:val="none"/>
          <w:lang w:eastAsia="zh-CN"/>
        </w:rPr>
        <w:t>县</w:t>
      </w:r>
      <w:r>
        <w:rPr>
          <w:rFonts w:hint="eastAsia" w:ascii="楷体_GB2312" w:hAnsi="楷体_GB2312" w:eastAsia="楷体_GB2312" w:cs="楷体_GB2312"/>
          <w:color w:val="auto"/>
          <w:kern w:val="0"/>
          <w:sz w:val="32"/>
          <w:szCs w:val="32"/>
          <w:highlight w:val="none"/>
        </w:rPr>
        <w:t>发改委，</w:t>
      </w:r>
      <w:r>
        <w:rPr>
          <w:rFonts w:hint="eastAsia" w:ascii="楷体_GB2312" w:hAnsi="楷体_GB2312" w:eastAsia="楷体_GB2312" w:cs="楷体_GB2312"/>
          <w:color w:val="auto"/>
          <w:kern w:val="0"/>
          <w:sz w:val="32"/>
          <w:szCs w:val="32"/>
          <w:highlight w:val="none"/>
          <w:lang w:eastAsia="zh-CN"/>
        </w:rPr>
        <w:t>配合单位</w:t>
      </w:r>
      <w:r>
        <w:rPr>
          <w:rFonts w:hint="eastAsia" w:ascii="楷体_GB2312" w:hAnsi="楷体_GB2312" w:eastAsia="楷体_GB2312" w:cs="楷体_GB2312"/>
          <w:color w:val="auto"/>
          <w:kern w:val="0"/>
          <w:sz w:val="32"/>
          <w:szCs w:val="32"/>
          <w:highlight w:val="none"/>
        </w:rPr>
        <w:t>：</w:t>
      </w:r>
      <w:r>
        <w:rPr>
          <w:rFonts w:hint="eastAsia" w:ascii="楷体_GB2312" w:hAnsi="楷体_GB2312" w:eastAsia="楷体_GB2312" w:cs="楷体_GB2312"/>
          <w:color w:val="auto"/>
          <w:kern w:val="0"/>
          <w:sz w:val="32"/>
          <w:szCs w:val="32"/>
          <w:highlight w:val="none"/>
          <w:lang w:eastAsia="zh-CN"/>
        </w:rPr>
        <w:t>县</w:t>
      </w:r>
      <w:r>
        <w:rPr>
          <w:rFonts w:hint="eastAsia" w:ascii="楷体_GB2312" w:hAnsi="楷体_GB2312" w:eastAsia="楷体_GB2312" w:cs="楷体_GB2312"/>
          <w:color w:val="auto"/>
          <w:kern w:val="0"/>
          <w:sz w:val="32"/>
          <w:szCs w:val="32"/>
          <w:highlight w:val="none"/>
        </w:rPr>
        <w:t>住建局、</w:t>
      </w:r>
      <w:r>
        <w:rPr>
          <w:rFonts w:hint="eastAsia" w:ascii="楷体_GB2312" w:hAnsi="楷体_GB2312" w:eastAsia="楷体_GB2312" w:cs="楷体_GB2312"/>
          <w:color w:val="auto"/>
          <w:kern w:val="0"/>
          <w:sz w:val="32"/>
          <w:szCs w:val="32"/>
          <w:highlight w:val="none"/>
          <w:lang w:eastAsia="zh-CN"/>
        </w:rPr>
        <w:t>县</w:t>
      </w:r>
      <w:r>
        <w:rPr>
          <w:rFonts w:hint="eastAsia" w:ascii="楷体_GB2312" w:hAnsi="楷体_GB2312" w:eastAsia="楷体_GB2312" w:cs="楷体_GB2312"/>
          <w:color w:val="auto"/>
          <w:kern w:val="0"/>
          <w:sz w:val="32"/>
          <w:szCs w:val="32"/>
          <w:highlight w:val="none"/>
        </w:rPr>
        <w:t>财政局、各</w:t>
      </w:r>
      <w:r>
        <w:rPr>
          <w:rFonts w:hint="eastAsia" w:ascii="楷体_GB2312" w:hAnsi="楷体_GB2312" w:eastAsia="楷体_GB2312" w:cs="楷体_GB2312"/>
          <w:color w:val="auto"/>
          <w:kern w:val="0"/>
          <w:sz w:val="32"/>
          <w:szCs w:val="32"/>
          <w:highlight w:val="none"/>
          <w:lang w:eastAsia="zh-CN"/>
        </w:rPr>
        <w:t>镇</w:t>
      </w:r>
      <w:r>
        <w:rPr>
          <w:rFonts w:hint="eastAsia" w:ascii="楷体_GB2312" w:hAnsi="楷体_GB2312" w:eastAsia="楷体_GB2312" w:cs="楷体_GB2312"/>
          <w:color w:val="auto"/>
          <w:kern w:val="0"/>
          <w:sz w:val="32"/>
          <w:szCs w:val="32"/>
          <w:highlight w:val="none"/>
          <w:lang w:val="en-US" w:eastAsia="zh-CN"/>
        </w:rPr>
        <w:t>人民政府</w:t>
      </w:r>
      <w:r>
        <w:rPr>
          <w:rFonts w:hint="eastAsia" w:ascii="楷体_GB2312" w:hAnsi="楷体_GB2312" w:eastAsia="楷体_GB2312" w:cs="楷体_GB2312"/>
          <w:color w:val="auto"/>
          <w:kern w:val="0"/>
          <w:sz w:val="32"/>
          <w:szCs w:val="32"/>
          <w:highlight w:val="none"/>
        </w:rPr>
        <w:t>、</w:t>
      </w:r>
      <w:r>
        <w:rPr>
          <w:rFonts w:hint="eastAsia" w:ascii="楷体_GB2312" w:hAnsi="楷体_GB2312" w:eastAsia="楷体_GB2312" w:cs="楷体_GB2312"/>
          <w:color w:val="auto"/>
          <w:kern w:val="0"/>
          <w:sz w:val="32"/>
          <w:szCs w:val="32"/>
          <w:highlight w:val="none"/>
          <w:lang w:eastAsia="zh-CN"/>
        </w:rPr>
        <w:t>县</w:t>
      </w:r>
      <w:r>
        <w:rPr>
          <w:rFonts w:hint="eastAsia" w:ascii="楷体_GB2312" w:hAnsi="楷体_GB2312" w:eastAsia="楷体_GB2312" w:cs="楷体_GB2312"/>
          <w:color w:val="auto"/>
          <w:kern w:val="0"/>
          <w:sz w:val="32"/>
          <w:szCs w:val="32"/>
          <w:highlight w:val="none"/>
        </w:rPr>
        <w:t>供电局</w:t>
      </w:r>
      <w:r>
        <w:rPr>
          <w:rFonts w:hint="eastAsia" w:ascii="仿宋_GB2312" w:hAnsi="仿宋_GB2312" w:eastAsia="仿宋_GB2312" w:cs="仿宋_GB2312"/>
          <w:color w:val="auto"/>
          <w:kern w:val="0"/>
          <w:sz w:val="32"/>
          <w:szCs w:val="32"/>
          <w:highlight w:val="none"/>
        </w:rPr>
        <w:t>）</w:t>
      </w:r>
    </w:p>
    <w:p w14:paraId="33C49623">
      <w:pPr>
        <w:keepNext w:val="0"/>
        <w:keepLines w:val="0"/>
        <w:pageBreakBefore w:val="0"/>
        <w:widowControl w:val="0"/>
        <w:kinsoku/>
        <w:wordWrap/>
        <w:overflowPunct/>
        <w:topLinePunct/>
        <w:autoSpaceDE/>
        <w:autoSpaceDN/>
        <w:bidi w:val="0"/>
        <w:adjustRightInd w:val="0"/>
        <w:snapToGrid w:val="0"/>
        <w:spacing w:line="578" w:lineRule="exact"/>
        <w:ind w:left="0" w:leftChars="0" w:right="0" w:rightChars="0" w:firstLine="640" w:firstLineChars="200"/>
        <w:jc w:val="both"/>
        <w:textAlignment w:val="baseline"/>
        <w:rPr>
          <w:rFonts w:hint="eastAsia" w:ascii="仿宋_GB2312" w:hAnsi="仿宋_GB2312" w:eastAsia="仿宋_GB2312" w:cs="仿宋_GB2312"/>
          <w:b w:val="0"/>
          <w:bCs w:val="0"/>
          <w:snapToGrid/>
          <w:color w:val="auto"/>
          <w:kern w:val="0"/>
          <w:sz w:val="32"/>
          <w:szCs w:val="32"/>
          <w:highlight w:val="none"/>
          <w:lang w:val="en-US" w:eastAsia="zh-CN" w:bidi="ar-SA"/>
        </w:rPr>
      </w:pPr>
      <w:r>
        <w:rPr>
          <w:rFonts w:hint="eastAsia" w:ascii="楷体_GB2312" w:hAnsi="楷体_GB2312" w:eastAsia="楷体_GB2312" w:cs="楷体_GB2312"/>
          <w:b w:val="0"/>
          <w:bCs w:val="0"/>
          <w:snapToGrid/>
          <w:color w:val="auto"/>
          <w:kern w:val="0"/>
          <w:sz w:val="32"/>
          <w:szCs w:val="32"/>
          <w:highlight w:val="none"/>
          <w:lang w:val="en-US" w:eastAsia="zh-CN" w:bidi="ar-SA"/>
        </w:rPr>
        <w:t>（十六）深入实施乡村绿化美化。</w:t>
      </w:r>
      <w:r>
        <w:rPr>
          <w:rFonts w:hint="eastAsia" w:ascii="仿宋_GB2312" w:hAnsi="仿宋_GB2312" w:eastAsia="仿宋_GB2312" w:cs="仿宋_GB2312"/>
          <w:b w:val="0"/>
          <w:bCs w:val="0"/>
          <w:snapToGrid/>
          <w:color w:val="auto"/>
          <w:kern w:val="0"/>
          <w:sz w:val="32"/>
          <w:szCs w:val="32"/>
          <w:highlight w:val="none"/>
          <w:lang w:val="en-US" w:eastAsia="zh-CN" w:bidi="ar-SA"/>
        </w:rPr>
        <w:t>通过开展防护林、经济林建设和公共绿地、房前屋后绿化美化等方式增加乡村生态绿量。持续实施农村“四旁”（水旁、宅旁、路旁、村旁）绿化，优先挑选适应当地气候、土壤条件且养护成本低、生态效益明显的乔灌草等乡土植被进行乡村绿化美化行动。鼓励引导农民积极发展庭院经济，利用房前屋后、道路两旁等闲置区域，因地制宜打造小花园、小果园、小菜园，实现见缝插绿、应绿尽绿。以村庄边巷、广场、边角地等公共空间为重点，开展村庄公共空间整理，着力清理私搭乱建、乱堆乱放，整治残垣断壁，结合盘活农村零散闲置土地、死角盲区清理等，实施村庄微改造、精提升。（</w:t>
      </w:r>
      <w:r>
        <w:rPr>
          <w:rFonts w:hint="eastAsia" w:ascii="楷体_GB2312" w:hAnsi="楷体_GB2312" w:eastAsia="楷体_GB2312" w:cs="楷体_GB2312"/>
          <w:b w:val="0"/>
          <w:bCs w:val="0"/>
          <w:snapToGrid/>
          <w:color w:val="auto"/>
          <w:kern w:val="0"/>
          <w:sz w:val="32"/>
          <w:szCs w:val="32"/>
          <w:highlight w:val="none"/>
          <w:lang w:val="en-US" w:eastAsia="zh-CN" w:bidi="ar-SA"/>
        </w:rPr>
        <w:t>牵头单位：县林草局、县农牧局，配合单位：各镇人民政府、县自然资源局</w:t>
      </w:r>
      <w:r>
        <w:rPr>
          <w:rFonts w:hint="eastAsia" w:ascii="仿宋_GB2312" w:hAnsi="仿宋_GB2312" w:eastAsia="仿宋_GB2312" w:cs="仿宋_GB2312"/>
          <w:b w:val="0"/>
          <w:bCs w:val="0"/>
          <w:snapToGrid/>
          <w:color w:val="auto"/>
          <w:kern w:val="0"/>
          <w:sz w:val="32"/>
          <w:szCs w:val="32"/>
          <w:highlight w:val="none"/>
          <w:lang w:val="en-US" w:eastAsia="zh-CN" w:bidi="ar-SA"/>
        </w:rPr>
        <w:t>）</w:t>
      </w:r>
    </w:p>
    <w:p w14:paraId="665009F4">
      <w:pPr>
        <w:keepNext w:val="0"/>
        <w:keepLines w:val="0"/>
        <w:pageBreakBefore w:val="0"/>
        <w:widowControl w:val="0"/>
        <w:kinsoku/>
        <w:wordWrap/>
        <w:overflowPunct/>
        <w:topLinePunct/>
        <w:autoSpaceDE/>
        <w:autoSpaceDN/>
        <w:bidi w:val="0"/>
        <w:adjustRightInd w:val="0"/>
        <w:snapToGrid w:val="0"/>
        <w:spacing w:line="578" w:lineRule="exact"/>
        <w:ind w:left="0" w:leftChars="0" w:right="0" w:rightChars="0" w:firstLine="640" w:firstLineChars="200"/>
        <w:jc w:val="both"/>
        <w:textAlignment w:val="baseline"/>
        <w:rPr>
          <w:rFonts w:hint="eastAsia" w:ascii="仿宋_GB2312" w:hAnsi="仿宋_GB2312" w:eastAsia="仿宋_GB2312" w:cs="仿宋_GB2312"/>
          <w:b w:val="0"/>
          <w:bCs w:val="0"/>
          <w:snapToGrid/>
          <w:color w:val="auto"/>
          <w:kern w:val="2"/>
          <w:sz w:val="32"/>
          <w:szCs w:val="32"/>
          <w:highlight w:val="none"/>
          <w:u w:val="none"/>
          <w:lang w:val="en-US" w:eastAsia="zh-CN" w:bidi="ar-SA"/>
        </w:rPr>
      </w:pPr>
      <w:r>
        <w:rPr>
          <w:rFonts w:hint="eastAsia" w:ascii="楷体_GB2312" w:hAnsi="楷体_GB2312" w:eastAsia="楷体_GB2312" w:cs="楷体_GB2312"/>
          <w:b w:val="0"/>
          <w:bCs w:val="0"/>
          <w:snapToGrid/>
          <w:color w:val="auto"/>
          <w:kern w:val="2"/>
          <w:sz w:val="32"/>
          <w:szCs w:val="32"/>
          <w:highlight w:val="none"/>
          <w:u w:val="none"/>
          <w:lang w:val="en-US" w:eastAsia="zh-CN" w:bidi="ar-SA"/>
        </w:rPr>
        <w:t>（十七）加强农牧民参与。</w:t>
      </w:r>
      <w:r>
        <w:rPr>
          <w:rFonts w:hint="eastAsia" w:ascii="仿宋_GB2312" w:hAnsi="仿宋_GB2312" w:eastAsia="仿宋_GB2312" w:cs="仿宋_GB2312"/>
          <w:color w:val="auto"/>
          <w:spacing w:val="0"/>
          <w:kern w:val="0"/>
          <w:sz w:val="32"/>
          <w:szCs w:val="32"/>
          <w:highlight w:val="none"/>
        </w:rPr>
        <w:t>在村庄规划落实、建设任务确定、管护制度落地等环节</w:t>
      </w:r>
      <w:r>
        <w:rPr>
          <w:rFonts w:hint="eastAsia" w:ascii="仿宋_GB2312" w:hAnsi="仿宋_GB2312" w:eastAsia="仿宋_GB2312" w:cs="仿宋_GB2312"/>
          <w:color w:val="auto"/>
          <w:spacing w:val="0"/>
          <w:kern w:val="0"/>
          <w:sz w:val="32"/>
          <w:szCs w:val="32"/>
          <w:highlight w:val="none"/>
          <w:lang w:eastAsia="zh-CN"/>
        </w:rPr>
        <w:t>，</w:t>
      </w:r>
      <w:r>
        <w:rPr>
          <w:rFonts w:hint="eastAsia" w:ascii="仿宋_GB2312" w:hAnsi="仿宋_GB2312" w:eastAsia="仿宋_GB2312" w:cs="仿宋_GB2312"/>
          <w:color w:val="auto"/>
          <w:spacing w:val="0"/>
          <w:kern w:val="0"/>
          <w:sz w:val="32"/>
          <w:szCs w:val="32"/>
          <w:highlight w:val="none"/>
        </w:rPr>
        <w:t>发挥嘎查村“两委”班子和</w:t>
      </w:r>
      <w:r>
        <w:rPr>
          <w:rFonts w:hint="eastAsia" w:ascii="仿宋_GB2312" w:hAnsi="仿宋_GB2312" w:eastAsia="仿宋_GB2312" w:cs="仿宋_GB2312"/>
          <w:color w:val="auto"/>
          <w:spacing w:val="0"/>
          <w:kern w:val="0"/>
          <w:sz w:val="32"/>
          <w:szCs w:val="32"/>
          <w:highlight w:val="none"/>
          <w:lang w:eastAsia="zh-CN"/>
        </w:rPr>
        <w:t>基层群众性自治组织</w:t>
      </w:r>
      <w:r>
        <w:rPr>
          <w:rFonts w:hint="eastAsia" w:ascii="仿宋_GB2312" w:hAnsi="仿宋_GB2312" w:eastAsia="仿宋_GB2312" w:cs="仿宋_GB2312"/>
          <w:color w:val="auto"/>
          <w:spacing w:val="0"/>
          <w:kern w:val="0"/>
          <w:sz w:val="32"/>
          <w:szCs w:val="32"/>
          <w:highlight w:val="none"/>
        </w:rPr>
        <w:t>的作用</w:t>
      </w:r>
      <w:r>
        <w:rPr>
          <w:rFonts w:hint="eastAsia" w:ascii="仿宋_GB2312" w:hAnsi="仿宋_GB2312" w:eastAsia="仿宋_GB2312" w:cs="仿宋_GB2312"/>
          <w:color w:val="auto"/>
          <w:spacing w:val="0"/>
          <w:kern w:val="0"/>
          <w:sz w:val="32"/>
          <w:szCs w:val="32"/>
          <w:highlight w:val="none"/>
          <w:lang w:eastAsia="zh-CN"/>
        </w:rPr>
        <w:t>，</w:t>
      </w:r>
      <w:r>
        <w:rPr>
          <w:rFonts w:hint="eastAsia" w:ascii="仿宋_GB2312" w:hAnsi="仿宋_GB2312" w:eastAsia="仿宋_GB2312" w:cs="仿宋_GB2312"/>
          <w:color w:val="auto"/>
          <w:spacing w:val="0"/>
          <w:kern w:val="0"/>
          <w:sz w:val="32"/>
          <w:szCs w:val="32"/>
          <w:highlight w:val="none"/>
        </w:rPr>
        <w:t>充分听取农牧民意见</w:t>
      </w:r>
      <w:r>
        <w:rPr>
          <w:rFonts w:hint="eastAsia" w:ascii="仿宋_GB2312" w:hAnsi="仿宋_GB2312" w:eastAsia="仿宋_GB2312" w:cs="仿宋_GB2312"/>
          <w:color w:val="auto"/>
          <w:spacing w:val="0"/>
          <w:kern w:val="0"/>
          <w:sz w:val="32"/>
          <w:szCs w:val="32"/>
          <w:highlight w:val="none"/>
          <w:lang w:eastAsia="zh-CN"/>
        </w:rPr>
        <w:t>，</w:t>
      </w:r>
      <w:r>
        <w:rPr>
          <w:rFonts w:hint="eastAsia" w:ascii="仿宋_GB2312" w:hAnsi="仿宋_GB2312" w:eastAsia="仿宋_GB2312" w:cs="仿宋_GB2312"/>
          <w:color w:val="auto"/>
          <w:spacing w:val="0"/>
          <w:kern w:val="0"/>
          <w:sz w:val="32"/>
          <w:szCs w:val="32"/>
          <w:highlight w:val="none"/>
          <w:lang w:val="en-US" w:eastAsia="zh-CN"/>
        </w:rPr>
        <w:t>尊重农</w:t>
      </w:r>
      <w:r>
        <w:rPr>
          <w:rFonts w:hint="eastAsia" w:ascii="仿宋_GB2312" w:hAnsi="仿宋_GB2312" w:eastAsia="仿宋_GB2312" w:cs="仿宋_GB2312"/>
          <w:color w:val="auto"/>
          <w:spacing w:val="0"/>
          <w:kern w:val="0"/>
          <w:sz w:val="32"/>
          <w:szCs w:val="32"/>
          <w:highlight w:val="none"/>
        </w:rPr>
        <w:t>牧</w:t>
      </w:r>
      <w:r>
        <w:rPr>
          <w:rFonts w:hint="eastAsia" w:ascii="仿宋_GB2312" w:hAnsi="仿宋_GB2312" w:eastAsia="仿宋_GB2312" w:cs="仿宋_GB2312"/>
          <w:color w:val="auto"/>
          <w:spacing w:val="0"/>
          <w:kern w:val="0"/>
          <w:sz w:val="32"/>
          <w:szCs w:val="32"/>
          <w:highlight w:val="none"/>
          <w:lang w:val="en-US" w:eastAsia="zh-CN"/>
        </w:rPr>
        <w:t>民意愿</w:t>
      </w:r>
      <w:r>
        <w:rPr>
          <w:rFonts w:hint="eastAsia" w:ascii="仿宋_GB2312" w:hAnsi="仿宋_GB2312" w:eastAsia="仿宋_GB2312" w:cs="仿宋_GB2312"/>
          <w:color w:val="auto"/>
          <w:spacing w:val="0"/>
          <w:kern w:val="0"/>
          <w:sz w:val="32"/>
          <w:szCs w:val="32"/>
          <w:highlight w:val="none"/>
        </w:rPr>
        <w:t>。因需建设公共厕所</w:t>
      </w:r>
      <w:r>
        <w:rPr>
          <w:rFonts w:hint="eastAsia" w:ascii="仿宋_GB2312" w:hAnsi="仿宋_GB2312" w:eastAsia="仿宋_GB2312" w:cs="仿宋_GB2312"/>
          <w:color w:val="auto"/>
          <w:spacing w:val="0"/>
          <w:kern w:val="0"/>
          <w:sz w:val="32"/>
          <w:szCs w:val="32"/>
          <w:highlight w:val="none"/>
          <w:lang w:eastAsia="zh-CN"/>
        </w:rPr>
        <w:t>，</w:t>
      </w:r>
      <w:r>
        <w:rPr>
          <w:rFonts w:hint="eastAsia" w:ascii="仿宋_GB2312" w:hAnsi="仿宋_GB2312" w:eastAsia="仿宋_GB2312" w:cs="仿宋_GB2312"/>
          <w:color w:val="auto"/>
          <w:spacing w:val="0"/>
          <w:kern w:val="0"/>
          <w:sz w:val="32"/>
          <w:szCs w:val="32"/>
          <w:highlight w:val="none"/>
        </w:rPr>
        <w:t>确有必要的</w:t>
      </w:r>
      <w:r>
        <w:rPr>
          <w:rFonts w:hint="eastAsia" w:ascii="仿宋_GB2312" w:hAnsi="仿宋_GB2312" w:eastAsia="仿宋_GB2312" w:cs="仿宋_GB2312"/>
          <w:color w:val="auto"/>
          <w:spacing w:val="0"/>
          <w:kern w:val="0"/>
          <w:sz w:val="32"/>
          <w:szCs w:val="32"/>
          <w:highlight w:val="none"/>
          <w:lang w:eastAsia="zh-CN"/>
        </w:rPr>
        <w:t>，</w:t>
      </w:r>
      <w:r>
        <w:rPr>
          <w:rFonts w:hint="eastAsia" w:ascii="仿宋_GB2312" w:hAnsi="仿宋_GB2312" w:eastAsia="仿宋_GB2312" w:cs="仿宋_GB2312"/>
          <w:color w:val="auto"/>
          <w:spacing w:val="0"/>
          <w:kern w:val="0"/>
          <w:sz w:val="32"/>
          <w:szCs w:val="32"/>
          <w:highlight w:val="none"/>
        </w:rPr>
        <w:t>可结合农村牧区公共场所、农牧民日常休闲聚集点</w:t>
      </w:r>
      <w:r>
        <w:rPr>
          <w:rFonts w:hint="eastAsia" w:ascii="仿宋_GB2312" w:hAnsi="仿宋_GB2312" w:eastAsia="仿宋_GB2312" w:cs="仿宋_GB2312"/>
          <w:color w:val="auto"/>
          <w:spacing w:val="0"/>
          <w:kern w:val="0"/>
          <w:sz w:val="32"/>
          <w:szCs w:val="32"/>
          <w:highlight w:val="none"/>
          <w:lang w:eastAsia="zh-CN"/>
        </w:rPr>
        <w:t>，</w:t>
      </w:r>
      <w:r>
        <w:rPr>
          <w:rFonts w:hint="eastAsia" w:ascii="仿宋_GB2312" w:hAnsi="仿宋_GB2312" w:eastAsia="仿宋_GB2312" w:cs="仿宋_GB2312"/>
          <w:color w:val="auto"/>
          <w:spacing w:val="0"/>
          <w:kern w:val="0"/>
          <w:sz w:val="32"/>
          <w:szCs w:val="32"/>
          <w:highlight w:val="none"/>
        </w:rPr>
        <w:t>做好统筹布局</w:t>
      </w:r>
      <w:r>
        <w:rPr>
          <w:rFonts w:hint="eastAsia" w:ascii="仿宋_GB2312" w:hAnsi="仿宋_GB2312" w:eastAsia="仿宋_GB2312" w:cs="仿宋_GB2312"/>
          <w:color w:val="auto"/>
          <w:spacing w:val="0"/>
          <w:kern w:val="0"/>
          <w:sz w:val="32"/>
          <w:szCs w:val="32"/>
          <w:highlight w:val="none"/>
          <w:lang w:eastAsia="zh-CN"/>
        </w:rPr>
        <w:t>，</w:t>
      </w:r>
      <w:r>
        <w:rPr>
          <w:rFonts w:hint="eastAsia" w:ascii="仿宋_GB2312" w:hAnsi="仿宋_GB2312" w:eastAsia="仿宋_GB2312" w:cs="仿宋_GB2312"/>
          <w:color w:val="auto"/>
          <w:spacing w:val="0"/>
          <w:kern w:val="0"/>
          <w:sz w:val="32"/>
          <w:szCs w:val="32"/>
          <w:highlight w:val="none"/>
        </w:rPr>
        <w:t>方便群众</w:t>
      </w:r>
      <w:r>
        <w:rPr>
          <w:rFonts w:hint="eastAsia" w:ascii="仿宋_GB2312" w:hAnsi="仿宋_GB2312" w:eastAsia="仿宋_GB2312" w:cs="仿宋_GB2312"/>
          <w:color w:val="auto"/>
          <w:spacing w:val="0"/>
          <w:kern w:val="0"/>
          <w:sz w:val="32"/>
          <w:szCs w:val="32"/>
          <w:highlight w:val="none"/>
          <w:lang w:eastAsia="zh-CN"/>
        </w:rPr>
        <w:t>，</w:t>
      </w:r>
      <w:r>
        <w:rPr>
          <w:rFonts w:hint="eastAsia" w:ascii="仿宋_GB2312" w:hAnsi="仿宋_GB2312" w:eastAsia="仿宋_GB2312" w:cs="仿宋_GB2312"/>
          <w:color w:val="auto"/>
          <w:spacing w:val="0"/>
          <w:kern w:val="0"/>
          <w:sz w:val="32"/>
          <w:szCs w:val="32"/>
          <w:highlight w:val="none"/>
        </w:rPr>
        <w:t>探索将公共厕所管护与其他农村牧区公益岗位有机融合。对于农牧民直接受益的小型基础设施项目</w:t>
      </w:r>
      <w:r>
        <w:rPr>
          <w:rFonts w:hint="eastAsia" w:ascii="仿宋_GB2312" w:hAnsi="仿宋_GB2312" w:eastAsia="仿宋_GB2312" w:cs="仿宋_GB2312"/>
          <w:color w:val="auto"/>
          <w:spacing w:val="0"/>
          <w:kern w:val="0"/>
          <w:sz w:val="32"/>
          <w:szCs w:val="32"/>
          <w:highlight w:val="none"/>
          <w:lang w:eastAsia="zh-CN"/>
        </w:rPr>
        <w:t>，</w:t>
      </w:r>
      <w:r>
        <w:rPr>
          <w:rFonts w:hint="eastAsia" w:ascii="仿宋_GB2312" w:hAnsi="仿宋_GB2312" w:eastAsia="仿宋_GB2312" w:cs="仿宋_GB2312"/>
          <w:color w:val="auto"/>
          <w:spacing w:val="0"/>
          <w:kern w:val="0"/>
          <w:sz w:val="32"/>
          <w:szCs w:val="32"/>
          <w:highlight w:val="none"/>
        </w:rPr>
        <w:t>坚持群众路线</w:t>
      </w:r>
      <w:r>
        <w:rPr>
          <w:rFonts w:hint="eastAsia" w:ascii="仿宋_GB2312" w:hAnsi="仿宋_GB2312" w:eastAsia="仿宋_GB2312" w:cs="仿宋_GB2312"/>
          <w:color w:val="auto"/>
          <w:spacing w:val="0"/>
          <w:kern w:val="0"/>
          <w:sz w:val="32"/>
          <w:szCs w:val="32"/>
          <w:highlight w:val="none"/>
          <w:lang w:eastAsia="zh-CN"/>
        </w:rPr>
        <w:t>，</w:t>
      </w:r>
      <w:r>
        <w:rPr>
          <w:rFonts w:hint="eastAsia" w:ascii="仿宋_GB2312" w:hAnsi="仿宋_GB2312" w:eastAsia="仿宋_GB2312" w:cs="仿宋_GB2312"/>
          <w:color w:val="auto"/>
          <w:spacing w:val="0"/>
          <w:kern w:val="0"/>
          <w:sz w:val="32"/>
          <w:szCs w:val="32"/>
          <w:highlight w:val="none"/>
        </w:rPr>
        <w:t>探索将项目选择、建设和管理权交给农牧民</w:t>
      </w:r>
      <w:r>
        <w:rPr>
          <w:rFonts w:hint="eastAsia" w:ascii="仿宋_GB2312" w:hAnsi="仿宋_GB2312" w:eastAsia="仿宋_GB2312" w:cs="仿宋_GB2312"/>
          <w:b w:val="0"/>
          <w:bCs w:val="0"/>
          <w:snapToGrid/>
          <w:color w:val="auto"/>
          <w:kern w:val="0"/>
          <w:sz w:val="32"/>
          <w:szCs w:val="32"/>
          <w:highlight w:val="none"/>
          <w:lang w:val="en-US" w:eastAsia="zh-CN" w:bidi="ar-SA"/>
        </w:rPr>
        <w:t>。</w:t>
      </w:r>
      <w:r>
        <w:rPr>
          <w:rFonts w:hint="eastAsia" w:ascii="仿宋_GB2312" w:hAnsi="仿宋_GB2312" w:eastAsia="仿宋_GB2312" w:cs="仿宋_GB2312"/>
          <w:color w:val="auto"/>
          <w:spacing w:val="0"/>
          <w:kern w:val="0"/>
          <w:sz w:val="32"/>
          <w:szCs w:val="32"/>
          <w:highlight w:val="none"/>
          <w:lang w:eastAsia="zh-CN"/>
        </w:rPr>
        <w:t>（</w:t>
      </w:r>
      <w:r>
        <w:rPr>
          <w:rFonts w:hint="eastAsia" w:ascii="楷体_GB2312" w:hAnsi="楷体_GB2312" w:eastAsia="楷体_GB2312" w:cs="楷体_GB2312"/>
          <w:b w:val="0"/>
          <w:bCs w:val="0"/>
          <w:snapToGrid/>
          <w:color w:val="auto"/>
          <w:kern w:val="2"/>
          <w:sz w:val="32"/>
          <w:szCs w:val="32"/>
          <w:highlight w:val="none"/>
          <w:u w:val="none"/>
          <w:lang w:val="en-US" w:eastAsia="zh-CN" w:bidi="ar-SA"/>
        </w:rPr>
        <w:t>牵头单位：各镇人民政府，配合单位：县农牧局、县生态环境分局</w:t>
      </w:r>
      <w:r>
        <w:rPr>
          <w:rFonts w:hint="eastAsia" w:ascii="仿宋_GB2312" w:hAnsi="仿宋_GB2312" w:eastAsia="仿宋_GB2312" w:cs="仿宋_GB2312"/>
          <w:b w:val="0"/>
          <w:bCs w:val="0"/>
          <w:snapToGrid/>
          <w:color w:val="auto"/>
          <w:kern w:val="2"/>
          <w:sz w:val="32"/>
          <w:szCs w:val="32"/>
          <w:highlight w:val="none"/>
          <w:u w:val="none"/>
          <w:lang w:val="en-US" w:eastAsia="zh-CN" w:bidi="ar-SA"/>
        </w:rPr>
        <w:t>）</w:t>
      </w:r>
    </w:p>
    <w:p w14:paraId="6A474CE5">
      <w:pPr>
        <w:keepNext w:val="0"/>
        <w:keepLines w:val="0"/>
        <w:pageBreakBefore w:val="0"/>
        <w:widowControl w:val="0"/>
        <w:kinsoku/>
        <w:wordWrap/>
        <w:overflowPunct/>
        <w:topLinePunct/>
        <w:autoSpaceDE/>
        <w:autoSpaceDN/>
        <w:bidi w:val="0"/>
        <w:adjustRightInd w:val="0"/>
        <w:snapToGrid w:val="0"/>
        <w:spacing w:line="578" w:lineRule="exact"/>
        <w:ind w:left="0" w:leftChars="0" w:right="0" w:rightChars="0" w:firstLine="640" w:firstLineChars="200"/>
        <w:jc w:val="both"/>
        <w:textAlignment w:val="baseline"/>
        <w:rPr>
          <w:rFonts w:hint="eastAsia" w:ascii="仿宋_GB2312" w:hAnsi="仿宋_GB2312" w:eastAsia="仿宋_GB2312" w:cs="仿宋_GB2312"/>
          <w:b w:val="0"/>
          <w:bCs w:val="0"/>
          <w:snapToGrid/>
          <w:color w:val="auto"/>
          <w:kern w:val="2"/>
          <w:sz w:val="32"/>
          <w:szCs w:val="32"/>
          <w:highlight w:val="none"/>
          <w:u w:val="none"/>
          <w:lang w:val="en-US" w:eastAsia="zh-CN" w:bidi="ar-SA"/>
        </w:rPr>
      </w:pPr>
      <w:r>
        <w:rPr>
          <w:rFonts w:hint="eastAsia" w:ascii="楷体_GB2312" w:hAnsi="楷体_GB2312" w:eastAsia="楷体_GB2312" w:cs="楷体_GB2312"/>
          <w:b w:val="0"/>
          <w:bCs w:val="0"/>
          <w:snapToGrid/>
          <w:color w:val="auto"/>
          <w:kern w:val="2"/>
          <w:sz w:val="32"/>
          <w:szCs w:val="32"/>
          <w:highlight w:val="none"/>
          <w:u w:val="none"/>
          <w:lang w:val="en-US" w:eastAsia="zh-CN" w:bidi="ar-SA"/>
        </w:rPr>
        <w:t>（十八）强化宣传引导。</w:t>
      </w:r>
      <w:r>
        <w:rPr>
          <w:rFonts w:hint="eastAsia" w:ascii="仿宋_GB2312" w:hAnsi="仿宋_GB2312" w:eastAsia="仿宋_GB2312" w:cs="仿宋_GB2312"/>
          <w:color w:val="auto"/>
          <w:spacing w:val="0"/>
          <w:kern w:val="0"/>
          <w:sz w:val="32"/>
          <w:szCs w:val="32"/>
          <w:highlight w:val="none"/>
        </w:rPr>
        <w:t>将美丽乡村建设进展情况以及工作中涌现出的先进典型事迹等</w:t>
      </w:r>
      <w:r>
        <w:rPr>
          <w:rFonts w:hint="eastAsia" w:ascii="仿宋_GB2312" w:hAnsi="仿宋_GB2312" w:eastAsia="仿宋_GB2312" w:cs="仿宋_GB2312"/>
          <w:color w:val="auto"/>
          <w:spacing w:val="0"/>
          <w:kern w:val="0"/>
          <w:sz w:val="32"/>
          <w:szCs w:val="32"/>
          <w:highlight w:val="none"/>
          <w:lang w:eastAsia="zh-CN"/>
        </w:rPr>
        <w:t>，</w:t>
      </w:r>
      <w:r>
        <w:rPr>
          <w:rFonts w:hint="eastAsia" w:ascii="仿宋_GB2312" w:hAnsi="仿宋_GB2312" w:eastAsia="仿宋_GB2312" w:cs="仿宋_GB2312"/>
          <w:color w:val="auto"/>
          <w:spacing w:val="0"/>
          <w:kern w:val="0"/>
          <w:sz w:val="32"/>
          <w:szCs w:val="32"/>
          <w:highlight w:val="none"/>
        </w:rPr>
        <w:t>通过门户网站、微</w:t>
      </w:r>
      <w:r>
        <w:rPr>
          <w:rFonts w:hint="eastAsia" w:ascii="仿宋_GB2312" w:hAnsi="仿宋_GB2312" w:eastAsia="仿宋_GB2312" w:cs="仿宋_GB2312"/>
          <w:color w:val="auto"/>
          <w:spacing w:val="0"/>
          <w:kern w:val="0"/>
          <w:sz w:val="32"/>
          <w:szCs w:val="32"/>
          <w:highlight w:val="none"/>
          <w:lang w:eastAsia="zh-CN"/>
        </w:rPr>
        <w:t>信</w:t>
      </w:r>
      <w:r>
        <w:rPr>
          <w:rFonts w:hint="eastAsia" w:ascii="仿宋_GB2312" w:hAnsi="仿宋_GB2312" w:eastAsia="仿宋_GB2312" w:cs="仿宋_GB2312"/>
          <w:color w:val="auto"/>
          <w:spacing w:val="0"/>
          <w:kern w:val="0"/>
          <w:sz w:val="32"/>
          <w:szCs w:val="32"/>
          <w:highlight w:val="none"/>
        </w:rPr>
        <w:t>公众号等新媒体平台向社会公开。充分利用六五环境日、全国生态日、中国农民丰收节等重要时间节点</w:t>
      </w:r>
      <w:r>
        <w:rPr>
          <w:rFonts w:hint="eastAsia" w:ascii="仿宋_GB2312" w:hAnsi="仿宋_GB2312" w:eastAsia="仿宋_GB2312" w:cs="仿宋_GB2312"/>
          <w:color w:val="auto"/>
          <w:spacing w:val="0"/>
          <w:kern w:val="0"/>
          <w:sz w:val="32"/>
          <w:szCs w:val="32"/>
          <w:highlight w:val="none"/>
          <w:lang w:eastAsia="zh-CN"/>
        </w:rPr>
        <w:t>，</w:t>
      </w:r>
      <w:r>
        <w:rPr>
          <w:rFonts w:hint="eastAsia" w:ascii="仿宋_GB2312" w:hAnsi="仿宋_GB2312" w:eastAsia="仿宋_GB2312" w:cs="仿宋_GB2312"/>
          <w:color w:val="auto"/>
          <w:spacing w:val="0"/>
          <w:kern w:val="0"/>
          <w:sz w:val="32"/>
          <w:szCs w:val="32"/>
          <w:highlight w:val="none"/>
        </w:rPr>
        <w:t>以多种渠道广泛宣传美丽乡村建设。深入农村牧区传播生态文明理念、普及环境科学知识、清理河塘沟渠垃圾和废弃物等</w:t>
      </w:r>
      <w:r>
        <w:rPr>
          <w:rFonts w:hint="eastAsia" w:ascii="仿宋_GB2312" w:hAnsi="仿宋_GB2312" w:eastAsia="仿宋_GB2312" w:cs="仿宋_GB2312"/>
          <w:color w:val="auto"/>
          <w:spacing w:val="0"/>
          <w:kern w:val="0"/>
          <w:sz w:val="32"/>
          <w:szCs w:val="32"/>
          <w:highlight w:val="none"/>
          <w:lang w:eastAsia="zh-CN"/>
        </w:rPr>
        <w:t>，</w:t>
      </w:r>
      <w:r>
        <w:rPr>
          <w:rFonts w:hint="eastAsia" w:ascii="仿宋_GB2312" w:hAnsi="仿宋_GB2312" w:eastAsia="仿宋_GB2312" w:cs="仿宋_GB2312"/>
          <w:color w:val="auto"/>
          <w:spacing w:val="0"/>
          <w:kern w:val="0"/>
          <w:sz w:val="32"/>
          <w:szCs w:val="32"/>
          <w:highlight w:val="none"/>
        </w:rPr>
        <w:t>积极参与农村牧区人居环境综合整治和乡村自然生态保护</w:t>
      </w:r>
      <w:r>
        <w:rPr>
          <w:rFonts w:hint="eastAsia" w:ascii="仿宋_GB2312" w:hAnsi="仿宋_GB2312" w:eastAsia="仿宋_GB2312" w:cs="仿宋_GB2312"/>
          <w:color w:val="auto"/>
          <w:spacing w:val="0"/>
          <w:kern w:val="0"/>
          <w:sz w:val="32"/>
          <w:szCs w:val="32"/>
          <w:highlight w:val="none"/>
          <w:lang w:eastAsia="zh-CN"/>
        </w:rPr>
        <w:t>，</w:t>
      </w:r>
      <w:r>
        <w:rPr>
          <w:rFonts w:hint="eastAsia" w:ascii="仿宋_GB2312" w:hAnsi="仿宋_GB2312" w:eastAsia="仿宋_GB2312" w:cs="仿宋_GB2312"/>
          <w:color w:val="auto"/>
          <w:spacing w:val="0"/>
          <w:kern w:val="0"/>
          <w:sz w:val="32"/>
          <w:szCs w:val="32"/>
          <w:highlight w:val="none"/>
        </w:rPr>
        <w:t>传播美丽乡村建设正能量。</w:t>
      </w:r>
      <w:r>
        <w:rPr>
          <w:rFonts w:hint="eastAsia" w:ascii="仿宋_GB2312" w:hAnsi="仿宋_GB2312" w:eastAsia="仿宋_GB2312" w:cs="仿宋_GB2312"/>
          <w:color w:val="auto"/>
          <w:spacing w:val="0"/>
          <w:kern w:val="0"/>
          <w:sz w:val="32"/>
          <w:szCs w:val="32"/>
          <w:highlight w:val="none"/>
          <w:lang w:eastAsia="zh-CN"/>
        </w:rPr>
        <w:t>（</w:t>
      </w:r>
      <w:r>
        <w:rPr>
          <w:rFonts w:hint="eastAsia" w:ascii="楷体_GB2312" w:hAnsi="楷体_GB2312" w:eastAsia="楷体_GB2312" w:cs="楷体_GB2312"/>
          <w:b w:val="0"/>
          <w:bCs w:val="0"/>
          <w:snapToGrid/>
          <w:color w:val="auto"/>
          <w:kern w:val="2"/>
          <w:sz w:val="32"/>
          <w:szCs w:val="32"/>
          <w:highlight w:val="none"/>
          <w:u w:val="none"/>
          <w:lang w:val="en-US" w:eastAsia="zh-CN" w:bidi="ar-SA"/>
        </w:rPr>
        <w:t>牵头单位：县委宣传部，配合单位：各镇人民政府、县农牧局、县生态环境分局</w:t>
      </w:r>
      <w:r>
        <w:rPr>
          <w:rFonts w:hint="eastAsia" w:ascii="仿宋_GB2312" w:hAnsi="仿宋_GB2312" w:eastAsia="仿宋_GB2312" w:cs="仿宋_GB2312"/>
          <w:b w:val="0"/>
          <w:bCs w:val="0"/>
          <w:snapToGrid/>
          <w:color w:val="auto"/>
          <w:kern w:val="2"/>
          <w:sz w:val="32"/>
          <w:szCs w:val="32"/>
          <w:highlight w:val="none"/>
          <w:u w:val="none"/>
          <w:lang w:val="en-US" w:eastAsia="zh-CN" w:bidi="ar-SA"/>
        </w:rPr>
        <w:t>）</w:t>
      </w:r>
    </w:p>
    <w:p w14:paraId="7E9A9D9C">
      <w:pPr>
        <w:keepNext w:val="0"/>
        <w:keepLines w:val="0"/>
        <w:pageBreakBefore w:val="0"/>
        <w:widowControl w:val="0"/>
        <w:kinsoku/>
        <w:wordWrap/>
        <w:overflowPunct/>
        <w:topLinePunct/>
        <w:autoSpaceDE/>
        <w:autoSpaceDN/>
        <w:bidi w:val="0"/>
        <w:adjustRightInd w:val="0"/>
        <w:snapToGrid w:val="0"/>
        <w:spacing w:line="600" w:lineRule="exact"/>
        <w:ind w:left="0" w:leftChars="0" w:right="0" w:rightChars="0" w:firstLine="640" w:firstLineChars="200"/>
        <w:jc w:val="both"/>
        <w:textAlignment w:val="baseline"/>
        <w:rPr>
          <w:rFonts w:hint="eastAsia" w:ascii="黑体" w:hAnsi="黑体" w:eastAsia="黑体" w:cs="黑体"/>
          <w:color w:val="auto"/>
          <w:spacing w:val="0"/>
          <w:kern w:val="0"/>
          <w:sz w:val="32"/>
          <w:szCs w:val="32"/>
          <w:highlight w:val="none"/>
        </w:rPr>
      </w:pPr>
      <w:r>
        <w:rPr>
          <w:rFonts w:hint="eastAsia" w:ascii="黑体" w:hAnsi="黑体" w:eastAsia="黑体" w:cs="黑体"/>
          <w:color w:val="auto"/>
          <w:spacing w:val="0"/>
          <w:kern w:val="0"/>
          <w:sz w:val="32"/>
          <w:szCs w:val="32"/>
          <w:highlight w:val="none"/>
        </w:rPr>
        <w:t>三、组织保障</w:t>
      </w:r>
    </w:p>
    <w:p w14:paraId="4C920410">
      <w:pPr>
        <w:keepNext w:val="0"/>
        <w:keepLines w:val="0"/>
        <w:pageBreakBefore w:val="0"/>
        <w:widowControl w:val="0"/>
        <w:kinsoku/>
        <w:wordWrap/>
        <w:overflowPunct/>
        <w:topLinePunct/>
        <w:autoSpaceDE/>
        <w:autoSpaceDN/>
        <w:bidi w:val="0"/>
        <w:adjustRightInd w:val="0"/>
        <w:snapToGrid w:val="0"/>
        <w:spacing w:line="578" w:lineRule="exact"/>
        <w:ind w:left="0" w:leftChars="0" w:right="0" w:rightChars="0" w:firstLine="640" w:firstLineChars="200"/>
        <w:jc w:val="both"/>
        <w:textAlignment w:val="baseline"/>
        <w:rPr>
          <w:rFonts w:hint="eastAsia" w:ascii="仿宋_GB2312" w:hAnsi="仿宋_GB2312" w:eastAsia="仿宋_GB2312" w:cs="仿宋_GB2312"/>
          <w:color w:val="auto"/>
          <w:spacing w:val="0"/>
          <w:kern w:val="0"/>
          <w:sz w:val="32"/>
          <w:szCs w:val="32"/>
          <w:highlight w:val="none"/>
          <w:lang w:eastAsia="zh-CN"/>
        </w:rPr>
      </w:pPr>
      <w:r>
        <w:rPr>
          <w:rFonts w:hint="eastAsia" w:ascii="楷体_GB2312" w:hAnsi="楷体_GB2312" w:eastAsia="楷体_GB2312" w:cs="楷体_GB2312"/>
          <w:color w:val="auto"/>
          <w:spacing w:val="0"/>
          <w:kern w:val="0"/>
          <w:sz w:val="32"/>
          <w:szCs w:val="32"/>
          <w:highlight w:val="none"/>
          <w:lang w:eastAsia="zh-CN"/>
        </w:rPr>
        <w:t>（一）</w:t>
      </w:r>
      <w:r>
        <w:rPr>
          <w:rFonts w:hint="eastAsia" w:ascii="楷体_GB2312" w:hAnsi="楷体_GB2312" w:eastAsia="楷体_GB2312" w:cs="楷体_GB2312"/>
          <w:color w:val="auto"/>
          <w:spacing w:val="0"/>
          <w:kern w:val="0"/>
          <w:sz w:val="32"/>
          <w:szCs w:val="32"/>
          <w:highlight w:val="none"/>
        </w:rPr>
        <w:t>加强组织领导。</w:t>
      </w:r>
      <w:r>
        <w:rPr>
          <w:rFonts w:hint="eastAsia" w:ascii="仿宋_GB2312" w:hAnsi="仿宋_GB2312" w:eastAsia="仿宋_GB2312" w:cs="仿宋_GB2312"/>
          <w:color w:val="auto"/>
          <w:spacing w:val="0"/>
          <w:kern w:val="0"/>
          <w:sz w:val="32"/>
          <w:szCs w:val="32"/>
          <w:highlight w:val="none"/>
          <w:lang w:eastAsia="zh-CN"/>
        </w:rPr>
        <w:t>县</w:t>
      </w:r>
      <w:r>
        <w:rPr>
          <w:rFonts w:hint="eastAsia" w:ascii="仿宋_GB2312" w:hAnsi="仿宋_GB2312" w:eastAsia="仿宋_GB2312" w:cs="仿宋_GB2312"/>
          <w:color w:val="auto"/>
          <w:spacing w:val="0"/>
          <w:kern w:val="0"/>
          <w:sz w:val="32"/>
          <w:szCs w:val="32"/>
          <w:highlight w:val="none"/>
        </w:rPr>
        <w:t>委、</w:t>
      </w:r>
      <w:r>
        <w:rPr>
          <w:rFonts w:hint="eastAsia" w:ascii="仿宋_GB2312" w:hAnsi="仿宋_GB2312" w:eastAsia="仿宋_GB2312" w:cs="仿宋_GB2312"/>
          <w:color w:val="auto"/>
          <w:spacing w:val="0"/>
          <w:kern w:val="0"/>
          <w:sz w:val="32"/>
          <w:szCs w:val="32"/>
          <w:highlight w:val="none"/>
          <w:lang w:eastAsia="zh-CN"/>
        </w:rPr>
        <w:t>县</w:t>
      </w:r>
      <w:r>
        <w:rPr>
          <w:rFonts w:hint="eastAsia" w:ascii="仿宋_GB2312" w:hAnsi="仿宋_GB2312" w:eastAsia="仿宋_GB2312" w:cs="仿宋_GB2312"/>
          <w:color w:val="auto"/>
          <w:spacing w:val="0"/>
          <w:kern w:val="0"/>
          <w:sz w:val="32"/>
          <w:szCs w:val="32"/>
          <w:highlight w:val="none"/>
        </w:rPr>
        <w:t>政府要统筹美丽乡村建设工作</w:t>
      </w:r>
      <w:r>
        <w:rPr>
          <w:rFonts w:hint="eastAsia" w:ascii="仿宋_GB2312" w:hAnsi="仿宋_GB2312" w:eastAsia="仿宋_GB2312" w:cs="仿宋_GB2312"/>
          <w:color w:val="auto"/>
          <w:spacing w:val="0"/>
          <w:kern w:val="0"/>
          <w:sz w:val="32"/>
          <w:szCs w:val="32"/>
          <w:highlight w:val="none"/>
          <w:lang w:eastAsia="zh-CN"/>
        </w:rPr>
        <w:t>，</w:t>
      </w:r>
      <w:r>
        <w:rPr>
          <w:rFonts w:hint="eastAsia" w:ascii="仿宋_GB2312" w:hAnsi="仿宋_GB2312" w:eastAsia="仿宋_GB2312" w:cs="仿宋_GB2312"/>
          <w:color w:val="auto"/>
          <w:spacing w:val="0"/>
          <w:kern w:val="0"/>
          <w:sz w:val="32"/>
          <w:szCs w:val="32"/>
          <w:highlight w:val="none"/>
        </w:rPr>
        <w:t>着力解决农牧业农村牧区突出生态环境问题</w:t>
      </w:r>
      <w:r>
        <w:rPr>
          <w:rFonts w:hint="eastAsia" w:ascii="仿宋_GB2312" w:hAnsi="仿宋_GB2312" w:eastAsia="仿宋_GB2312" w:cs="仿宋_GB2312"/>
          <w:color w:val="auto"/>
          <w:spacing w:val="0"/>
          <w:kern w:val="0"/>
          <w:sz w:val="32"/>
          <w:szCs w:val="32"/>
          <w:highlight w:val="none"/>
          <w:lang w:eastAsia="zh-CN"/>
        </w:rPr>
        <w:t>，</w:t>
      </w:r>
      <w:r>
        <w:rPr>
          <w:rFonts w:hint="eastAsia" w:ascii="仿宋_GB2312" w:hAnsi="仿宋_GB2312" w:eastAsia="仿宋_GB2312" w:cs="仿宋_GB2312"/>
          <w:color w:val="auto"/>
          <w:spacing w:val="0"/>
          <w:kern w:val="0"/>
          <w:sz w:val="32"/>
          <w:szCs w:val="32"/>
          <w:highlight w:val="none"/>
        </w:rPr>
        <w:t>制定具体实施方案</w:t>
      </w:r>
      <w:r>
        <w:rPr>
          <w:rFonts w:hint="eastAsia" w:ascii="仿宋_GB2312" w:hAnsi="仿宋_GB2312" w:eastAsia="仿宋_GB2312" w:cs="仿宋_GB2312"/>
          <w:color w:val="auto"/>
          <w:spacing w:val="0"/>
          <w:kern w:val="0"/>
          <w:sz w:val="32"/>
          <w:szCs w:val="32"/>
          <w:highlight w:val="none"/>
          <w:lang w:eastAsia="zh-CN"/>
        </w:rPr>
        <w:t>，</w:t>
      </w:r>
      <w:r>
        <w:rPr>
          <w:rFonts w:hint="eastAsia" w:ascii="仿宋_GB2312" w:hAnsi="仿宋_GB2312" w:eastAsia="仿宋_GB2312" w:cs="仿宋_GB2312"/>
          <w:color w:val="auto"/>
          <w:spacing w:val="0"/>
          <w:kern w:val="0"/>
          <w:sz w:val="32"/>
          <w:szCs w:val="32"/>
          <w:highlight w:val="none"/>
        </w:rPr>
        <w:t>由</w:t>
      </w:r>
      <w:r>
        <w:rPr>
          <w:rFonts w:hint="eastAsia" w:ascii="仿宋_GB2312" w:hAnsi="仿宋_GB2312" w:eastAsia="仿宋_GB2312" w:cs="仿宋_GB2312"/>
          <w:color w:val="auto"/>
          <w:spacing w:val="0"/>
          <w:kern w:val="0"/>
          <w:sz w:val="32"/>
          <w:szCs w:val="32"/>
          <w:highlight w:val="none"/>
          <w:lang w:val="en-US" w:eastAsia="zh-CN"/>
        </w:rPr>
        <w:t>县</w:t>
      </w:r>
      <w:r>
        <w:rPr>
          <w:rFonts w:hint="eastAsia" w:ascii="仿宋_GB2312" w:hAnsi="仿宋_GB2312" w:eastAsia="仿宋_GB2312" w:cs="仿宋_GB2312"/>
          <w:color w:val="auto"/>
          <w:spacing w:val="0"/>
          <w:kern w:val="0"/>
          <w:sz w:val="32"/>
          <w:szCs w:val="32"/>
          <w:highlight w:val="none"/>
        </w:rPr>
        <w:t>政府常务会审议通过后印发实施。</w:t>
      </w:r>
      <w:r>
        <w:rPr>
          <w:rFonts w:hint="eastAsia" w:ascii="仿宋_GB2312" w:hAnsi="仿宋_GB2312" w:eastAsia="仿宋_GB2312" w:cs="仿宋_GB2312"/>
          <w:color w:val="auto"/>
          <w:spacing w:val="0"/>
          <w:kern w:val="0"/>
          <w:sz w:val="32"/>
          <w:szCs w:val="32"/>
          <w:highlight w:val="none"/>
          <w:lang w:val="en-US" w:eastAsia="zh-CN"/>
        </w:rPr>
        <w:t>县</w:t>
      </w:r>
      <w:r>
        <w:rPr>
          <w:rFonts w:hint="eastAsia" w:ascii="仿宋_GB2312" w:hAnsi="仿宋_GB2312" w:eastAsia="仿宋_GB2312" w:cs="仿宋_GB2312"/>
          <w:color w:val="auto"/>
          <w:spacing w:val="0"/>
          <w:kern w:val="0"/>
          <w:sz w:val="32"/>
          <w:szCs w:val="32"/>
          <w:highlight w:val="none"/>
        </w:rPr>
        <w:t>生态环境</w:t>
      </w:r>
      <w:r>
        <w:rPr>
          <w:rFonts w:hint="eastAsia" w:ascii="仿宋_GB2312" w:hAnsi="仿宋_GB2312" w:eastAsia="仿宋_GB2312" w:cs="仿宋_GB2312"/>
          <w:color w:val="auto"/>
          <w:spacing w:val="0"/>
          <w:kern w:val="0"/>
          <w:sz w:val="32"/>
          <w:szCs w:val="32"/>
          <w:highlight w:val="none"/>
          <w:lang w:eastAsia="zh-CN"/>
        </w:rPr>
        <w:t>分</w:t>
      </w:r>
      <w:r>
        <w:rPr>
          <w:rFonts w:hint="eastAsia" w:ascii="仿宋_GB2312" w:hAnsi="仿宋_GB2312" w:eastAsia="仿宋_GB2312" w:cs="仿宋_GB2312"/>
          <w:color w:val="auto"/>
          <w:spacing w:val="0"/>
          <w:kern w:val="0"/>
          <w:sz w:val="32"/>
          <w:szCs w:val="32"/>
          <w:highlight w:val="none"/>
        </w:rPr>
        <w:t>局要发挥牵头抓总的作用</w:t>
      </w:r>
      <w:r>
        <w:rPr>
          <w:rFonts w:hint="eastAsia" w:ascii="仿宋_GB2312" w:hAnsi="仿宋_GB2312" w:eastAsia="仿宋_GB2312" w:cs="仿宋_GB2312"/>
          <w:color w:val="auto"/>
          <w:spacing w:val="0"/>
          <w:kern w:val="0"/>
          <w:sz w:val="32"/>
          <w:szCs w:val="32"/>
          <w:highlight w:val="none"/>
          <w:lang w:eastAsia="zh-CN"/>
        </w:rPr>
        <w:t>，</w:t>
      </w:r>
      <w:r>
        <w:rPr>
          <w:rFonts w:hint="eastAsia" w:ascii="仿宋_GB2312" w:hAnsi="仿宋_GB2312" w:eastAsia="仿宋_GB2312" w:cs="仿宋_GB2312"/>
          <w:color w:val="auto"/>
          <w:spacing w:val="0"/>
          <w:kern w:val="0"/>
          <w:sz w:val="32"/>
          <w:szCs w:val="32"/>
          <w:highlight w:val="none"/>
        </w:rPr>
        <w:t>将本年度任务清单、</w:t>
      </w:r>
      <w:r>
        <w:rPr>
          <w:rFonts w:hint="eastAsia" w:ascii="仿宋_GB2312" w:hAnsi="仿宋_GB2312" w:eastAsia="仿宋_GB2312" w:cs="仿宋_GB2312"/>
          <w:color w:val="auto"/>
          <w:spacing w:val="0"/>
          <w:kern w:val="0"/>
          <w:sz w:val="32"/>
          <w:szCs w:val="32"/>
          <w:highlight w:val="none"/>
          <w:lang w:eastAsia="zh-CN"/>
        </w:rPr>
        <w:t>建设目标</w:t>
      </w:r>
      <w:r>
        <w:rPr>
          <w:rFonts w:hint="eastAsia" w:ascii="仿宋_GB2312" w:hAnsi="仿宋_GB2312" w:eastAsia="仿宋_GB2312" w:cs="仿宋_GB2312"/>
          <w:color w:val="auto"/>
          <w:spacing w:val="0"/>
          <w:kern w:val="0"/>
          <w:sz w:val="32"/>
          <w:szCs w:val="32"/>
          <w:highlight w:val="none"/>
        </w:rPr>
        <w:t>、美丽乡村建设具体实施方案报</w:t>
      </w:r>
      <w:r>
        <w:rPr>
          <w:rFonts w:hint="eastAsia" w:ascii="仿宋_GB2312" w:hAnsi="仿宋_GB2312" w:eastAsia="仿宋_GB2312" w:cs="仿宋_GB2312"/>
          <w:color w:val="auto"/>
          <w:spacing w:val="0"/>
          <w:kern w:val="0"/>
          <w:sz w:val="32"/>
          <w:szCs w:val="32"/>
          <w:highlight w:val="none"/>
          <w:lang w:val="en-US" w:eastAsia="zh-CN"/>
        </w:rPr>
        <w:t>自治区生态环境厅</w:t>
      </w:r>
      <w:r>
        <w:rPr>
          <w:rFonts w:hint="eastAsia" w:ascii="仿宋_GB2312" w:hAnsi="仿宋_GB2312" w:eastAsia="仿宋_GB2312" w:cs="仿宋_GB2312"/>
          <w:color w:val="auto"/>
          <w:spacing w:val="0"/>
          <w:kern w:val="0"/>
          <w:sz w:val="32"/>
          <w:szCs w:val="32"/>
          <w:highlight w:val="none"/>
        </w:rPr>
        <w:t>。</w:t>
      </w:r>
    </w:p>
    <w:p w14:paraId="1C55620B">
      <w:pPr>
        <w:keepNext w:val="0"/>
        <w:keepLines w:val="0"/>
        <w:pageBreakBefore w:val="0"/>
        <w:widowControl w:val="0"/>
        <w:kinsoku/>
        <w:wordWrap/>
        <w:overflowPunct/>
        <w:topLinePunct/>
        <w:autoSpaceDE/>
        <w:autoSpaceDN/>
        <w:bidi w:val="0"/>
        <w:adjustRightInd w:val="0"/>
        <w:snapToGrid w:val="0"/>
        <w:spacing w:line="578" w:lineRule="exact"/>
        <w:ind w:left="0" w:leftChars="0" w:right="0" w:rightChars="0" w:firstLine="640" w:firstLineChars="200"/>
        <w:jc w:val="both"/>
        <w:textAlignment w:val="baseline"/>
        <w:rPr>
          <w:rFonts w:hint="eastAsia" w:ascii="仿宋_GB2312" w:hAnsi="仿宋_GB2312" w:eastAsia="仿宋_GB2312" w:cs="仿宋_GB2312"/>
          <w:color w:val="auto"/>
          <w:spacing w:val="0"/>
          <w:kern w:val="0"/>
          <w:sz w:val="32"/>
          <w:szCs w:val="32"/>
          <w:highlight w:val="none"/>
          <w:lang w:eastAsia="zh-CN"/>
        </w:rPr>
      </w:pPr>
      <w:r>
        <w:rPr>
          <w:rFonts w:hint="eastAsia" w:ascii="楷体_GB2312" w:hAnsi="楷体_GB2312" w:eastAsia="楷体_GB2312" w:cs="楷体_GB2312"/>
          <w:color w:val="auto"/>
          <w:spacing w:val="0"/>
          <w:kern w:val="0"/>
          <w:sz w:val="32"/>
          <w:szCs w:val="32"/>
          <w:highlight w:val="none"/>
          <w:lang w:eastAsia="zh-CN"/>
        </w:rPr>
        <w:t>（</w:t>
      </w:r>
      <w:r>
        <w:rPr>
          <w:rFonts w:hint="eastAsia" w:ascii="楷体_GB2312" w:hAnsi="楷体_GB2312" w:eastAsia="楷体_GB2312" w:cs="楷体_GB2312"/>
          <w:color w:val="auto"/>
          <w:spacing w:val="0"/>
          <w:kern w:val="0"/>
          <w:sz w:val="32"/>
          <w:szCs w:val="32"/>
          <w:highlight w:val="none"/>
        </w:rPr>
        <w:t>二</w:t>
      </w:r>
      <w:r>
        <w:rPr>
          <w:rFonts w:hint="eastAsia" w:ascii="楷体_GB2312" w:hAnsi="楷体_GB2312" w:eastAsia="楷体_GB2312" w:cs="楷体_GB2312"/>
          <w:color w:val="auto"/>
          <w:spacing w:val="0"/>
          <w:kern w:val="0"/>
          <w:sz w:val="32"/>
          <w:szCs w:val="32"/>
          <w:highlight w:val="none"/>
          <w:lang w:eastAsia="zh-CN"/>
        </w:rPr>
        <w:t>）</w:t>
      </w:r>
      <w:r>
        <w:rPr>
          <w:rFonts w:hint="eastAsia" w:ascii="楷体_GB2312" w:hAnsi="楷体_GB2312" w:eastAsia="楷体_GB2312" w:cs="楷体_GB2312"/>
          <w:color w:val="auto"/>
          <w:spacing w:val="0"/>
          <w:kern w:val="0"/>
          <w:sz w:val="32"/>
          <w:szCs w:val="32"/>
          <w:highlight w:val="none"/>
        </w:rPr>
        <w:t>强化</w:t>
      </w:r>
      <w:r>
        <w:rPr>
          <w:rFonts w:hint="eastAsia" w:ascii="楷体_GB2312" w:hAnsi="楷体_GB2312" w:eastAsia="楷体_GB2312" w:cs="楷体_GB2312"/>
          <w:color w:val="auto"/>
          <w:spacing w:val="0"/>
          <w:kern w:val="0"/>
          <w:sz w:val="32"/>
          <w:szCs w:val="32"/>
          <w:highlight w:val="none"/>
          <w:lang w:eastAsia="zh-CN"/>
        </w:rPr>
        <w:t>监督考核</w:t>
      </w:r>
      <w:r>
        <w:rPr>
          <w:rFonts w:hint="eastAsia" w:ascii="楷体_GB2312" w:hAnsi="楷体_GB2312" w:eastAsia="楷体_GB2312" w:cs="楷体_GB2312"/>
          <w:color w:val="auto"/>
          <w:spacing w:val="0"/>
          <w:kern w:val="0"/>
          <w:sz w:val="32"/>
          <w:szCs w:val="32"/>
          <w:highlight w:val="none"/>
        </w:rPr>
        <w:t>。</w:t>
      </w:r>
      <w:r>
        <w:rPr>
          <w:rFonts w:hint="eastAsia" w:ascii="仿宋_GB2312" w:hAnsi="仿宋_GB2312" w:eastAsia="仿宋_GB2312" w:cs="仿宋_GB2312"/>
          <w:color w:val="auto"/>
          <w:spacing w:val="0"/>
          <w:kern w:val="0"/>
          <w:sz w:val="32"/>
          <w:szCs w:val="32"/>
          <w:highlight w:val="none"/>
        </w:rPr>
        <w:t>将美丽乡村建设任务完成情况纳入污染防治攻坚战成效考核，对任务未落实或落实不力的部门，在年度考核中予以扣分。</w:t>
      </w:r>
    </w:p>
    <w:p w14:paraId="70495DBD">
      <w:pPr>
        <w:keepNext w:val="0"/>
        <w:keepLines w:val="0"/>
        <w:pageBreakBefore w:val="0"/>
        <w:widowControl w:val="0"/>
        <w:kinsoku/>
        <w:wordWrap/>
        <w:overflowPunct/>
        <w:topLinePunct/>
        <w:autoSpaceDE/>
        <w:autoSpaceDN/>
        <w:bidi w:val="0"/>
        <w:adjustRightInd w:val="0"/>
        <w:snapToGrid w:val="0"/>
        <w:spacing w:line="578" w:lineRule="exact"/>
        <w:ind w:left="0" w:leftChars="0" w:right="0" w:rightChars="0" w:firstLine="640" w:firstLineChars="200"/>
        <w:jc w:val="both"/>
        <w:textAlignment w:val="baseline"/>
        <w:rPr>
          <w:rFonts w:hint="eastAsia" w:ascii="仿宋_GB2312" w:hAnsi="仿宋_GB2312" w:eastAsia="仿宋_GB2312" w:cs="仿宋_GB2312"/>
          <w:color w:val="auto"/>
          <w:spacing w:val="0"/>
          <w:kern w:val="0"/>
          <w:sz w:val="32"/>
          <w:szCs w:val="32"/>
          <w:highlight w:val="none"/>
        </w:rPr>
      </w:pPr>
      <w:r>
        <w:rPr>
          <w:rFonts w:hint="eastAsia" w:ascii="楷体_GB2312" w:hAnsi="楷体_GB2312" w:eastAsia="楷体_GB2312" w:cs="楷体_GB2312"/>
          <w:color w:val="auto"/>
          <w:spacing w:val="0"/>
          <w:kern w:val="0"/>
          <w:sz w:val="32"/>
          <w:szCs w:val="32"/>
          <w:highlight w:val="none"/>
          <w:lang w:eastAsia="zh-CN"/>
        </w:rPr>
        <w:t>（三）</w:t>
      </w:r>
      <w:r>
        <w:rPr>
          <w:rFonts w:hint="eastAsia" w:ascii="楷体_GB2312" w:hAnsi="楷体_GB2312" w:eastAsia="楷体_GB2312" w:cs="楷体_GB2312"/>
          <w:color w:val="auto"/>
          <w:spacing w:val="0"/>
          <w:kern w:val="0"/>
          <w:sz w:val="32"/>
          <w:szCs w:val="32"/>
          <w:highlight w:val="none"/>
        </w:rPr>
        <w:t>完善支持政策。</w:t>
      </w:r>
      <w:r>
        <w:rPr>
          <w:rFonts w:hint="eastAsia" w:ascii="仿宋_GB2312" w:hAnsi="仿宋_GB2312" w:eastAsia="仿宋_GB2312" w:cs="仿宋_GB2312"/>
          <w:color w:val="auto"/>
          <w:spacing w:val="0"/>
          <w:kern w:val="0"/>
          <w:sz w:val="32"/>
          <w:szCs w:val="32"/>
          <w:highlight w:val="none"/>
          <w:lang w:eastAsia="zh-CN"/>
        </w:rPr>
        <w:t>县财政</w:t>
      </w:r>
      <w:r>
        <w:rPr>
          <w:rFonts w:hint="eastAsia" w:ascii="仿宋_GB2312" w:hAnsi="仿宋_GB2312" w:eastAsia="仿宋_GB2312" w:cs="仿宋_GB2312"/>
          <w:color w:val="auto"/>
          <w:spacing w:val="0"/>
          <w:kern w:val="0"/>
          <w:sz w:val="32"/>
          <w:szCs w:val="32"/>
          <w:highlight w:val="none"/>
        </w:rPr>
        <w:t>统筹利用既有资金</w:t>
      </w:r>
      <w:r>
        <w:rPr>
          <w:rFonts w:hint="eastAsia" w:ascii="仿宋_GB2312" w:hAnsi="仿宋_GB2312" w:eastAsia="仿宋_GB2312" w:cs="仿宋_GB2312"/>
          <w:color w:val="auto"/>
          <w:spacing w:val="0"/>
          <w:kern w:val="0"/>
          <w:sz w:val="32"/>
          <w:szCs w:val="32"/>
          <w:highlight w:val="none"/>
          <w:lang w:eastAsia="zh-CN"/>
        </w:rPr>
        <w:t>，</w:t>
      </w:r>
      <w:r>
        <w:rPr>
          <w:rFonts w:hint="eastAsia" w:ascii="仿宋_GB2312" w:hAnsi="仿宋_GB2312" w:eastAsia="仿宋_GB2312" w:cs="仿宋_GB2312"/>
          <w:color w:val="auto"/>
          <w:spacing w:val="0"/>
          <w:kern w:val="0"/>
          <w:sz w:val="32"/>
          <w:szCs w:val="32"/>
          <w:highlight w:val="none"/>
        </w:rPr>
        <w:t>配合做好资金保障工作</w:t>
      </w:r>
      <w:r>
        <w:rPr>
          <w:rFonts w:hint="eastAsia" w:ascii="仿宋_GB2312" w:hAnsi="仿宋_GB2312" w:eastAsia="仿宋_GB2312" w:cs="仿宋_GB2312"/>
          <w:color w:val="auto"/>
          <w:spacing w:val="0"/>
          <w:kern w:val="0"/>
          <w:sz w:val="32"/>
          <w:szCs w:val="32"/>
          <w:highlight w:val="none"/>
          <w:lang w:eastAsia="zh-CN"/>
        </w:rPr>
        <w:t>，加大农村牧区环境整治和污染防治工作的资金支持力度</w:t>
      </w:r>
      <w:r>
        <w:rPr>
          <w:rFonts w:hint="eastAsia" w:ascii="仿宋_GB2312" w:hAnsi="仿宋_GB2312" w:eastAsia="仿宋_GB2312" w:cs="仿宋_GB2312"/>
          <w:color w:val="auto"/>
          <w:spacing w:val="0"/>
          <w:kern w:val="0"/>
          <w:sz w:val="32"/>
          <w:szCs w:val="32"/>
          <w:highlight w:val="none"/>
        </w:rPr>
        <w:t>。</w:t>
      </w:r>
      <w:r>
        <w:rPr>
          <w:rFonts w:hint="eastAsia" w:ascii="仿宋_GB2312" w:hAnsi="仿宋_GB2312" w:eastAsia="仿宋_GB2312" w:cs="仿宋_GB2312"/>
          <w:color w:val="auto"/>
          <w:spacing w:val="0"/>
          <w:kern w:val="0"/>
          <w:sz w:val="32"/>
          <w:szCs w:val="32"/>
          <w:highlight w:val="none"/>
          <w:lang w:eastAsia="zh-CN"/>
        </w:rPr>
        <w:t>充分利用</w:t>
      </w:r>
      <w:r>
        <w:rPr>
          <w:rFonts w:hint="eastAsia" w:ascii="仿宋_GB2312" w:hAnsi="仿宋_GB2312" w:eastAsia="仿宋_GB2312" w:cs="仿宋_GB2312"/>
          <w:color w:val="auto"/>
          <w:spacing w:val="0"/>
          <w:kern w:val="0"/>
          <w:sz w:val="32"/>
          <w:szCs w:val="32"/>
          <w:highlight w:val="none"/>
        </w:rPr>
        <w:t>农牧业绿色发展为导向的经济激励政策</w:t>
      </w:r>
      <w:r>
        <w:rPr>
          <w:rFonts w:hint="eastAsia" w:ascii="仿宋_GB2312" w:hAnsi="仿宋_GB2312" w:eastAsia="仿宋_GB2312" w:cs="仿宋_GB2312"/>
          <w:color w:val="auto"/>
          <w:spacing w:val="0"/>
          <w:kern w:val="0"/>
          <w:sz w:val="32"/>
          <w:szCs w:val="32"/>
          <w:highlight w:val="none"/>
          <w:lang w:eastAsia="zh-CN"/>
        </w:rPr>
        <w:t>，</w:t>
      </w:r>
      <w:r>
        <w:rPr>
          <w:rFonts w:hint="eastAsia" w:ascii="仿宋_GB2312" w:hAnsi="仿宋_GB2312" w:eastAsia="仿宋_GB2312" w:cs="仿宋_GB2312"/>
          <w:color w:val="auto"/>
          <w:spacing w:val="0"/>
          <w:kern w:val="0"/>
          <w:sz w:val="32"/>
          <w:szCs w:val="32"/>
          <w:highlight w:val="none"/>
        </w:rPr>
        <w:t>合理保障美丽乡村建设基础设施用地需求。继续对农村牧区生活污水垃圾处理设施用电执行居民生活用电价格。充分发挥支农支小再贷款、再贴现、科技创新和技术改造再贷款等货币政策工具的激励作用</w:t>
      </w:r>
      <w:r>
        <w:rPr>
          <w:rFonts w:hint="eastAsia" w:ascii="仿宋_GB2312" w:hAnsi="仿宋_GB2312" w:eastAsia="仿宋_GB2312" w:cs="仿宋_GB2312"/>
          <w:color w:val="auto"/>
          <w:spacing w:val="0"/>
          <w:kern w:val="0"/>
          <w:sz w:val="32"/>
          <w:szCs w:val="32"/>
          <w:highlight w:val="none"/>
          <w:lang w:eastAsia="zh-CN"/>
        </w:rPr>
        <w:t>，</w:t>
      </w:r>
      <w:r>
        <w:rPr>
          <w:rFonts w:hint="eastAsia" w:ascii="仿宋_GB2312" w:hAnsi="仿宋_GB2312" w:eastAsia="仿宋_GB2312" w:cs="仿宋_GB2312"/>
          <w:color w:val="auto"/>
          <w:spacing w:val="0"/>
          <w:kern w:val="0"/>
          <w:sz w:val="32"/>
          <w:szCs w:val="32"/>
          <w:highlight w:val="none"/>
        </w:rPr>
        <w:t>引导信贷业务以县域为主的金融机构积极支持乡村振兴。鼓励金融机构发行“三农”、小微、绿色等金融债券</w:t>
      </w:r>
      <w:r>
        <w:rPr>
          <w:rFonts w:hint="eastAsia" w:ascii="仿宋_GB2312" w:hAnsi="仿宋_GB2312" w:eastAsia="仿宋_GB2312" w:cs="仿宋_GB2312"/>
          <w:color w:val="auto"/>
          <w:spacing w:val="0"/>
          <w:kern w:val="0"/>
          <w:sz w:val="32"/>
          <w:szCs w:val="32"/>
          <w:highlight w:val="none"/>
          <w:lang w:eastAsia="zh-CN"/>
        </w:rPr>
        <w:t>，</w:t>
      </w:r>
      <w:r>
        <w:rPr>
          <w:rFonts w:hint="eastAsia" w:ascii="仿宋_GB2312" w:hAnsi="仿宋_GB2312" w:eastAsia="仿宋_GB2312" w:cs="仿宋_GB2312"/>
          <w:color w:val="auto"/>
          <w:spacing w:val="0"/>
          <w:kern w:val="0"/>
          <w:sz w:val="32"/>
          <w:szCs w:val="32"/>
          <w:highlight w:val="none"/>
        </w:rPr>
        <w:t>持续加大对乡村振兴重点领域的资金投入。</w:t>
      </w:r>
    </w:p>
    <w:p w14:paraId="18070E7E">
      <w:pPr>
        <w:pStyle w:val="2"/>
        <w:keepNext w:val="0"/>
        <w:keepLines w:val="0"/>
        <w:pageBreakBefore w:val="0"/>
        <w:widowControl/>
        <w:suppressLineNumbers w:val="0"/>
        <w:wordWrap/>
        <w:overflowPunct/>
        <w:topLinePunct w:val="0"/>
        <w:bidi w:val="0"/>
        <w:spacing w:before="0" w:beforeAutospacing="0" w:line="560" w:lineRule="exact"/>
        <w:ind w:right="0"/>
        <w:rPr>
          <w:rFonts w:hint="eastAsia" w:ascii="仿宋_GB2312" w:hAnsi="仿宋_GB2312" w:eastAsia="仿宋_GB2312" w:cs="仿宋_GB2312"/>
          <w:color w:val="000000"/>
          <w:spacing w:val="0"/>
          <w:kern w:val="0"/>
          <w:sz w:val="32"/>
          <w:szCs w:val="32"/>
          <w:highlight w:val="none"/>
        </w:rPr>
      </w:pPr>
    </w:p>
    <w:p w14:paraId="5A87BFA0">
      <w:pPr>
        <w:pStyle w:val="2"/>
        <w:keepNext w:val="0"/>
        <w:keepLines w:val="0"/>
        <w:pageBreakBefore w:val="0"/>
        <w:widowControl/>
        <w:suppressLineNumbers w:val="0"/>
        <w:wordWrap/>
        <w:overflowPunct/>
        <w:topLinePunct w:val="0"/>
        <w:bidi w:val="0"/>
        <w:spacing w:before="0" w:beforeAutospacing="0" w:line="560" w:lineRule="exact"/>
        <w:ind w:left="1598" w:leftChars="304" w:right="0" w:hanging="960" w:hangingChars="300"/>
        <w:rPr>
          <w:rFonts w:hint="eastAsia" w:ascii="仿宋_GB2312" w:hAnsi="仿宋_GB2312" w:eastAsia="仿宋_GB2312" w:cs="仿宋_GB2312"/>
          <w:color w:val="000000"/>
          <w:spacing w:val="0"/>
          <w:kern w:val="0"/>
          <w:sz w:val="32"/>
          <w:szCs w:val="32"/>
          <w:highlight w:val="none"/>
        </w:rPr>
      </w:pPr>
      <w:r>
        <w:rPr>
          <w:rFonts w:hint="eastAsia" w:ascii="仿宋_GB2312" w:hAnsi="仿宋_GB2312" w:eastAsia="仿宋_GB2312" w:cs="仿宋_GB2312"/>
          <w:color w:val="000000"/>
          <w:spacing w:val="0"/>
          <w:kern w:val="0"/>
          <w:sz w:val="32"/>
          <w:szCs w:val="32"/>
          <w:highlight w:val="none"/>
        </w:rPr>
        <w:t>附件</w:t>
      </w:r>
      <w:r>
        <w:rPr>
          <w:rFonts w:hint="eastAsia" w:ascii="仿宋_GB2312" w:hAnsi="仿宋_GB2312" w:eastAsia="仿宋_GB2312" w:cs="仿宋_GB2312"/>
          <w:color w:val="000000"/>
          <w:spacing w:val="0"/>
          <w:kern w:val="0"/>
          <w:position w:val="1"/>
          <w:sz w:val="32"/>
          <w:szCs w:val="32"/>
          <w:highlight w:val="none"/>
        </w:rPr>
        <w:t>:</w:t>
      </w:r>
      <w:r>
        <w:rPr>
          <w:rFonts w:hint="eastAsia" w:ascii="仿宋_GB2312" w:hAnsi="仿宋_GB2312" w:eastAsia="仿宋_GB2312" w:cs="仿宋_GB2312"/>
          <w:color w:val="000000"/>
          <w:spacing w:val="0"/>
          <w:kern w:val="0"/>
          <w:position w:val="1"/>
          <w:sz w:val="32"/>
          <w:szCs w:val="32"/>
          <w:highlight w:val="none"/>
          <w:lang w:val="en-US" w:eastAsia="zh-CN"/>
        </w:rPr>
        <w:t>1.</w:t>
      </w:r>
      <w:r>
        <w:rPr>
          <w:rFonts w:hint="eastAsia" w:ascii="仿宋_GB2312" w:hAnsi="仿宋_GB2312" w:eastAsia="仿宋_GB2312" w:cs="仿宋_GB2312"/>
          <w:color w:val="000000"/>
          <w:spacing w:val="0"/>
          <w:kern w:val="0"/>
          <w:sz w:val="32"/>
          <w:szCs w:val="32"/>
          <w:highlight w:val="none"/>
        </w:rPr>
        <w:t>内蒙古自治区整县推进美丽乡村建设基本指标</w:t>
      </w:r>
    </w:p>
    <w:p w14:paraId="626F2622">
      <w:pPr>
        <w:pStyle w:val="2"/>
        <w:keepNext w:val="0"/>
        <w:keepLines w:val="0"/>
        <w:pageBreakBefore w:val="0"/>
        <w:widowControl/>
        <w:suppressLineNumbers w:val="0"/>
        <w:wordWrap/>
        <w:overflowPunct/>
        <w:topLinePunct w:val="0"/>
        <w:bidi w:val="0"/>
        <w:spacing w:before="0" w:beforeAutospacing="0" w:line="560" w:lineRule="exact"/>
        <w:ind w:left="1600" w:leftChars="0" w:right="0" w:hanging="1600" w:hangingChars="500"/>
        <w:rPr>
          <w:rFonts w:hint="default" w:ascii="仿宋_GB2312" w:hAnsi="仿宋_GB2312" w:eastAsia="仿宋_GB2312" w:cs="仿宋_GB2312"/>
          <w:color w:val="000000"/>
          <w:spacing w:val="0"/>
          <w:kern w:val="0"/>
          <w:sz w:val="32"/>
          <w:szCs w:val="32"/>
          <w:highlight w:val="none"/>
          <w:lang w:val="en-US" w:eastAsia="zh-CN"/>
        </w:rPr>
      </w:pPr>
      <w:r>
        <w:rPr>
          <w:rFonts w:hint="eastAsia" w:ascii="仿宋_GB2312" w:hAnsi="仿宋_GB2312" w:eastAsia="仿宋_GB2312" w:cs="仿宋_GB2312"/>
          <w:color w:val="000000"/>
          <w:spacing w:val="0"/>
          <w:kern w:val="0"/>
          <w:sz w:val="32"/>
          <w:szCs w:val="32"/>
          <w:highlight w:val="none"/>
          <w:lang w:val="en-US" w:eastAsia="zh-CN"/>
        </w:rPr>
        <w:t xml:space="preserve">         2.指标解释</w:t>
      </w:r>
    </w:p>
    <w:p w14:paraId="6B528279">
      <w:pPr>
        <w:rPr>
          <w:rFonts w:ascii="黑体" w:hAnsi="黑体" w:eastAsia="黑体" w:cs="黑体"/>
          <w:b w:val="0"/>
          <w:bCs w:val="0"/>
          <w:spacing w:val="6"/>
          <w:sz w:val="32"/>
          <w:szCs w:val="32"/>
          <w:highlight w:val="none"/>
        </w:rPr>
      </w:pPr>
      <w:r>
        <w:rPr>
          <w:rFonts w:ascii="黑体" w:hAnsi="黑体" w:eastAsia="黑体" w:cs="黑体"/>
          <w:b w:val="0"/>
          <w:bCs w:val="0"/>
          <w:spacing w:val="6"/>
          <w:sz w:val="32"/>
          <w:szCs w:val="32"/>
          <w:highlight w:val="none"/>
        </w:rPr>
        <w:br w:type="page"/>
      </w:r>
    </w:p>
    <w:p w14:paraId="706BD125">
      <w:pPr>
        <w:spacing w:before="91" w:line="224" w:lineRule="auto"/>
        <w:rPr>
          <w:rFonts w:ascii="黑体" w:hAnsi="黑体" w:eastAsia="黑体" w:cs="黑体"/>
          <w:b w:val="0"/>
          <w:bCs w:val="0"/>
          <w:spacing w:val="6"/>
          <w:sz w:val="32"/>
          <w:szCs w:val="32"/>
          <w:highlight w:val="none"/>
        </w:rPr>
      </w:pPr>
    </w:p>
    <w:p w14:paraId="582D5CEE">
      <w:pPr>
        <w:spacing w:before="91" w:line="224" w:lineRule="auto"/>
        <w:ind w:left="38"/>
        <w:rPr>
          <w:rFonts w:ascii="黑体" w:hAnsi="黑体" w:eastAsia="黑体" w:cs="黑体"/>
          <w:b w:val="0"/>
          <w:bCs w:val="0"/>
          <w:sz w:val="32"/>
          <w:szCs w:val="32"/>
          <w:highlight w:val="none"/>
        </w:rPr>
      </w:pPr>
      <w:r>
        <w:rPr>
          <w:rFonts w:ascii="黑体" w:hAnsi="黑体" w:eastAsia="黑体" w:cs="黑体"/>
          <w:b w:val="0"/>
          <w:bCs w:val="0"/>
          <w:spacing w:val="6"/>
          <w:sz w:val="32"/>
          <w:szCs w:val="32"/>
          <w:highlight w:val="none"/>
        </w:rPr>
        <w:t>附件</w:t>
      </w:r>
      <w:r>
        <w:rPr>
          <w:rFonts w:hint="eastAsia" w:ascii="黑体" w:hAnsi="黑体" w:eastAsia="黑体" w:cs="黑体"/>
          <w:b w:val="0"/>
          <w:bCs w:val="0"/>
          <w:spacing w:val="6"/>
          <w:sz w:val="32"/>
          <w:szCs w:val="32"/>
          <w:highlight w:val="none"/>
          <w:lang w:val="en-US" w:eastAsia="zh-CN"/>
        </w:rPr>
        <w:t>1</w:t>
      </w:r>
      <w:r>
        <w:rPr>
          <w:rFonts w:ascii="黑体" w:hAnsi="黑体" w:eastAsia="黑体" w:cs="黑体"/>
          <w:b w:val="0"/>
          <w:bCs w:val="0"/>
          <w:spacing w:val="6"/>
          <w:sz w:val="32"/>
          <w:szCs w:val="32"/>
          <w:highlight w:val="none"/>
        </w:rPr>
        <w:t>：</w:t>
      </w:r>
    </w:p>
    <w:p w14:paraId="56E87EAD">
      <w:pPr>
        <w:spacing w:line="290" w:lineRule="auto"/>
        <w:rPr>
          <w:rFonts w:ascii="Arial"/>
          <w:sz w:val="21"/>
          <w:highlight w:val="none"/>
        </w:rPr>
      </w:pPr>
    </w:p>
    <w:p w14:paraId="2C9D1F20">
      <w:pPr>
        <w:spacing w:before="124" w:line="219" w:lineRule="auto"/>
        <w:ind w:left="1190"/>
        <w:rPr>
          <w:highlight w:val="none"/>
        </w:rPr>
      </w:pPr>
      <w:r>
        <w:rPr>
          <w:rFonts w:ascii="宋体" w:hAnsi="宋体" w:eastAsia="宋体" w:cs="宋体"/>
          <w:b/>
          <w:bCs/>
          <w:spacing w:val="-8"/>
          <w:sz w:val="38"/>
          <w:szCs w:val="38"/>
          <w:highlight w:val="none"/>
        </w:rPr>
        <w:t>整县推进美丽乡村建设基本指标体系</w:t>
      </w:r>
    </w:p>
    <w:p w14:paraId="7BBD9589">
      <w:pPr>
        <w:spacing w:before="101"/>
        <w:rPr>
          <w:highlight w:val="none"/>
        </w:rPr>
      </w:pPr>
    </w:p>
    <w:tbl>
      <w:tblPr>
        <w:tblStyle w:val="9"/>
        <w:tblW w:w="873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4"/>
        <w:gridCol w:w="1488"/>
        <w:gridCol w:w="3196"/>
        <w:gridCol w:w="3263"/>
      </w:tblGrid>
      <w:tr w14:paraId="5D40E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784" w:type="dxa"/>
            <w:noWrap w:val="0"/>
            <w:vAlign w:val="top"/>
          </w:tcPr>
          <w:p w14:paraId="10464B81">
            <w:pPr>
              <w:pStyle w:val="8"/>
              <w:spacing w:before="151" w:line="221" w:lineRule="auto"/>
              <w:ind w:left="178"/>
              <w:rPr>
                <w:highlight w:val="none"/>
              </w:rPr>
            </w:pPr>
            <w:r>
              <w:rPr>
                <w:b/>
                <w:bCs/>
                <w:spacing w:val="-5"/>
                <w:highlight w:val="none"/>
              </w:rPr>
              <w:t>序号</w:t>
            </w:r>
          </w:p>
        </w:tc>
        <w:tc>
          <w:tcPr>
            <w:tcW w:w="1488" w:type="dxa"/>
            <w:noWrap w:val="0"/>
            <w:vAlign w:val="top"/>
          </w:tcPr>
          <w:p w14:paraId="0077D66A">
            <w:pPr>
              <w:pStyle w:val="8"/>
              <w:spacing w:before="151" w:line="220" w:lineRule="auto"/>
              <w:ind w:left="313"/>
              <w:rPr>
                <w:highlight w:val="none"/>
              </w:rPr>
            </w:pPr>
            <w:r>
              <w:rPr>
                <w:b/>
                <w:bCs/>
                <w:spacing w:val="-6"/>
                <w:highlight w:val="none"/>
              </w:rPr>
              <w:t>一级指标</w:t>
            </w:r>
          </w:p>
        </w:tc>
        <w:tc>
          <w:tcPr>
            <w:tcW w:w="3196" w:type="dxa"/>
            <w:noWrap w:val="0"/>
            <w:vAlign w:val="top"/>
          </w:tcPr>
          <w:p w14:paraId="46CCFB87">
            <w:pPr>
              <w:pStyle w:val="8"/>
              <w:spacing w:before="151" w:line="220" w:lineRule="auto"/>
              <w:ind w:left="1176"/>
              <w:rPr>
                <w:highlight w:val="none"/>
              </w:rPr>
            </w:pPr>
            <w:r>
              <w:rPr>
                <w:b/>
                <w:bCs/>
                <w:spacing w:val="-5"/>
                <w:highlight w:val="none"/>
              </w:rPr>
              <w:t>二级指标</w:t>
            </w:r>
          </w:p>
        </w:tc>
        <w:tc>
          <w:tcPr>
            <w:tcW w:w="3263" w:type="dxa"/>
            <w:noWrap w:val="0"/>
            <w:vAlign w:val="top"/>
          </w:tcPr>
          <w:p w14:paraId="3E66B4AC">
            <w:pPr>
              <w:pStyle w:val="8"/>
              <w:spacing w:before="151" w:line="220" w:lineRule="auto"/>
              <w:ind w:left="1209"/>
              <w:rPr>
                <w:highlight w:val="none"/>
              </w:rPr>
            </w:pPr>
            <w:r>
              <w:rPr>
                <w:b/>
                <w:bCs/>
                <w:spacing w:val="-5"/>
                <w:highlight w:val="none"/>
              </w:rPr>
              <w:t>指标要求</w:t>
            </w:r>
          </w:p>
        </w:tc>
      </w:tr>
      <w:tr w14:paraId="26624B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8" w:hRule="atLeast"/>
        </w:trPr>
        <w:tc>
          <w:tcPr>
            <w:tcW w:w="784" w:type="dxa"/>
            <w:noWrap w:val="0"/>
            <w:vAlign w:val="top"/>
          </w:tcPr>
          <w:p w14:paraId="7A279F85">
            <w:pPr>
              <w:spacing w:line="279" w:lineRule="auto"/>
              <w:rPr>
                <w:rFonts w:ascii="Arial"/>
                <w:sz w:val="21"/>
                <w:highlight w:val="none"/>
              </w:rPr>
            </w:pPr>
          </w:p>
          <w:p w14:paraId="37A02DD0">
            <w:pPr>
              <w:spacing w:line="279" w:lineRule="auto"/>
              <w:rPr>
                <w:rFonts w:ascii="Arial"/>
                <w:sz w:val="21"/>
                <w:highlight w:val="none"/>
              </w:rPr>
            </w:pPr>
          </w:p>
          <w:p w14:paraId="2F2E84A5">
            <w:pPr>
              <w:pStyle w:val="8"/>
              <w:spacing w:before="69" w:line="241" w:lineRule="auto"/>
              <w:ind w:left="324"/>
              <w:rPr>
                <w:highlight w:val="none"/>
              </w:rPr>
            </w:pPr>
            <w:r>
              <w:rPr>
                <w:highlight w:val="none"/>
              </w:rPr>
              <w:t>1</w:t>
            </w:r>
          </w:p>
        </w:tc>
        <w:tc>
          <w:tcPr>
            <w:tcW w:w="1488" w:type="dxa"/>
            <w:vMerge w:val="restart"/>
            <w:tcBorders>
              <w:bottom w:val="nil"/>
            </w:tcBorders>
            <w:noWrap w:val="0"/>
            <w:vAlign w:val="top"/>
          </w:tcPr>
          <w:p w14:paraId="178F2FC8">
            <w:pPr>
              <w:spacing w:line="261" w:lineRule="auto"/>
              <w:rPr>
                <w:rFonts w:ascii="Arial"/>
                <w:sz w:val="21"/>
                <w:highlight w:val="none"/>
              </w:rPr>
            </w:pPr>
          </w:p>
          <w:p w14:paraId="34F073CD">
            <w:pPr>
              <w:spacing w:line="261" w:lineRule="auto"/>
              <w:rPr>
                <w:rFonts w:ascii="Arial"/>
                <w:sz w:val="21"/>
                <w:highlight w:val="none"/>
              </w:rPr>
            </w:pPr>
          </w:p>
          <w:p w14:paraId="33F20AFD">
            <w:pPr>
              <w:spacing w:line="261" w:lineRule="auto"/>
              <w:rPr>
                <w:rFonts w:ascii="Arial"/>
                <w:sz w:val="21"/>
                <w:highlight w:val="none"/>
              </w:rPr>
            </w:pPr>
          </w:p>
          <w:p w14:paraId="1D5ACD29">
            <w:pPr>
              <w:spacing w:line="261" w:lineRule="auto"/>
              <w:rPr>
                <w:rFonts w:ascii="Arial"/>
                <w:sz w:val="21"/>
                <w:highlight w:val="none"/>
              </w:rPr>
            </w:pPr>
          </w:p>
          <w:p w14:paraId="3C0670BB">
            <w:pPr>
              <w:spacing w:line="261" w:lineRule="auto"/>
              <w:rPr>
                <w:rFonts w:ascii="Arial"/>
                <w:sz w:val="21"/>
                <w:highlight w:val="none"/>
              </w:rPr>
            </w:pPr>
          </w:p>
          <w:p w14:paraId="695BB05D">
            <w:pPr>
              <w:spacing w:line="262" w:lineRule="auto"/>
              <w:rPr>
                <w:rFonts w:ascii="Arial"/>
                <w:sz w:val="21"/>
                <w:highlight w:val="none"/>
              </w:rPr>
            </w:pPr>
          </w:p>
          <w:p w14:paraId="583A7D84">
            <w:pPr>
              <w:spacing w:line="262" w:lineRule="auto"/>
              <w:rPr>
                <w:rFonts w:ascii="Arial"/>
                <w:sz w:val="21"/>
                <w:highlight w:val="none"/>
              </w:rPr>
            </w:pPr>
          </w:p>
          <w:p w14:paraId="3CEA078A">
            <w:pPr>
              <w:pStyle w:val="8"/>
              <w:spacing w:before="69" w:line="232" w:lineRule="auto"/>
              <w:ind w:left="519" w:right="125" w:hanging="419"/>
              <w:rPr>
                <w:highlight w:val="none"/>
              </w:rPr>
            </w:pPr>
            <w:r>
              <w:rPr>
                <w:spacing w:val="-2"/>
                <w:highlight w:val="none"/>
              </w:rPr>
              <w:t>农村生态环境</w:t>
            </w:r>
            <w:r>
              <w:rPr>
                <w:spacing w:val="2"/>
                <w:highlight w:val="none"/>
              </w:rPr>
              <w:t xml:space="preserve"> </w:t>
            </w:r>
            <w:r>
              <w:rPr>
                <w:spacing w:val="-3"/>
                <w:highlight w:val="none"/>
              </w:rPr>
              <w:t>质量</w:t>
            </w:r>
          </w:p>
        </w:tc>
        <w:tc>
          <w:tcPr>
            <w:tcW w:w="3196" w:type="dxa"/>
            <w:noWrap w:val="0"/>
            <w:vAlign w:val="top"/>
          </w:tcPr>
          <w:p w14:paraId="40530F86">
            <w:pPr>
              <w:spacing w:line="268" w:lineRule="auto"/>
              <w:rPr>
                <w:rFonts w:ascii="Arial"/>
                <w:sz w:val="21"/>
                <w:highlight w:val="none"/>
              </w:rPr>
            </w:pPr>
          </w:p>
          <w:p w14:paraId="4E83DA5B">
            <w:pPr>
              <w:spacing w:line="268" w:lineRule="auto"/>
              <w:rPr>
                <w:rFonts w:ascii="Arial"/>
                <w:sz w:val="21"/>
                <w:highlight w:val="none"/>
              </w:rPr>
            </w:pPr>
          </w:p>
          <w:p w14:paraId="697CAB5F">
            <w:pPr>
              <w:pStyle w:val="8"/>
              <w:spacing w:before="69" w:line="219" w:lineRule="auto"/>
              <w:ind w:left="332"/>
              <w:rPr>
                <w:highlight w:val="none"/>
              </w:rPr>
            </w:pPr>
            <w:r>
              <w:rPr>
                <w:spacing w:val="-1"/>
                <w:highlight w:val="none"/>
              </w:rPr>
              <w:t>农村生活污水治理(管控)率</w:t>
            </w:r>
          </w:p>
        </w:tc>
        <w:tc>
          <w:tcPr>
            <w:tcW w:w="3263" w:type="dxa"/>
            <w:noWrap w:val="0"/>
            <w:vAlign w:val="top"/>
          </w:tcPr>
          <w:p w14:paraId="482DEDBC">
            <w:pPr>
              <w:pStyle w:val="8"/>
              <w:spacing w:before="209" w:line="219" w:lineRule="auto"/>
              <w:jc w:val="right"/>
              <w:rPr>
                <w:highlight w:val="none"/>
              </w:rPr>
            </w:pPr>
            <w:r>
              <w:rPr>
                <w:spacing w:val="-7"/>
                <w:highlight w:val="none"/>
              </w:rPr>
              <w:t>东部，75%以上；其他地区，65%以上</w:t>
            </w:r>
          </w:p>
          <w:p w14:paraId="582C8E68">
            <w:pPr>
              <w:pStyle w:val="8"/>
              <w:spacing w:before="20" w:line="219" w:lineRule="auto"/>
              <w:ind w:left="676"/>
              <w:rPr>
                <w:highlight w:val="none"/>
              </w:rPr>
            </w:pPr>
            <w:r>
              <w:rPr>
                <w:spacing w:val="3"/>
                <w:highlight w:val="none"/>
              </w:rPr>
              <w:t>(适用于2027年以前)</w:t>
            </w:r>
          </w:p>
          <w:p w14:paraId="673DE8A7">
            <w:pPr>
              <w:pStyle w:val="8"/>
              <w:spacing w:before="10" w:line="219" w:lineRule="auto"/>
              <w:jc w:val="right"/>
              <w:rPr>
                <w:highlight w:val="none"/>
              </w:rPr>
            </w:pPr>
            <w:r>
              <w:rPr>
                <w:spacing w:val="-7"/>
                <w:highlight w:val="none"/>
              </w:rPr>
              <w:t>东部，90%以上；其他地区，80%以上</w:t>
            </w:r>
          </w:p>
          <w:p w14:paraId="62778242">
            <w:pPr>
              <w:pStyle w:val="8"/>
              <w:spacing w:before="31" w:line="219" w:lineRule="auto"/>
              <w:ind w:left="626"/>
              <w:rPr>
                <w:highlight w:val="none"/>
              </w:rPr>
            </w:pPr>
            <w:r>
              <w:rPr>
                <w:spacing w:val="-4"/>
                <w:highlight w:val="none"/>
              </w:rPr>
              <w:t>(适用于2028—2035年)</w:t>
            </w:r>
          </w:p>
        </w:tc>
      </w:tr>
      <w:tr w14:paraId="790061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784" w:type="dxa"/>
            <w:noWrap w:val="0"/>
            <w:vAlign w:val="top"/>
          </w:tcPr>
          <w:p w14:paraId="0DEF563E">
            <w:pPr>
              <w:pStyle w:val="8"/>
              <w:spacing w:before="162" w:line="241" w:lineRule="auto"/>
              <w:ind w:left="324"/>
              <w:rPr>
                <w:highlight w:val="none"/>
              </w:rPr>
            </w:pPr>
            <w:r>
              <w:rPr>
                <w:highlight w:val="none"/>
              </w:rPr>
              <w:t>2</w:t>
            </w:r>
          </w:p>
        </w:tc>
        <w:tc>
          <w:tcPr>
            <w:tcW w:w="1488" w:type="dxa"/>
            <w:vMerge w:val="continue"/>
            <w:tcBorders>
              <w:top w:val="nil"/>
              <w:bottom w:val="nil"/>
            </w:tcBorders>
            <w:noWrap w:val="0"/>
            <w:vAlign w:val="top"/>
          </w:tcPr>
          <w:p w14:paraId="5594386E">
            <w:pPr>
              <w:rPr>
                <w:rFonts w:ascii="Arial"/>
                <w:sz w:val="21"/>
                <w:highlight w:val="none"/>
              </w:rPr>
            </w:pPr>
          </w:p>
        </w:tc>
        <w:tc>
          <w:tcPr>
            <w:tcW w:w="3196" w:type="dxa"/>
            <w:noWrap w:val="0"/>
            <w:vAlign w:val="top"/>
          </w:tcPr>
          <w:p w14:paraId="128E9DD6">
            <w:pPr>
              <w:pStyle w:val="8"/>
              <w:spacing w:before="140" w:line="219" w:lineRule="auto"/>
              <w:ind w:left="963"/>
              <w:rPr>
                <w:highlight w:val="none"/>
              </w:rPr>
            </w:pPr>
            <w:r>
              <w:rPr>
                <w:spacing w:val="-2"/>
                <w:highlight w:val="none"/>
              </w:rPr>
              <w:t>农村生活垃圾</w:t>
            </w:r>
          </w:p>
        </w:tc>
        <w:tc>
          <w:tcPr>
            <w:tcW w:w="3263" w:type="dxa"/>
            <w:noWrap w:val="0"/>
            <w:vAlign w:val="top"/>
          </w:tcPr>
          <w:p w14:paraId="22F7E099">
            <w:pPr>
              <w:pStyle w:val="8"/>
              <w:spacing w:before="142" w:line="220" w:lineRule="auto"/>
              <w:ind w:left="1206"/>
              <w:rPr>
                <w:highlight w:val="none"/>
              </w:rPr>
            </w:pPr>
            <w:r>
              <w:rPr>
                <w:spacing w:val="-2"/>
                <w:highlight w:val="none"/>
              </w:rPr>
              <w:t>有效治理</w:t>
            </w:r>
          </w:p>
        </w:tc>
      </w:tr>
      <w:tr w14:paraId="5CD3E9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784" w:type="dxa"/>
            <w:noWrap w:val="0"/>
            <w:vAlign w:val="top"/>
          </w:tcPr>
          <w:p w14:paraId="377F3076">
            <w:pPr>
              <w:pStyle w:val="8"/>
              <w:spacing w:before="153"/>
              <w:ind w:left="324"/>
              <w:rPr>
                <w:highlight w:val="none"/>
              </w:rPr>
            </w:pPr>
            <w:r>
              <w:rPr>
                <w:highlight w:val="none"/>
              </w:rPr>
              <w:t>3</w:t>
            </w:r>
          </w:p>
        </w:tc>
        <w:tc>
          <w:tcPr>
            <w:tcW w:w="1488" w:type="dxa"/>
            <w:vMerge w:val="continue"/>
            <w:tcBorders>
              <w:top w:val="nil"/>
              <w:bottom w:val="nil"/>
            </w:tcBorders>
            <w:noWrap w:val="0"/>
            <w:vAlign w:val="top"/>
          </w:tcPr>
          <w:p w14:paraId="052D8B83">
            <w:pPr>
              <w:rPr>
                <w:rFonts w:ascii="Arial"/>
                <w:sz w:val="21"/>
                <w:highlight w:val="none"/>
              </w:rPr>
            </w:pPr>
          </w:p>
        </w:tc>
        <w:tc>
          <w:tcPr>
            <w:tcW w:w="3196" w:type="dxa"/>
            <w:noWrap w:val="0"/>
            <w:vAlign w:val="top"/>
          </w:tcPr>
          <w:p w14:paraId="627285D0">
            <w:pPr>
              <w:pStyle w:val="8"/>
              <w:spacing w:before="131" w:line="219" w:lineRule="auto"/>
              <w:ind w:left="963"/>
              <w:rPr>
                <w:highlight w:val="none"/>
              </w:rPr>
            </w:pPr>
            <w:r>
              <w:rPr>
                <w:spacing w:val="-2"/>
                <w:highlight w:val="none"/>
              </w:rPr>
              <w:t>农村黑臭水体</w:t>
            </w:r>
          </w:p>
        </w:tc>
        <w:tc>
          <w:tcPr>
            <w:tcW w:w="3263" w:type="dxa"/>
            <w:noWrap w:val="0"/>
            <w:vAlign w:val="top"/>
          </w:tcPr>
          <w:p w14:paraId="577B22E4">
            <w:pPr>
              <w:pStyle w:val="8"/>
              <w:spacing w:before="131" w:line="219" w:lineRule="auto"/>
              <w:ind w:left="1206"/>
              <w:rPr>
                <w:highlight w:val="none"/>
              </w:rPr>
            </w:pPr>
            <w:r>
              <w:rPr>
                <w:spacing w:val="-2"/>
                <w:highlight w:val="none"/>
              </w:rPr>
              <w:t>基本消除</w:t>
            </w:r>
          </w:p>
        </w:tc>
      </w:tr>
      <w:tr w14:paraId="1D420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784" w:type="dxa"/>
            <w:noWrap w:val="0"/>
            <w:vAlign w:val="top"/>
          </w:tcPr>
          <w:p w14:paraId="2C4A11E9">
            <w:pPr>
              <w:pStyle w:val="8"/>
              <w:spacing w:before="153" w:line="241" w:lineRule="auto"/>
              <w:ind w:left="324"/>
              <w:rPr>
                <w:highlight w:val="none"/>
              </w:rPr>
            </w:pPr>
            <w:r>
              <w:rPr>
                <w:highlight w:val="none"/>
              </w:rPr>
              <w:t>4</w:t>
            </w:r>
          </w:p>
        </w:tc>
        <w:tc>
          <w:tcPr>
            <w:tcW w:w="1488" w:type="dxa"/>
            <w:vMerge w:val="continue"/>
            <w:tcBorders>
              <w:top w:val="nil"/>
              <w:bottom w:val="nil"/>
            </w:tcBorders>
            <w:noWrap w:val="0"/>
            <w:vAlign w:val="top"/>
          </w:tcPr>
          <w:p w14:paraId="655F11FE">
            <w:pPr>
              <w:rPr>
                <w:rFonts w:ascii="Arial"/>
                <w:sz w:val="21"/>
                <w:highlight w:val="none"/>
              </w:rPr>
            </w:pPr>
          </w:p>
        </w:tc>
        <w:tc>
          <w:tcPr>
            <w:tcW w:w="3196" w:type="dxa"/>
            <w:noWrap w:val="0"/>
            <w:vAlign w:val="top"/>
          </w:tcPr>
          <w:p w14:paraId="04D0F917">
            <w:pPr>
              <w:pStyle w:val="8"/>
              <w:spacing w:before="132" w:line="219" w:lineRule="auto"/>
              <w:ind w:left="963"/>
              <w:rPr>
                <w:highlight w:val="none"/>
              </w:rPr>
            </w:pPr>
            <w:r>
              <w:rPr>
                <w:spacing w:val="1"/>
                <w:highlight w:val="none"/>
              </w:rPr>
              <w:t>畜禽养殖污染</w:t>
            </w:r>
          </w:p>
        </w:tc>
        <w:tc>
          <w:tcPr>
            <w:tcW w:w="3263" w:type="dxa"/>
            <w:noWrap w:val="0"/>
            <w:vAlign w:val="top"/>
          </w:tcPr>
          <w:p w14:paraId="30576E1D">
            <w:pPr>
              <w:pStyle w:val="8"/>
              <w:spacing w:before="131" w:line="219" w:lineRule="auto"/>
              <w:jc w:val="right"/>
              <w:rPr>
                <w:highlight w:val="none"/>
              </w:rPr>
            </w:pPr>
            <w:r>
              <w:rPr>
                <w:spacing w:val="-2"/>
                <w:highlight w:val="none"/>
              </w:rPr>
              <w:t>属实的重复信访举报一年不超过3起</w:t>
            </w:r>
          </w:p>
        </w:tc>
      </w:tr>
      <w:tr w14:paraId="4861AB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784" w:type="dxa"/>
            <w:noWrap w:val="0"/>
            <w:vAlign w:val="top"/>
          </w:tcPr>
          <w:p w14:paraId="62C86528">
            <w:pPr>
              <w:pStyle w:val="8"/>
              <w:spacing w:before="273"/>
              <w:ind w:left="324"/>
              <w:rPr>
                <w:highlight w:val="none"/>
              </w:rPr>
            </w:pPr>
            <w:r>
              <w:rPr>
                <w:highlight w:val="none"/>
              </w:rPr>
              <w:t>5</w:t>
            </w:r>
          </w:p>
        </w:tc>
        <w:tc>
          <w:tcPr>
            <w:tcW w:w="1488" w:type="dxa"/>
            <w:vMerge w:val="continue"/>
            <w:tcBorders>
              <w:top w:val="nil"/>
              <w:bottom w:val="nil"/>
            </w:tcBorders>
            <w:noWrap w:val="0"/>
            <w:vAlign w:val="top"/>
          </w:tcPr>
          <w:p w14:paraId="7B331116">
            <w:pPr>
              <w:rPr>
                <w:rFonts w:ascii="Arial"/>
                <w:sz w:val="21"/>
                <w:highlight w:val="none"/>
              </w:rPr>
            </w:pPr>
          </w:p>
        </w:tc>
        <w:tc>
          <w:tcPr>
            <w:tcW w:w="3196" w:type="dxa"/>
            <w:noWrap w:val="0"/>
            <w:vAlign w:val="top"/>
          </w:tcPr>
          <w:p w14:paraId="778F6748">
            <w:pPr>
              <w:pStyle w:val="8"/>
              <w:spacing w:before="252" w:line="219" w:lineRule="auto"/>
              <w:ind w:left="1063"/>
              <w:rPr>
                <w:highlight w:val="none"/>
              </w:rPr>
            </w:pPr>
            <w:r>
              <w:rPr>
                <w:spacing w:val="1"/>
                <w:highlight w:val="none"/>
              </w:rPr>
              <w:t>水土保持率</w:t>
            </w:r>
          </w:p>
        </w:tc>
        <w:tc>
          <w:tcPr>
            <w:tcW w:w="3263" w:type="dxa"/>
            <w:noWrap w:val="0"/>
            <w:vAlign w:val="top"/>
          </w:tcPr>
          <w:p w14:paraId="1E402BB5">
            <w:pPr>
              <w:pStyle w:val="8"/>
              <w:spacing w:before="123" w:line="248" w:lineRule="auto"/>
              <w:ind w:left="1305" w:right="63" w:hanging="1259"/>
              <w:rPr>
                <w:highlight w:val="none"/>
              </w:rPr>
            </w:pPr>
            <w:r>
              <w:rPr>
                <w:spacing w:val="-1"/>
                <w:highlight w:val="none"/>
              </w:rPr>
              <w:t>达到省级分解到县级的水土保持率</w:t>
            </w:r>
            <w:r>
              <w:rPr>
                <w:spacing w:val="6"/>
                <w:highlight w:val="none"/>
              </w:rPr>
              <w:t xml:space="preserve"> </w:t>
            </w:r>
            <w:r>
              <w:rPr>
                <w:spacing w:val="2"/>
                <w:highlight w:val="none"/>
              </w:rPr>
              <w:t>目标值</w:t>
            </w:r>
          </w:p>
        </w:tc>
      </w:tr>
      <w:tr w14:paraId="0C1B23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784" w:type="dxa"/>
            <w:noWrap w:val="0"/>
            <w:vAlign w:val="top"/>
          </w:tcPr>
          <w:p w14:paraId="075BFBF0">
            <w:pPr>
              <w:pStyle w:val="8"/>
              <w:spacing w:before="274"/>
              <w:ind w:left="324"/>
              <w:rPr>
                <w:highlight w:val="none"/>
              </w:rPr>
            </w:pPr>
            <w:r>
              <w:rPr>
                <w:highlight w:val="none"/>
              </w:rPr>
              <w:t>6</w:t>
            </w:r>
          </w:p>
        </w:tc>
        <w:tc>
          <w:tcPr>
            <w:tcW w:w="1488" w:type="dxa"/>
            <w:vMerge w:val="continue"/>
            <w:tcBorders>
              <w:top w:val="nil"/>
            </w:tcBorders>
            <w:noWrap w:val="0"/>
            <w:vAlign w:val="top"/>
          </w:tcPr>
          <w:p w14:paraId="7E7849EA">
            <w:pPr>
              <w:rPr>
                <w:rFonts w:ascii="Arial"/>
                <w:sz w:val="21"/>
                <w:highlight w:val="none"/>
              </w:rPr>
            </w:pPr>
          </w:p>
        </w:tc>
        <w:tc>
          <w:tcPr>
            <w:tcW w:w="3196" w:type="dxa"/>
            <w:noWrap w:val="0"/>
            <w:vAlign w:val="top"/>
          </w:tcPr>
          <w:p w14:paraId="41E85117">
            <w:pPr>
              <w:pStyle w:val="8"/>
              <w:spacing w:before="122"/>
              <w:ind w:left="1172" w:right="106" w:hanging="1050"/>
              <w:rPr>
                <w:highlight w:val="none"/>
              </w:rPr>
            </w:pPr>
            <w:r>
              <w:rPr>
                <w:spacing w:val="1"/>
                <w:highlight w:val="none"/>
              </w:rPr>
              <w:t xml:space="preserve">生态清洁小流域建设及乡村河湖 </w:t>
            </w:r>
            <w:r>
              <w:rPr>
                <w:spacing w:val="3"/>
                <w:highlight w:val="none"/>
              </w:rPr>
              <w:t>长效管护</w:t>
            </w:r>
          </w:p>
        </w:tc>
        <w:tc>
          <w:tcPr>
            <w:tcW w:w="3263" w:type="dxa"/>
            <w:noWrap w:val="0"/>
            <w:vAlign w:val="top"/>
          </w:tcPr>
          <w:p w14:paraId="09DCFE2F">
            <w:pPr>
              <w:pStyle w:val="8"/>
              <w:spacing w:before="133" w:line="230" w:lineRule="auto"/>
              <w:ind w:left="256" w:right="64" w:hanging="210"/>
              <w:rPr>
                <w:highlight w:val="none"/>
              </w:rPr>
            </w:pPr>
            <w:r>
              <w:rPr>
                <w:spacing w:val="-1"/>
                <w:highlight w:val="none"/>
              </w:rPr>
              <w:t>适宜区域基本建成，乡村河湖长效</w:t>
            </w:r>
            <w:r>
              <w:rPr>
                <w:spacing w:val="5"/>
                <w:highlight w:val="none"/>
              </w:rPr>
              <w:t xml:space="preserve"> </w:t>
            </w:r>
            <w:r>
              <w:rPr>
                <w:highlight w:val="none"/>
              </w:rPr>
              <w:t>管护机制基本建立并有效落实</w:t>
            </w:r>
          </w:p>
        </w:tc>
      </w:tr>
      <w:tr w14:paraId="75A13A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784" w:type="dxa"/>
            <w:noWrap w:val="0"/>
            <w:vAlign w:val="top"/>
          </w:tcPr>
          <w:p w14:paraId="522CFDD3">
            <w:pPr>
              <w:pStyle w:val="8"/>
              <w:spacing w:before="155"/>
              <w:ind w:left="324"/>
              <w:rPr>
                <w:highlight w:val="none"/>
              </w:rPr>
            </w:pPr>
            <w:r>
              <w:rPr>
                <w:highlight w:val="none"/>
              </w:rPr>
              <w:t>7</w:t>
            </w:r>
          </w:p>
        </w:tc>
        <w:tc>
          <w:tcPr>
            <w:tcW w:w="1488" w:type="dxa"/>
            <w:vMerge w:val="restart"/>
            <w:tcBorders>
              <w:bottom w:val="nil"/>
            </w:tcBorders>
            <w:noWrap w:val="0"/>
            <w:vAlign w:val="top"/>
          </w:tcPr>
          <w:p w14:paraId="187A66D3">
            <w:pPr>
              <w:spacing w:line="292" w:lineRule="auto"/>
              <w:rPr>
                <w:rFonts w:ascii="Arial"/>
                <w:sz w:val="21"/>
                <w:highlight w:val="none"/>
              </w:rPr>
            </w:pPr>
          </w:p>
          <w:p w14:paraId="5661D518">
            <w:pPr>
              <w:spacing w:line="292" w:lineRule="auto"/>
              <w:rPr>
                <w:rFonts w:ascii="Arial"/>
                <w:sz w:val="21"/>
                <w:highlight w:val="none"/>
              </w:rPr>
            </w:pPr>
          </w:p>
          <w:p w14:paraId="56A65D23">
            <w:pPr>
              <w:spacing w:line="292" w:lineRule="auto"/>
              <w:rPr>
                <w:rFonts w:ascii="Arial"/>
                <w:sz w:val="21"/>
                <w:highlight w:val="none"/>
              </w:rPr>
            </w:pPr>
          </w:p>
          <w:p w14:paraId="65F702B4">
            <w:pPr>
              <w:spacing w:line="293" w:lineRule="auto"/>
              <w:rPr>
                <w:rFonts w:ascii="Arial"/>
                <w:sz w:val="21"/>
                <w:highlight w:val="none"/>
              </w:rPr>
            </w:pPr>
          </w:p>
          <w:p w14:paraId="7B33B127">
            <w:pPr>
              <w:pStyle w:val="8"/>
              <w:spacing w:before="68"/>
              <w:ind w:left="519" w:right="125" w:hanging="419"/>
              <w:rPr>
                <w:highlight w:val="none"/>
              </w:rPr>
            </w:pPr>
            <w:r>
              <w:rPr>
                <w:spacing w:val="-2"/>
                <w:highlight w:val="none"/>
              </w:rPr>
              <w:t>农业绿色低碳</w:t>
            </w:r>
            <w:r>
              <w:rPr>
                <w:spacing w:val="2"/>
                <w:highlight w:val="none"/>
              </w:rPr>
              <w:t xml:space="preserve"> </w:t>
            </w:r>
            <w:r>
              <w:rPr>
                <w:spacing w:val="5"/>
                <w:highlight w:val="none"/>
              </w:rPr>
              <w:t>发展</w:t>
            </w:r>
          </w:p>
        </w:tc>
        <w:tc>
          <w:tcPr>
            <w:tcW w:w="3196" w:type="dxa"/>
            <w:noWrap w:val="0"/>
            <w:vAlign w:val="top"/>
          </w:tcPr>
          <w:p w14:paraId="06543E40">
            <w:pPr>
              <w:pStyle w:val="8"/>
              <w:spacing w:before="133" w:line="219" w:lineRule="auto"/>
              <w:ind w:left="642"/>
              <w:rPr>
                <w:highlight w:val="none"/>
              </w:rPr>
            </w:pPr>
            <w:r>
              <w:rPr>
                <w:spacing w:val="-1"/>
                <w:highlight w:val="none"/>
              </w:rPr>
              <w:t>耕地土壤有机质含量</w:t>
            </w:r>
          </w:p>
        </w:tc>
        <w:tc>
          <w:tcPr>
            <w:tcW w:w="3263" w:type="dxa"/>
            <w:noWrap w:val="0"/>
            <w:vAlign w:val="top"/>
          </w:tcPr>
          <w:p w14:paraId="65661AB4">
            <w:pPr>
              <w:pStyle w:val="8"/>
              <w:spacing w:before="133" w:line="219" w:lineRule="auto"/>
              <w:ind w:left="886"/>
              <w:rPr>
                <w:highlight w:val="none"/>
              </w:rPr>
            </w:pPr>
            <w:r>
              <w:rPr>
                <w:spacing w:val="-2"/>
                <w:highlight w:val="none"/>
              </w:rPr>
              <w:t>基本稳定或提高</w:t>
            </w:r>
          </w:p>
        </w:tc>
      </w:tr>
      <w:tr w14:paraId="3C1D0B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784" w:type="dxa"/>
            <w:noWrap w:val="0"/>
            <w:vAlign w:val="top"/>
          </w:tcPr>
          <w:p w14:paraId="60EE1AEC">
            <w:pPr>
              <w:pStyle w:val="8"/>
              <w:spacing w:before="275"/>
              <w:ind w:left="324"/>
              <w:rPr>
                <w:highlight w:val="none"/>
              </w:rPr>
            </w:pPr>
            <w:r>
              <w:rPr>
                <w:highlight w:val="none"/>
              </w:rPr>
              <w:t>8</w:t>
            </w:r>
          </w:p>
        </w:tc>
        <w:tc>
          <w:tcPr>
            <w:tcW w:w="1488" w:type="dxa"/>
            <w:vMerge w:val="continue"/>
            <w:tcBorders>
              <w:top w:val="nil"/>
              <w:bottom w:val="nil"/>
            </w:tcBorders>
            <w:noWrap w:val="0"/>
            <w:vAlign w:val="top"/>
          </w:tcPr>
          <w:p w14:paraId="62EB42CA">
            <w:pPr>
              <w:rPr>
                <w:rFonts w:ascii="Arial"/>
                <w:sz w:val="21"/>
                <w:highlight w:val="none"/>
              </w:rPr>
            </w:pPr>
          </w:p>
        </w:tc>
        <w:tc>
          <w:tcPr>
            <w:tcW w:w="3196" w:type="dxa"/>
            <w:noWrap w:val="0"/>
            <w:vAlign w:val="top"/>
          </w:tcPr>
          <w:p w14:paraId="202A1B54">
            <w:pPr>
              <w:pStyle w:val="8"/>
              <w:spacing w:before="254" w:line="219" w:lineRule="auto"/>
              <w:ind w:left="542"/>
              <w:rPr>
                <w:highlight w:val="none"/>
              </w:rPr>
            </w:pPr>
            <w:r>
              <w:rPr>
                <w:spacing w:val="-1"/>
                <w:highlight w:val="none"/>
              </w:rPr>
              <w:t>农药包装废弃物回收率</w:t>
            </w:r>
          </w:p>
        </w:tc>
        <w:tc>
          <w:tcPr>
            <w:tcW w:w="3263" w:type="dxa"/>
            <w:noWrap w:val="0"/>
            <w:vAlign w:val="top"/>
          </w:tcPr>
          <w:p w14:paraId="437D6148">
            <w:pPr>
              <w:pStyle w:val="8"/>
              <w:spacing w:before="115" w:line="248" w:lineRule="auto"/>
              <w:ind w:left="726" w:right="690"/>
              <w:rPr>
                <w:highlight w:val="none"/>
              </w:rPr>
            </w:pPr>
            <w:r>
              <w:rPr>
                <w:spacing w:val="3"/>
                <w:highlight w:val="none"/>
              </w:rPr>
              <w:t>80%以上(到2027年)</w:t>
            </w:r>
            <w:r>
              <w:rPr>
                <w:spacing w:val="10"/>
                <w:highlight w:val="none"/>
              </w:rPr>
              <w:t xml:space="preserve"> </w:t>
            </w:r>
            <w:r>
              <w:rPr>
                <w:spacing w:val="3"/>
                <w:highlight w:val="none"/>
              </w:rPr>
              <w:t>90%以上(到2035年)</w:t>
            </w:r>
          </w:p>
        </w:tc>
      </w:tr>
      <w:tr w14:paraId="489535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784" w:type="dxa"/>
            <w:noWrap w:val="0"/>
            <w:vAlign w:val="top"/>
          </w:tcPr>
          <w:p w14:paraId="65C1CAD4">
            <w:pPr>
              <w:pStyle w:val="8"/>
              <w:spacing w:before="276"/>
              <w:ind w:left="324"/>
              <w:rPr>
                <w:highlight w:val="none"/>
              </w:rPr>
            </w:pPr>
            <w:r>
              <w:rPr>
                <w:highlight w:val="none"/>
              </w:rPr>
              <w:t>9</w:t>
            </w:r>
          </w:p>
        </w:tc>
        <w:tc>
          <w:tcPr>
            <w:tcW w:w="1488" w:type="dxa"/>
            <w:vMerge w:val="continue"/>
            <w:tcBorders>
              <w:top w:val="nil"/>
              <w:bottom w:val="nil"/>
            </w:tcBorders>
            <w:noWrap w:val="0"/>
            <w:vAlign w:val="top"/>
          </w:tcPr>
          <w:p w14:paraId="042F645B">
            <w:pPr>
              <w:rPr>
                <w:rFonts w:ascii="Arial"/>
                <w:sz w:val="21"/>
                <w:highlight w:val="none"/>
              </w:rPr>
            </w:pPr>
          </w:p>
        </w:tc>
        <w:tc>
          <w:tcPr>
            <w:tcW w:w="3196" w:type="dxa"/>
            <w:noWrap w:val="0"/>
            <w:vAlign w:val="top"/>
          </w:tcPr>
          <w:p w14:paraId="2B2B8EDD">
            <w:pPr>
              <w:pStyle w:val="8"/>
              <w:spacing w:before="255" w:line="219" w:lineRule="auto"/>
              <w:ind w:left="963"/>
              <w:rPr>
                <w:highlight w:val="none"/>
              </w:rPr>
            </w:pPr>
            <w:r>
              <w:rPr>
                <w:spacing w:val="4"/>
                <w:highlight w:val="none"/>
              </w:rPr>
              <w:t>农膜生产使用</w:t>
            </w:r>
          </w:p>
        </w:tc>
        <w:tc>
          <w:tcPr>
            <w:tcW w:w="3263" w:type="dxa"/>
            <w:noWrap w:val="0"/>
            <w:vAlign w:val="top"/>
          </w:tcPr>
          <w:p w14:paraId="76CFEFB8">
            <w:pPr>
              <w:pStyle w:val="8"/>
              <w:spacing w:before="115" w:line="231" w:lineRule="auto"/>
              <w:ind w:left="1414" w:hanging="1398"/>
              <w:rPr>
                <w:highlight w:val="none"/>
              </w:rPr>
            </w:pPr>
            <w:r>
              <w:rPr>
                <w:spacing w:val="-8"/>
                <w:highlight w:val="none"/>
              </w:rPr>
              <w:t>基本消除违规生产、销售、使用农膜</w:t>
            </w:r>
            <w:r>
              <w:rPr>
                <w:spacing w:val="3"/>
                <w:highlight w:val="none"/>
              </w:rPr>
              <w:t xml:space="preserve"> </w:t>
            </w:r>
            <w:r>
              <w:rPr>
                <w:spacing w:val="-3"/>
                <w:highlight w:val="none"/>
              </w:rPr>
              <w:t>现象</w:t>
            </w:r>
          </w:p>
        </w:tc>
      </w:tr>
      <w:tr w14:paraId="57FB78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784" w:type="dxa"/>
            <w:noWrap w:val="0"/>
            <w:vAlign w:val="top"/>
          </w:tcPr>
          <w:p w14:paraId="6FAB737D">
            <w:pPr>
              <w:spacing w:line="386" w:lineRule="auto"/>
              <w:rPr>
                <w:rFonts w:ascii="Arial"/>
                <w:sz w:val="21"/>
                <w:highlight w:val="none"/>
              </w:rPr>
            </w:pPr>
          </w:p>
          <w:p w14:paraId="48583E28">
            <w:pPr>
              <w:pStyle w:val="8"/>
              <w:spacing w:before="68"/>
              <w:ind w:left="275"/>
              <w:rPr>
                <w:highlight w:val="none"/>
              </w:rPr>
            </w:pPr>
            <w:r>
              <w:rPr>
                <w:spacing w:val="-6"/>
                <w:highlight w:val="none"/>
              </w:rPr>
              <w:t>10</w:t>
            </w:r>
          </w:p>
        </w:tc>
        <w:tc>
          <w:tcPr>
            <w:tcW w:w="1488" w:type="dxa"/>
            <w:vMerge w:val="continue"/>
            <w:tcBorders>
              <w:top w:val="nil"/>
            </w:tcBorders>
            <w:noWrap w:val="0"/>
            <w:vAlign w:val="top"/>
          </w:tcPr>
          <w:p w14:paraId="3DF0D7AF">
            <w:pPr>
              <w:rPr>
                <w:rFonts w:ascii="Arial"/>
                <w:sz w:val="21"/>
                <w:highlight w:val="none"/>
              </w:rPr>
            </w:pPr>
          </w:p>
        </w:tc>
        <w:tc>
          <w:tcPr>
            <w:tcW w:w="3196" w:type="dxa"/>
            <w:noWrap w:val="0"/>
            <w:vAlign w:val="top"/>
          </w:tcPr>
          <w:p w14:paraId="74352044">
            <w:pPr>
              <w:spacing w:line="366" w:lineRule="auto"/>
              <w:rPr>
                <w:rFonts w:ascii="Arial"/>
                <w:sz w:val="21"/>
                <w:highlight w:val="none"/>
              </w:rPr>
            </w:pPr>
          </w:p>
          <w:p w14:paraId="45E01130">
            <w:pPr>
              <w:pStyle w:val="8"/>
              <w:spacing w:before="68" w:line="219" w:lineRule="auto"/>
              <w:ind w:left="852"/>
              <w:rPr>
                <w:highlight w:val="none"/>
              </w:rPr>
            </w:pPr>
            <w:r>
              <w:rPr>
                <w:spacing w:val="-2"/>
                <w:highlight w:val="none"/>
              </w:rPr>
              <w:t>秸秆利用和管控</w:t>
            </w:r>
          </w:p>
        </w:tc>
        <w:tc>
          <w:tcPr>
            <w:tcW w:w="3263" w:type="dxa"/>
            <w:noWrap w:val="0"/>
            <w:vAlign w:val="top"/>
          </w:tcPr>
          <w:p w14:paraId="5148DF18">
            <w:pPr>
              <w:pStyle w:val="8"/>
              <w:spacing w:before="175" w:line="219" w:lineRule="auto"/>
              <w:jc w:val="right"/>
              <w:rPr>
                <w:highlight w:val="none"/>
              </w:rPr>
            </w:pPr>
            <w:r>
              <w:rPr>
                <w:spacing w:val="-2"/>
                <w:highlight w:val="none"/>
              </w:rPr>
              <w:t>秸秆综合利用率达到88%以上。基本</w:t>
            </w:r>
          </w:p>
          <w:p w14:paraId="7511FFF2">
            <w:pPr>
              <w:pStyle w:val="8"/>
              <w:spacing w:before="31" w:line="212" w:lineRule="auto"/>
              <w:ind w:left="46"/>
              <w:rPr>
                <w:highlight w:val="none"/>
              </w:rPr>
            </w:pPr>
            <w:r>
              <w:rPr>
                <w:highlight w:val="none"/>
              </w:rPr>
              <w:t>消除因秸秆集中焚烧引发重污染天</w:t>
            </w:r>
          </w:p>
          <w:p w14:paraId="340AA223">
            <w:pPr>
              <w:pStyle w:val="8"/>
              <w:spacing w:line="220" w:lineRule="auto"/>
              <w:ind w:left="1306"/>
              <w:rPr>
                <w:highlight w:val="none"/>
              </w:rPr>
            </w:pPr>
            <w:r>
              <w:rPr>
                <w:spacing w:val="-3"/>
                <w:highlight w:val="none"/>
              </w:rPr>
              <w:t>气情况</w:t>
            </w:r>
          </w:p>
        </w:tc>
      </w:tr>
      <w:tr w14:paraId="663DCB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784" w:type="dxa"/>
            <w:noWrap w:val="0"/>
            <w:vAlign w:val="top"/>
          </w:tcPr>
          <w:p w14:paraId="5FF8E80D">
            <w:pPr>
              <w:pStyle w:val="8"/>
              <w:spacing w:before="168" w:line="241" w:lineRule="auto"/>
              <w:ind w:left="275"/>
              <w:rPr>
                <w:highlight w:val="none"/>
              </w:rPr>
            </w:pPr>
            <w:r>
              <w:rPr>
                <w:spacing w:val="-6"/>
                <w:highlight w:val="none"/>
              </w:rPr>
              <w:t>11</w:t>
            </w:r>
          </w:p>
        </w:tc>
        <w:tc>
          <w:tcPr>
            <w:tcW w:w="1488" w:type="dxa"/>
            <w:vMerge w:val="restart"/>
            <w:tcBorders>
              <w:bottom w:val="nil"/>
            </w:tcBorders>
            <w:noWrap w:val="0"/>
            <w:vAlign w:val="top"/>
          </w:tcPr>
          <w:p w14:paraId="2BB2ACB7">
            <w:pPr>
              <w:pStyle w:val="8"/>
              <w:spacing w:before="257" w:line="216" w:lineRule="auto"/>
              <w:ind w:left="519" w:right="125" w:hanging="419"/>
              <w:rPr>
                <w:highlight w:val="none"/>
              </w:rPr>
            </w:pPr>
            <w:r>
              <w:rPr>
                <w:spacing w:val="-2"/>
                <w:highlight w:val="none"/>
              </w:rPr>
              <w:t>农村幸福宜居</w:t>
            </w:r>
            <w:r>
              <w:rPr>
                <w:spacing w:val="2"/>
                <w:highlight w:val="none"/>
              </w:rPr>
              <w:t xml:space="preserve"> </w:t>
            </w:r>
            <w:r>
              <w:rPr>
                <w:spacing w:val="16"/>
                <w:highlight w:val="none"/>
              </w:rPr>
              <w:t>品质</w:t>
            </w:r>
          </w:p>
        </w:tc>
        <w:tc>
          <w:tcPr>
            <w:tcW w:w="3196" w:type="dxa"/>
            <w:noWrap w:val="0"/>
            <w:vAlign w:val="top"/>
          </w:tcPr>
          <w:p w14:paraId="11CC79DC">
            <w:pPr>
              <w:pStyle w:val="8"/>
              <w:spacing w:before="146" w:line="219" w:lineRule="auto"/>
              <w:ind w:left="1173"/>
              <w:rPr>
                <w:highlight w:val="none"/>
              </w:rPr>
            </w:pPr>
            <w:r>
              <w:rPr>
                <w:spacing w:val="2"/>
                <w:highlight w:val="none"/>
              </w:rPr>
              <w:t>乡村形态</w:t>
            </w:r>
          </w:p>
        </w:tc>
        <w:tc>
          <w:tcPr>
            <w:tcW w:w="3263" w:type="dxa"/>
            <w:noWrap w:val="0"/>
            <w:vAlign w:val="top"/>
          </w:tcPr>
          <w:p w14:paraId="22AC56B3">
            <w:pPr>
              <w:pStyle w:val="8"/>
              <w:spacing w:before="147" w:line="219" w:lineRule="auto"/>
              <w:ind w:left="576"/>
              <w:rPr>
                <w:highlight w:val="none"/>
              </w:rPr>
            </w:pPr>
            <w:r>
              <w:rPr>
                <w:spacing w:val="1"/>
                <w:highlight w:val="none"/>
              </w:rPr>
              <w:t>集中建设区域整洁有序</w:t>
            </w:r>
          </w:p>
        </w:tc>
      </w:tr>
      <w:tr w14:paraId="32145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784" w:type="dxa"/>
            <w:noWrap w:val="0"/>
            <w:vAlign w:val="top"/>
          </w:tcPr>
          <w:p w14:paraId="46CF6403">
            <w:pPr>
              <w:pStyle w:val="8"/>
              <w:spacing w:before="168" w:line="241" w:lineRule="auto"/>
              <w:ind w:left="275"/>
              <w:rPr>
                <w:highlight w:val="none"/>
              </w:rPr>
            </w:pPr>
            <w:r>
              <w:rPr>
                <w:spacing w:val="-6"/>
                <w:highlight w:val="none"/>
              </w:rPr>
              <w:t>12</w:t>
            </w:r>
          </w:p>
        </w:tc>
        <w:tc>
          <w:tcPr>
            <w:tcW w:w="1488" w:type="dxa"/>
            <w:vMerge w:val="continue"/>
            <w:tcBorders>
              <w:top w:val="nil"/>
            </w:tcBorders>
            <w:noWrap w:val="0"/>
            <w:vAlign w:val="top"/>
          </w:tcPr>
          <w:p w14:paraId="0B657760">
            <w:pPr>
              <w:rPr>
                <w:rFonts w:ascii="Arial"/>
                <w:sz w:val="21"/>
                <w:highlight w:val="none"/>
              </w:rPr>
            </w:pPr>
          </w:p>
        </w:tc>
        <w:tc>
          <w:tcPr>
            <w:tcW w:w="3196" w:type="dxa"/>
            <w:noWrap w:val="0"/>
            <w:vAlign w:val="top"/>
          </w:tcPr>
          <w:p w14:paraId="7C19AD73">
            <w:pPr>
              <w:pStyle w:val="8"/>
              <w:spacing w:before="148" w:line="220" w:lineRule="auto"/>
              <w:ind w:left="1173"/>
              <w:rPr>
                <w:highlight w:val="none"/>
              </w:rPr>
            </w:pPr>
            <w:r>
              <w:rPr>
                <w:spacing w:val="2"/>
                <w:highlight w:val="none"/>
              </w:rPr>
              <w:t>乡风建设</w:t>
            </w:r>
          </w:p>
        </w:tc>
        <w:tc>
          <w:tcPr>
            <w:tcW w:w="3263" w:type="dxa"/>
            <w:noWrap w:val="0"/>
            <w:vAlign w:val="top"/>
          </w:tcPr>
          <w:p w14:paraId="1BC5CD95">
            <w:pPr>
              <w:pStyle w:val="8"/>
              <w:spacing w:before="147" w:line="219" w:lineRule="auto"/>
              <w:ind w:left="786"/>
              <w:rPr>
                <w:highlight w:val="none"/>
              </w:rPr>
            </w:pPr>
            <w:r>
              <w:rPr>
                <w:spacing w:val="1"/>
                <w:highlight w:val="none"/>
              </w:rPr>
              <w:t>没有重大负面舆情</w:t>
            </w:r>
          </w:p>
        </w:tc>
      </w:tr>
    </w:tbl>
    <w:p w14:paraId="73EFB8DF">
      <w:pPr>
        <w:rPr>
          <w:rFonts w:ascii="Arial"/>
          <w:sz w:val="21"/>
          <w:highlight w:val="none"/>
        </w:rPr>
      </w:pPr>
    </w:p>
    <w:p w14:paraId="3A6567C4">
      <w:pPr>
        <w:rPr>
          <w:rFonts w:ascii="Arial" w:hAnsi="Arial" w:eastAsia="Arial" w:cs="Arial"/>
          <w:sz w:val="21"/>
          <w:szCs w:val="21"/>
          <w:highlight w:val="none"/>
        </w:rPr>
        <w:sectPr>
          <w:headerReference r:id="rId3" w:type="default"/>
          <w:footerReference r:id="rId4" w:type="default"/>
          <w:pgSz w:w="11890" w:h="16850"/>
          <w:pgMar w:top="2098" w:right="1531" w:bottom="1984" w:left="1531" w:header="0" w:footer="1389" w:gutter="0"/>
          <w:pgNumType w:fmt="decimal"/>
          <w:cols w:space="0" w:num="1"/>
          <w:rtlGutter w:val="0"/>
          <w:docGrid w:linePitch="0" w:charSpace="0"/>
        </w:sectPr>
      </w:pPr>
    </w:p>
    <w:p w14:paraId="6187B39D">
      <w:pPr>
        <w:widowControl/>
        <w:kinsoku w:val="0"/>
        <w:autoSpaceDE w:val="0"/>
        <w:autoSpaceDN w:val="0"/>
        <w:adjustRightInd w:val="0"/>
        <w:snapToGrid w:val="0"/>
        <w:spacing w:before="91" w:line="224" w:lineRule="auto"/>
        <w:ind w:left="38"/>
        <w:jc w:val="left"/>
        <w:textAlignment w:val="baseline"/>
        <w:rPr>
          <w:rFonts w:hint="eastAsia" w:ascii="黑体" w:hAnsi="黑体" w:eastAsia="黑体" w:cs="黑体"/>
          <w:b w:val="0"/>
          <w:bCs w:val="0"/>
          <w:snapToGrid w:val="0"/>
          <w:color w:val="000000"/>
          <w:spacing w:val="-10"/>
          <w:kern w:val="0"/>
          <w:sz w:val="32"/>
          <w:szCs w:val="32"/>
          <w:highlight w:val="none"/>
          <w:lang w:eastAsia="en-US"/>
        </w:rPr>
      </w:pPr>
      <w:r>
        <w:rPr>
          <w:rFonts w:hint="eastAsia" w:ascii="黑体" w:hAnsi="黑体" w:eastAsia="黑体" w:cs="黑体"/>
          <w:b w:val="0"/>
          <w:bCs w:val="0"/>
          <w:snapToGrid w:val="0"/>
          <w:color w:val="000000"/>
          <w:spacing w:val="6"/>
          <w:kern w:val="0"/>
          <w:sz w:val="32"/>
          <w:szCs w:val="32"/>
          <w:highlight w:val="none"/>
          <w:lang w:eastAsia="en-US"/>
        </w:rPr>
        <w:t>附件</w:t>
      </w:r>
      <w:r>
        <w:rPr>
          <w:rFonts w:hint="eastAsia" w:ascii="黑体" w:hAnsi="黑体" w:eastAsia="黑体" w:cs="黑体"/>
          <w:b w:val="0"/>
          <w:bCs w:val="0"/>
          <w:snapToGrid w:val="0"/>
          <w:color w:val="000000"/>
          <w:spacing w:val="6"/>
          <w:kern w:val="0"/>
          <w:sz w:val="32"/>
          <w:szCs w:val="32"/>
          <w:highlight w:val="none"/>
          <w:lang w:val="en-US" w:eastAsia="zh-CN"/>
        </w:rPr>
        <w:t>2</w:t>
      </w:r>
      <w:r>
        <w:rPr>
          <w:rFonts w:hint="eastAsia" w:ascii="黑体" w:hAnsi="黑体" w:eastAsia="黑体" w:cs="黑体"/>
          <w:b w:val="0"/>
          <w:bCs w:val="0"/>
          <w:snapToGrid w:val="0"/>
          <w:color w:val="000000"/>
          <w:spacing w:val="6"/>
          <w:kern w:val="0"/>
          <w:sz w:val="32"/>
          <w:szCs w:val="32"/>
          <w:highlight w:val="none"/>
          <w:lang w:eastAsia="en-US"/>
        </w:rPr>
        <w:t>：</w:t>
      </w:r>
    </w:p>
    <w:p w14:paraId="6F561757">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jc w:val="center"/>
        <w:textAlignment w:val="baseline"/>
        <w:rPr>
          <w:rFonts w:ascii="宋体" w:hAnsi="宋体" w:eastAsia="宋体" w:cs="宋体"/>
          <w:snapToGrid w:val="0"/>
          <w:color w:val="000000"/>
          <w:kern w:val="0"/>
          <w:sz w:val="32"/>
          <w:szCs w:val="32"/>
          <w:highlight w:val="none"/>
          <w:lang w:eastAsia="en-US"/>
        </w:rPr>
      </w:pPr>
      <w:r>
        <w:rPr>
          <w:rFonts w:hint="eastAsia" w:ascii="方正小标宋简体" w:hAnsi="方正小标宋简体" w:eastAsia="方正小标宋简体" w:cs="方正小标宋简体"/>
          <w:b w:val="0"/>
          <w:bCs w:val="0"/>
          <w:snapToGrid w:val="0"/>
          <w:color w:val="000000"/>
          <w:spacing w:val="-10"/>
          <w:kern w:val="0"/>
          <w:sz w:val="44"/>
          <w:szCs w:val="44"/>
          <w:highlight w:val="none"/>
          <w:lang w:eastAsia="en-US"/>
        </w:rPr>
        <w:t>指标解释</w:t>
      </w:r>
    </w:p>
    <w:p w14:paraId="6D808CEE">
      <w:pPr>
        <w:keepNext w:val="0"/>
        <w:keepLines w:val="0"/>
        <w:pageBreakBefore w:val="0"/>
        <w:widowControl/>
        <w:kinsoku w:val="0"/>
        <w:wordWrap/>
        <w:overflowPunct/>
        <w:topLinePunct w:val="0"/>
        <w:autoSpaceDE w:val="0"/>
        <w:autoSpaceDN w:val="0"/>
        <w:bidi w:val="0"/>
        <w:adjustRightInd w:val="0"/>
        <w:snapToGrid/>
        <w:spacing w:line="540" w:lineRule="exact"/>
        <w:ind w:left="0" w:right="0"/>
        <w:jc w:val="left"/>
        <w:textAlignment w:val="baseline"/>
        <w:outlineLvl w:val="2"/>
        <w:rPr>
          <w:rFonts w:ascii="黑体" w:hAnsi="黑体" w:eastAsia="黑体" w:cs="黑体"/>
          <w:b/>
          <w:bCs/>
          <w:snapToGrid w:val="0"/>
          <w:color w:val="000000"/>
          <w:spacing w:val="17"/>
          <w:kern w:val="0"/>
          <w:sz w:val="32"/>
          <w:szCs w:val="32"/>
          <w:highlight w:val="none"/>
          <w:lang w:eastAsia="en-US"/>
        </w:rPr>
      </w:pPr>
    </w:p>
    <w:p w14:paraId="23469A52">
      <w:pPr>
        <w:keepNext w:val="0"/>
        <w:keepLines w:val="0"/>
        <w:pageBreakBefore w:val="0"/>
        <w:widowControl/>
        <w:kinsoku w:val="0"/>
        <w:wordWrap/>
        <w:overflowPunct/>
        <w:topLinePunct w:val="0"/>
        <w:autoSpaceDE w:val="0"/>
        <w:autoSpaceDN w:val="0"/>
        <w:bidi w:val="0"/>
        <w:adjustRightInd w:val="0"/>
        <w:snapToGrid/>
        <w:spacing w:line="540" w:lineRule="exact"/>
        <w:ind w:left="0" w:right="0" w:firstLine="708" w:firstLineChars="200"/>
        <w:jc w:val="left"/>
        <w:textAlignment w:val="baseline"/>
        <w:outlineLvl w:val="2"/>
        <w:rPr>
          <w:rFonts w:ascii="黑体" w:hAnsi="黑体" w:eastAsia="黑体" w:cs="黑体"/>
          <w:b w:val="0"/>
          <w:bCs w:val="0"/>
          <w:snapToGrid w:val="0"/>
          <w:color w:val="000000"/>
          <w:kern w:val="0"/>
          <w:sz w:val="32"/>
          <w:szCs w:val="32"/>
          <w:highlight w:val="none"/>
          <w:lang w:eastAsia="en-US"/>
        </w:rPr>
      </w:pPr>
      <w:r>
        <w:rPr>
          <w:rFonts w:ascii="黑体" w:hAnsi="黑体" w:eastAsia="黑体" w:cs="黑体"/>
          <w:b w:val="0"/>
          <w:bCs w:val="0"/>
          <w:snapToGrid w:val="0"/>
          <w:color w:val="000000"/>
          <w:spacing w:val="17"/>
          <w:kern w:val="0"/>
          <w:sz w:val="32"/>
          <w:szCs w:val="32"/>
          <w:highlight w:val="none"/>
          <w:lang w:eastAsia="en-US"/>
        </w:rPr>
        <w:t>一、农村生活污水治理(管控)率</w:t>
      </w:r>
    </w:p>
    <w:p w14:paraId="328FF776">
      <w:pPr>
        <w:keepNext w:val="0"/>
        <w:keepLines w:val="0"/>
        <w:pageBreakBefore w:val="0"/>
        <w:widowControl/>
        <w:kinsoku w:val="0"/>
        <w:wordWrap/>
        <w:overflowPunct/>
        <w:topLinePunct w:val="0"/>
        <w:autoSpaceDE w:val="0"/>
        <w:autoSpaceDN w:val="0"/>
        <w:bidi w:val="0"/>
        <w:adjustRightInd w:val="0"/>
        <w:snapToGrid/>
        <w:spacing w:line="540" w:lineRule="exact"/>
        <w:ind w:left="0" w:right="0" w:firstLine="732" w:firstLineChars="200"/>
        <w:jc w:val="left"/>
        <w:textAlignment w:val="baseline"/>
        <w:outlineLvl w:val="2"/>
        <w:rPr>
          <w:rFonts w:hint="eastAsia" w:ascii="楷体_GB2312" w:hAnsi="楷体_GB2312" w:eastAsia="楷体_GB2312" w:cs="楷体_GB2312"/>
          <w:b w:val="0"/>
          <w:bCs w:val="0"/>
          <w:snapToGrid w:val="0"/>
          <w:color w:val="000000"/>
          <w:kern w:val="0"/>
          <w:sz w:val="32"/>
          <w:szCs w:val="32"/>
          <w:highlight w:val="none"/>
          <w:lang w:eastAsia="en-US"/>
        </w:rPr>
      </w:pPr>
      <w:r>
        <w:rPr>
          <w:rFonts w:hint="eastAsia" w:ascii="楷体_GB2312" w:hAnsi="楷体_GB2312" w:eastAsia="楷体_GB2312" w:cs="楷体_GB2312"/>
          <w:b w:val="0"/>
          <w:bCs w:val="0"/>
          <w:snapToGrid w:val="0"/>
          <w:color w:val="000000"/>
          <w:spacing w:val="23"/>
          <w:kern w:val="0"/>
          <w:sz w:val="32"/>
          <w:szCs w:val="32"/>
          <w:highlight w:val="none"/>
          <w:lang w:eastAsia="en-US"/>
        </w:rPr>
        <w:t>(一)指标要求</w:t>
      </w:r>
    </w:p>
    <w:p w14:paraId="624176B1">
      <w:pPr>
        <w:keepNext w:val="0"/>
        <w:keepLines w:val="0"/>
        <w:pageBreakBefore w:val="0"/>
        <w:widowControl/>
        <w:kinsoku w:val="0"/>
        <w:wordWrap/>
        <w:overflowPunct/>
        <w:topLinePunct w:val="0"/>
        <w:autoSpaceDE w:val="0"/>
        <w:autoSpaceDN w:val="0"/>
        <w:bidi w:val="0"/>
        <w:adjustRightInd w:val="0"/>
        <w:snapToGrid/>
        <w:spacing w:line="578" w:lineRule="exact"/>
        <w:ind w:left="0" w:right="0" w:firstLine="578"/>
        <w:jc w:val="both"/>
        <w:textAlignment w:val="baseline"/>
        <w:rPr>
          <w:rFonts w:hint="eastAsia" w:ascii="仿宋_GB2312" w:hAnsi="仿宋_GB2312" w:eastAsia="仿宋_GB2312" w:cs="仿宋_GB2312"/>
          <w:snapToGrid w:val="0"/>
          <w:color w:val="000000"/>
          <w:kern w:val="0"/>
          <w:sz w:val="32"/>
          <w:szCs w:val="32"/>
          <w:highlight w:val="none"/>
          <w:lang w:val="en-US" w:eastAsia="en-US" w:bidi="ar-SA"/>
        </w:rPr>
      </w:pPr>
      <w:r>
        <w:rPr>
          <w:rFonts w:hint="eastAsia" w:ascii="仿宋_GB2312" w:hAnsi="仿宋_GB2312" w:eastAsia="仿宋_GB2312" w:cs="仿宋_GB2312"/>
          <w:snapToGrid w:val="0"/>
          <w:color w:val="000000"/>
          <w:spacing w:val="20"/>
          <w:kern w:val="0"/>
          <w:sz w:val="32"/>
          <w:szCs w:val="32"/>
          <w:highlight w:val="none"/>
          <w:lang w:val="en-US" w:eastAsia="en-US" w:bidi="ar-SA"/>
        </w:rPr>
        <w:t>到2027年，农村生活污水治理(管控)率达到65%以上，其中</w:t>
      </w:r>
      <w:r>
        <w:rPr>
          <w:rFonts w:hint="eastAsia" w:ascii="仿宋_GB2312" w:hAnsi="仿宋_GB2312" w:eastAsia="仿宋_GB2312" w:cs="仿宋_GB2312"/>
          <w:snapToGrid w:val="0"/>
          <w:color w:val="000000"/>
          <w:spacing w:val="17"/>
          <w:kern w:val="0"/>
          <w:sz w:val="32"/>
          <w:szCs w:val="32"/>
          <w:highlight w:val="none"/>
          <w:lang w:val="en-US" w:eastAsia="en-US" w:bidi="ar-SA"/>
        </w:rPr>
        <w:t>东部达到75%以上；到2035年，达到80%以上，其中东部达到90%</w:t>
      </w:r>
      <w:r>
        <w:rPr>
          <w:rFonts w:hint="eastAsia" w:ascii="仿宋_GB2312" w:hAnsi="仿宋_GB2312" w:eastAsia="仿宋_GB2312" w:cs="仿宋_GB2312"/>
          <w:snapToGrid w:val="0"/>
          <w:color w:val="000000"/>
          <w:spacing w:val="-19"/>
          <w:kern w:val="0"/>
          <w:sz w:val="32"/>
          <w:szCs w:val="32"/>
          <w:highlight w:val="none"/>
          <w:lang w:val="en-US" w:eastAsia="en-US" w:bidi="ar-SA"/>
        </w:rPr>
        <w:t>以上。</w:t>
      </w:r>
    </w:p>
    <w:p w14:paraId="0319A86E">
      <w:pPr>
        <w:keepNext w:val="0"/>
        <w:keepLines w:val="0"/>
        <w:pageBreakBefore w:val="0"/>
        <w:widowControl/>
        <w:kinsoku w:val="0"/>
        <w:wordWrap/>
        <w:overflowPunct/>
        <w:topLinePunct w:val="0"/>
        <w:autoSpaceDE w:val="0"/>
        <w:autoSpaceDN w:val="0"/>
        <w:bidi w:val="0"/>
        <w:adjustRightInd w:val="0"/>
        <w:snapToGrid/>
        <w:spacing w:line="540" w:lineRule="exact"/>
        <w:ind w:left="0" w:right="0" w:firstLine="716" w:firstLineChars="200"/>
        <w:jc w:val="left"/>
        <w:textAlignment w:val="baseline"/>
        <w:outlineLvl w:val="2"/>
        <w:rPr>
          <w:rFonts w:hint="eastAsia" w:ascii="楷体_GB2312" w:hAnsi="楷体_GB2312" w:eastAsia="楷体_GB2312" w:cs="楷体_GB2312"/>
          <w:b w:val="0"/>
          <w:bCs w:val="0"/>
          <w:snapToGrid w:val="0"/>
          <w:color w:val="000000"/>
          <w:kern w:val="0"/>
          <w:sz w:val="32"/>
          <w:szCs w:val="32"/>
          <w:highlight w:val="none"/>
          <w:lang w:eastAsia="en-US"/>
        </w:rPr>
      </w:pPr>
      <w:r>
        <w:rPr>
          <w:rFonts w:hint="eastAsia" w:ascii="楷体_GB2312" w:hAnsi="楷体_GB2312" w:eastAsia="楷体_GB2312" w:cs="楷体_GB2312"/>
          <w:b w:val="0"/>
          <w:bCs w:val="0"/>
          <w:snapToGrid w:val="0"/>
          <w:color w:val="000000"/>
          <w:spacing w:val="19"/>
          <w:kern w:val="0"/>
          <w:sz w:val="32"/>
          <w:szCs w:val="32"/>
          <w:highlight w:val="none"/>
          <w:lang w:eastAsia="en-US"/>
        </w:rPr>
        <w:t>(二)指标解释</w:t>
      </w:r>
    </w:p>
    <w:p w14:paraId="334DC064">
      <w:pPr>
        <w:keepNext w:val="0"/>
        <w:keepLines w:val="0"/>
        <w:pageBreakBefore w:val="0"/>
        <w:widowControl/>
        <w:kinsoku w:val="0"/>
        <w:wordWrap/>
        <w:overflowPunct/>
        <w:topLinePunct w:val="0"/>
        <w:autoSpaceDE w:val="0"/>
        <w:autoSpaceDN w:val="0"/>
        <w:bidi w:val="0"/>
        <w:adjustRightInd w:val="0"/>
        <w:snapToGrid/>
        <w:spacing w:line="578" w:lineRule="exact"/>
        <w:ind w:left="0" w:right="0" w:firstLine="579"/>
        <w:jc w:val="both"/>
        <w:textAlignment w:val="baseline"/>
        <w:rPr>
          <w:rFonts w:hint="eastAsia" w:ascii="仿宋_GB2312" w:hAnsi="仿宋_GB2312" w:eastAsia="仿宋_GB2312" w:cs="仿宋_GB2312"/>
          <w:snapToGrid w:val="0"/>
          <w:color w:val="000000"/>
          <w:kern w:val="0"/>
          <w:sz w:val="32"/>
          <w:szCs w:val="32"/>
          <w:highlight w:val="none"/>
          <w:lang w:val="en-US" w:eastAsia="en-US" w:bidi="ar-SA"/>
        </w:rPr>
      </w:pPr>
      <w:r>
        <w:rPr>
          <w:rFonts w:hint="eastAsia" w:ascii="仿宋_GB2312" w:hAnsi="仿宋_GB2312" w:eastAsia="仿宋_GB2312" w:cs="仿宋_GB2312"/>
          <w:snapToGrid w:val="0"/>
          <w:color w:val="000000"/>
          <w:spacing w:val="8"/>
          <w:kern w:val="0"/>
          <w:sz w:val="32"/>
          <w:szCs w:val="32"/>
          <w:highlight w:val="none"/>
          <w:lang w:val="en-US" w:eastAsia="en-US" w:bidi="ar-SA"/>
        </w:rPr>
        <w:t>农村生活污水治理(管控)是指以改变污水造成的脏乱差状况，</w:t>
      </w:r>
      <w:r>
        <w:rPr>
          <w:rFonts w:hint="eastAsia" w:ascii="仿宋_GB2312" w:hAnsi="仿宋_GB2312" w:eastAsia="仿宋_GB2312" w:cs="仿宋_GB2312"/>
          <w:snapToGrid w:val="0"/>
          <w:color w:val="000000"/>
          <w:spacing w:val="3"/>
          <w:kern w:val="0"/>
          <w:sz w:val="32"/>
          <w:szCs w:val="32"/>
          <w:highlight w:val="none"/>
          <w:lang w:val="en-US" w:eastAsia="en-US" w:bidi="ar-SA"/>
        </w:rPr>
        <w:t>杜绝未经处理直排环境为导向，行政村实现“三基本”:基本看不</w:t>
      </w:r>
      <w:r>
        <w:rPr>
          <w:rFonts w:hint="eastAsia" w:ascii="仿宋_GB2312" w:hAnsi="仿宋_GB2312" w:eastAsia="仿宋_GB2312" w:cs="仿宋_GB2312"/>
          <w:snapToGrid w:val="0"/>
          <w:color w:val="000000"/>
          <w:spacing w:val="5"/>
          <w:kern w:val="0"/>
          <w:sz w:val="32"/>
          <w:szCs w:val="32"/>
          <w:highlight w:val="none"/>
          <w:lang w:val="en-US" w:eastAsia="en-US" w:bidi="ar-SA"/>
        </w:rPr>
        <w:t>到污水横流，公共空间基本没有生活污水乱</w:t>
      </w:r>
      <w:r>
        <w:rPr>
          <w:rFonts w:hint="eastAsia" w:ascii="仿宋_GB2312" w:hAnsi="仿宋_GB2312" w:eastAsia="仿宋_GB2312" w:cs="仿宋_GB2312"/>
          <w:snapToGrid w:val="0"/>
          <w:color w:val="000000"/>
          <w:spacing w:val="4"/>
          <w:kern w:val="0"/>
          <w:sz w:val="32"/>
          <w:szCs w:val="32"/>
          <w:highlight w:val="none"/>
          <w:lang w:val="en-US" w:eastAsia="en-US" w:bidi="ar-SA"/>
        </w:rPr>
        <w:t>倒乱排现象；基本闻不到臭味，公共空间或房前屋后基本没有黑臭水体、臭水沟、臭水坑</w:t>
      </w:r>
      <w:r>
        <w:rPr>
          <w:rFonts w:hint="eastAsia" w:ascii="仿宋_GB2312" w:hAnsi="仿宋_GB2312" w:eastAsia="仿宋_GB2312" w:cs="仿宋_GB2312"/>
          <w:snapToGrid w:val="0"/>
          <w:color w:val="000000"/>
          <w:spacing w:val="-3"/>
          <w:kern w:val="0"/>
          <w:sz w:val="32"/>
          <w:szCs w:val="32"/>
          <w:highlight w:val="none"/>
          <w:lang w:val="en-US" w:eastAsia="en-US" w:bidi="ar-SA"/>
        </w:rPr>
        <w:t>等；基本听不到村民怨言，治理成效为多数村民群众认可。</w:t>
      </w:r>
    </w:p>
    <w:p w14:paraId="681F67C8">
      <w:pPr>
        <w:keepNext w:val="0"/>
        <w:keepLines w:val="0"/>
        <w:pageBreakBefore w:val="0"/>
        <w:widowControl/>
        <w:kinsoku w:val="0"/>
        <w:wordWrap/>
        <w:overflowPunct/>
        <w:topLinePunct w:val="0"/>
        <w:autoSpaceDE w:val="0"/>
        <w:autoSpaceDN w:val="0"/>
        <w:bidi w:val="0"/>
        <w:adjustRightInd w:val="0"/>
        <w:snapToGrid/>
        <w:spacing w:line="578" w:lineRule="exact"/>
        <w:ind w:left="0" w:right="0" w:firstLine="579"/>
        <w:jc w:val="left"/>
        <w:textAlignment w:val="baseline"/>
        <w:rPr>
          <w:rFonts w:hint="eastAsia" w:ascii="仿宋_GB2312" w:hAnsi="仿宋_GB2312" w:eastAsia="仿宋_GB2312" w:cs="仿宋_GB2312"/>
          <w:snapToGrid w:val="0"/>
          <w:color w:val="000000"/>
          <w:kern w:val="0"/>
          <w:sz w:val="32"/>
          <w:szCs w:val="32"/>
          <w:highlight w:val="none"/>
          <w:lang w:val="en-US" w:eastAsia="en-US" w:bidi="ar-SA"/>
        </w:rPr>
      </w:pPr>
      <w:r>
        <w:rPr>
          <w:rFonts w:hint="eastAsia" w:ascii="仿宋_GB2312" w:hAnsi="仿宋_GB2312" w:eastAsia="仿宋_GB2312" w:cs="仿宋_GB2312"/>
          <w:snapToGrid w:val="0"/>
          <w:color w:val="000000"/>
          <w:spacing w:val="2"/>
          <w:kern w:val="0"/>
          <w:sz w:val="32"/>
          <w:szCs w:val="32"/>
          <w:highlight w:val="none"/>
          <w:lang w:val="en-US" w:eastAsia="en-US" w:bidi="ar-SA"/>
        </w:rPr>
        <w:t>同时，建立农村生活污水处理设施运行维护长效机制，包括：</w:t>
      </w:r>
      <w:r>
        <w:rPr>
          <w:rFonts w:hint="eastAsia" w:ascii="仿宋_GB2312" w:hAnsi="仿宋_GB2312" w:eastAsia="仿宋_GB2312" w:cs="仿宋_GB2312"/>
          <w:snapToGrid w:val="0"/>
          <w:color w:val="000000"/>
          <w:spacing w:val="5"/>
          <w:kern w:val="0"/>
          <w:sz w:val="32"/>
          <w:szCs w:val="32"/>
          <w:highlight w:val="none"/>
          <w:lang w:val="en-US" w:eastAsia="en-US" w:bidi="ar-SA"/>
        </w:rPr>
        <w:t>落实运维责任主体，明确运维经费，落实日常运</w:t>
      </w:r>
      <w:r>
        <w:rPr>
          <w:rFonts w:hint="eastAsia" w:ascii="仿宋_GB2312" w:hAnsi="仿宋_GB2312" w:eastAsia="仿宋_GB2312" w:cs="仿宋_GB2312"/>
          <w:snapToGrid w:val="0"/>
          <w:color w:val="000000"/>
          <w:spacing w:val="4"/>
          <w:kern w:val="0"/>
          <w:sz w:val="32"/>
          <w:szCs w:val="32"/>
          <w:highlight w:val="none"/>
          <w:lang w:val="en-US" w:eastAsia="en-US" w:bidi="ar-SA"/>
        </w:rPr>
        <w:t>行、巡检、监测等</w:t>
      </w:r>
      <w:r>
        <w:rPr>
          <w:rFonts w:hint="eastAsia" w:ascii="仿宋_GB2312" w:hAnsi="仿宋_GB2312" w:eastAsia="仿宋_GB2312" w:cs="仿宋_GB2312"/>
          <w:snapToGrid w:val="0"/>
          <w:color w:val="000000"/>
          <w:spacing w:val="-5"/>
          <w:kern w:val="0"/>
          <w:sz w:val="32"/>
          <w:szCs w:val="32"/>
          <w:highlight w:val="none"/>
          <w:lang w:val="en-US" w:eastAsia="en-US" w:bidi="ar-SA"/>
        </w:rPr>
        <w:t>相关制度、村民参与制度等。</w:t>
      </w:r>
    </w:p>
    <w:p w14:paraId="1707CADA">
      <w:pPr>
        <w:keepNext w:val="0"/>
        <w:keepLines w:val="0"/>
        <w:pageBreakBefore w:val="0"/>
        <w:widowControl/>
        <w:kinsoku w:val="0"/>
        <w:wordWrap/>
        <w:overflowPunct/>
        <w:topLinePunct w:val="0"/>
        <w:autoSpaceDE w:val="0"/>
        <w:autoSpaceDN w:val="0"/>
        <w:bidi w:val="0"/>
        <w:adjustRightInd w:val="0"/>
        <w:snapToGrid/>
        <w:spacing w:line="578" w:lineRule="exact"/>
        <w:ind w:left="0" w:right="0" w:firstLine="708" w:firstLineChars="200"/>
        <w:jc w:val="left"/>
        <w:textAlignment w:val="baseline"/>
        <w:outlineLvl w:val="2"/>
        <w:rPr>
          <w:rFonts w:hint="eastAsia" w:ascii="楷体_GB2312" w:hAnsi="楷体_GB2312" w:eastAsia="楷体_GB2312" w:cs="楷体_GB2312"/>
          <w:b w:val="0"/>
          <w:bCs w:val="0"/>
          <w:snapToGrid w:val="0"/>
          <w:color w:val="000000"/>
          <w:kern w:val="0"/>
          <w:sz w:val="32"/>
          <w:szCs w:val="32"/>
          <w:highlight w:val="none"/>
          <w:lang w:eastAsia="en-US"/>
        </w:rPr>
      </w:pPr>
      <w:r>
        <w:rPr>
          <w:rFonts w:hint="eastAsia" w:ascii="楷体_GB2312" w:hAnsi="楷体_GB2312" w:eastAsia="楷体_GB2312" w:cs="楷体_GB2312"/>
          <w:b w:val="0"/>
          <w:bCs w:val="0"/>
          <w:snapToGrid w:val="0"/>
          <w:color w:val="000000"/>
          <w:spacing w:val="17"/>
          <w:kern w:val="0"/>
          <w:sz w:val="32"/>
          <w:szCs w:val="32"/>
          <w:highlight w:val="none"/>
          <w:lang w:eastAsia="en-US"/>
        </w:rPr>
        <w:t>(三)评估数据来源</w:t>
      </w:r>
    </w:p>
    <w:p w14:paraId="48400BF2">
      <w:pPr>
        <w:keepNext w:val="0"/>
        <w:keepLines w:val="0"/>
        <w:pageBreakBefore w:val="0"/>
        <w:widowControl/>
        <w:kinsoku w:val="0"/>
        <w:wordWrap/>
        <w:overflowPunct/>
        <w:topLinePunct w:val="0"/>
        <w:autoSpaceDE w:val="0"/>
        <w:autoSpaceDN w:val="0"/>
        <w:bidi w:val="0"/>
        <w:adjustRightInd w:val="0"/>
        <w:snapToGrid/>
        <w:spacing w:line="578" w:lineRule="exact"/>
        <w:ind w:left="0" w:right="0" w:firstLine="628" w:firstLineChars="200"/>
        <w:jc w:val="left"/>
        <w:textAlignment w:val="baseline"/>
        <w:rPr>
          <w:rFonts w:ascii="仿宋" w:hAnsi="仿宋" w:eastAsia="仿宋" w:cs="仿宋"/>
          <w:snapToGrid w:val="0"/>
          <w:color w:val="000000"/>
          <w:kern w:val="0"/>
          <w:sz w:val="32"/>
          <w:szCs w:val="32"/>
          <w:highlight w:val="none"/>
          <w:lang w:val="en-US" w:eastAsia="en-US" w:bidi="ar-SA"/>
        </w:rPr>
      </w:pPr>
      <w:r>
        <w:rPr>
          <w:rFonts w:ascii="仿宋" w:hAnsi="仿宋" w:eastAsia="仿宋" w:cs="仿宋"/>
          <w:snapToGrid w:val="0"/>
          <w:color w:val="000000"/>
          <w:spacing w:val="-3"/>
          <w:kern w:val="0"/>
          <w:sz w:val="32"/>
          <w:szCs w:val="32"/>
          <w:highlight w:val="none"/>
          <w:lang w:val="en-US" w:eastAsia="en-US" w:bidi="ar-SA"/>
        </w:rPr>
        <w:t>生态环境部门或者负责农村生活污水治理的相</w:t>
      </w:r>
      <w:r>
        <w:rPr>
          <w:rFonts w:ascii="仿宋" w:hAnsi="仿宋" w:eastAsia="仿宋" w:cs="仿宋"/>
          <w:snapToGrid w:val="0"/>
          <w:color w:val="000000"/>
          <w:spacing w:val="-4"/>
          <w:kern w:val="0"/>
          <w:sz w:val="32"/>
          <w:szCs w:val="32"/>
          <w:highlight w:val="none"/>
          <w:lang w:val="en-US" w:eastAsia="en-US" w:bidi="ar-SA"/>
        </w:rPr>
        <w:t>关部门。</w:t>
      </w:r>
    </w:p>
    <w:p w14:paraId="62883594">
      <w:pPr>
        <w:keepNext w:val="0"/>
        <w:keepLines w:val="0"/>
        <w:pageBreakBefore w:val="0"/>
        <w:widowControl/>
        <w:numPr>
          <w:ilvl w:val="0"/>
          <w:numId w:val="1"/>
        </w:numPr>
        <w:kinsoku w:val="0"/>
        <w:wordWrap/>
        <w:overflowPunct/>
        <w:topLinePunct w:val="0"/>
        <w:autoSpaceDE w:val="0"/>
        <w:autoSpaceDN w:val="0"/>
        <w:bidi w:val="0"/>
        <w:adjustRightInd w:val="0"/>
        <w:snapToGrid/>
        <w:spacing w:line="578" w:lineRule="exact"/>
        <w:ind w:left="0" w:right="0" w:firstLine="616" w:firstLineChars="200"/>
        <w:jc w:val="left"/>
        <w:textAlignment w:val="baseline"/>
        <w:outlineLvl w:val="2"/>
        <w:rPr>
          <w:rFonts w:hint="eastAsia" w:ascii="楷体_GB2312" w:hAnsi="楷体_GB2312" w:eastAsia="楷体_GB2312" w:cs="楷体_GB2312"/>
          <w:b w:val="0"/>
          <w:bCs w:val="0"/>
          <w:snapToGrid w:val="0"/>
          <w:color w:val="000000"/>
          <w:kern w:val="0"/>
          <w:sz w:val="32"/>
          <w:szCs w:val="32"/>
          <w:highlight w:val="none"/>
          <w:lang w:eastAsia="en-US"/>
        </w:rPr>
      </w:pPr>
      <w:r>
        <w:rPr>
          <w:rFonts w:ascii="黑体" w:hAnsi="黑体" w:eastAsia="黑体" w:cs="黑体"/>
          <w:b w:val="0"/>
          <w:bCs w:val="0"/>
          <w:snapToGrid w:val="0"/>
          <w:color w:val="000000"/>
          <w:spacing w:val="-6"/>
          <w:kern w:val="0"/>
          <w:sz w:val="32"/>
          <w:szCs w:val="32"/>
          <w:highlight w:val="none"/>
          <w:lang w:eastAsia="en-US"/>
        </w:rPr>
        <w:t>农村生活垃圾</w:t>
      </w:r>
    </w:p>
    <w:p w14:paraId="2E1F402D">
      <w:pPr>
        <w:keepNext w:val="0"/>
        <w:keepLines w:val="0"/>
        <w:pageBreakBefore w:val="0"/>
        <w:widowControl/>
        <w:numPr>
          <w:ilvl w:val="0"/>
          <w:numId w:val="0"/>
        </w:numPr>
        <w:kinsoku w:val="0"/>
        <w:wordWrap/>
        <w:overflowPunct/>
        <w:topLinePunct w:val="0"/>
        <w:autoSpaceDE w:val="0"/>
        <w:autoSpaceDN w:val="0"/>
        <w:bidi w:val="0"/>
        <w:adjustRightInd w:val="0"/>
        <w:snapToGrid/>
        <w:spacing w:line="578" w:lineRule="exact"/>
        <w:ind w:leftChars="200" w:right="0" w:rightChars="0"/>
        <w:jc w:val="left"/>
        <w:textAlignment w:val="baseline"/>
        <w:outlineLvl w:val="2"/>
        <w:rPr>
          <w:rFonts w:hint="eastAsia" w:ascii="楷体_GB2312" w:hAnsi="楷体_GB2312" w:eastAsia="楷体_GB2312" w:cs="楷体_GB2312"/>
          <w:b w:val="0"/>
          <w:bCs w:val="0"/>
          <w:snapToGrid w:val="0"/>
          <w:color w:val="000000"/>
          <w:kern w:val="0"/>
          <w:sz w:val="32"/>
          <w:szCs w:val="32"/>
          <w:highlight w:val="none"/>
          <w:lang w:eastAsia="en-US"/>
        </w:rPr>
      </w:pPr>
      <w:r>
        <w:rPr>
          <w:rFonts w:hint="eastAsia" w:ascii="楷体_GB2312" w:hAnsi="楷体_GB2312" w:eastAsia="楷体_GB2312" w:cs="楷体_GB2312"/>
          <w:b w:val="0"/>
          <w:bCs w:val="0"/>
          <w:snapToGrid w:val="0"/>
          <w:color w:val="000000"/>
          <w:spacing w:val="20"/>
          <w:kern w:val="0"/>
          <w:sz w:val="32"/>
          <w:szCs w:val="32"/>
          <w:highlight w:val="none"/>
          <w:lang w:eastAsia="zh-CN"/>
        </w:rPr>
        <w:t>（</w:t>
      </w:r>
      <w:r>
        <w:rPr>
          <w:rFonts w:hint="eastAsia" w:ascii="楷体_GB2312" w:hAnsi="楷体_GB2312" w:eastAsia="楷体_GB2312" w:cs="楷体_GB2312"/>
          <w:b w:val="0"/>
          <w:bCs w:val="0"/>
          <w:snapToGrid w:val="0"/>
          <w:color w:val="000000"/>
          <w:spacing w:val="20"/>
          <w:kern w:val="0"/>
          <w:sz w:val="32"/>
          <w:szCs w:val="32"/>
          <w:highlight w:val="none"/>
          <w:lang w:val="en-US" w:eastAsia="zh-CN"/>
        </w:rPr>
        <w:t>一</w:t>
      </w:r>
      <w:r>
        <w:rPr>
          <w:rFonts w:hint="eastAsia" w:ascii="楷体_GB2312" w:hAnsi="楷体_GB2312" w:eastAsia="楷体_GB2312" w:cs="楷体_GB2312"/>
          <w:b w:val="0"/>
          <w:bCs w:val="0"/>
          <w:snapToGrid w:val="0"/>
          <w:color w:val="000000"/>
          <w:spacing w:val="20"/>
          <w:kern w:val="0"/>
          <w:sz w:val="32"/>
          <w:szCs w:val="32"/>
          <w:highlight w:val="none"/>
          <w:lang w:eastAsia="zh-CN"/>
        </w:rPr>
        <w:t>）</w:t>
      </w:r>
      <w:r>
        <w:rPr>
          <w:rFonts w:hint="eastAsia" w:ascii="楷体_GB2312" w:hAnsi="楷体_GB2312" w:eastAsia="楷体_GB2312" w:cs="楷体_GB2312"/>
          <w:b w:val="0"/>
          <w:bCs w:val="0"/>
          <w:snapToGrid w:val="0"/>
          <w:color w:val="000000"/>
          <w:spacing w:val="20"/>
          <w:kern w:val="0"/>
          <w:sz w:val="32"/>
          <w:szCs w:val="32"/>
          <w:highlight w:val="none"/>
          <w:lang w:eastAsia="en-US"/>
        </w:rPr>
        <w:t>指标要求</w:t>
      </w:r>
    </w:p>
    <w:p w14:paraId="7C729F46">
      <w:pPr>
        <w:keepNext w:val="0"/>
        <w:keepLines w:val="0"/>
        <w:pageBreakBefore w:val="0"/>
        <w:widowControl/>
        <w:kinsoku w:val="0"/>
        <w:wordWrap/>
        <w:overflowPunct/>
        <w:topLinePunct w:val="0"/>
        <w:autoSpaceDE w:val="0"/>
        <w:autoSpaceDN w:val="0"/>
        <w:bidi w:val="0"/>
        <w:adjustRightInd w:val="0"/>
        <w:snapToGrid/>
        <w:spacing w:line="578" w:lineRule="exact"/>
        <w:ind w:left="0" w:right="0" w:firstLine="616" w:firstLineChars="200"/>
        <w:jc w:val="left"/>
        <w:textAlignment w:val="baseline"/>
        <w:rPr>
          <w:rFonts w:ascii="仿宋" w:hAnsi="仿宋" w:eastAsia="仿宋" w:cs="仿宋"/>
          <w:snapToGrid w:val="0"/>
          <w:color w:val="000000"/>
          <w:spacing w:val="-6"/>
          <w:kern w:val="0"/>
          <w:sz w:val="32"/>
          <w:szCs w:val="32"/>
          <w:highlight w:val="none"/>
          <w:lang w:val="en-US" w:eastAsia="en-US" w:bidi="ar-SA"/>
        </w:rPr>
      </w:pPr>
      <w:r>
        <w:rPr>
          <w:rFonts w:ascii="仿宋" w:hAnsi="仿宋" w:eastAsia="仿宋" w:cs="仿宋"/>
          <w:snapToGrid w:val="0"/>
          <w:color w:val="000000"/>
          <w:spacing w:val="-6"/>
          <w:kern w:val="0"/>
          <w:sz w:val="32"/>
          <w:szCs w:val="32"/>
          <w:highlight w:val="none"/>
          <w:lang w:val="en-US" w:eastAsia="en-US" w:bidi="ar-SA"/>
        </w:rPr>
        <w:t>农村生活垃圾有效治理。</w:t>
      </w:r>
    </w:p>
    <w:p w14:paraId="67483931">
      <w:pPr>
        <w:keepNext w:val="0"/>
        <w:keepLines w:val="0"/>
        <w:pageBreakBefore w:val="0"/>
        <w:widowControl/>
        <w:numPr>
          <w:ilvl w:val="0"/>
          <w:numId w:val="0"/>
        </w:numPr>
        <w:kinsoku w:val="0"/>
        <w:wordWrap/>
        <w:overflowPunct/>
        <w:topLinePunct w:val="0"/>
        <w:autoSpaceDE w:val="0"/>
        <w:autoSpaceDN w:val="0"/>
        <w:bidi w:val="0"/>
        <w:adjustRightInd w:val="0"/>
        <w:snapToGrid/>
        <w:spacing w:line="578" w:lineRule="exact"/>
        <w:ind w:right="0" w:rightChars="0" w:firstLine="336" w:firstLineChars="100"/>
        <w:jc w:val="left"/>
        <w:textAlignment w:val="baseline"/>
        <w:rPr>
          <w:rFonts w:hint="eastAsia" w:ascii="楷体_GB2312" w:hAnsi="楷体_GB2312" w:eastAsia="楷体_GB2312" w:cs="楷体_GB2312"/>
          <w:b w:val="0"/>
          <w:bCs w:val="0"/>
          <w:snapToGrid w:val="0"/>
          <w:color w:val="000000"/>
          <w:kern w:val="0"/>
          <w:sz w:val="32"/>
          <w:szCs w:val="32"/>
          <w:highlight w:val="none"/>
          <w:lang w:val="en-US" w:eastAsia="en-US" w:bidi="ar-SA"/>
        </w:rPr>
      </w:pPr>
      <w:r>
        <w:rPr>
          <w:rFonts w:hint="eastAsia" w:ascii="楷体_GB2312" w:hAnsi="楷体_GB2312" w:eastAsia="楷体_GB2312" w:cs="楷体_GB2312"/>
          <w:b w:val="0"/>
          <w:bCs w:val="0"/>
          <w:snapToGrid w:val="0"/>
          <w:color w:val="000000"/>
          <w:spacing w:val="8"/>
          <w:kern w:val="0"/>
          <w:sz w:val="32"/>
          <w:szCs w:val="32"/>
          <w:highlight w:val="none"/>
          <w:lang w:val="en-US" w:eastAsia="zh-CN" w:bidi="ar-SA"/>
        </w:rPr>
        <w:t>（二）</w:t>
      </w:r>
      <w:r>
        <w:rPr>
          <w:rFonts w:hint="eastAsia" w:ascii="楷体_GB2312" w:hAnsi="楷体_GB2312" w:eastAsia="楷体_GB2312" w:cs="楷体_GB2312"/>
          <w:b w:val="0"/>
          <w:bCs w:val="0"/>
          <w:snapToGrid w:val="0"/>
          <w:color w:val="000000"/>
          <w:spacing w:val="8"/>
          <w:kern w:val="0"/>
          <w:sz w:val="32"/>
          <w:szCs w:val="32"/>
          <w:highlight w:val="none"/>
          <w:lang w:val="en-US" w:eastAsia="en-US" w:bidi="ar-SA"/>
        </w:rPr>
        <w:t>指标解释</w:t>
      </w:r>
    </w:p>
    <w:p w14:paraId="532E11DE">
      <w:pPr>
        <w:keepNext w:val="0"/>
        <w:keepLines w:val="0"/>
        <w:pageBreakBefore w:val="0"/>
        <w:widowControl/>
        <w:numPr>
          <w:ilvl w:val="0"/>
          <w:numId w:val="0"/>
        </w:numPr>
        <w:kinsoku w:val="0"/>
        <w:wordWrap/>
        <w:overflowPunct/>
        <w:topLinePunct w:val="0"/>
        <w:autoSpaceDE w:val="0"/>
        <w:autoSpaceDN w:val="0"/>
        <w:bidi w:val="0"/>
        <w:adjustRightInd w:val="0"/>
        <w:snapToGrid/>
        <w:spacing w:line="540" w:lineRule="exact"/>
        <w:ind w:right="0" w:rightChars="0" w:firstLine="688" w:firstLineChars="200"/>
        <w:jc w:val="left"/>
        <w:textAlignment w:val="baseline"/>
        <w:rPr>
          <w:rFonts w:ascii="仿宋" w:hAnsi="仿宋" w:eastAsia="仿宋" w:cs="仿宋"/>
          <w:snapToGrid w:val="0"/>
          <w:color w:val="000000"/>
          <w:kern w:val="0"/>
          <w:sz w:val="32"/>
          <w:szCs w:val="32"/>
          <w:highlight w:val="none"/>
          <w:lang w:val="en-US" w:eastAsia="en-US" w:bidi="ar-SA"/>
        </w:rPr>
      </w:pPr>
      <w:r>
        <w:rPr>
          <w:rFonts w:ascii="仿宋" w:hAnsi="仿宋" w:eastAsia="仿宋" w:cs="仿宋"/>
          <w:snapToGrid w:val="0"/>
          <w:color w:val="000000"/>
          <w:spacing w:val="12"/>
          <w:kern w:val="0"/>
          <w:sz w:val="32"/>
          <w:szCs w:val="32"/>
          <w:highlight w:val="none"/>
          <w:lang w:val="en-US" w:eastAsia="en-US" w:bidi="ar-SA"/>
        </w:rPr>
        <w:t>基本建立有制度、有标准、有队伍、有经费、有监督的农村生</w:t>
      </w:r>
      <w:r>
        <w:rPr>
          <w:rFonts w:ascii="仿宋" w:hAnsi="仿宋" w:eastAsia="仿宋" w:cs="仿宋"/>
          <w:snapToGrid w:val="0"/>
          <w:color w:val="000000"/>
          <w:spacing w:val="10"/>
          <w:kern w:val="0"/>
          <w:sz w:val="32"/>
          <w:szCs w:val="32"/>
          <w:highlight w:val="none"/>
          <w:lang w:val="en-US" w:eastAsia="en-US" w:bidi="ar-SA"/>
        </w:rPr>
        <w:t>活垃圾管护机制，定期清理处置生活垃圾，无明显的生活垃圾乱堆</w:t>
      </w:r>
      <w:r>
        <w:rPr>
          <w:rFonts w:ascii="仿宋" w:hAnsi="仿宋" w:eastAsia="仿宋" w:cs="仿宋"/>
          <w:snapToGrid w:val="0"/>
          <w:color w:val="000000"/>
          <w:spacing w:val="-10"/>
          <w:kern w:val="0"/>
          <w:sz w:val="32"/>
          <w:szCs w:val="32"/>
          <w:highlight w:val="none"/>
          <w:lang w:val="en-US" w:eastAsia="en-US" w:bidi="ar-SA"/>
        </w:rPr>
        <w:t>乱倒现象。</w:t>
      </w:r>
    </w:p>
    <w:p w14:paraId="59FFD70A">
      <w:pPr>
        <w:keepNext w:val="0"/>
        <w:keepLines w:val="0"/>
        <w:pageBreakBefore w:val="0"/>
        <w:widowControl/>
        <w:kinsoku w:val="0"/>
        <w:wordWrap/>
        <w:overflowPunct/>
        <w:topLinePunct w:val="0"/>
        <w:autoSpaceDE w:val="0"/>
        <w:autoSpaceDN w:val="0"/>
        <w:bidi w:val="0"/>
        <w:adjustRightInd w:val="0"/>
        <w:snapToGrid/>
        <w:spacing w:line="540" w:lineRule="exact"/>
        <w:ind w:left="0" w:right="0" w:firstLine="656" w:firstLineChars="200"/>
        <w:jc w:val="left"/>
        <w:textAlignment w:val="baseline"/>
        <w:outlineLvl w:val="2"/>
        <w:rPr>
          <w:rFonts w:hint="eastAsia" w:ascii="楷体_GB2312" w:hAnsi="楷体_GB2312" w:eastAsia="楷体_GB2312" w:cs="楷体_GB2312"/>
          <w:b w:val="0"/>
          <w:bCs w:val="0"/>
          <w:snapToGrid w:val="0"/>
          <w:color w:val="000000"/>
          <w:kern w:val="0"/>
          <w:sz w:val="32"/>
          <w:szCs w:val="32"/>
          <w:highlight w:val="none"/>
          <w:lang w:eastAsia="en-US"/>
        </w:rPr>
      </w:pPr>
      <w:r>
        <w:rPr>
          <w:rFonts w:hint="eastAsia" w:ascii="楷体_GB2312" w:hAnsi="楷体_GB2312" w:eastAsia="楷体_GB2312" w:cs="楷体_GB2312"/>
          <w:b w:val="0"/>
          <w:bCs w:val="0"/>
          <w:snapToGrid w:val="0"/>
          <w:color w:val="000000"/>
          <w:spacing w:val="4"/>
          <w:kern w:val="0"/>
          <w:sz w:val="32"/>
          <w:szCs w:val="32"/>
          <w:highlight w:val="none"/>
          <w:lang w:eastAsia="en-US"/>
        </w:rPr>
        <w:t>(三)评估数据来源</w:t>
      </w:r>
    </w:p>
    <w:p w14:paraId="07CD7BD4">
      <w:pPr>
        <w:keepNext w:val="0"/>
        <w:keepLines w:val="0"/>
        <w:pageBreakBefore w:val="0"/>
        <w:widowControl/>
        <w:kinsoku w:val="0"/>
        <w:wordWrap/>
        <w:overflowPunct/>
        <w:topLinePunct w:val="0"/>
        <w:autoSpaceDE w:val="0"/>
        <w:autoSpaceDN w:val="0"/>
        <w:bidi w:val="0"/>
        <w:adjustRightInd w:val="0"/>
        <w:snapToGrid/>
        <w:spacing w:line="540" w:lineRule="exact"/>
        <w:ind w:left="0" w:right="0" w:firstLine="640" w:firstLineChars="200"/>
        <w:jc w:val="left"/>
        <w:textAlignment w:val="baseline"/>
        <w:rPr>
          <w:rFonts w:ascii="仿宋" w:hAnsi="仿宋" w:eastAsia="仿宋" w:cs="仿宋"/>
          <w:snapToGrid w:val="0"/>
          <w:color w:val="000000"/>
          <w:kern w:val="0"/>
          <w:sz w:val="32"/>
          <w:szCs w:val="32"/>
          <w:highlight w:val="none"/>
          <w:lang w:val="en-US" w:eastAsia="en-US" w:bidi="ar-SA"/>
        </w:rPr>
      </w:pPr>
      <w:r>
        <w:rPr>
          <w:rFonts w:ascii="仿宋" w:hAnsi="仿宋" w:eastAsia="仿宋" w:cs="仿宋"/>
          <w:snapToGrid w:val="0"/>
          <w:color w:val="000000"/>
          <w:kern w:val="0"/>
          <w:sz w:val="32"/>
          <w:szCs w:val="32"/>
          <w:highlight w:val="none"/>
          <w:lang w:val="en-US" w:eastAsia="en-US" w:bidi="ar-SA"/>
        </w:rPr>
        <w:t>负责农村生活垃圾治理的相关部门。</w:t>
      </w:r>
    </w:p>
    <w:p w14:paraId="4FC190C3">
      <w:pPr>
        <w:keepNext w:val="0"/>
        <w:keepLines w:val="0"/>
        <w:pageBreakBefore w:val="0"/>
        <w:widowControl/>
        <w:kinsoku w:val="0"/>
        <w:wordWrap/>
        <w:overflowPunct/>
        <w:topLinePunct w:val="0"/>
        <w:autoSpaceDE w:val="0"/>
        <w:autoSpaceDN w:val="0"/>
        <w:bidi w:val="0"/>
        <w:adjustRightInd w:val="0"/>
        <w:snapToGrid/>
        <w:spacing w:line="540" w:lineRule="exact"/>
        <w:ind w:left="0" w:right="0" w:firstLine="648" w:firstLineChars="200"/>
        <w:jc w:val="left"/>
        <w:textAlignment w:val="baseline"/>
        <w:outlineLvl w:val="2"/>
        <w:rPr>
          <w:rFonts w:ascii="黑体" w:hAnsi="黑体" w:eastAsia="黑体" w:cs="黑体"/>
          <w:b w:val="0"/>
          <w:bCs w:val="0"/>
          <w:snapToGrid w:val="0"/>
          <w:color w:val="000000"/>
          <w:kern w:val="0"/>
          <w:sz w:val="32"/>
          <w:szCs w:val="32"/>
          <w:highlight w:val="none"/>
          <w:lang w:eastAsia="en-US"/>
        </w:rPr>
      </w:pPr>
      <w:r>
        <w:rPr>
          <w:rFonts w:ascii="黑体" w:hAnsi="黑体" w:eastAsia="黑体" w:cs="黑体"/>
          <w:b w:val="0"/>
          <w:bCs w:val="0"/>
          <w:snapToGrid w:val="0"/>
          <w:color w:val="000000"/>
          <w:spacing w:val="2"/>
          <w:kern w:val="0"/>
          <w:sz w:val="32"/>
          <w:szCs w:val="32"/>
          <w:highlight w:val="none"/>
          <w:lang w:eastAsia="en-US"/>
        </w:rPr>
        <w:t>三、农村黑臭水体</w:t>
      </w:r>
    </w:p>
    <w:p w14:paraId="7ADCF1B0">
      <w:pPr>
        <w:keepNext w:val="0"/>
        <w:keepLines w:val="0"/>
        <w:pageBreakBefore w:val="0"/>
        <w:widowControl/>
        <w:kinsoku w:val="0"/>
        <w:wordWrap/>
        <w:overflowPunct/>
        <w:topLinePunct w:val="0"/>
        <w:autoSpaceDE w:val="0"/>
        <w:autoSpaceDN w:val="0"/>
        <w:bidi w:val="0"/>
        <w:adjustRightInd w:val="0"/>
        <w:snapToGrid/>
        <w:spacing w:line="540" w:lineRule="exact"/>
        <w:ind w:left="0" w:right="0" w:firstLine="676" w:firstLineChars="200"/>
        <w:jc w:val="left"/>
        <w:textAlignment w:val="baseline"/>
        <w:outlineLvl w:val="2"/>
        <w:rPr>
          <w:rFonts w:hint="eastAsia" w:ascii="楷体_GB2312" w:hAnsi="楷体_GB2312" w:eastAsia="楷体_GB2312" w:cs="楷体_GB2312"/>
          <w:b w:val="0"/>
          <w:bCs w:val="0"/>
          <w:snapToGrid w:val="0"/>
          <w:color w:val="000000"/>
          <w:kern w:val="0"/>
          <w:sz w:val="32"/>
          <w:szCs w:val="32"/>
          <w:highlight w:val="none"/>
          <w:lang w:eastAsia="en-US"/>
        </w:rPr>
      </w:pPr>
      <w:r>
        <w:rPr>
          <w:rFonts w:hint="eastAsia" w:ascii="楷体_GB2312" w:hAnsi="楷体_GB2312" w:eastAsia="楷体_GB2312" w:cs="楷体_GB2312"/>
          <w:b w:val="0"/>
          <w:bCs w:val="0"/>
          <w:snapToGrid w:val="0"/>
          <w:color w:val="000000"/>
          <w:spacing w:val="9"/>
          <w:kern w:val="0"/>
          <w:sz w:val="32"/>
          <w:szCs w:val="32"/>
          <w:highlight w:val="none"/>
          <w:lang w:eastAsia="en-US"/>
        </w:rPr>
        <w:t>(一)指标要求</w:t>
      </w:r>
    </w:p>
    <w:p w14:paraId="08ED50F4">
      <w:pPr>
        <w:keepNext w:val="0"/>
        <w:keepLines w:val="0"/>
        <w:pageBreakBefore w:val="0"/>
        <w:widowControl/>
        <w:kinsoku w:val="0"/>
        <w:wordWrap/>
        <w:overflowPunct/>
        <w:topLinePunct w:val="0"/>
        <w:autoSpaceDE w:val="0"/>
        <w:autoSpaceDN w:val="0"/>
        <w:bidi w:val="0"/>
        <w:adjustRightInd w:val="0"/>
        <w:snapToGrid/>
        <w:spacing w:line="540" w:lineRule="exact"/>
        <w:ind w:left="0" w:right="0" w:firstLine="636" w:firstLineChars="200"/>
        <w:jc w:val="left"/>
        <w:textAlignment w:val="baseline"/>
        <w:rPr>
          <w:rFonts w:ascii="仿宋" w:hAnsi="仿宋" w:eastAsia="仿宋" w:cs="仿宋"/>
          <w:snapToGrid w:val="0"/>
          <w:color w:val="000000"/>
          <w:kern w:val="0"/>
          <w:sz w:val="32"/>
          <w:szCs w:val="32"/>
          <w:highlight w:val="none"/>
          <w:lang w:val="en-US" w:eastAsia="en-US" w:bidi="ar-SA"/>
        </w:rPr>
      </w:pPr>
      <w:r>
        <w:rPr>
          <w:rFonts w:ascii="仿宋" w:hAnsi="仿宋" w:eastAsia="仿宋" w:cs="仿宋"/>
          <w:snapToGrid w:val="0"/>
          <w:color w:val="000000"/>
          <w:spacing w:val="-1"/>
          <w:kern w:val="0"/>
          <w:sz w:val="32"/>
          <w:szCs w:val="32"/>
          <w:highlight w:val="none"/>
          <w:lang w:val="en-US" w:eastAsia="en-US" w:bidi="ar-SA"/>
        </w:rPr>
        <w:t>农村黑臭水体基本消除。</w:t>
      </w:r>
    </w:p>
    <w:p w14:paraId="5DB4A56C">
      <w:pPr>
        <w:keepNext w:val="0"/>
        <w:keepLines w:val="0"/>
        <w:pageBreakBefore w:val="0"/>
        <w:widowControl/>
        <w:kinsoku w:val="0"/>
        <w:wordWrap/>
        <w:overflowPunct/>
        <w:topLinePunct w:val="0"/>
        <w:autoSpaceDE w:val="0"/>
        <w:autoSpaceDN w:val="0"/>
        <w:bidi w:val="0"/>
        <w:adjustRightInd w:val="0"/>
        <w:snapToGrid/>
        <w:spacing w:line="540" w:lineRule="exact"/>
        <w:ind w:left="0" w:right="0" w:firstLine="684" w:firstLineChars="200"/>
        <w:jc w:val="left"/>
        <w:textAlignment w:val="baseline"/>
        <w:outlineLvl w:val="2"/>
        <w:rPr>
          <w:rFonts w:hint="eastAsia" w:ascii="楷体_GB2312" w:hAnsi="楷体_GB2312" w:eastAsia="楷体_GB2312" w:cs="楷体_GB2312"/>
          <w:b w:val="0"/>
          <w:bCs w:val="0"/>
          <w:snapToGrid w:val="0"/>
          <w:color w:val="000000"/>
          <w:kern w:val="0"/>
          <w:sz w:val="32"/>
          <w:szCs w:val="32"/>
          <w:highlight w:val="none"/>
          <w:lang w:eastAsia="en-US"/>
        </w:rPr>
      </w:pPr>
      <w:r>
        <w:rPr>
          <w:rFonts w:hint="eastAsia" w:ascii="楷体_GB2312" w:hAnsi="楷体_GB2312" w:eastAsia="楷体_GB2312" w:cs="楷体_GB2312"/>
          <w:b w:val="0"/>
          <w:bCs w:val="0"/>
          <w:snapToGrid w:val="0"/>
          <w:color w:val="000000"/>
          <w:spacing w:val="11"/>
          <w:kern w:val="0"/>
          <w:sz w:val="32"/>
          <w:szCs w:val="32"/>
          <w:highlight w:val="none"/>
          <w:lang w:eastAsia="en-US"/>
        </w:rPr>
        <w:t>(二)指标解释</w:t>
      </w:r>
    </w:p>
    <w:p w14:paraId="14724A58">
      <w:pPr>
        <w:keepNext w:val="0"/>
        <w:keepLines w:val="0"/>
        <w:pageBreakBefore w:val="0"/>
        <w:widowControl/>
        <w:kinsoku w:val="0"/>
        <w:wordWrap/>
        <w:overflowPunct/>
        <w:topLinePunct w:val="0"/>
        <w:autoSpaceDE w:val="0"/>
        <w:autoSpaceDN w:val="0"/>
        <w:bidi w:val="0"/>
        <w:adjustRightInd w:val="0"/>
        <w:snapToGrid/>
        <w:spacing w:line="578" w:lineRule="exact"/>
        <w:ind w:left="0" w:right="0" w:firstLine="601"/>
        <w:jc w:val="both"/>
        <w:textAlignment w:val="baseline"/>
        <w:rPr>
          <w:rFonts w:hint="eastAsia" w:ascii="仿宋_GB2312" w:hAnsi="仿宋_GB2312" w:eastAsia="仿宋_GB2312" w:cs="仿宋_GB2312"/>
          <w:snapToGrid w:val="0"/>
          <w:color w:val="000000"/>
          <w:kern w:val="0"/>
          <w:sz w:val="32"/>
          <w:szCs w:val="32"/>
          <w:highlight w:val="none"/>
          <w:lang w:val="en-US" w:eastAsia="en-US" w:bidi="ar-SA"/>
        </w:rPr>
      </w:pPr>
      <w:r>
        <w:rPr>
          <w:rFonts w:hint="eastAsia" w:ascii="仿宋_GB2312" w:hAnsi="仿宋_GB2312" w:eastAsia="仿宋_GB2312" w:cs="仿宋_GB2312"/>
          <w:snapToGrid w:val="0"/>
          <w:color w:val="000000"/>
          <w:spacing w:val="6"/>
          <w:kern w:val="0"/>
          <w:sz w:val="32"/>
          <w:szCs w:val="32"/>
          <w:highlight w:val="none"/>
          <w:lang w:val="en-US" w:eastAsia="en-US" w:bidi="ar-SA"/>
        </w:rPr>
        <w:t>按照《农村黑臭水体治理工作指南》,认定黑臭水体治理完成情</w:t>
      </w:r>
      <w:r>
        <w:rPr>
          <w:rFonts w:hint="eastAsia" w:ascii="仿宋_GB2312" w:hAnsi="仿宋_GB2312" w:eastAsia="仿宋_GB2312" w:cs="仿宋_GB2312"/>
          <w:snapToGrid w:val="0"/>
          <w:color w:val="000000"/>
          <w:spacing w:val="12"/>
          <w:kern w:val="0"/>
          <w:sz w:val="32"/>
          <w:szCs w:val="32"/>
          <w:highlight w:val="none"/>
          <w:lang w:val="en-US" w:eastAsia="en-US" w:bidi="ar-SA"/>
        </w:rPr>
        <w:t>况。县域内无农村黑臭水体，或县域内所有</w:t>
      </w:r>
      <w:r>
        <w:rPr>
          <w:rFonts w:hint="eastAsia" w:ascii="仿宋_GB2312" w:hAnsi="仿宋_GB2312" w:eastAsia="仿宋_GB2312" w:cs="仿宋_GB2312"/>
          <w:snapToGrid w:val="0"/>
          <w:color w:val="000000"/>
          <w:spacing w:val="11"/>
          <w:kern w:val="0"/>
          <w:sz w:val="32"/>
          <w:szCs w:val="32"/>
          <w:highlight w:val="none"/>
          <w:lang w:val="en-US" w:eastAsia="en-US" w:bidi="ar-SA"/>
        </w:rPr>
        <w:t>排查上报的农村黑臭水体达到治理要求，或零星散发的农村黑臭水体及时排查治理并基本</w:t>
      </w:r>
      <w:r>
        <w:rPr>
          <w:rFonts w:hint="eastAsia" w:ascii="仿宋_GB2312" w:hAnsi="仿宋_GB2312" w:eastAsia="仿宋_GB2312" w:cs="仿宋_GB2312"/>
          <w:snapToGrid w:val="0"/>
          <w:color w:val="000000"/>
          <w:kern w:val="0"/>
          <w:sz w:val="32"/>
          <w:szCs w:val="32"/>
          <w:highlight w:val="none"/>
          <w:lang w:val="en-US" w:eastAsia="en-US" w:bidi="ar-SA"/>
        </w:rPr>
        <w:t>消除的，认为该指标合格。</w:t>
      </w:r>
    </w:p>
    <w:p w14:paraId="573798D6">
      <w:pPr>
        <w:keepNext w:val="0"/>
        <w:keepLines w:val="0"/>
        <w:pageBreakBefore w:val="0"/>
        <w:widowControl/>
        <w:kinsoku w:val="0"/>
        <w:wordWrap/>
        <w:overflowPunct/>
        <w:topLinePunct w:val="0"/>
        <w:autoSpaceDE w:val="0"/>
        <w:autoSpaceDN w:val="0"/>
        <w:bidi w:val="0"/>
        <w:adjustRightInd w:val="0"/>
        <w:snapToGrid/>
        <w:spacing w:line="578" w:lineRule="exact"/>
        <w:ind w:left="0" w:right="0" w:firstLine="601"/>
        <w:jc w:val="both"/>
        <w:textAlignment w:val="baseline"/>
        <w:rPr>
          <w:rFonts w:hint="eastAsia" w:ascii="仿宋_GB2312" w:hAnsi="仿宋_GB2312" w:eastAsia="仿宋_GB2312" w:cs="仿宋_GB2312"/>
          <w:snapToGrid w:val="0"/>
          <w:color w:val="000000"/>
          <w:kern w:val="0"/>
          <w:sz w:val="32"/>
          <w:szCs w:val="32"/>
          <w:highlight w:val="none"/>
          <w:lang w:val="en-US" w:eastAsia="en-US" w:bidi="ar-SA"/>
        </w:rPr>
      </w:pPr>
      <w:r>
        <w:rPr>
          <w:rFonts w:hint="eastAsia" w:ascii="仿宋_GB2312" w:hAnsi="仿宋_GB2312" w:eastAsia="仿宋_GB2312" w:cs="仿宋_GB2312"/>
          <w:snapToGrid w:val="0"/>
          <w:color w:val="000000"/>
          <w:spacing w:val="17"/>
          <w:kern w:val="0"/>
          <w:sz w:val="32"/>
          <w:szCs w:val="32"/>
          <w:highlight w:val="none"/>
          <w:lang w:val="en-US" w:eastAsia="en-US" w:bidi="ar-SA"/>
        </w:rPr>
        <w:t>发现县域范围内3条及以上农村黑臭水体未达到治理要求，或</w:t>
      </w:r>
      <w:r>
        <w:rPr>
          <w:rFonts w:hint="eastAsia" w:ascii="仿宋_GB2312" w:hAnsi="仿宋_GB2312" w:eastAsia="仿宋_GB2312" w:cs="仿宋_GB2312"/>
          <w:snapToGrid w:val="0"/>
          <w:color w:val="000000"/>
          <w:spacing w:val="5"/>
          <w:kern w:val="0"/>
          <w:sz w:val="32"/>
          <w:szCs w:val="32"/>
          <w:highlight w:val="none"/>
          <w:lang w:val="en-US" w:eastAsia="en-US" w:bidi="ar-SA"/>
        </w:rPr>
        <w:t>发现3条及以上不在治理清单内的新增农村黑臭水体，或未达到治</w:t>
      </w:r>
      <w:r>
        <w:rPr>
          <w:rFonts w:hint="eastAsia" w:ascii="仿宋_GB2312" w:hAnsi="仿宋_GB2312" w:eastAsia="仿宋_GB2312" w:cs="仿宋_GB2312"/>
          <w:snapToGrid w:val="0"/>
          <w:color w:val="000000"/>
          <w:spacing w:val="17"/>
          <w:kern w:val="0"/>
          <w:sz w:val="32"/>
          <w:szCs w:val="32"/>
          <w:highlight w:val="none"/>
          <w:lang w:val="en-US" w:eastAsia="en-US" w:bidi="ar-SA"/>
        </w:rPr>
        <w:t>理要求的水体和发现新增黑臭水体一共达到3条</w:t>
      </w:r>
      <w:r>
        <w:rPr>
          <w:rFonts w:hint="eastAsia" w:ascii="仿宋_GB2312" w:hAnsi="仿宋_GB2312" w:eastAsia="仿宋_GB2312" w:cs="仿宋_GB2312"/>
          <w:snapToGrid w:val="0"/>
          <w:color w:val="000000"/>
          <w:spacing w:val="16"/>
          <w:kern w:val="0"/>
          <w:sz w:val="32"/>
          <w:szCs w:val="32"/>
          <w:highlight w:val="none"/>
          <w:lang w:val="en-US" w:eastAsia="en-US" w:bidi="ar-SA"/>
        </w:rPr>
        <w:t>及以上，则视为该</w:t>
      </w:r>
      <w:r>
        <w:rPr>
          <w:rFonts w:hint="eastAsia" w:ascii="仿宋_GB2312" w:hAnsi="仿宋_GB2312" w:eastAsia="仿宋_GB2312" w:cs="仿宋_GB2312"/>
          <w:snapToGrid w:val="0"/>
          <w:color w:val="000000"/>
          <w:spacing w:val="-5"/>
          <w:kern w:val="0"/>
          <w:sz w:val="32"/>
          <w:szCs w:val="32"/>
          <w:highlight w:val="none"/>
          <w:lang w:val="en-US" w:eastAsia="en-US" w:bidi="ar-SA"/>
        </w:rPr>
        <w:t>指标不合格。</w:t>
      </w:r>
    </w:p>
    <w:p w14:paraId="0C4A7FA4">
      <w:pPr>
        <w:keepNext w:val="0"/>
        <w:keepLines w:val="0"/>
        <w:pageBreakBefore w:val="0"/>
        <w:widowControl/>
        <w:kinsoku w:val="0"/>
        <w:wordWrap/>
        <w:overflowPunct/>
        <w:topLinePunct w:val="0"/>
        <w:autoSpaceDE w:val="0"/>
        <w:autoSpaceDN w:val="0"/>
        <w:bidi w:val="0"/>
        <w:adjustRightInd w:val="0"/>
        <w:snapToGrid/>
        <w:spacing w:line="578" w:lineRule="exact"/>
        <w:ind w:left="0" w:right="0" w:firstLine="601"/>
        <w:jc w:val="left"/>
        <w:textAlignment w:val="baseline"/>
        <w:rPr>
          <w:rFonts w:hint="eastAsia" w:ascii="仿宋_GB2312" w:hAnsi="仿宋_GB2312" w:eastAsia="仿宋_GB2312" w:cs="仿宋_GB2312"/>
          <w:snapToGrid w:val="0"/>
          <w:color w:val="000000"/>
          <w:kern w:val="0"/>
          <w:sz w:val="32"/>
          <w:szCs w:val="32"/>
          <w:highlight w:val="none"/>
          <w:lang w:val="en-US" w:eastAsia="en-US" w:bidi="ar-SA"/>
        </w:rPr>
      </w:pPr>
      <w:r>
        <w:rPr>
          <w:rFonts w:hint="eastAsia" w:ascii="仿宋_GB2312" w:hAnsi="仿宋_GB2312" w:eastAsia="仿宋_GB2312" w:cs="仿宋_GB2312"/>
          <w:snapToGrid w:val="0"/>
          <w:color w:val="000000"/>
          <w:spacing w:val="1"/>
          <w:kern w:val="0"/>
          <w:sz w:val="32"/>
          <w:szCs w:val="32"/>
          <w:highlight w:val="none"/>
          <w:lang w:val="en-US" w:eastAsia="en-US" w:bidi="ar-SA"/>
        </w:rPr>
        <w:t>同时，建立农村黑臭水体治理长效管护机制，包括：水体巡查和</w:t>
      </w:r>
      <w:r>
        <w:rPr>
          <w:rFonts w:hint="eastAsia" w:ascii="仿宋_GB2312" w:hAnsi="仿宋_GB2312" w:eastAsia="仿宋_GB2312" w:cs="仿宋_GB2312"/>
          <w:snapToGrid w:val="0"/>
          <w:color w:val="000000"/>
          <w:spacing w:val="-5"/>
          <w:kern w:val="0"/>
          <w:sz w:val="32"/>
          <w:szCs w:val="32"/>
          <w:highlight w:val="none"/>
          <w:lang w:val="en-US" w:eastAsia="en-US" w:bidi="ar-SA"/>
        </w:rPr>
        <w:t>保洁制度、污染治理设施管护制度、村民参与</w:t>
      </w:r>
      <w:r>
        <w:rPr>
          <w:rFonts w:hint="eastAsia" w:ascii="仿宋_GB2312" w:hAnsi="仿宋_GB2312" w:eastAsia="仿宋_GB2312" w:cs="仿宋_GB2312"/>
          <w:snapToGrid w:val="0"/>
          <w:color w:val="000000"/>
          <w:spacing w:val="-6"/>
          <w:kern w:val="0"/>
          <w:sz w:val="32"/>
          <w:szCs w:val="32"/>
          <w:highlight w:val="none"/>
          <w:lang w:val="en-US" w:eastAsia="en-US" w:bidi="ar-SA"/>
        </w:rPr>
        <w:t>制度、社会监督制度等。</w:t>
      </w:r>
    </w:p>
    <w:p w14:paraId="08F33217">
      <w:pPr>
        <w:keepNext w:val="0"/>
        <w:keepLines w:val="0"/>
        <w:pageBreakBefore w:val="0"/>
        <w:widowControl/>
        <w:kinsoku w:val="0"/>
        <w:wordWrap/>
        <w:overflowPunct/>
        <w:topLinePunct w:val="0"/>
        <w:autoSpaceDE w:val="0"/>
        <w:autoSpaceDN w:val="0"/>
        <w:bidi w:val="0"/>
        <w:adjustRightInd w:val="0"/>
        <w:snapToGrid/>
        <w:spacing w:line="540" w:lineRule="exact"/>
        <w:ind w:left="0" w:right="0" w:firstLine="732" w:firstLineChars="200"/>
        <w:jc w:val="left"/>
        <w:textAlignment w:val="baseline"/>
        <w:outlineLvl w:val="2"/>
        <w:rPr>
          <w:rFonts w:hint="eastAsia" w:ascii="楷体_GB2312" w:hAnsi="楷体_GB2312" w:eastAsia="楷体_GB2312" w:cs="楷体_GB2312"/>
          <w:b w:val="0"/>
          <w:bCs w:val="0"/>
          <w:snapToGrid w:val="0"/>
          <w:color w:val="000000"/>
          <w:kern w:val="0"/>
          <w:sz w:val="32"/>
          <w:szCs w:val="32"/>
          <w:highlight w:val="none"/>
          <w:lang w:eastAsia="en-US"/>
        </w:rPr>
      </w:pPr>
      <w:r>
        <w:rPr>
          <w:rFonts w:hint="eastAsia" w:ascii="楷体_GB2312" w:hAnsi="楷体_GB2312" w:eastAsia="楷体_GB2312" w:cs="楷体_GB2312"/>
          <w:b w:val="0"/>
          <w:bCs w:val="0"/>
          <w:snapToGrid w:val="0"/>
          <w:color w:val="000000"/>
          <w:spacing w:val="23"/>
          <w:kern w:val="0"/>
          <w:sz w:val="32"/>
          <w:szCs w:val="32"/>
          <w:highlight w:val="none"/>
          <w:lang w:eastAsia="en-US"/>
        </w:rPr>
        <w:t>(三)评估数据来源</w:t>
      </w:r>
    </w:p>
    <w:p w14:paraId="47CF0CCE">
      <w:pPr>
        <w:keepNext w:val="0"/>
        <w:keepLines w:val="0"/>
        <w:pageBreakBefore w:val="0"/>
        <w:widowControl/>
        <w:kinsoku w:val="0"/>
        <w:wordWrap/>
        <w:overflowPunct/>
        <w:topLinePunct w:val="0"/>
        <w:autoSpaceDE w:val="0"/>
        <w:autoSpaceDN w:val="0"/>
        <w:bidi w:val="0"/>
        <w:adjustRightInd w:val="0"/>
        <w:snapToGrid/>
        <w:spacing w:line="578" w:lineRule="exact"/>
        <w:ind w:left="0" w:right="0" w:firstLine="648" w:firstLineChars="200"/>
        <w:jc w:val="left"/>
        <w:textAlignment w:val="baseline"/>
        <w:rPr>
          <w:rFonts w:ascii="仿宋" w:hAnsi="仿宋" w:eastAsia="仿宋" w:cs="仿宋"/>
          <w:snapToGrid w:val="0"/>
          <w:color w:val="000000"/>
          <w:kern w:val="0"/>
          <w:sz w:val="32"/>
          <w:szCs w:val="32"/>
          <w:highlight w:val="none"/>
          <w:lang w:val="en-US" w:eastAsia="en-US" w:bidi="ar-SA"/>
        </w:rPr>
      </w:pPr>
      <w:r>
        <w:rPr>
          <w:rFonts w:hint="eastAsia" w:ascii="仿宋_GB2312" w:hAnsi="仿宋_GB2312" w:eastAsia="仿宋_GB2312" w:cs="仿宋_GB2312"/>
          <w:snapToGrid w:val="0"/>
          <w:color w:val="000000"/>
          <w:spacing w:val="2"/>
          <w:kern w:val="0"/>
          <w:sz w:val="32"/>
          <w:szCs w:val="32"/>
          <w:highlight w:val="none"/>
          <w:lang w:val="en-US" w:eastAsia="en-US" w:bidi="ar-SA"/>
        </w:rPr>
        <w:t>生态环境、农业农村、水利等相关部门</w:t>
      </w:r>
      <w:r>
        <w:rPr>
          <w:rFonts w:ascii="仿宋" w:hAnsi="仿宋" w:eastAsia="仿宋" w:cs="仿宋"/>
          <w:snapToGrid w:val="0"/>
          <w:color w:val="000000"/>
          <w:spacing w:val="2"/>
          <w:kern w:val="0"/>
          <w:sz w:val="32"/>
          <w:szCs w:val="32"/>
          <w:highlight w:val="none"/>
          <w:lang w:val="en-US" w:eastAsia="en-US" w:bidi="ar-SA"/>
        </w:rPr>
        <w:t>。</w:t>
      </w:r>
    </w:p>
    <w:p w14:paraId="347616C4">
      <w:pPr>
        <w:keepNext w:val="0"/>
        <w:keepLines w:val="0"/>
        <w:pageBreakBefore w:val="0"/>
        <w:widowControl/>
        <w:kinsoku w:val="0"/>
        <w:wordWrap/>
        <w:overflowPunct/>
        <w:topLinePunct w:val="0"/>
        <w:autoSpaceDE w:val="0"/>
        <w:autoSpaceDN w:val="0"/>
        <w:bidi w:val="0"/>
        <w:adjustRightInd w:val="0"/>
        <w:snapToGrid/>
        <w:spacing w:line="540" w:lineRule="exact"/>
        <w:ind w:left="0" w:right="0"/>
        <w:textAlignment w:val="baseline"/>
        <w:rPr>
          <w:sz w:val="32"/>
          <w:szCs w:val="32"/>
          <w:highlight w:val="none"/>
        </w:rPr>
        <w:sectPr>
          <w:footerReference r:id="rId5" w:type="default"/>
          <w:pgSz w:w="11890" w:h="16850"/>
          <w:pgMar w:top="1432" w:right="1484" w:bottom="1719" w:left="1579" w:header="0" w:footer="1342" w:gutter="0"/>
          <w:pgNumType w:fmt="decimal"/>
          <w:cols w:space="720" w:num="1"/>
        </w:sectPr>
      </w:pPr>
    </w:p>
    <w:p w14:paraId="0AD90389">
      <w:pPr>
        <w:keepNext w:val="0"/>
        <w:keepLines w:val="0"/>
        <w:pageBreakBefore w:val="0"/>
        <w:widowControl/>
        <w:kinsoku w:val="0"/>
        <w:wordWrap/>
        <w:overflowPunct/>
        <w:topLinePunct w:val="0"/>
        <w:autoSpaceDE w:val="0"/>
        <w:autoSpaceDN w:val="0"/>
        <w:bidi w:val="0"/>
        <w:adjustRightInd w:val="0"/>
        <w:snapToGrid/>
        <w:spacing w:line="578" w:lineRule="exact"/>
        <w:ind w:left="0" w:right="0" w:firstLine="668" w:firstLineChars="200"/>
        <w:jc w:val="left"/>
        <w:textAlignment w:val="baseline"/>
        <w:outlineLvl w:val="2"/>
        <w:rPr>
          <w:rFonts w:ascii="黑体" w:hAnsi="黑体" w:eastAsia="黑体" w:cs="黑体"/>
          <w:b w:val="0"/>
          <w:bCs w:val="0"/>
          <w:snapToGrid w:val="0"/>
          <w:color w:val="000000"/>
          <w:kern w:val="0"/>
          <w:sz w:val="32"/>
          <w:szCs w:val="32"/>
          <w:highlight w:val="none"/>
          <w:lang w:eastAsia="en-US"/>
        </w:rPr>
      </w:pPr>
      <w:r>
        <w:rPr>
          <w:rFonts w:ascii="黑体" w:hAnsi="黑体" w:eastAsia="黑体" w:cs="黑体"/>
          <w:b w:val="0"/>
          <w:bCs w:val="0"/>
          <w:snapToGrid w:val="0"/>
          <w:color w:val="000000"/>
          <w:spacing w:val="7"/>
          <w:kern w:val="0"/>
          <w:sz w:val="32"/>
          <w:szCs w:val="32"/>
          <w:highlight w:val="none"/>
          <w:lang w:eastAsia="en-US"/>
        </w:rPr>
        <w:t>四、畜禽养殖污染</w:t>
      </w:r>
    </w:p>
    <w:p w14:paraId="7B64107F">
      <w:pPr>
        <w:keepNext w:val="0"/>
        <w:keepLines w:val="0"/>
        <w:pageBreakBefore w:val="0"/>
        <w:widowControl/>
        <w:kinsoku w:val="0"/>
        <w:wordWrap/>
        <w:overflowPunct/>
        <w:topLinePunct w:val="0"/>
        <w:autoSpaceDE w:val="0"/>
        <w:autoSpaceDN w:val="0"/>
        <w:bidi w:val="0"/>
        <w:adjustRightInd w:val="0"/>
        <w:snapToGrid/>
        <w:spacing w:line="578" w:lineRule="exact"/>
        <w:ind w:left="0" w:right="0" w:firstLine="664" w:firstLineChars="200"/>
        <w:jc w:val="left"/>
        <w:textAlignment w:val="baseline"/>
        <w:outlineLvl w:val="1"/>
        <w:rPr>
          <w:rFonts w:hint="eastAsia" w:ascii="楷体_GB2312" w:hAnsi="楷体_GB2312" w:eastAsia="楷体_GB2312" w:cs="楷体_GB2312"/>
          <w:b w:val="0"/>
          <w:bCs w:val="0"/>
          <w:snapToGrid w:val="0"/>
          <w:color w:val="000000"/>
          <w:kern w:val="0"/>
          <w:sz w:val="32"/>
          <w:szCs w:val="32"/>
          <w:highlight w:val="none"/>
          <w:lang w:eastAsia="en-US"/>
        </w:rPr>
      </w:pPr>
      <w:r>
        <w:rPr>
          <w:rFonts w:hint="eastAsia" w:ascii="楷体_GB2312" w:hAnsi="楷体_GB2312" w:eastAsia="楷体_GB2312" w:cs="楷体_GB2312"/>
          <w:b w:val="0"/>
          <w:bCs w:val="0"/>
          <w:snapToGrid w:val="0"/>
          <w:color w:val="000000"/>
          <w:spacing w:val="6"/>
          <w:kern w:val="0"/>
          <w:sz w:val="32"/>
          <w:szCs w:val="32"/>
          <w:highlight w:val="none"/>
          <w:lang w:eastAsia="en-US"/>
        </w:rPr>
        <w:t>(一)指标要求</w:t>
      </w:r>
    </w:p>
    <w:p w14:paraId="2F81342C">
      <w:pPr>
        <w:keepNext w:val="0"/>
        <w:keepLines w:val="0"/>
        <w:pageBreakBefore w:val="0"/>
        <w:widowControl/>
        <w:kinsoku w:val="0"/>
        <w:wordWrap/>
        <w:overflowPunct/>
        <w:topLinePunct w:val="0"/>
        <w:autoSpaceDE w:val="0"/>
        <w:autoSpaceDN w:val="0"/>
        <w:bidi w:val="0"/>
        <w:adjustRightInd w:val="0"/>
        <w:snapToGrid/>
        <w:spacing w:line="578" w:lineRule="exact"/>
        <w:ind w:left="0" w:right="0" w:firstLine="700" w:firstLineChars="200"/>
        <w:jc w:val="left"/>
        <w:textAlignment w:val="baseline"/>
        <w:rPr>
          <w:rFonts w:ascii="仿宋" w:hAnsi="仿宋" w:eastAsia="仿宋" w:cs="仿宋"/>
          <w:snapToGrid w:val="0"/>
          <w:color w:val="000000"/>
          <w:kern w:val="0"/>
          <w:sz w:val="32"/>
          <w:szCs w:val="32"/>
          <w:highlight w:val="none"/>
          <w:lang w:val="en-US" w:eastAsia="en-US" w:bidi="ar-SA"/>
        </w:rPr>
      </w:pPr>
      <w:r>
        <w:rPr>
          <w:rFonts w:ascii="仿宋" w:hAnsi="仿宋" w:eastAsia="仿宋" w:cs="仿宋"/>
          <w:snapToGrid w:val="0"/>
          <w:color w:val="000000"/>
          <w:spacing w:val="15"/>
          <w:kern w:val="0"/>
          <w:sz w:val="32"/>
          <w:szCs w:val="32"/>
          <w:highlight w:val="none"/>
          <w:lang w:val="en-US" w:eastAsia="en-US" w:bidi="ar-SA"/>
        </w:rPr>
        <w:t>属实的重复信访举报一年不超过3起。</w:t>
      </w:r>
    </w:p>
    <w:p w14:paraId="3210F627">
      <w:pPr>
        <w:keepNext w:val="0"/>
        <w:keepLines w:val="0"/>
        <w:pageBreakBefore w:val="0"/>
        <w:widowControl/>
        <w:kinsoku w:val="0"/>
        <w:wordWrap/>
        <w:overflowPunct/>
        <w:topLinePunct w:val="0"/>
        <w:autoSpaceDE w:val="0"/>
        <w:autoSpaceDN w:val="0"/>
        <w:bidi w:val="0"/>
        <w:adjustRightInd w:val="0"/>
        <w:snapToGrid/>
        <w:spacing w:line="578" w:lineRule="exact"/>
        <w:ind w:left="0" w:right="0" w:firstLine="660" w:firstLineChars="200"/>
        <w:jc w:val="left"/>
        <w:textAlignment w:val="baseline"/>
        <w:outlineLvl w:val="1"/>
        <w:rPr>
          <w:rFonts w:hint="eastAsia" w:ascii="楷体_GB2312" w:hAnsi="楷体_GB2312" w:eastAsia="楷体_GB2312" w:cs="楷体_GB2312"/>
          <w:b w:val="0"/>
          <w:bCs w:val="0"/>
          <w:snapToGrid w:val="0"/>
          <w:color w:val="000000"/>
          <w:kern w:val="0"/>
          <w:sz w:val="32"/>
          <w:szCs w:val="32"/>
          <w:highlight w:val="none"/>
          <w:lang w:eastAsia="en-US"/>
        </w:rPr>
      </w:pPr>
      <w:r>
        <w:rPr>
          <w:rFonts w:hint="eastAsia" w:ascii="楷体_GB2312" w:hAnsi="楷体_GB2312" w:eastAsia="楷体_GB2312" w:cs="楷体_GB2312"/>
          <w:b w:val="0"/>
          <w:bCs w:val="0"/>
          <w:snapToGrid w:val="0"/>
          <w:color w:val="000000"/>
          <w:spacing w:val="5"/>
          <w:kern w:val="0"/>
          <w:sz w:val="32"/>
          <w:szCs w:val="32"/>
          <w:highlight w:val="none"/>
          <w:lang w:eastAsia="en-US"/>
        </w:rPr>
        <w:t>(二)指标解释</w:t>
      </w:r>
    </w:p>
    <w:p w14:paraId="485C754F">
      <w:pPr>
        <w:keepNext w:val="0"/>
        <w:keepLines w:val="0"/>
        <w:pageBreakBefore w:val="0"/>
        <w:widowControl/>
        <w:kinsoku w:val="0"/>
        <w:wordWrap/>
        <w:overflowPunct/>
        <w:topLinePunct w:val="0"/>
        <w:autoSpaceDE w:val="0"/>
        <w:autoSpaceDN w:val="0"/>
        <w:bidi w:val="0"/>
        <w:adjustRightInd w:val="0"/>
        <w:snapToGrid/>
        <w:spacing w:line="578" w:lineRule="exact"/>
        <w:ind w:left="0" w:right="0" w:firstLine="589"/>
        <w:jc w:val="both"/>
        <w:textAlignment w:val="baseline"/>
        <w:rPr>
          <w:rFonts w:ascii="仿宋" w:hAnsi="仿宋" w:eastAsia="仿宋" w:cs="仿宋"/>
          <w:snapToGrid w:val="0"/>
          <w:color w:val="000000"/>
          <w:kern w:val="0"/>
          <w:sz w:val="32"/>
          <w:szCs w:val="32"/>
          <w:highlight w:val="none"/>
          <w:lang w:val="en-US" w:eastAsia="en-US" w:bidi="ar-SA"/>
        </w:rPr>
      </w:pPr>
      <w:r>
        <w:rPr>
          <w:rFonts w:ascii="仿宋" w:hAnsi="仿宋" w:eastAsia="仿宋" w:cs="仿宋"/>
          <w:snapToGrid w:val="0"/>
          <w:color w:val="000000"/>
          <w:spacing w:val="26"/>
          <w:kern w:val="0"/>
          <w:sz w:val="32"/>
          <w:szCs w:val="32"/>
          <w:highlight w:val="none"/>
          <w:lang w:val="en-US" w:eastAsia="en-US" w:bidi="ar-SA"/>
        </w:rPr>
        <w:t>每起畜禽养殖污染导致的重复信访和举报是指一年内人民群</w:t>
      </w:r>
      <w:r>
        <w:rPr>
          <w:rFonts w:ascii="仿宋" w:hAnsi="仿宋" w:eastAsia="仿宋" w:cs="仿宋"/>
          <w:snapToGrid w:val="0"/>
          <w:color w:val="000000"/>
          <w:spacing w:val="25"/>
          <w:kern w:val="0"/>
          <w:sz w:val="32"/>
          <w:szCs w:val="32"/>
          <w:highlight w:val="none"/>
          <w:lang w:val="en-US" w:eastAsia="en-US" w:bidi="ar-SA"/>
        </w:rPr>
        <w:t>众对同一畜禽养殖场(户)环境污染行为，经核实属实，有关部门</w:t>
      </w:r>
      <w:r>
        <w:rPr>
          <w:rFonts w:ascii="仿宋" w:hAnsi="仿宋" w:eastAsia="仿宋" w:cs="仿宋"/>
          <w:snapToGrid w:val="0"/>
          <w:color w:val="000000"/>
          <w:spacing w:val="24"/>
          <w:kern w:val="0"/>
          <w:sz w:val="32"/>
          <w:szCs w:val="32"/>
          <w:highlight w:val="none"/>
          <w:lang w:val="en-US" w:eastAsia="en-US" w:bidi="ar-SA"/>
        </w:rPr>
        <w:t>督促整改后，被再次信访或举报3次及以上(信访、举报不属实的</w:t>
      </w:r>
      <w:r>
        <w:rPr>
          <w:rFonts w:ascii="仿宋" w:hAnsi="仿宋" w:eastAsia="仿宋" w:cs="仿宋"/>
          <w:snapToGrid w:val="0"/>
          <w:color w:val="000000"/>
          <w:spacing w:val="4"/>
          <w:kern w:val="0"/>
          <w:sz w:val="32"/>
          <w:szCs w:val="32"/>
          <w:highlight w:val="none"/>
          <w:lang w:val="en-US" w:eastAsia="en-US" w:bidi="ar-SA"/>
        </w:rPr>
        <w:t>情形除外)。</w:t>
      </w:r>
    </w:p>
    <w:p w14:paraId="2000CCC3">
      <w:pPr>
        <w:keepNext w:val="0"/>
        <w:keepLines w:val="0"/>
        <w:pageBreakBefore w:val="0"/>
        <w:widowControl/>
        <w:kinsoku w:val="0"/>
        <w:wordWrap/>
        <w:overflowPunct/>
        <w:topLinePunct w:val="0"/>
        <w:autoSpaceDE w:val="0"/>
        <w:autoSpaceDN w:val="0"/>
        <w:bidi w:val="0"/>
        <w:adjustRightInd w:val="0"/>
        <w:snapToGrid/>
        <w:spacing w:line="578" w:lineRule="exact"/>
        <w:ind w:left="0" w:right="0" w:firstLine="632" w:firstLineChars="200"/>
        <w:jc w:val="left"/>
        <w:textAlignment w:val="baseline"/>
        <w:outlineLvl w:val="1"/>
        <w:rPr>
          <w:rFonts w:hint="eastAsia" w:ascii="楷体_GB2312" w:hAnsi="楷体_GB2312" w:eastAsia="楷体_GB2312" w:cs="楷体_GB2312"/>
          <w:b w:val="0"/>
          <w:bCs w:val="0"/>
          <w:snapToGrid w:val="0"/>
          <w:color w:val="000000"/>
          <w:kern w:val="0"/>
          <w:sz w:val="32"/>
          <w:szCs w:val="32"/>
          <w:highlight w:val="none"/>
          <w:lang w:eastAsia="en-US"/>
        </w:rPr>
      </w:pPr>
      <w:r>
        <w:rPr>
          <w:rFonts w:hint="eastAsia" w:ascii="楷体_GB2312" w:hAnsi="楷体_GB2312" w:eastAsia="楷体_GB2312" w:cs="楷体_GB2312"/>
          <w:b w:val="0"/>
          <w:bCs w:val="0"/>
          <w:snapToGrid w:val="0"/>
          <w:color w:val="000000"/>
          <w:spacing w:val="-2"/>
          <w:kern w:val="0"/>
          <w:sz w:val="32"/>
          <w:szCs w:val="32"/>
          <w:highlight w:val="none"/>
          <w:lang w:eastAsia="en-US"/>
        </w:rPr>
        <w:t>(三)评估数据来源</w:t>
      </w:r>
    </w:p>
    <w:p w14:paraId="103A97C0">
      <w:pPr>
        <w:keepNext w:val="0"/>
        <w:keepLines w:val="0"/>
        <w:pageBreakBefore w:val="0"/>
        <w:widowControl/>
        <w:kinsoku w:val="0"/>
        <w:wordWrap/>
        <w:overflowPunct/>
        <w:topLinePunct w:val="0"/>
        <w:autoSpaceDE w:val="0"/>
        <w:autoSpaceDN w:val="0"/>
        <w:bidi w:val="0"/>
        <w:adjustRightInd w:val="0"/>
        <w:snapToGrid/>
        <w:spacing w:line="578" w:lineRule="exact"/>
        <w:ind w:left="0" w:right="0" w:firstLine="656" w:firstLineChars="200"/>
        <w:jc w:val="left"/>
        <w:textAlignment w:val="baseline"/>
        <w:rPr>
          <w:rFonts w:ascii="仿宋" w:hAnsi="仿宋" w:eastAsia="仿宋" w:cs="仿宋"/>
          <w:snapToGrid w:val="0"/>
          <w:color w:val="000000"/>
          <w:kern w:val="0"/>
          <w:sz w:val="32"/>
          <w:szCs w:val="32"/>
          <w:highlight w:val="none"/>
          <w:lang w:val="en-US" w:eastAsia="en-US" w:bidi="ar-SA"/>
        </w:rPr>
      </w:pPr>
      <w:r>
        <w:rPr>
          <w:rFonts w:ascii="仿宋" w:hAnsi="仿宋" w:eastAsia="仿宋" w:cs="仿宋"/>
          <w:snapToGrid w:val="0"/>
          <w:color w:val="000000"/>
          <w:spacing w:val="4"/>
          <w:kern w:val="0"/>
          <w:sz w:val="32"/>
          <w:szCs w:val="32"/>
          <w:highlight w:val="none"/>
          <w:lang w:val="en-US" w:eastAsia="en-US" w:bidi="ar-SA"/>
        </w:rPr>
        <w:t>生态环境、农业农村等相关部门。</w:t>
      </w:r>
    </w:p>
    <w:p w14:paraId="5CBA5905">
      <w:pPr>
        <w:keepNext w:val="0"/>
        <w:keepLines w:val="0"/>
        <w:pageBreakBefore w:val="0"/>
        <w:widowControl/>
        <w:kinsoku w:val="0"/>
        <w:wordWrap/>
        <w:overflowPunct/>
        <w:topLinePunct w:val="0"/>
        <w:autoSpaceDE w:val="0"/>
        <w:autoSpaceDN w:val="0"/>
        <w:bidi w:val="0"/>
        <w:adjustRightInd w:val="0"/>
        <w:snapToGrid/>
        <w:spacing w:line="578" w:lineRule="exact"/>
        <w:ind w:left="0" w:right="0" w:firstLine="664" w:firstLineChars="200"/>
        <w:jc w:val="left"/>
        <w:textAlignment w:val="baseline"/>
        <w:outlineLvl w:val="2"/>
        <w:rPr>
          <w:rFonts w:ascii="黑体" w:hAnsi="黑体" w:eastAsia="黑体" w:cs="黑体"/>
          <w:b w:val="0"/>
          <w:bCs w:val="0"/>
          <w:snapToGrid w:val="0"/>
          <w:color w:val="000000"/>
          <w:kern w:val="0"/>
          <w:sz w:val="32"/>
          <w:szCs w:val="32"/>
          <w:highlight w:val="none"/>
          <w:lang w:eastAsia="en-US"/>
        </w:rPr>
      </w:pPr>
      <w:r>
        <w:rPr>
          <w:rFonts w:ascii="黑体" w:hAnsi="黑体" w:eastAsia="黑体" w:cs="黑体"/>
          <w:b w:val="0"/>
          <w:bCs w:val="0"/>
          <w:snapToGrid w:val="0"/>
          <w:color w:val="000000"/>
          <w:spacing w:val="6"/>
          <w:kern w:val="0"/>
          <w:sz w:val="32"/>
          <w:szCs w:val="32"/>
          <w:highlight w:val="none"/>
          <w:lang w:eastAsia="en-US"/>
        </w:rPr>
        <w:t>五、水土保持率</w:t>
      </w:r>
    </w:p>
    <w:p w14:paraId="70AAF04D">
      <w:pPr>
        <w:keepNext w:val="0"/>
        <w:keepLines w:val="0"/>
        <w:pageBreakBefore w:val="0"/>
        <w:widowControl/>
        <w:kinsoku w:val="0"/>
        <w:wordWrap/>
        <w:overflowPunct/>
        <w:topLinePunct w:val="0"/>
        <w:autoSpaceDE w:val="0"/>
        <w:autoSpaceDN w:val="0"/>
        <w:bidi w:val="0"/>
        <w:adjustRightInd w:val="0"/>
        <w:snapToGrid/>
        <w:spacing w:line="578" w:lineRule="exact"/>
        <w:ind w:left="0" w:right="0" w:firstLine="652" w:firstLineChars="200"/>
        <w:jc w:val="left"/>
        <w:textAlignment w:val="baseline"/>
        <w:outlineLvl w:val="1"/>
        <w:rPr>
          <w:rFonts w:hint="eastAsia" w:ascii="楷体_GB2312" w:hAnsi="楷体_GB2312" w:eastAsia="楷体_GB2312" w:cs="楷体_GB2312"/>
          <w:b w:val="0"/>
          <w:bCs w:val="0"/>
          <w:snapToGrid w:val="0"/>
          <w:color w:val="000000"/>
          <w:kern w:val="0"/>
          <w:sz w:val="32"/>
          <w:szCs w:val="32"/>
          <w:highlight w:val="none"/>
          <w:lang w:eastAsia="en-US"/>
        </w:rPr>
      </w:pPr>
      <w:r>
        <w:rPr>
          <w:rFonts w:hint="eastAsia" w:ascii="楷体_GB2312" w:hAnsi="楷体_GB2312" w:eastAsia="楷体_GB2312" w:cs="楷体_GB2312"/>
          <w:b w:val="0"/>
          <w:bCs w:val="0"/>
          <w:snapToGrid w:val="0"/>
          <w:color w:val="000000"/>
          <w:spacing w:val="3"/>
          <w:kern w:val="0"/>
          <w:sz w:val="32"/>
          <w:szCs w:val="32"/>
          <w:highlight w:val="none"/>
          <w:lang w:eastAsia="en-US"/>
        </w:rPr>
        <w:t>(一)指标要求</w:t>
      </w:r>
    </w:p>
    <w:p w14:paraId="63354D69">
      <w:pPr>
        <w:keepNext w:val="0"/>
        <w:keepLines w:val="0"/>
        <w:pageBreakBefore w:val="0"/>
        <w:widowControl/>
        <w:kinsoku w:val="0"/>
        <w:wordWrap/>
        <w:overflowPunct/>
        <w:topLinePunct w:val="0"/>
        <w:autoSpaceDE w:val="0"/>
        <w:autoSpaceDN w:val="0"/>
        <w:bidi w:val="0"/>
        <w:adjustRightInd w:val="0"/>
        <w:snapToGrid/>
        <w:spacing w:line="578" w:lineRule="exact"/>
        <w:ind w:left="0" w:right="0" w:firstLine="668" w:firstLineChars="200"/>
        <w:jc w:val="left"/>
        <w:textAlignment w:val="baseline"/>
        <w:rPr>
          <w:rFonts w:ascii="仿宋" w:hAnsi="仿宋" w:eastAsia="仿宋" w:cs="仿宋"/>
          <w:snapToGrid w:val="0"/>
          <w:color w:val="000000"/>
          <w:kern w:val="0"/>
          <w:sz w:val="32"/>
          <w:szCs w:val="32"/>
          <w:highlight w:val="none"/>
          <w:lang w:val="en-US" w:eastAsia="en-US" w:bidi="ar-SA"/>
        </w:rPr>
      </w:pPr>
      <w:r>
        <w:rPr>
          <w:rFonts w:ascii="仿宋" w:hAnsi="仿宋" w:eastAsia="仿宋" w:cs="仿宋"/>
          <w:snapToGrid w:val="0"/>
          <w:color w:val="000000"/>
          <w:spacing w:val="7"/>
          <w:kern w:val="0"/>
          <w:sz w:val="32"/>
          <w:szCs w:val="32"/>
          <w:highlight w:val="none"/>
          <w:lang w:val="en-US" w:eastAsia="en-US" w:bidi="ar-SA"/>
        </w:rPr>
        <w:t>达到省级分解到县级的水土保持率目标值。</w:t>
      </w:r>
    </w:p>
    <w:p w14:paraId="5C2D1213">
      <w:pPr>
        <w:keepNext w:val="0"/>
        <w:keepLines w:val="0"/>
        <w:pageBreakBefore w:val="0"/>
        <w:widowControl/>
        <w:kinsoku w:val="0"/>
        <w:wordWrap/>
        <w:overflowPunct/>
        <w:topLinePunct w:val="0"/>
        <w:autoSpaceDE w:val="0"/>
        <w:autoSpaceDN w:val="0"/>
        <w:bidi w:val="0"/>
        <w:adjustRightInd w:val="0"/>
        <w:snapToGrid/>
        <w:spacing w:line="578" w:lineRule="exact"/>
        <w:ind w:left="0" w:right="0" w:firstLine="648" w:firstLineChars="200"/>
        <w:jc w:val="left"/>
        <w:textAlignment w:val="baseline"/>
        <w:outlineLvl w:val="1"/>
        <w:rPr>
          <w:rFonts w:hint="eastAsia" w:ascii="楷体_GB2312" w:hAnsi="楷体_GB2312" w:eastAsia="楷体_GB2312" w:cs="楷体_GB2312"/>
          <w:b w:val="0"/>
          <w:bCs w:val="0"/>
          <w:snapToGrid w:val="0"/>
          <w:color w:val="000000"/>
          <w:kern w:val="0"/>
          <w:sz w:val="32"/>
          <w:szCs w:val="32"/>
          <w:highlight w:val="none"/>
          <w:lang w:eastAsia="en-US"/>
        </w:rPr>
      </w:pPr>
      <w:r>
        <w:rPr>
          <w:rFonts w:hint="eastAsia" w:ascii="楷体_GB2312" w:hAnsi="楷体_GB2312" w:eastAsia="楷体_GB2312" w:cs="楷体_GB2312"/>
          <w:b w:val="0"/>
          <w:bCs w:val="0"/>
          <w:snapToGrid w:val="0"/>
          <w:color w:val="000000"/>
          <w:spacing w:val="2"/>
          <w:kern w:val="0"/>
          <w:sz w:val="32"/>
          <w:szCs w:val="32"/>
          <w:highlight w:val="none"/>
          <w:lang w:eastAsia="en-US"/>
        </w:rPr>
        <w:t>(二)指标解释</w:t>
      </w:r>
    </w:p>
    <w:p w14:paraId="1EC50515">
      <w:pPr>
        <w:keepNext w:val="0"/>
        <w:keepLines w:val="0"/>
        <w:pageBreakBefore w:val="0"/>
        <w:widowControl/>
        <w:kinsoku w:val="0"/>
        <w:wordWrap/>
        <w:overflowPunct/>
        <w:topLinePunct w:val="0"/>
        <w:autoSpaceDE w:val="0"/>
        <w:autoSpaceDN w:val="0"/>
        <w:bidi w:val="0"/>
        <w:adjustRightInd w:val="0"/>
        <w:snapToGrid/>
        <w:spacing w:line="578" w:lineRule="exact"/>
        <w:ind w:left="0" w:right="0" w:firstLine="589"/>
        <w:jc w:val="left"/>
        <w:textAlignment w:val="baseline"/>
        <w:rPr>
          <w:rFonts w:ascii="仿宋" w:hAnsi="仿宋" w:eastAsia="仿宋" w:cs="仿宋"/>
          <w:b w:val="0"/>
          <w:bCs w:val="0"/>
          <w:snapToGrid w:val="0"/>
          <w:color w:val="000000"/>
          <w:kern w:val="0"/>
          <w:sz w:val="32"/>
          <w:szCs w:val="32"/>
          <w:highlight w:val="none"/>
          <w:lang w:val="en-US" w:eastAsia="en-US" w:bidi="ar-SA"/>
        </w:rPr>
      </w:pPr>
      <w:r>
        <w:rPr>
          <w:rFonts w:ascii="仿宋" w:hAnsi="仿宋" w:eastAsia="仿宋" w:cs="仿宋"/>
          <w:snapToGrid w:val="0"/>
          <w:color w:val="000000"/>
          <w:spacing w:val="24"/>
          <w:kern w:val="0"/>
          <w:sz w:val="32"/>
          <w:szCs w:val="32"/>
          <w:highlight w:val="none"/>
          <w:lang w:val="en-US" w:eastAsia="en-US" w:bidi="ar-SA"/>
        </w:rPr>
        <w:t>区域内水土保持状况良好的面积(非水土流失面积)</w:t>
      </w:r>
      <w:r>
        <w:rPr>
          <w:rFonts w:ascii="仿宋" w:hAnsi="仿宋" w:eastAsia="仿宋" w:cs="仿宋"/>
          <w:b w:val="0"/>
          <w:bCs w:val="0"/>
          <w:snapToGrid w:val="0"/>
          <w:color w:val="000000"/>
          <w:spacing w:val="24"/>
          <w:kern w:val="0"/>
          <w:sz w:val="32"/>
          <w:szCs w:val="32"/>
          <w:highlight w:val="none"/>
          <w:lang w:val="en-US" w:eastAsia="en-US" w:bidi="ar-SA"/>
        </w:rPr>
        <w:t>占国土面</w:t>
      </w:r>
      <w:r>
        <w:rPr>
          <w:rFonts w:ascii="仿宋" w:hAnsi="仿宋" w:eastAsia="仿宋" w:cs="仿宋"/>
          <w:b w:val="0"/>
          <w:bCs w:val="0"/>
          <w:snapToGrid w:val="0"/>
          <w:color w:val="000000"/>
          <w:spacing w:val="-3"/>
          <w:kern w:val="0"/>
          <w:sz w:val="32"/>
          <w:szCs w:val="32"/>
          <w:highlight w:val="none"/>
          <w:lang w:val="en-US" w:eastAsia="en-US" w:bidi="ar-SA"/>
        </w:rPr>
        <w:t>积的比例。</w:t>
      </w:r>
    </w:p>
    <w:p w14:paraId="0562D1C5">
      <w:pPr>
        <w:keepNext w:val="0"/>
        <w:keepLines w:val="0"/>
        <w:pageBreakBefore w:val="0"/>
        <w:widowControl/>
        <w:kinsoku w:val="0"/>
        <w:wordWrap/>
        <w:overflowPunct/>
        <w:topLinePunct w:val="0"/>
        <w:autoSpaceDE w:val="0"/>
        <w:autoSpaceDN w:val="0"/>
        <w:bidi w:val="0"/>
        <w:adjustRightInd w:val="0"/>
        <w:snapToGrid/>
        <w:spacing w:line="578" w:lineRule="exact"/>
        <w:ind w:left="0" w:right="0" w:firstLine="740" w:firstLineChars="200"/>
        <w:jc w:val="left"/>
        <w:textAlignment w:val="baseline"/>
        <w:outlineLvl w:val="2"/>
        <w:rPr>
          <w:rFonts w:hint="eastAsia" w:ascii="楷体_GB2312" w:hAnsi="楷体_GB2312" w:eastAsia="楷体_GB2312" w:cs="楷体_GB2312"/>
          <w:b w:val="0"/>
          <w:bCs w:val="0"/>
          <w:snapToGrid w:val="0"/>
          <w:color w:val="000000"/>
          <w:kern w:val="0"/>
          <w:sz w:val="32"/>
          <w:szCs w:val="32"/>
          <w:highlight w:val="none"/>
          <w:lang w:eastAsia="en-US"/>
        </w:rPr>
      </w:pPr>
      <w:r>
        <w:rPr>
          <w:rFonts w:hint="eastAsia" w:ascii="楷体_GB2312" w:hAnsi="楷体_GB2312" w:eastAsia="楷体_GB2312" w:cs="楷体_GB2312"/>
          <w:b w:val="0"/>
          <w:bCs w:val="0"/>
          <w:snapToGrid w:val="0"/>
          <w:color w:val="000000"/>
          <w:spacing w:val="25"/>
          <w:kern w:val="0"/>
          <w:sz w:val="32"/>
          <w:szCs w:val="32"/>
          <w:highlight w:val="none"/>
          <w:lang w:eastAsia="en-US"/>
        </w:rPr>
        <w:t>(三)评估数据来源</w:t>
      </w:r>
    </w:p>
    <w:p w14:paraId="1488D117">
      <w:pPr>
        <w:keepNext w:val="0"/>
        <w:keepLines w:val="0"/>
        <w:pageBreakBefore w:val="0"/>
        <w:widowControl/>
        <w:kinsoku w:val="0"/>
        <w:wordWrap/>
        <w:overflowPunct/>
        <w:topLinePunct w:val="0"/>
        <w:autoSpaceDE w:val="0"/>
        <w:autoSpaceDN w:val="0"/>
        <w:bidi w:val="0"/>
        <w:adjustRightInd w:val="0"/>
        <w:snapToGrid/>
        <w:spacing w:line="578" w:lineRule="exact"/>
        <w:ind w:left="0" w:right="0" w:firstLine="640" w:firstLineChars="200"/>
        <w:jc w:val="left"/>
        <w:textAlignment w:val="baseline"/>
        <w:rPr>
          <w:rFonts w:ascii="仿宋" w:hAnsi="仿宋" w:eastAsia="仿宋" w:cs="仿宋"/>
          <w:snapToGrid w:val="0"/>
          <w:color w:val="000000"/>
          <w:kern w:val="0"/>
          <w:sz w:val="32"/>
          <w:szCs w:val="32"/>
          <w:highlight w:val="none"/>
          <w:lang w:val="en-US" w:eastAsia="en-US" w:bidi="ar-SA"/>
        </w:rPr>
      </w:pPr>
      <w:r>
        <w:rPr>
          <w:rFonts w:ascii="仿宋" w:hAnsi="仿宋" w:eastAsia="仿宋" w:cs="仿宋"/>
          <w:snapToGrid w:val="0"/>
          <w:color w:val="000000"/>
          <w:kern w:val="0"/>
          <w:sz w:val="32"/>
          <w:szCs w:val="32"/>
          <w:highlight w:val="none"/>
          <w:lang w:val="en-US" w:eastAsia="en-US" w:bidi="ar-SA"/>
        </w:rPr>
        <w:t>水利等相关部门。</w:t>
      </w:r>
    </w:p>
    <w:p w14:paraId="33042933">
      <w:pPr>
        <w:keepNext w:val="0"/>
        <w:keepLines w:val="0"/>
        <w:pageBreakBefore w:val="0"/>
        <w:widowControl/>
        <w:kinsoku w:val="0"/>
        <w:wordWrap/>
        <w:overflowPunct/>
        <w:topLinePunct w:val="0"/>
        <w:autoSpaceDE w:val="0"/>
        <w:autoSpaceDN w:val="0"/>
        <w:bidi w:val="0"/>
        <w:adjustRightInd w:val="0"/>
        <w:snapToGrid/>
        <w:spacing w:line="578" w:lineRule="exact"/>
        <w:ind w:left="0" w:right="0" w:firstLine="668" w:firstLineChars="200"/>
        <w:jc w:val="left"/>
        <w:textAlignment w:val="baseline"/>
        <w:outlineLvl w:val="2"/>
        <w:rPr>
          <w:rFonts w:ascii="黑体" w:hAnsi="黑体" w:eastAsia="黑体" w:cs="黑体"/>
          <w:b w:val="0"/>
          <w:bCs w:val="0"/>
          <w:snapToGrid w:val="0"/>
          <w:color w:val="000000"/>
          <w:kern w:val="0"/>
          <w:sz w:val="32"/>
          <w:szCs w:val="32"/>
          <w:highlight w:val="none"/>
          <w:lang w:eastAsia="en-US"/>
        </w:rPr>
      </w:pPr>
      <w:r>
        <w:rPr>
          <w:rFonts w:ascii="黑体" w:hAnsi="黑体" w:eastAsia="黑体" w:cs="黑体"/>
          <w:b w:val="0"/>
          <w:bCs w:val="0"/>
          <w:snapToGrid w:val="0"/>
          <w:color w:val="000000"/>
          <w:spacing w:val="7"/>
          <w:kern w:val="0"/>
          <w:sz w:val="32"/>
          <w:szCs w:val="32"/>
          <w:highlight w:val="none"/>
          <w:lang w:eastAsia="en-US"/>
        </w:rPr>
        <w:t>六、生态清洁小流域建设及乡村河湖长效管护</w:t>
      </w:r>
    </w:p>
    <w:p w14:paraId="14C70886">
      <w:pPr>
        <w:keepNext w:val="0"/>
        <w:keepLines w:val="0"/>
        <w:pageBreakBefore w:val="0"/>
        <w:widowControl/>
        <w:kinsoku w:val="0"/>
        <w:wordWrap/>
        <w:overflowPunct/>
        <w:topLinePunct w:val="0"/>
        <w:autoSpaceDE w:val="0"/>
        <w:autoSpaceDN w:val="0"/>
        <w:bidi w:val="0"/>
        <w:adjustRightInd w:val="0"/>
        <w:snapToGrid/>
        <w:spacing w:line="578" w:lineRule="exact"/>
        <w:ind w:left="0" w:right="0" w:firstLine="720" w:firstLineChars="200"/>
        <w:jc w:val="left"/>
        <w:textAlignment w:val="baseline"/>
        <w:outlineLvl w:val="2"/>
        <w:rPr>
          <w:rFonts w:hint="eastAsia" w:ascii="楷体_GB2312" w:hAnsi="楷体_GB2312" w:eastAsia="楷体_GB2312" w:cs="楷体_GB2312"/>
          <w:b w:val="0"/>
          <w:bCs w:val="0"/>
          <w:snapToGrid w:val="0"/>
          <w:color w:val="000000"/>
          <w:kern w:val="0"/>
          <w:sz w:val="32"/>
          <w:szCs w:val="32"/>
          <w:highlight w:val="none"/>
          <w:lang w:eastAsia="en-US"/>
        </w:rPr>
      </w:pPr>
      <w:r>
        <w:rPr>
          <w:rFonts w:hint="eastAsia" w:ascii="楷体_GB2312" w:hAnsi="楷体_GB2312" w:eastAsia="楷体_GB2312" w:cs="楷体_GB2312"/>
          <w:b w:val="0"/>
          <w:bCs w:val="0"/>
          <w:snapToGrid w:val="0"/>
          <w:color w:val="000000"/>
          <w:spacing w:val="20"/>
          <w:kern w:val="0"/>
          <w:sz w:val="32"/>
          <w:szCs w:val="32"/>
          <w:highlight w:val="none"/>
          <w:lang w:eastAsia="en-US"/>
        </w:rPr>
        <w:t>(一)指标要求</w:t>
      </w:r>
    </w:p>
    <w:p w14:paraId="45AF562D">
      <w:pPr>
        <w:keepNext w:val="0"/>
        <w:keepLines w:val="0"/>
        <w:pageBreakBefore w:val="0"/>
        <w:widowControl/>
        <w:kinsoku w:val="0"/>
        <w:wordWrap/>
        <w:overflowPunct/>
        <w:topLinePunct w:val="0"/>
        <w:autoSpaceDE w:val="0"/>
        <w:autoSpaceDN w:val="0"/>
        <w:bidi w:val="0"/>
        <w:adjustRightInd w:val="0"/>
        <w:snapToGrid/>
        <w:spacing w:line="578" w:lineRule="exact"/>
        <w:ind w:left="0" w:right="0" w:firstLine="589"/>
        <w:jc w:val="left"/>
        <w:textAlignment w:val="baseline"/>
        <w:rPr>
          <w:rFonts w:ascii="仿宋" w:hAnsi="仿宋" w:eastAsia="仿宋" w:cs="仿宋"/>
          <w:snapToGrid w:val="0"/>
          <w:color w:val="000000"/>
          <w:spacing w:val="2"/>
          <w:kern w:val="0"/>
          <w:sz w:val="32"/>
          <w:szCs w:val="32"/>
          <w:highlight w:val="none"/>
          <w:lang w:val="en-US" w:eastAsia="en-US" w:bidi="ar-SA"/>
        </w:rPr>
      </w:pPr>
      <w:r>
        <w:rPr>
          <w:rFonts w:ascii="仿宋" w:hAnsi="仿宋" w:eastAsia="仿宋" w:cs="仿宋"/>
          <w:snapToGrid w:val="0"/>
          <w:color w:val="000000"/>
          <w:spacing w:val="15"/>
          <w:kern w:val="0"/>
          <w:sz w:val="32"/>
          <w:szCs w:val="32"/>
          <w:highlight w:val="none"/>
          <w:lang w:val="en-US" w:eastAsia="en-US" w:bidi="ar-SA"/>
        </w:rPr>
        <w:t>适宜区域基本建成生态清洁小流域，乡村河湖长</w:t>
      </w:r>
      <w:r>
        <w:rPr>
          <w:rFonts w:ascii="仿宋" w:hAnsi="仿宋" w:eastAsia="仿宋" w:cs="仿宋"/>
          <w:snapToGrid w:val="0"/>
          <w:color w:val="000000"/>
          <w:spacing w:val="14"/>
          <w:kern w:val="0"/>
          <w:sz w:val="32"/>
          <w:szCs w:val="32"/>
          <w:highlight w:val="none"/>
          <w:lang w:val="en-US" w:eastAsia="en-US" w:bidi="ar-SA"/>
        </w:rPr>
        <w:t>效管护机制基</w:t>
      </w:r>
      <w:r>
        <w:rPr>
          <w:rFonts w:ascii="仿宋" w:hAnsi="仿宋" w:eastAsia="仿宋" w:cs="仿宋"/>
          <w:snapToGrid w:val="0"/>
          <w:color w:val="000000"/>
          <w:spacing w:val="2"/>
          <w:kern w:val="0"/>
          <w:sz w:val="32"/>
          <w:szCs w:val="32"/>
          <w:highlight w:val="none"/>
          <w:lang w:val="en-US" w:eastAsia="en-US" w:bidi="ar-SA"/>
        </w:rPr>
        <w:t>本建立并有效落实。</w:t>
      </w:r>
    </w:p>
    <w:p w14:paraId="546D71C2">
      <w:pPr>
        <w:keepNext w:val="0"/>
        <w:keepLines w:val="0"/>
        <w:pageBreakBefore w:val="0"/>
        <w:widowControl/>
        <w:kinsoku w:val="0"/>
        <w:wordWrap/>
        <w:overflowPunct/>
        <w:topLinePunct w:val="0"/>
        <w:autoSpaceDE w:val="0"/>
        <w:autoSpaceDN w:val="0"/>
        <w:bidi w:val="0"/>
        <w:adjustRightInd w:val="0"/>
        <w:snapToGrid/>
        <w:spacing w:line="578" w:lineRule="exact"/>
        <w:ind w:left="0" w:right="0" w:firstLine="589"/>
        <w:jc w:val="left"/>
        <w:textAlignment w:val="baseline"/>
        <w:rPr>
          <w:rFonts w:hint="eastAsia" w:ascii="楷体_GB2312" w:hAnsi="楷体_GB2312" w:eastAsia="楷体_GB2312" w:cs="楷体_GB2312"/>
          <w:b w:val="0"/>
          <w:bCs w:val="0"/>
          <w:snapToGrid w:val="0"/>
          <w:color w:val="000000"/>
          <w:kern w:val="0"/>
          <w:sz w:val="32"/>
          <w:szCs w:val="32"/>
          <w:highlight w:val="none"/>
          <w:lang w:val="en-US" w:eastAsia="en-US" w:bidi="ar-SA"/>
        </w:rPr>
      </w:pPr>
      <w:r>
        <w:rPr>
          <w:rFonts w:hint="eastAsia" w:ascii="楷体_GB2312" w:hAnsi="楷体_GB2312" w:eastAsia="楷体_GB2312" w:cs="楷体_GB2312"/>
          <w:b w:val="0"/>
          <w:bCs w:val="0"/>
          <w:snapToGrid w:val="0"/>
          <w:color w:val="000000"/>
          <w:spacing w:val="17"/>
          <w:kern w:val="0"/>
          <w:sz w:val="32"/>
          <w:szCs w:val="32"/>
          <w:highlight w:val="none"/>
          <w:lang w:val="en-US" w:eastAsia="en-US" w:bidi="ar-SA"/>
        </w:rPr>
        <w:t>(二)指标解释</w:t>
      </w:r>
    </w:p>
    <w:p w14:paraId="7875C94D">
      <w:pPr>
        <w:keepNext w:val="0"/>
        <w:keepLines w:val="0"/>
        <w:pageBreakBefore w:val="0"/>
        <w:widowControl/>
        <w:kinsoku w:val="0"/>
        <w:wordWrap/>
        <w:overflowPunct/>
        <w:topLinePunct w:val="0"/>
        <w:autoSpaceDE w:val="0"/>
        <w:autoSpaceDN w:val="0"/>
        <w:bidi w:val="0"/>
        <w:adjustRightInd w:val="0"/>
        <w:snapToGrid/>
        <w:spacing w:line="578" w:lineRule="exact"/>
        <w:ind w:left="0" w:right="0" w:firstLine="560"/>
        <w:jc w:val="both"/>
        <w:textAlignment w:val="baseline"/>
        <w:rPr>
          <w:rFonts w:ascii="仿宋" w:hAnsi="仿宋" w:eastAsia="仿宋" w:cs="仿宋"/>
          <w:snapToGrid w:val="0"/>
          <w:color w:val="000000"/>
          <w:kern w:val="0"/>
          <w:sz w:val="32"/>
          <w:szCs w:val="32"/>
          <w:highlight w:val="none"/>
          <w:lang w:val="en-US" w:eastAsia="en-US" w:bidi="ar-SA"/>
        </w:rPr>
      </w:pPr>
      <w:r>
        <w:rPr>
          <w:rFonts w:ascii="仿宋" w:hAnsi="仿宋" w:eastAsia="仿宋" w:cs="仿宋"/>
          <w:snapToGrid w:val="0"/>
          <w:color w:val="000000"/>
          <w:spacing w:val="3"/>
          <w:kern w:val="0"/>
          <w:sz w:val="32"/>
          <w:szCs w:val="32"/>
          <w:highlight w:val="none"/>
          <w:lang w:val="en-US" w:eastAsia="en-US" w:bidi="ar-SA"/>
        </w:rPr>
        <w:t>村庄或城镇周边水系、江河源头、水源地、自然资源与人文禀</w:t>
      </w:r>
      <w:r>
        <w:rPr>
          <w:rFonts w:ascii="仿宋" w:hAnsi="仿宋" w:eastAsia="仿宋" w:cs="仿宋"/>
          <w:snapToGrid w:val="0"/>
          <w:color w:val="000000"/>
          <w:spacing w:val="2"/>
          <w:kern w:val="0"/>
          <w:sz w:val="32"/>
          <w:szCs w:val="32"/>
          <w:highlight w:val="none"/>
          <w:lang w:val="en-US" w:eastAsia="en-US" w:bidi="ar-SA"/>
        </w:rPr>
        <w:t>赋条件较好和经济社会发展潜力较大等适宜</w:t>
      </w:r>
      <w:r>
        <w:rPr>
          <w:rFonts w:ascii="仿宋" w:hAnsi="仿宋" w:eastAsia="仿宋" w:cs="仿宋"/>
          <w:snapToGrid w:val="0"/>
          <w:color w:val="000000"/>
          <w:spacing w:val="1"/>
          <w:kern w:val="0"/>
          <w:sz w:val="32"/>
          <w:szCs w:val="32"/>
          <w:highlight w:val="none"/>
          <w:lang w:val="en-US" w:eastAsia="en-US" w:bidi="ar-SA"/>
        </w:rPr>
        <w:t>建设生态清洁小流域的</w:t>
      </w:r>
      <w:r>
        <w:rPr>
          <w:rFonts w:ascii="仿宋" w:hAnsi="仿宋" w:eastAsia="仿宋" w:cs="仿宋"/>
          <w:snapToGrid w:val="0"/>
          <w:color w:val="000000"/>
          <w:spacing w:val="-4"/>
          <w:kern w:val="0"/>
          <w:sz w:val="32"/>
          <w:szCs w:val="32"/>
          <w:highlight w:val="none"/>
          <w:lang w:val="en-US" w:eastAsia="en-US" w:bidi="ar-SA"/>
        </w:rPr>
        <w:t>区域，按照《生态清洁小流域建设技术规范</w:t>
      </w:r>
      <w:r>
        <w:rPr>
          <w:rFonts w:ascii="仿宋" w:hAnsi="仿宋" w:eastAsia="仿宋" w:cs="仿宋"/>
          <w:snapToGrid w:val="0"/>
          <w:color w:val="000000"/>
          <w:spacing w:val="-5"/>
          <w:kern w:val="0"/>
          <w:sz w:val="32"/>
          <w:szCs w:val="32"/>
          <w:highlight w:val="none"/>
          <w:lang w:val="en-US" w:eastAsia="en-US" w:bidi="ar-SA"/>
        </w:rPr>
        <w:t>》,基本建成生态清洁小</w:t>
      </w:r>
      <w:r>
        <w:rPr>
          <w:rFonts w:ascii="仿宋" w:hAnsi="仿宋" w:eastAsia="仿宋" w:cs="仿宋"/>
          <w:snapToGrid w:val="0"/>
          <w:color w:val="000000"/>
          <w:spacing w:val="9"/>
          <w:kern w:val="0"/>
          <w:sz w:val="32"/>
          <w:szCs w:val="32"/>
          <w:highlight w:val="none"/>
          <w:lang w:val="en-US" w:eastAsia="en-US" w:bidi="ar-SA"/>
        </w:rPr>
        <w:t>流域。</w:t>
      </w:r>
    </w:p>
    <w:p w14:paraId="5BEE4ECC">
      <w:pPr>
        <w:keepNext w:val="0"/>
        <w:keepLines w:val="0"/>
        <w:pageBreakBefore w:val="0"/>
        <w:widowControl/>
        <w:kinsoku w:val="0"/>
        <w:wordWrap/>
        <w:overflowPunct/>
        <w:topLinePunct w:val="0"/>
        <w:autoSpaceDE w:val="0"/>
        <w:autoSpaceDN w:val="0"/>
        <w:bidi w:val="0"/>
        <w:adjustRightInd w:val="0"/>
        <w:snapToGrid/>
        <w:spacing w:line="578" w:lineRule="exact"/>
        <w:ind w:left="0" w:right="0" w:firstLine="560"/>
        <w:jc w:val="left"/>
        <w:textAlignment w:val="baseline"/>
        <w:rPr>
          <w:rFonts w:hint="eastAsia" w:ascii="仿宋_GB2312" w:hAnsi="仿宋_GB2312" w:eastAsia="仿宋_GB2312" w:cs="仿宋_GB2312"/>
          <w:b w:val="0"/>
          <w:bCs w:val="0"/>
          <w:snapToGrid w:val="0"/>
          <w:color w:val="000000"/>
          <w:kern w:val="0"/>
          <w:sz w:val="32"/>
          <w:szCs w:val="32"/>
          <w:highlight w:val="none"/>
          <w:lang w:val="en-US" w:eastAsia="en-US" w:bidi="ar-SA"/>
        </w:rPr>
      </w:pPr>
      <w:r>
        <w:rPr>
          <w:rFonts w:ascii="仿宋" w:hAnsi="仿宋" w:eastAsia="仿宋" w:cs="仿宋"/>
          <w:snapToGrid w:val="0"/>
          <w:color w:val="000000"/>
          <w:spacing w:val="-6"/>
          <w:kern w:val="0"/>
          <w:sz w:val="32"/>
          <w:szCs w:val="32"/>
          <w:highlight w:val="none"/>
          <w:lang w:val="en-US" w:eastAsia="en-US" w:bidi="ar-SA"/>
        </w:rPr>
        <w:t>建立乡村河湖巡查管护队伍，落实日常巡查、保洁等相关制度</w:t>
      </w:r>
      <w:r>
        <w:rPr>
          <w:rFonts w:hint="eastAsia" w:ascii="仿宋_GB2312" w:hAnsi="仿宋_GB2312" w:eastAsia="仿宋_GB2312" w:cs="仿宋_GB2312"/>
          <w:b w:val="0"/>
          <w:bCs w:val="0"/>
          <w:snapToGrid w:val="0"/>
          <w:color w:val="000000"/>
          <w:spacing w:val="-6"/>
          <w:kern w:val="0"/>
          <w:sz w:val="32"/>
          <w:szCs w:val="32"/>
          <w:highlight w:val="none"/>
          <w:lang w:val="en-US" w:eastAsia="en-US" w:bidi="ar-SA"/>
        </w:rPr>
        <w:t>，</w:t>
      </w:r>
      <w:r>
        <w:rPr>
          <w:rFonts w:hint="eastAsia" w:ascii="仿宋_GB2312" w:hAnsi="仿宋_GB2312" w:eastAsia="仿宋_GB2312" w:cs="仿宋_GB2312"/>
          <w:b w:val="0"/>
          <w:bCs w:val="0"/>
          <w:snapToGrid w:val="0"/>
          <w:color w:val="000000"/>
          <w:spacing w:val="-5"/>
          <w:kern w:val="0"/>
          <w:sz w:val="32"/>
          <w:szCs w:val="32"/>
          <w:highlight w:val="none"/>
          <w:lang w:val="en-US" w:eastAsia="en-US" w:bidi="ar-SA"/>
        </w:rPr>
        <w:t>建立资金保障机制，定期巡查，水体得到有效管护。</w:t>
      </w:r>
    </w:p>
    <w:p w14:paraId="698EC18D">
      <w:pPr>
        <w:keepNext w:val="0"/>
        <w:keepLines w:val="0"/>
        <w:pageBreakBefore w:val="0"/>
        <w:widowControl/>
        <w:kinsoku w:val="0"/>
        <w:wordWrap/>
        <w:overflowPunct/>
        <w:topLinePunct w:val="0"/>
        <w:autoSpaceDE w:val="0"/>
        <w:autoSpaceDN w:val="0"/>
        <w:bidi w:val="0"/>
        <w:adjustRightInd w:val="0"/>
        <w:snapToGrid/>
        <w:spacing w:line="578" w:lineRule="exact"/>
        <w:ind w:left="0" w:right="0" w:firstLine="688" w:firstLineChars="200"/>
        <w:jc w:val="left"/>
        <w:textAlignment w:val="baseline"/>
        <w:outlineLvl w:val="2"/>
        <w:rPr>
          <w:rFonts w:hint="eastAsia" w:ascii="楷体_GB2312" w:hAnsi="楷体_GB2312" w:eastAsia="楷体_GB2312" w:cs="楷体_GB2312"/>
          <w:b w:val="0"/>
          <w:bCs w:val="0"/>
          <w:snapToGrid w:val="0"/>
          <w:color w:val="000000"/>
          <w:kern w:val="0"/>
          <w:sz w:val="32"/>
          <w:szCs w:val="32"/>
          <w:highlight w:val="none"/>
          <w:lang w:eastAsia="en-US"/>
        </w:rPr>
      </w:pPr>
      <w:r>
        <w:rPr>
          <w:rFonts w:hint="eastAsia" w:ascii="楷体_GB2312" w:hAnsi="楷体_GB2312" w:eastAsia="楷体_GB2312" w:cs="楷体_GB2312"/>
          <w:b w:val="0"/>
          <w:bCs w:val="0"/>
          <w:snapToGrid w:val="0"/>
          <w:color w:val="000000"/>
          <w:spacing w:val="12"/>
          <w:kern w:val="0"/>
          <w:sz w:val="32"/>
          <w:szCs w:val="32"/>
          <w:highlight w:val="none"/>
          <w:lang w:eastAsia="en-US"/>
        </w:rPr>
        <w:t>(三)评估数据来源</w:t>
      </w:r>
    </w:p>
    <w:p w14:paraId="7C6CD376">
      <w:pPr>
        <w:keepNext w:val="0"/>
        <w:keepLines w:val="0"/>
        <w:pageBreakBefore w:val="0"/>
        <w:widowControl/>
        <w:kinsoku w:val="0"/>
        <w:wordWrap/>
        <w:overflowPunct/>
        <w:topLinePunct w:val="0"/>
        <w:autoSpaceDE w:val="0"/>
        <w:autoSpaceDN w:val="0"/>
        <w:bidi w:val="0"/>
        <w:adjustRightInd w:val="0"/>
        <w:snapToGrid/>
        <w:spacing w:line="578" w:lineRule="exact"/>
        <w:ind w:left="0" w:right="0" w:firstLine="764" w:firstLineChars="200"/>
        <w:jc w:val="left"/>
        <w:textAlignment w:val="baseline"/>
        <w:rPr>
          <w:rFonts w:ascii="仿宋" w:hAnsi="仿宋" w:eastAsia="仿宋" w:cs="仿宋"/>
          <w:snapToGrid w:val="0"/>
          <w:color w:val="000000"/>
          <w:kern w:val="0"/>
          <w:sz w:val="32"/>
          <w:szCs w:val="32"/>
          <w:highlight w:val="none"/>
          <w:lang w:val="en-US" w:eastAsia="en-US" w:bidi="ar-SA"/>
        </w:rPr>
      </w:pPr>
      <w:r>
        <w:rPr>
          <w:rFonts w:ascii="仿宋" w:hAnsi="仿宋" w:eastAsia="仿宋" w:cs="仿宋"/>
          <w:snapToGrid w:val="0"/>
          <w:color w:val="000000"/>
          <w:spacing w:val="31"/>
          <w:kern w:val="0"/>
          <w:sz w:val="32"/>
          <w:szCs w:val="32"/>
          <w:highlight w:val="none"/>
          <w:lang w:val="en-US" w:eastAsia="en-US" w:bidi="ar-SA"/>
        </w:rPr>
        <w:t>水利、农业农村等相关部门。</w:t>
      </w:r>
    </w:p>
    <w:p w14:paraId="4B44ECA3">
      <w:pPr>
        <w:keepNext w:val="0"/>
        <w:keepLines w:val="0"/>
        <w:pageBreakBefore w:val="0"/>
        <w:widowControl/>
        <w:kinsoku w:val="0"/>
        <w:wordWrap/>
        <w:overflowPunct/>
        <w:topLinePunct w:val="0"/>
        <w:autoSpaceDE w:val="0"/>
        <w:autoSpaceDN w:val="0"/>
        <w:bidi w:val="0"/>
        <w:adjustRightInd w:val="0"/>
        <w:snapToGrid/>
        <w:spacing w:line="578" w:lineRule="exact"/>
        <w:ind w:left="0" w:right="0" w:firstLine="604" w:firstLineChars="200"/>
        <w:jc w:val="left"/>
        <w:textAlignment w:val="baseline"/>
        <w:outlineLvl w:val="2"/>
        <w:rPr>
          <w:rFonts w:ascii="黑体" w:hAnsi="黑体" w:eastAsia="黑体" w:cs="黑体"/>
          <w:b w:val="0"/>
          <w:bCs w:val="0"/>
          <w:snapToGrid w:val="0"/>
          <w:color w:val="000000"/>
          <w:kern w:val="0"/>
          <w:sz w:val="32"/>
          <w:szCs w:val="32"/>
          <w:highlight w:val="none"/>
          <w:lang w:eastAsia="en-US"/>
        </w:rPr>
      </w:pPr>
      <w:r>
        <w:rPr>
          <w:rFonts w:ascii="黑体" w:hAnsi="黑体" w:eastAsia="黑体" w:cs="黑体"/>
          <w:b w:val="0"/>
          <w:bCs w:val="0"/>
          <w:snapToGrid w:val="0"/>
          <w:color w:val="000000"/>
          <w:spacing w:val="-9"/>
          <w:kern w:val="0"/>
          <w:sz w:val="32"/>
          <w:szCs w:val="32"/>
          <w:highlight w:val="none"/>
          <w:lang w:eastAsia="en-US"/>
        </w:rPr>
        <w:t>七、耕地土壤有机质含量</w:t>
      </w:r>
    </w:p>
    <w:p w14:paraId="68BE4E0A">
      <w:pPr>
        <w:keepNext w:val="0"/>
        <w:keepLines w:val="0"/>
        <w:pageBreakBefore w:val="0"/>
        <w:widowControl/>
        <w:kinsoku w:val="0"/>
        <w:wordWrap/>
        <w:overflowPunct/>
        <w:topLinePunct w:val="0"/>
        <w:autoSpaceDE w:val="0"/>
        <w:autoSpaceDN w:val="0"/>
        <w:bidi w:val="0"/>
        <w:adjustRightInd w:val="0"/>
        <w:snapToGrid/>
        <w:spacing w:line="578" w:lineRule="exact"/>
        <w:ind w:left="0" w:right="0" w:firstLine="712" w:firstLineChars="200"/>
        <w:jc w:val="left"/>
        <w:textAlignment w:val="baseline"/>
        <w:outlineLvl w:val="2"/>
        <w:rPr>
          <w:rFonts w:hint="eastAsia" w:ascii="楷体_GB2312" w:hAnsi="楷体_GB2312" w:eastAsia="楷体_GB2312" w:cs="楷体_GB2312"/>
          <w:b w:val="0"/>
          <w:bCs w:val="0"/>
          <w:snapToGrid w:val="0"/>
          <w:color w:val="000000"/>
          <w:kern w:val="0"/>
          <w:sz w:val="32"/>
          <w:szCs w:val="32"/>
          <w:highlight w:val="none"/>
          <w:lang w:eastAsia="en-US"/>
        </w:rPr>
      </w:pPr>
      <w:r>
        <w:rPr>
          <w:rFonts w:hint="eastAsia" w:ascii="楷体_GB2312" w:hAnsi="楷体_GB2312" w:eastAsia="楷体_GB2312" w:cs="楷体_GB2312"/>
          <w:b w:val="0"/>
          <w:bCs w:val="0"/>
          <w:snapToGrid w:val="0"/>
          <w:color w:val="000000"/>
          <w:spacing w:val="18"/>
          <w:kern w:val="0"/>
          <w:sz w:val="32"/>
          <w:szCs w:val="32"/>
          <w:highlight w:val="none"/>
          <w:lang w:eastAsia="en-US"/>
        </w:rPr>
        <w:t>(一)指标要求</w:t>
      </w:r>
    </w:p>
    <w:p w14:paraId="53868036">
      <w:pPr>
        <w:keepNext w:val="0"/>
        <w:keepLines w:val="0"/>
        <w:pageBreakBefore w:val="0"/>
        <w:widowControl/>
        <w:kinsoku w:val="0"/>
        <w:wordWrap/>
        <w:overflowPunct/>
        <w:topLinePunct w:val="0"/>
        <w:autoSpaceDE w:val="0"/>
        <w:autoSpaceDN w:val="0"/>
        <w:bidi w:val="0"/>
        <w:adjustRightInd w:val="0"/>
        <w:snapToGrid/>
        <w:spacing w:line="578" w:lineRule="exact"/>
        <w:ind w:left="0" w:right="0" w:firstLine="616" w:firstLineChars="200"/>
        <w:jc w:val="left"/>
        <w:textAlignment w:val="baseline"/>
        <w:rPr>
          <w:rFonts w:ascii="仿宋" w:hAnsi="仿宋" w:eastAsia="仿宋" w:cs="仿宋"/>
          <w:snapToGrid w:val="0"/>
          <w:color w:val="000000"/>
          <w:kern w:val="0"/>
          <w:sz w:val="32"/>
          <w:szCs w:val="32"/>
          <w:highlight w:val="none"/>
          <w:lang w:val="en-US" w:eastAsia="en-US" w:bidi="ar-SA"/>
        </w:rPr>
      </w:pPr>
      <w:r>
        <w:rPr>
          <w:rFonts w:ascii="仿宋" w:hAnsi="仿宋" w:eastAsia="仿宋" w:cs="仿宋"/>
          <w:snapToGrid w:val="0"/>
          <w:color w:val="000000"/>
          <w:spacing w:val="-6"/>
          <w:kern w:val="0"/>
          <w:sz w:val="32"/>
          <w:szCs w:val="32"/>
          <w:highlight w:val="none"/>
          <w:lang w:val="en-US" w:eastAsia="en-US" w:bidi="ar-SA"/>
        </w:rPr>
        <w:t>耕地土壤有机质含量基本稳定或提高。</w:t>
      </w:r>
    </w:p>
    <w:p w14:paraId="74BA677E">
      <w:pPr>
        <w:keepNext w:val="0"/>
        <w:keepLines w:val="0"/>
        <w:pageBreakBefore w:val="0"/>
        <w:widowControl/>
        <w:kinsoku w:val="0"/>
        <w:wordWrap/>
        <w:overflowPunct/>
        <w:topLinePunct w:val="0"/>
        <w:autoSpaceDE w:val="0"/>
        <w:autoSpaceDN w:val="0"/>
        <w:bidi w:val="0"/>
        <w:adjustRightInd w:val="0"/>
        <w:snapToGrid/>
        <w:spacing w:line="578" w:lineRule="exact"/>
        <w:ind w:left="0" w:right="0" w:firstLine="708" w:firstLineChars="200"/>
        <w:jc w:val="left"/>
        <w:textAlignment w:val="baseline"/>
        <w:outlineLvl w:val="2"/>
        <w:rPr>
          <w:rFonts w:hint="eastAsia" w:ascii="楷体_GB2312" w:hAnsi="楷体_GB2312" w:eastAsia="楷体_GB2312" w:cs="楷体_GB2312"/>
          <w:b w:val="0"/>
          <w:bCs w:val="0"/>
          <w:snapToGrid w:val="0"/>
          <w:color w:val="000000"/>
          <w:kern w:val="0"/>
          <w:sz w:val="32"/>
          <w:szCs w:val="32"/>
          <w:highlight w:val="none"/>
          <w:lang w:eastAsia="en-US"/>
        </w:rPr>
      </w:pPr>
      <w:r>
        <w:rPr>
          <w:rFonts w:hint="eastAsia" w:ascii="楷体_GB2312" w:hAnsi="楷体_GB2312" w:eastAsia="楷体_GB2312" w:cs="楷体_GB2312"/>
          <w:b w:val="0"/>
          <w:bCs w:val="0"/>
          <w:snapToGrid w:val="0"/>
          <w:color w:val="000000"/>
          <w:spacing w:val="17"/>
          <w:kern w:val="0"/>
          <w:sz w:val="32"/>
          <w:szCs w:val="32"/>
          <w:highlight w:val="none"/>
          <w:lang w:eastAsia="en-US"/>
        </w:rPr>
        <w:t>(二)指标解释</w:t>
      </w:r>
    </w:p>
    <w:p w14:paraId="332CE573">
      <w:pPr>
        <w:keepNext w:val="0"/>
        <w:keepLines w:val="0"/>
        <w:pageBreakBefore w:val="0"/>
        <w:widowControl/>
        <w:kinsoku w:val="0"/>
        <w:wordWrap/>
        <w:overflowPunct/>
        <w:topLinePunct w:val="0"/>
        <w:autoSpaceDE w:val="0"/>
        <w:autoSpaceDN w:val="0"/>
        <w:bidi w:val="0"/>
        <w:adjustRightInd w:val="0"/>
        <w:snapToGrid/>
        <w:spacing w:line="578" w:lineRule="exact"/>
        <w:ind w:left="0" w:right="0" w:firstLine="560"/>
        <w:jc w:val="both"/>
        <w:textAlignment w:val="baseline"/>
        <w:rPr>
          <w:rFonts w:ascii="仿宋" w:hAnsi="仿宋" w:eastAsia="仿宋" w:cs="仿宋"/>
          <w:snapToGrid w:val="0"/>
          <w:color w:val="000000"/>
          <w:kern w:val="0"/>
          <w:sz w:val="32"/>
          <w:szCs w:val="32"/>
          <w:highlight w:val="none"/>
          <w:lang w:val="en-US" w:eastAsia="en-US" w:bidi="ar-SA"/>
        </w:rPr>
      </w:pPr>
      <w:r>
        <w:rPr>
          <w:rFonts w:ascii="仿宋" w:hAnsi="仿宋" w:eastAsia="仿宋" w:cs="仿宋"/>
          <w:snapToGrid w:val="0"/>
          <w:color w:val="000000"/>
          <w:spacing w:val="2"/>
          <w:kern w:val="0"/>
          <w:sz w:val="32"/>
          <w:szCs w:val="32"/>
          <w:highlight w:val="none"/>
          <w:lang w:val="en-US" w:eastAsia="en-US" w:bidi="ar-SA"/>
        </w:rPr>
        <w:t>土壤有机质含量是指单位体积土壤中含有的各种动植物残体与微生物及其分解合成的有机物质的数量。一</w:t>
      </w:r>
      <w:r>
        <w:rPr>
          <w:rFonts w:ascii="仿宋" w:hAnsi="仿宋" w:eastAsia="仿宋" w:cs="仿宋"/>
          <w:snapToGrid w:val="0"/>
          <w:color w:val="000000"/>
          <w:spacing w:val="1"/>
          <w:kern w:val="0"/>
          <w:sz w:val="32"/>
          <w:szCs w:val="32"/>
          <w:highlight w:val="none"/>
          <w:lang w:val="en-US" w:eastAsia="en-US" w:bidi="ar-SA"/>
        </w:rPr>
        <w:t>般以有机质占干土重的</w:t>
      </w:r>
      <w:r>
        <w:rPr>
          <w:rFonts w:ascii="仿宋" w:hAnsi="仿宋" w:eastAsia="仿宋" w:cs="仿宋"/>
          <w:snapToGrid w:val="0"/>
          <w:color w:val="000000"/>
          <w:spacing w:val="20"/>
          <w:kern w:val="0"/>
          <w:sz w:val="32"/>
          <w:szCs w:val="32"/>
          <w:highlight w:val="none"/>
          <w:lang w:val="en-US" w:eastAsia="en-US" w:bidi="ar-SA"/>
        </w:rPr>
        <w:t>百分数表示。</w:t>
      </w:r>
    </w:p>
    <w:p w14:paraId="17B47EEA">
      <w:pPr>
        <w:keepNext w:val="0"/>
        <w:keepLines w:val="0"/>
        <w:pageBreakBefore w:val="0"/>
        <w:widowControl/>
        <w:kinsoku w:val="0"/>
        <w:wordWrap/>
        <w:overflowPunct/>
        <w:topLinePunct w:val="0"/>
        <w:autoSpaceDE w:val="0"/>
        <w:autoSpaceDN w:val="0"/>
        <w:bidi w:val="0"/>
        <w:adjustRightInd w:val="0"/>
        <w:snapToGrid/>
        <w:spacing w:line="578" w:lineRule="exact"/>
        <w:ind w:left="0" w:right="0" w:firstLine="600"/>
        <w:jc w:val="left"/>
        <w:textAlignment w:val="baseline"/>
        <w:rPr>
          <w:rFonts w:ascii="仿宋" w:hAnsi="仿宋" w:eastAsia="仿宋" w:cs="仿宋"/>
          <w:snapToGrid w:val="0"/>
          <w:color w:val="000000"/>
          <w:kern w:val="0"/>
          <w:sz w:val="32"/>
          <w:szCs w:val="32"/>
          <w:highlight w:val="none"/>
          <w:lang w:val="en-US" w:eastAsia="en-US" w:bidi="ar-SA"/>
        </w:rPr>
      </w:pPr>
      <w:r>
        <w:rPr>
          <w:rFonts w:ascii="仿宋" w:hAnsi="仿宋" w:eastAsia="仿宋" w:cs="仿宋"/>
          <w:snapToGrid w:val="0"/>
          <w:color w:val="000000"/>
          <w:spacing w:val="2"/>
          <w:kern w:val="0"/>
          <w:sz w:val="32"/>
          <w:szCs w:val="32"/>
          <w:highlight w:val="none"/>
          <w:lang w:val="en-US" w:eastAsia="en-US" w:bidi="ar-SA"/>
        </w:rPr>
        <w:t>区域内耕地土壤有机质含量较上一年度或时期保持基本稳定或</w:t>
      </w:r>
      <w:r>
        <w:rPr>
          <w:rFonts w:ascii="仿宋" w:hAnsi="仿宋" w:eastAsia="仿宋" w:cs="仿宋"/>
          <w:snapToGrid w:val="0"/>
          <w:color w:val="000000"/>
          <w:spacing w:val="16"/>
          <w:kern w:val="0"/>
          <w:sz w:val="32"/>
          <w:szCs w:val="32"/>
          <w:highlight w:val="none"/>
          <w:lang w:val="en-US" w:eastAsia="en-US" w:bidi="ar-SA"/>
        </w:rPr>
        <w:t>提高。</w:t>
      </w:r>
    </w:p>
    <w:p w14:paraId="11671358">
      <w:pPr>
        <w:keepNext w:val="0"/>
        <w:keepLines w:val="0"/>
        <w:pageBreakBefore w:val="0"/>
        <w:widowControl/>
        <w:kinsoku w:val="0"/>
        <w:wordWrap/>
        <w:overflowPunct/>
        <w:topLinePunct w:val="0"/>
        <w:autoSpaceDE w:val="0"/>
        <w:autoSpaceDN w:val="0"/>
        <w:bidi w:val="0"/>
        <w:adjustRightInd w:val="0"/>
        <w:snapToGrid/>
        <w:spacing w:line="578" w:lineRule="exact"/>
        <w:ind w:left="0" w:right="0" w:firstLine="688" w:firstLineChars="200"/>
        <w:jc w:val="left"/>
        <w:textAlignment w:val="baseline"/>
        <w:outlineLvl w:val="2"/>
        <w:rPr>
          <w:rFonts w:hint="eastAsia" w:ascii="楷体_GB2312" w:hAnsi="楷体_GB2312" w:eastAsia="楷体_GB2312" w:cs="楷体_GB2312"/>
          <w:b w:val="0"/>
          <w:bCs w:val="0"/>
          <w:snapToGrid w:val="0"/>
          <w:color w:val="000000"/>
          <w:kern w:val="0"/>
          <w:sz w:val="32"/>
          <w:szCs w:val="32"/>
          <w:highlight w:val="none"/>
          <w:lang w:eastAsia="en-US"/>
        </w:rPr>
      </w:pPr>
      <w:r>
        <w:rPr>
          <w:rFonts w:hint="eastAsia" w:ascii="楷体_GB2312" w:hAnsi="楷体_GB2312" w:eastAsia="楷体_GB2312" w:cs="楷体_GB2312"/>
          <w:b w:val="0"/>
          <w:bCs w:val="0"/>
          <w:snapToGrid w:val="0"/>
          <w:color w:val="000000"/>
          <w:spacing w:val="12"/>
          <w:kern w:val="0"/>
          <w:sz w:val="32"/>
          <w:szCs w:val="32"/>
          <w:highlight w:val="none"/>
          <w:lang w:eastAsia="en-US"/>
        </w:rPr>
        <w:t>(三)评估数据来源</w:t>
      </w:r>
    </w:p>
    <w:p w14:paraId="52AEC057">
      <w:pPr>
        <w:keepNext w:val="0"/>
        <w:keepLines w:val="0"/>
        <w:pageBreakBefore w:val="0"/>
        <w:widowControl/>
        <w:kinsoku w:val="0"/>
        <w:wordWrap/>
        <w:overflowPunct/>
        <w:topLinePunct w:val="0"/>
        <w:autoSpaceDE w:val="0"/>
        <w:autoSpaceDN w:val="0"/>
        <w:bidi w:val="0"/>
        <w:adjustRightInd w:val="0"/>
        <w:snapToGrid/>
        <w:spacing w:line="578" w:lineRule="exact"/>
        <w:ind w:left="0" w:right="0" w:firstLine="764" w:firstLineChars="200"/>
        <w:jc w:val="left"/>
        <w:textAlignment w:val="baseline"/>
        <w:rPr>
          <w:rFonts w:ascii="仿宋" w:hAnsi="仿宋" w:eastAsia="仿宋" w:cs="仿宋"/>
          <w:snapToGrid w:val="0"/>
          <w:color w:val="000000"/>
          <w:kern w:val="0"/>
          <w:sz w:val="32"/>
          <w:szCs w:val="32"/>
          <w:highlight w:val="none"/>
          <w:lang w:val="en-US" w:eastAsia="en-US" w:bidi="ar-SA"/>
        </w:rPr>
      </w:pPr>
      <w:r>
        <w:rPr>
          <w:rFonts w:ascii="仿宋" w:hAnsi="仿宋" w:eastAsia="仿宋" w:cs="仿宋"/>
          <w:snapToGrid w:val="0"/>
          <w:color w:val="000000"/>
          <w:spacing w:val="31"/>
          <w:kern w:val="0"/>
          <w:sz w:val="32"/>
          <w:szCs w:val="32"/>
          <w:highlight w:val="none"/>
          <w:lang w:val="en-US" w:eastAsia="en-US" w:bidi="ar-SA"/>
        </w:rPr>
        <w:t>生态环境、农业农村等相关部门。</w:t>
      </w:r>
    </w:p>
    <w:p w14:paraId="4484BFC8">
      <w:pPr>
        <w:keepNext w:val="0"/>
        <w:keepLines w:val="0"/>
        <w:pageBreakBefore w:val="0"/>
        <w:widowControl/>
        <w:kinsoku w:val="0"/>
        <w:wordWrap/>
        <w:overflowPunct/>
        <w:topLinePunct w:val="0"/>
        <w:autoSpaceDE w:val="0"/>
        <w:autoSpaceDN w:val="0"/>
        <w:bidi w:val="0"/>
        <w:adjustRightInd w:val="0"/>
        <w:snapToGrid/>
        <w:spacing w:line="578" w:lineRule="exact"/>
        <w:ind w:left="0" w:right="0" w:firstLine="616" w:firstLineChars="200"/>
        <w:jc w:val="left"/>
        <w:textAlignment w:val="baseline"/>
        <w:outlineLvl w:val="2"/>
        <w:rPr>
          <w:rFonts w:ascii="黑体" w:hAnsi="黑体" w:eastAsia="黑体" w:cs="黑体"/>
          <w:b w:val="0"/>
          <w:bCs w:val="0"/>
          <w:snapToGrid w:val="0"/>
          <w:color w:val="000000"/>
          <w:kern w:val="0"/>
          <w:sz w:val="32"/>
          <w:szCs w:val="32"/>
          <w:highlight w:val="none"/>
          <w:lang w:eastAsia="en-US"/>
        </w:rPr>
      </w:pPr>
      <w:r>
        <w:rPr>
          <w:rFonts w:ascii="黑体" w:hAnsi="黑体" w:eastAsia="黑体" w:cs="黑体"/>
          <w:b w:val="0"/>
          <w:bCs w:val="0"/>
          <w:snapToGrid w:val="0"/>
          <w:color w:val="000000"/>
          <w:spacing w:val="-6"/>
          <w:kern w:val="0"/>
          <w:sz w:val="32"/>
          <w:szCs w:val="32"/>
          <w:highlight w:val="none"/>
          <w:lang w:eastAsia="en-US"/>
        </w:rPr>
        <w:t>八、农药包装废弃物回收率</w:t>
      </w:r>
    </w:p>
    <w:p w14:paraId="4509F9DB">
      <w:pPr>
        <w:keepNext w:val="0"/>
        <w:keepLines w:val="0"/>
        <w:pageBreakBefore w:val="0"/>
        <w:widowControl/>
        <w:kinsoku w:val="0"/>
        <w:wordWrap/>
        <w:overflowPunct/>
        <w:topLinePunct w:val="0"/>
        <w:autoSpaceDE w:val="0"/>
        <w:autoSpaceDN w:val="0"/>
        <w:bidi w:val="0"/>
        <w:adjustRightInd w:val="0"/>
        <w:snapToGrid/>
        <w:spacing w:line="578" w:lineRule="exact"/>
        <w:ind w:left="0" w:right="0" w:firstLine="712" w:firstLineChars="200"/>
        <w:jc w:val="left"/>
        <w:textAlignment w:val="baseline"/>
        <w:outlineLvl w:val="2"/>
        <w:rPr>
          <w:rFonts w:hint="eastAsia" w:ascii="楷体_GB2312" w:hAnsi="楷体_GB2312" w:eastAsia="楷体_GB2312" w:cs="楷体_GB2312"/>
          <w:b w:val="0"/>
          <w:bCs w:val="0"/>
          <w:snapToGrid w:val="0"/>
          <w:color w:val="000000"/>
          <w:spacing w:val="18"/>
          <w:kern w:val="0"/>
          <w:sz w:val="32"/>
          <w:szCs w:val="32"/>
          <w:highlight w:val="none"/>
          <w:lang w:eastAsia="en-US"/>
        </w:rPr>
      </w:pPr>
      <w:r>
        <w:rPr>
          <w:rFonts w:hint="eastAsia" w:ascii="楷体_GB2312" w:hAnsi="楷体_GB2312" w:eastAsia="楷体_GB2312" w:cs="楷体_GB2312"/>
          <w:b w:val="0"/>
          <w:bCs w:val="0"/>
          <w:snapToGrid w:val="0"/>
          <w:color w:val="000000"/>
          <w:spacing w:val="18"/>
          <w:kern w:val="0"/>
          <w:sz w:val="32"/>
          <w:szCs w:val="32"/>
          <w:highlight w:val="none"/>
          <w:lang w:eastAsia="en-US"/>
        </w:rPr>
        <w:t>(一)指标要求</w:t>
      </w:r>
    </w:p>
    <w:p w14:paraId="0A6CF5ED">
      <w:pPr>
        <w:keepNext w:val="0"/>
        <w:keepLines w:val="0"/>
        <w:pageBreakBefore w:val="0"/>
        <w:widowControl/>
        <w:kinsoku w:val="0"/>
        <w:wordWrap/>
        <w:overflowPunct/>
        <w:topLinePunct w:val="0"/>
        <w:autoSpaceDE w:val="0"/>
        <w:autoSpaceDN w:val="0"/>
        <w:bidi w:val="0"/>
        <w:adjustRightInd w:val="0"/>
        <w:snapToGrid/>
        <w:spacing w:line="578" w:lineRule="exact"/>
        <w:ind w:left="0" w:right="0" w:firstLine="550"/>
        <w:jc w:val="both"/>
        <w:textAlignment w:val="baseline"/>
        <w:rPr>
          <w:rFonts w:ascii="仿宋" w:hAnsi="仿宋" w:eastAsia="仿宋" w:cs="仿宋"/>
          <w:snapToGrid w:val="0"/>
          <w:color w:val="000000"/>
          <w:spacing w:val="14"/>
          <w:kern w:val="0"/>
          <w:sz w:val="32"/>
          <w:szCs w:val="32"/>
          <w:highlight w:val="none"/>
          <w:lang w:val="en-US" w:eastAsia="en-US" w:bidi="ar-SA"/>
        </w:rPr>
      </w:pPr>
      <w:r>
        <w:rPr>
          <w:rFonts w:ascii="仿宋" w:hAnsi="仿宋" w:eastAsia="仿宋" w:cs="仿宋"/>
          <w:snapToGrid w:val="0"/>
          <w:color w:val="000000"/>
          <w:spacing w:val="14"/>
          <w:kern w:val="0"/>
          <w:sz w:val="32"/>
          <w:szCs w:val="32"/>
          <w:highlight w:val="none"/>
          <w:lang w:val="en-US" w:eastAsia="en-US" w:bidi="ar-SA"/>
        </w:rPr>
        <w:t>到2027年，农药包装废弃物回收率达到80%以上；到2035年，农药包装废弃物回收率达到90%以上。</w:t>
      </w:r>
    </w:p>
    <w:p w14:paraId="18B2F431">
      <w:pPr>
        <w:keepNext w:val="0"/>
        <w:keepLines w:val="0"/>
        <w:pageBreakBefore w:val="0"/>
        <w:widowControl/>
        <w:kinsoku w:val="0"/>
        <w:wordWrap/>
        <w:overflowPunct/>
        <w:topLinePunct w:val="0"/>
        <w:autoSpaceDE w:val="0"/>
        <w:autoSpaceDN w:val="0"/>
        <w:bidi w:val="0"/>
        <w:adjustRightInd w:val="0"/>
        <w:snapToGrid/>
        <w:spacing w:line="578" w:lineRule="exact"/>
        <w:ind w:left="0" w:right="0" w:firstLine="740" w:firstLineChars="200"/>
        <w:jc w:val="left"/>
        <w:textAlignment w:val="baseline"/>
        <w:outlineLvl w:val="2"/>
        <w:rPr>
          <w:rFonts w:hint="eastAsia" w:ascii="楷体_GB2312" w:hAnsi="楷体_GB2312" w:eastAsia="楷体_GB2312" w:cs="楷体_GB2312"/>
          <w:b w:val="0"/>
          <w:bCs w:val="0"/>
          <w:snapToGrid w:val="0"/>
          <w:color w:val="000000"/>
          <w:kern w:val="0"/>
          <w:sz w:val="32"/>
          <w:szCs w:val="32"/>
          <w:highlight w:val="none"/>
          <w:lang w:eastAsia="en-US"/>
        </w:rPr>
      </w:pPr>
      <w:r>
        <w:rPr>
          <w:rFonts w:hint="eastAsia" w:ascii="楷体_GB2312" w:hAnsi="楷体_GB2312" w:eastAsia="楷体_GB2312" w:cs="楷体_GB2312"/>
          <w:b w:val="0"/>
          <w:bCs w:val="0"/>
          <w:snapToGrid w:val="0"/>
          <w:color w:val="000000"/>
          <w:spacing w:val="25"/>
          <w:kern w:val="0"/>
          <w:sz w:val="32"/>
          <w:szCs w:val="32"/>
          <w:highlight w:val="none"/>
          <w:lang w:eastAsia="en-US"/>
        </w:rPr>
        <w:t>(二)指标解释</w:t>
      </w:r>
    </w:p>
    <w:p w14:paraId="6AAA0962">
      <w:pPr>
        <w:keepNext w:val="0"/>
        <w:keepLines w:val="0"/>
        <w:pageBreakBefore w:val="0"/>
        <w:widowControl/>
        <w:kinsoku w:val="0"/>
        <w:wordWrap/>
        <w:overflowPunct/>
        <w:topLinePunct w:val="0"/>
        <w:autoSpaceDE w:val="0"/>
        <w:autoSpaceDN w:val="0"/>
        <w:bidi w:val="0"/>
        <w:adjustRightInd w:val="0"/>
        <w:snapToGrid/>
        <w:spacing w:line="578" w:lineRule="exact"/>
        <w:ind w:left="0" w:right="0" w:firstLine="550"/>
        <w:jc w:val="both"/>
        <w:textAlignment w:val="baseline"/>
        <w:rPr>
          <w:rFonts w:ascii="仿宋" w:hAnsi="仿宋" w:eastAsia="仿宋" w:cs="仿宋"/>
          <w:snapToGrid w:val="0"/>
          <w:color w:val="000000"/>
          <w:kern w:val="0"/>
          <w:sz w:val="32"/>
          <w:szCs w:val="32"/>
          <w:highlight w:val="none"/>
          <w:lang w:val="en-US" w:eastAsia="en-US" w:bidi="ar-SA"/>
        </w:rPr>
      </w:pPr>
      <w:r>
        <w:rPr>
          <w:rFonts w:ascii="仿宋" w:hAnsi="仿宋" w:eastAsia="仿宋" w:cs="仿宋"/>
          <w:snapToGrid w:val="0"/>
          <w:color w:val="000000"/>
          <w:spacing w:val="5"/>
          <w:kern w:val="0"/>
          <w:sz w:val="32"/>
          <w:szCs w:val="32"/>
          <w:highlight w:val="none"/>
          <w:lang w:val="en-US" w:eastAsia="en-US" w:bidi="ar-SA"/>
        </w:rPr>
        <w:t>农药包装废弃物回收率是指农药包装废弃物回收量占产生量的</w:t>
      </w:r>
      <w:r>
        <w:rPr>
          <w:rFonts w:ascii="仿宋" w:hAnsi="仿宋" w:eastAsia="仿宋" w:cs="仿宋"/>
          <w:snapToGrid w:val="0"/>
          <w:color w:val="000000"/>
          <w:spacing w:val="14"/>
          <w:kern w:val="0"/>
          <w:sz w:val="32"/>
          <w:szCs w:val="32"/>
          <w:highlight w:val="none"/>
          <w:lang w:val="en-US" w:eastAsia="en-US" w:bidi="ar-SA"/>
        </w:rPr>
        <w:t>比例。计算方法：农药包装废弃物回收率(%)</w:t>
      </w:r>
      <w:r>
        <w:rPr>
          <w:rFonts w:ascii="仿宋" w:hAnsi="仿宋" w:eastAsia="仿宋" w:cs="仿宋"/>
          <w:snapToGrid w:val="0"/>
          <w:color w:val="000000"/>
          <w:spacing w:val="13"/>
          <w:kern w:val="0"/>
          <w:sz w:val="32"/>
          <w:szCs w:val="32"/>
          <w:highlight w:val="none"/>
          <w:lang w:val="en-US" w:eastAsia="en-US" w:bidi="ar-SA"/>
        </w:rPr>
        <w:t>=农药包装废弃物回</w:t>
      </w:r>
      <w:r>
        <w:rPr>
          <w:rFonts w:ascii="仿宋" w:hAnsi="仿宋" w:eastAsia="仿宋" w:cs="仿宋"/>
          <w:snapToGrid w:val="0"/>
          <w:color w:val="000000"/>
          <w:spacing w:val="-4"/>
          <w:kern w:val="0"/>
          <w:sz w:val="32"/>
          <w:szCs w:val="32"/>
          <w:highlight w:val="none"/>
          <w:lang w:val="en-US" w:eastAsia="en-US" w:bidi="ar-SA"/>
        </w:rPr>
        <w:t>收量÷农药包装废弃物产生量×100%。</w:t>
      </w:r>
    </w:p>
    <w:p w14:paraId="0B39D884">
      <w:pPr>
        <w:keepNext w:val="0"/>
        <w:keepLines w:val="0"/>
        <w:pageBreakBefore w:val="0"/>
        <w:widowControl/>
        <w:kinsoku w:val="0"/>
        <w:wordWrap/>
        <w:overflowPunct/>
        <w:topLinePunct w:val="0"/>
        <w:autoSpaceDE w:val="0"/>
        <w:autoSpaceDN w:val="0"/>
        <w:bidi w:val="0"/>
        <w:adjustRightInd w:val="0"/>
        <w:snapToGrid/>
        <w:spacing w:line="578" w:lineRule="exact"/>
        <w:ind w:left="0" w:right="0" w:firstLine="708" w:firstLineChars="200"/>
        <w:jc w:val="left"/>
        <w:textAlignment w:val="baseline"/>
        <w:outlineLvl w:val="2"/>
        <w:rPr>
          <w:rFonts w:hint="eastAsia" w:ascii="楷体_GB2312" w:hAnsi="楷体_GB2312" w:eastAsia="楷体_GB2312" w:cs="楷体_GB2312"/>
          <w:b w:val="0"/>
          <w:bCs w:val="0"/>
          <w:snapToGrid w:val="0"/>
          <w:color w:val="000000"/>
          <w:kern w:val="0"/>
          <w:sz w:val="32"/>
          <w:szCs w:val="32"/>
          <w:highlight w:val="none"/>
          <w:lang w:eastAsia="en-US"/>
        </w:rPr>
      </w:pPr>
      <w:r>
        <w:rPr>
          <w:rFonts w:hint="eastAsia" w:ascii="楷体_GB2312" w:hAnsi="楷体_GB2312" w:eastAsia="楷体_GB2312" w:cs="楷体_GB2312"/>
          <w:b w:val="0"/>
          <w:bCs w:val="0"/>
          <w:snapToGrid w:val="0"/>
          <w:color w:val="000000"/>
          <w:spacing w:val="17"/>
          <w:kern w:val="0"/>
          <w:sz w:val="32"/>
          <w:szCs w:val="32"/>
          <w:highlight w:val="none"/>
          <w:lang w:eastAsia="en-US"/>
        </w:rPr>
        <w:t>(三)评估数据来源</w:t>
      </w:r>
    </w:p>
    <w:p w14:paraId="48B26475">
      <w:pPr>
        <w:keepNext w:val="0"/>
        <w:keepLines w:val="0"/>
        <w:pageBreakBefore w:val="0"/>
        <w:widowControl/>
        <w:kinsoku w:val="0"/>
        <w:wordWrap/>
        <w:overflowPunct/>
        <w:topLinePunct w:val="0"/>
        <w:autoSpaceDE w:val="0"/>
        <w:autoSpaceDN w:val="0"/>
        <w:bidi w:val="0"/>
        <w:adjustRightInd w:val="0"/>
        <w:snapToGrid/>
        <w:spacing w:line="578" w:lineRule="exact"/>
        <w:ind w:left="0" w:right="0" w:firstLine="628" w:firstLineChars="200"/>
        <w:jc w:val="left"/>
        <w:textAlignment w:val="baseline"/>
        <w:rPr>
          <w:rFonts w:ascii="仿宋" w:hAnsi="仿宋" w:eastAsia="仿宋" w:cs="仿宋"/>
          <w:snapToGrid w:val="0"/>
          <w:color w:val="000000"/>
          <w:kern w:val="0"/>
          <w:sz w:val="32"/>
          <w:szCs w:val="32"/>
          <w:highlight w:val="none"/>
          <w:lang w:val="en-US" w:eastAsia="en-US" w:bidi="ar-SA"/>
        </w:rPr>
      </w:pPr>
      <w:r>
        <w:rPr>
          <w:rFonts w:ascii="仿宋" w:hAnsi="仿宋" w:eastAsia="仿宋" w:cs="仿宋"/>
          <w:snapToGrid w:val="0"/>
          <w:color w:val="000000"/>
          <w:spacing w:val="-3"/>
          <w:kern w:val="0"/>
          <w:sz w:val="32"/>
          <w:szCs w:val="32"/>
          <w:highlight w:val="none"/>
          <w:lang w:val="en-US" w:eastAsia="en-US" w:bidi="ar-SA"/>
        </w:rPr>
        <w:t>农业农村、林业草原、市场监管、生态环境等相关部门。</w:t>
      </w:r>
    </w:p>
    <w:p w14:paraId="27F09A7F">
      <w:pPr>
        <w:keepNext w:val="0"/>
        <w:keepLines w:val="0"/>
        <w:pageBreakBefore w:val="0"/>
        <w:widowControl/>
        <w:kinsoku w:val="0"/>
        <w:wordWrap/>
        <w:overflowPunct/>
        <w:topLinePunct w:val="0"/>
        <w:autoSpaceDE w:val="0"/>
        <w:autoSpaceDN w:val="0"/>
        <w:bidi w:val="0"/>
        <w:adjustRightInd w:val="0"/>
        <w:snapToGrid/>
        <w:spacing w:line="578" w:lineRule="exact"/>
        <w:ind w:left="0" w:right="0" w:firstLine="612" w:firstLineChars="200"/>
        <w:jc w:val="left"/>
        <w:textAlignment w:val="baseline"/>
        <w:outlineLvl w:val="2"/>
        <w:rPr>
          <w:rFonts w:ascii="黑体" w:hAnsi="黑体" w:eastAsia="黑体" w:cs="黑体"/>
          <w:b w:val="0"/>
          <w:bCs w:val="0"/>
          <w:snapToGrid w:val="0"/>
          <w:color w:val="000000"/>
          <w:kern w:val="0"/>
          <w:sz w:val="32"/>
          <w:szCs w:val="32"/>
          <w:highlight w:val="none"/>
          <w:lang w:eastAsia="en-US"/>
        </w:rPr>
      </w:pPr>
      <w:r>
        <w:rPr>
          <w:rFonts w:ascii="黑体" w:hAnsi="黑体" w:eastAsia="黑体" w:cs="黑体"/>
          <w:b w:val="0"/>
          <w:bCs w:val="0"/>
          <w:snapToGrid w:val="0"/>
          <w:color w:val="000000"/>
          <w:spacing w:val="-7"/>
          <w:kern w:val="0"/>
          <w:sz w:val="32"/>
          <w:szCs w:val="32"/>
          <w:highlight w:val="none"/>
          <w:lang w:eastAsia="en-US"/>
        </w:rPr>
        <w:t>九、农膜生产使用</w:t>
      </w:r>
    </w:p>
    <w:p w14:paraId="4E707028">
      <w:pPr>
        <w:keepNext w:val="0"/>
        <w:keepLines w:val="0"/>
        <w:pageBreakBefore w:val="0"/>
        <w:widowControl/>
        <w:kinsoku w:val="0"/>
        <w:wordWrap/>
        <w:overflowPunct/>
        <w:topLinePunct w:val="0"/>
        <w:autoSpaceDE w:val="0"/>
        <w:autoSpaceDN w:val="0"/>
        <w:bidi w:val="0"/>
        <w:adjustRightInd w:val="0"/>
        <w:snapToGrid/>
        <w:spacing w:line="578" w:lineRule="exact"/>
        <w:ind w:left="0" w:right="0" w:firstLine="728" w:firstLineChars="200"/>
        <w:jc w:val="left"/>
        <w:textAlignment w:val="baseline"/>
        <w:outlineLvl w:val="2"/>
        <w:rPr>
          <w:rFonts w:hint="eastAsia" w:ascii="楷体_GB2312" w:hAnsi="楷体_GB2312" w:eastAsia="楷体_GB2312" w:cs="楷体_GB2312"/>
          <w:b w:val="0"/>
          <w:bCs w:val="0"/>
          <w:snapToGrid w:val="0"/>
          <w:color w:val="000000"/>
          <w:kern w:val="0"/>
          <w:sz w:val="32"/>
          <w:szCs w:val="32"/>
          <w:highlight w:val="none"/>
          <w:lang w:eastAsia="en-US"/>
        </w:rPr>
      </w:pPr>
      <w:r>
        <w:rPr>
          <w:rFonts w:hint="eastAsia" w:ascii="楷体_GB2312" w:hAnsi="楷体_GB2312" w:eastAsia="楷体_GB2312" w:cs="楷体_GB2312"/>
          <w:b w:val="0"/>
          <w:bCs w:val="0"/>
          <w:snapToGrid w:val="0"/>
          <w:color w:val="000000"/>
          <w:spacing w:val="22"/>
          <w:kern w:val="0"/>
          <w:sz w:val="32"/>
          <w:szCs w:val="32"/>
          <w:highlight w:val="none"/>
          <w:lang w:eastAsia="en-US"/>
        </w:rPr>
        <w:t>(一)指标要求</w:t>
      </w:r>
    </w:p>
    <w:p w14:paraId="437AE984">
      <w:pPr>
        <w:keepNext w:val="0"/>
        <w:keepLines w:val="0"/>
        <w:pageBreakBefore w:val="0"/>
        <w:widowControl/>
        <w:kinsoku w:val="0"/>
        <w:wordWrap/>
        <w:overflowPunct/>
        <w:topLinePunct w:val="0"/>
        <w:autoSpaceDE w:val="0"/>
        <w:autoSpaceDN w:val="0"/>
        <w:bidi w:val="0"/>
        <w:adjustRightInd w:val="0"/>
        <w:snapToGrid/>
        <w:spacing w:line="578" w:lineRule="exact"/>
        <w:ind w:left="0" w:right="0" w:firstLine="628" w:firstLineChars="200"/>
        <w:jc w:val="left"/>
        <w:textAlignment w:val="baseline"/>
        <w:rPr>
          <w:rFonts w:ascii="仿宋" w:hAnsi="仿宋" w:eastAsia="仿宋" w:cs="仿宋"/>
          <w:snapToGrid w:val="0"/>
          <w:color w:val="000000"/>
          <w:kern w:val="0"/>
          <w:sz w:val="32"/>
          <w:szCs w:val="32"/>
          <w:highlight w:val="none"/>
          <w:lang w:val="en-US" w:eastAsia="en-US" w:bidi="ar-SA"/>
        </w:rPr>
      </w:pPr>
      <w:r>
        <w:rPr>
          <w:rFonts w:ascii="仿宋" w:hAnsi="仿宋" w:eastAsia="仿宋" w:cs="仿宋"/>
          <w:snapToGrid w:val="0"/>
          <w:color w:val="000000"/>
          <w:spacing w:val="-3"/>
          <w:kern w:val="0"/>
          <w:sz w:val="32"/>
          <w:szCs w:val="32"/>
          <w:highlight w:val="none"/>
          <w:lang w:val="en-US" w:eastAsia="en-US" w:bidi="ar-SA"/>
        </w:rPr>
        <w:t>基本消除违规生产、销售、使用农膜现象。</w:t>
      </w:r>
    </w:p>
    <w:p w14:paraId="5281225F">
      <w:pPr>
        <w:keepNext w:val="0"/>
        <w:keepLines w:val="0"/>
        <w:pageBreakBefore w:val="0"/>
        <w:widowControl/>
        <w:kinsoku w:val="0"/>
        <w:wordWrap/>
        <w:overflowPunct/>
        <w:topLinePunct w:val="0"/>
        <w:autoSpaceDE w:val="0"/>
        <w:autoSpaceDN w:val="0"/>
        <w:bidi w:val="0"/>
        <w:adjustRightInd w:val="0"/>
        <w:snapToGrid/>
        <w:spacing w:line="578" w:lineRule="exact"/>
        <w:ind w:left="0" w:right="0" w:firstLine="724" w:firstLineChars="200"/>
        <w:jc w:val="left"/>
        <w:textAlignment w:val="baseline"/>
        <w:outlineLvl w:val="2"/>
        <w:rPr>
          <w:rFonts w:hint="eastAsia" w:ascii="楷体_GB2312" w:hAnsi="楷体_GB2312" w:eastAsia="楷体_GB2312" w:cs="楷体_GB2312"/>
          <w:b w:val="0"/>
          <w:bCs w:val="0"/>
          <w:snapToGrid w:val="0"/>
          <w:color w:val="000000"/>
          <w:kern w:val="0"/>
          <w:sz w:val="32"/>
          <w:szCs w:val="32"/>
          <w:highlight w:val="none"/>
          <w:lang w:eastAsia="en-US"/>
        </w:rPr>
      </w:pPr>
      <w:r>
        <w:rPr>
          <w:rFonts w:hint="eastAsia" w:ascii="楷体_GB2312" w:hAnsi="楷体_GB2312" w:eastAsia="楷体_GB2312" w:cs="楷体_GB2312"/>
          <w:b w:val="0"/>
          <w:bCs w:val="0"/>
          <w:snapToGrid w:val="0"/>
          <w:color w:val="000000"/>
          <w:spacing w:val="21"/>
          <w:kern w:val="0"/>
          <w:sz w:val="32"/>
          <w:szCs w:val="32"/>
          <w:highlight w:val="none"/>
          <w:lang w:eastAsia="en-US"/>
        </w:rPr>
        <w:t>(二)指标解释</w:t>
      </w:r>
    </w:p>
    <w:p w14:paraId="7B02816B">
      <w:pPr>
        <w:keepNext w:val="0"/>
        <w:keepLines w:val="0"/>
        <w:pageBreakBefore w:val="0"/>
        <w:widowControl/>
        <w:kinsoku w:val="0"/>
        <w:wordWrap/>
        <w:overflowPunct/>
        <w:topLinePunct w:val="0"/>
        <w:autoSpaceDE w:val="0"/>
        <w:autoSpaceDN w:val="0"/>
        <w:bidi w:val="0"/>
        <w:adjustRightInd w:val="0"/>
        <w:snapToGrid/>
        <w:spacing w:line="578" w:lineRule="exact"/>
        <w:ind w:left="0" w:right="0" w:firstLine="589"/>
        <w:jc w:val="left"/>
        <w:textAlignment w:val="baseline"/>
        <w:rPr>
          <w:rFonts w:ascii="仿宋" w:hAnsi="仿宋" w:eastAsia="仿宋" w:cs="仿宋"/>
          <w:snapToGrid w:val="0"/>
          <w:color w:val="000000"/>
          <w:kern w:val="0"/>
          <w:sz w:val="32"/>
          <w:szCs w:val="32"/>
          <w:highlight w:val="none"/>
          <w:lang w:val="en-US" w:eastAsia="en-US" w:bidi="ar-SA"/>
        </w:rPr>
      </w:pPr>
      <w:r>
        <w:rPr>
          <w:rFonts w:ascii="仿宋" w:hAnsi="仿宋" w:eastAsia="仿宋" w:cs="仿宋"/>
          <w:snapToGrid w:val="0"/>
          <w:color w:val="000000"/>
          <w:spacing w:val="-14"/>
          <w:kern w:val="0"/>
          <w:sz w:val="32"/>
          <w:szCs w:val="32"/>
          <w:highlight w:val="none"/>
          <w:lang w:val="en-US" w:eastAsia="en-US" w:bidi="ar-SA"/>
        </w:rPr>
        <w:t>通过例行检查、专项抽查和重点排查相结合的方式，未发现生产、</w:t>
      </w:r>
      <w:r>
        <w:rPr>
          <w:rFonts w:ascii="仿宋" w:hAnsi="仿宋" w:eastAsia="仿宋" w:cs="仿宋"/>
          <w:snapToGrid w:val="0"/>
          <w:color w:val="000000"/>
          <w:spacing w:val="-13"/>
          <w:kern w:val="0"/>
          <w:sz w:val="32"/>
          <w:szCs w:val="32"/>
          <w:highlight w:val="none"/>
          <w:lang w:val="en-US" w:eastAsia="en-US" w:bidi="ar-SA"/>
        </w:rPr>
        <w:t>销售、使用国家明令禁止或者不符合强制性国家标准的农用薄膜情况。</w:t>
      </w:r>
    </w:p>
    <w:p w14:paraId="6F38E691">
      <w:pPr>
        <w:keepNext w:val="0"/>
        <w:keepLines w:val="0"/>
        <w:pageBreakBefore w:val="0"/>
        <w:widowControl/>
        <w:kinsoku w:val="0"/>
        <w:wordWrap/>
        <w:overflowPunct/>
        <w:topLinePunct w:val="0"/>
        <w:autoSpaceDE w:val="0"/>
        <w:autoSpaceDN w:val="0"/>
        <w:bidi w:val="0"/>
        <w:adjustRightInd w:val="0"/>
        <w:snapToGrid/>
        <w:spacing w:line="578" w:lineRule="exact"/>
        <w:ind w:left="0" w:right="0" w:firstLine="708" w:firstLineChars="200"/>
        <w:jc w:val="left"/>
        <w:textAlignment w:val="baseline"/>
        <w:outlineLvl w:val="2"/>
        <w:rPr>
          <w:rFonts w:hint="eastAsia" w:ascii="楷体_GB2312" w:hAnsi="楷体_GB2312" w:eastAsia="楷体_GB2312" w:cs="楷体_GB2312"/>
          <w:b w:val="0"/>
          <w:bCs w:val="0"/>
          <w:snapToGrid w:val="0"/>
          <w:color w:val="000000"/>
          <w:kern w:val="0"/>
          <w:sz w:val="32"/>
          <w:szCs w:val="32"/>
          <w:highlight w:val="none"/>
          <w:lang w:eastAsia="en-US"/>
        </w:rPr>
      </w:pPr>
      <w:r>
        <w:rPr>
          <w:rFonts w:hint="eastAsia" w:ascii="楷体_GB2312" w:hAnsi="楷体_GB2312" w:eastAsia="楷体_GB2312" w:cs="楷体_GB2312"/>
          <w:b w:val="0"/>
          <w:bCs w:val="0"/>
          <w:snapToGrid w:val="0"/>
          <w:color w:val="000000"/>
          <w:spacing w:val="17"/>
          <w:kern w:val="0"/>
          <w:sz w:val="32"/>
          <w:szCs w:val="32"/>
          <w:highlight w:val="none"/>
          <w:lang w:eastAsia="en-US"/>
        </w:rPr>
        <w:t>(三)评估数据来源</w:t>
      </w:r>
    </w:p>
    <w:p w14:paraId="707212C2">
      <w:pPr>
        <w:keepNext w:val="0"/>
        <w:keepLines w:val="0"/>
        <w:pageBreakBefore w:val="0"/>
        <w:widowControl/>
        <w:kinsoku w:val="0"/>
        <w:wordWrap/>
        <w:overflowPunct/>
        <w:topLinePunct w:val="0"/>
        <w:autoSpaceDE w:val="0"/>
        <w:autoSpaceDN w:val="0"/>
        <w:bidi w:val="0"/>
        <w:adjustRightInd w:val="0"/>
        <w:snapToGrid/>
        <w:spacing w:line="578" w:lineRule="exact"/>
        <w:ind w:left="0" w:right="0" w:firstLine="628" w:firstLineChars="200"/>
        <w:jc w:val="left"/>
        <w:textAlignment w:val="baseline"/>
        <w:rPr>
          <w:rFonts w:ascii="仿宋" w:hAnsi="仿宋" w:eastAsia="仿宋" w:cs="仿宋"/>
          <w:snapToGrid w:val="0"/>
          <w:color w:val="000000"/>
          <w:kern w:val="0"/>
          <w:sz w:val="32"/>
          <w:szCs w:val="32"/>
          <w:highlight w:val="none"/>
          <w:lang w:val="en-US" w:eastAsia="en-US" w:bidi="ar-SA"/>
        </w:rPr>
      </w:pPr>
      <w:r>
        <w:rPr>
          <w:rFonts w:ascii="仿宋" w:hAnsi="仿宋" w:eastAsia="仿宋" w:cs="仿宋"/>
          <w:snapToGrid w:val="0"/>
          <w:color w:val="000000"/>
          <w:spacing w:val="-3"/>
          <w:kern w:val="0"/>
          <w:sz w:val="32"/>
          <w:szCs w:val="32"/>
          <w:highlight w:val="none"/>
          <w:lang w:val="en-US" w:eastAsia="en-US" w:bidi="ar-SA"/>
        </w:rPr>
        <w:t>农业农村、市场监管、生态环境等相关部门。</w:t>
      </w:r>
    </w:p>
    <w:p w14:paraId="0CBB5E6B">
      <w:pPr>
        <w:keepNext w:val="0"/>
        <w:keepLines w:val="0"/>
        <w:pageBreakBefore w:val="0"/>
        <w:widowControl/>
        <w:kinsoku w:val="0"/>
        <w:wordWrap/>
        <w:overflowPunct/>
        <w:topLinePunct w:val="0"/>
        <w:autoSpaceDE w:val="0"/>
        <w:autoSpaceDN w:val="0"/>
        <w:bidi w:val="0"/>
        <w:adjustRightInd w:val="0"/>
        <w:snapToGrid/>
        <w:spacing w:line="578" w:lineRule="exact"/>
        <w:ind w:left="0" w:right="0" w:firstLine="624" w:firstLineChars="200"/>
        <w:jc w:val="left"/>
        <w:textAlignment w:val="baseline"/>
        <w:outlineLvl w:val="2"/>
        <w:rPr>
          <w:rFonts w:ascii="黑体" w:hAnsi="黑体" w:eastAsia="黑体" w:cs="黑体"/>
          <w:b w:val="0"/>
          <w:bCs w:val="0"/>
          <w:snapToGrid w:val="0"/>
          <w:color w:val="000000"/>
          <w:kern w:val="0"/>
          <w:sz w:val="32"/>
          <w:szCs w:val="32"/>
          <w:highlight w:val="none"/>
          <w:lang w:eastAsia="en-US"/>
        </w:rPr>
      </w:pPr>
      <w:r>
        <w:rPr>
          <w:rFonts w:ascii="黑体" w:hAnsi="黑体" w:eastAsia="黑体" w:cs="黑体"/>
          <w:b w:val="0"/>
          <w:bCs w:val="0"/>
          <w:snapToGrid w:val="0"/>
          <w:color w:val="000000"/>
          <w:spacing w:val="-4"/>
          <w:kern w:val="0"/>
          <w:sz w:val="32"/>
          <w:szCs w:val="32"/>
          <w:highlight w:val="none"/>
          <w:lang w:eastAsia="en-US"/>
        </w:rPr>
        <w:t>十、秸秆利用和管控</w:t>
      </w:r>
    </w:p>
    <w:p w14:paraId="219C1757">
      <w:pPr>
        <w:keepNext w:val="0"/>
        <w:keepLines w:val="0"/>
        <w:pageBreakBefore w:val="0"/>
        <w:widowControl/>
        <w:kinsoku w:val="0"/>
        <w:wordWrap/>
        <w:overflowPunct/>
        <w:topLinePunct w:val="0"/>
        <w:autoSpaceDE w:val="0"/>
        <w:autoSpaceDN w:val="0"/>
        <w:bidi w:val="0"/>
        <w:adjustRightInd w:val="0"/>
        <w:snapToGrid/>
        <w:spacing w:line="578" w:lineRule="exact"/>
        <w:ind w:left="0" w:right="0" w:firstLine="728" w:firstLineChars="200"/>
        <w:jc w:val="left"/>
        <w:textAlignment w:val="baseline"/>
        <w:outlineLvl w:val="2"/>
        <w:rPr>
          <w:rFonts w:hint="eastAsia" w:ascii="楷体_GB2312" w:hAnsi="楷体_GB2312" w:eastAsia="楷体_GB2312" w:cs="楷体_GB2312"/>
          <w:b w:val="0"/>
          <w:bCs w:val="0"/>
          <w:snapToGrid w:val="0"/>
          <w:color w:val="000000"/>
          <w:kern w:val="0"/>
          <w:sz w:val="32"/>
          <w:szCs w:val="32"/>
          <w:highlight w:val="none"/>
          <w:lang w:eastAsia="en-US"/>
        </w:rPr>
      </w:pPr>
      <w:r>
        <w:rPr>
          <w:rFonts w:hint="eastAsia" w:ascii="楷体_GB2312" w:hAnsi="楷体_GB2312" w:eastAsia="楷体_GB2312" w:cs="楷体_GB2312"/>
          <w:b w:val="0"/>
          <w:bCs w:val="0"/>
          <w:snapToGrid w:val="0"/>
          <w:color w:val="000000"/>
          <w:spacing w:val="22"/>
          <w:kern w:val="0"/>
          <w:sz w:val="32"/>
          <w:szCs w:val="32"/>
          <w:highlight w:val="none"/>
          <w:lang w:eastAsia="en-US"/>
        </w:rPr>
        <w:t>(一)指标要求</w:t>
      </w:r>
    </w:p>
    <w:p w14:paraId="7C886F62">
      <w:pPr>
        <w:keepNext w:val="0"/>
        <w:keepLines w:val="0"/>
        <w:pageBreakBefore w:val="0"/>
        <w:widowControl/>
        <w:kinsoku w:val="0"/>
        <w:wordWrap/>
        <w:overflowPunct/>
        <w:topLinePunct w:val="0"/>
        <w:autoSpaceDE w:val="0"/>
        <w:autoSpaceDN w:val="0"/>
        <w:bidi w:val="0"/>
        <w:adjustRightInd w:val="0"/>
        <w:snapToGrid/>
        <w:spacing w:line="578" w:lineRule="exact"/>
        <w:ind w:left="0" w:right="0" w:firstLine="519"/>
        <w:jc w:val="left"/>
        <w:textAlignment w:val="baseline"/>
        <w:rPr>
          <w:rFonts w:ascii="仿宋" w:hAnsi="仿宋" w:eastAsia="仿宋" w:cs="仿宋"/>
          <w:snapToGrid w:val="0"/>
          <w:color w:val="000000"/>
          <w:kern w:val="0"/>
          <w:sz w:val="32"/>
          <w:szCs w:val="32"/>
          <w:highlight w:val="none"/>
          <w:lang w:val="en-US" w:eastAsia="en-US" w:bidi="ar-SA"/>
        </w:rPr>
      </w:pPr>
      <w:r>
        <w:rPr>
          <w:rFonts w:ascii="仿宋" w:hAnsi="仿宋" w:eastAsia="仿宋" w:cs="仿宋"/>
          <w:snapToGrid w:val="0"/>
          <w:color w:val="000000"/>
          <w:spacing w:val="-1"/>
          <w:kern w:val="0"/>
          <w:sz w:val="32"/>
          <w:szCs w:val="32"/>
          <w:highlight w:val="none"/>
          <w:lang w:val="en-US" w:eastAsia="en-US" w:bidi="ar-SA"/>
        </w:rPr>
        <w:t>秸秆综合利用率达到88%以上。基本消除因秸秆集中焚烧引发重</w:t>
      </w:r>
      <w:r>
        <w:rPr>
          <w:rFonts w:ascii="仿宋" w:hAnsi="仿宋" w:eastAsia="仿宋" w:cs="仿宋"/>
          <w:snapToGrid w:val="0"/>
          <w:color w:val="000000"/>
          <w:spacing w:val="-9"/>
          <w:kern w:val="0"/>
          <w:sz w:val="32"/>
          <w:szCs w:val="32"/>
          <w:highlight w:val="none"/>
          <w:lang w:val="en-US" w:eastAsia="en-US" w:bidi="ar-SA"/>
        </w:rPr>
        <w:t>污染天气情况。</w:t>
      </w:r>
    </w:p>
    <w:p w14:paraId="1B99A81D">
      <w:pPr>
        <w:keepNext w:val="0"/>
        <w:keepLines w:val="0"/>
        <w:pageBreakBefore w:val="0"/>
        <w:widowControl/>
        <w:kinsoku w:val="0"/>
        <w:wordWrap/>
        <w:overflowPunct/>
        <w:topLinePunct w:val="0"/>
        <w:autoSpaceDE w:val="0"/>
        <w:autoSpaceDN w:val="0"/>
        <w:bidi w:val="0"/>
        <w:adjustRightInd w:val="0"/>
        <w:snapToGrid/>
        <w:spacing w:line="578" w:lineRule="exact"/>
        <w:ind w:left="0" w:right="0" w:firstLine="736" w:firstLineChars="200"/>
        <w:jc w:val="left"/>
        <w:textAlignment w:val="baseline"/>
        <w:outlineLvl w:val="2"/>
        <w:rPr>
          <w:rFonts w:hint="eastAsia" w:ascii="楷体_GB2312" w:hAnsi="楷体_GB2312" w:eastAsia="楷体_GB2312" w:cs="楷体_GB2312"/>
          <w:b w:val="0"/>
          <w:bCs w:val="0"/>
          <w:snapToGrid w:val="0"/>
          <w:color w:val="000000"/>
          <w:kern w:val="0"/>
          <w:sz w:val="32"/>
          <w:szCs w:val="32"/>
          <w:highlight w:val="none"/>
          <w:lang w:eastAsia="en-US"/>
        </w:rPr>
      </w:pPr>
      <w:r>
        <w:rPr>
          <w:rFonts w:hint="eastAsia" w:ascii="楷体_GB2312" w:hAnsi="楷体_GB2312" w:eastAsia="楷体_GB2312" w:cs="楷体_GB2312"/>
          <w:b w:val="0"/>
          <w:bCs w:val="0"/>
          <w:snapToGrid w:val="0"/>
          <w:color w:val="000000"/>
          <w:spacing w:val="24"/>
          <w:kern w:val="0"/>
          <w:sz w:val="32"/>
          <w:szCs w:val="32"/>
          <w:highlight w:val="none"/>
          <w:lang w:eastAsia="en-US"/>
        </w:rPr>
        <w:t>(二)指标解释</w:t>
      </w:r>
    </w:p>
    <w:p w14:paraId="33912D4E">
      <w:pPr>
        <w:keepNext w:val="0"/>
        <w:keepLines w:val="0"/>
        <w:pageBreakBefore w:val="0"/>
        <w:widowControl/>
        <w:kinsoku w:val="0"/>
        <w:wordWrap/>
        <w:overflowPunct/>
        <w:topLinePunct w:val="0"/>
        <w:autoSpaceDE w:val="0"/>
        <w:autoSpaceDN w:val="0"/>
        <w:bidi w:val="0"/>
        <w:adjustRightInd w:val="0"/>
        <w:snapToGrid/>
        <w:spacing w:line="578" w:lineRule="exact"/>
        <w:ind w:left="0" w:right="0"/>
        <w:jc w:val="right"/>
        <w:textAlignment w:val="baseline"/>
        <w:rPr>
          <w:rFonts w:ascii="仿宋" w:hAnsi="仿宋" w:eastAsia="仿宋" w:cs="仿宋"/>
          <w:snapToGrid w:val="0"/>
          <w:color w:val="000000"/>
          <w:spacing w:val="11"/>
          <w:kern w:val="0"/>
          <w:sz w:val="32"/>
          <w:szCs w:val="32"/>
          <w:highlight w:val="none"/>
          <w:lang w:val="en-US" w:eastAsia="en-US" w:bidi="ar-SA"/>
        </w:rPr>
      </w:pPr>
      <w:r>
        <w:rPr>
          <w:rFonts w:ascii="仿宋" w:hAnsi="仿宋" w:eastAsia="仿宋" w:cs="仿宋"/>
          <w:snapToGrid w:val="0"/>
          <w:color w:val="000000"/>
          <w:spacing w:val="11"/>
          <w:kern w:val="0"/>
          <w:sz w:val="32"/>
          <w:szCs w:val="32"/>
          <w:highlight w:val="none"/>
          <w:lang w:val="en-US" w:eastAsia="en-US" w:bidi="ar-SA"/>
        </w:rPr>
        <w:t>根据秸秆综合利用率定义(参考《农作物秸秆资源台账数据</w:t>
      </w:r>
    </w:p>
    <w:p w14:paraId="77462D50">
      <w:pPr>
        <w:keepNext w:val="0"/>
        <w:keepLines w:val="0"/>
        <w:pageBreakBefore w:val="0"/>
        <w:widowControl/>
        <w:kinsoku w:val="0"/>
        <w:wordWrap/>
        <w:overflowPunct/>
        <w:topLinePunct w:val="0"/>
        <w:autoSpaceDE w:val="0"/>
        <w:autoSpaceDN w:val="0"/>
        <w:bidi w:val="0"/>
        <w:adjustRightInd w:val="0"/>
        <w:snapToGrid/>
        <w:spacing w:line="578" w:lineRule="exact"/>
        <w:ind w:left="0" w:right="0"/>
        <w:jc w:val="both"/>
        <w:textAlignment w:val="baseline"/>
        <w:rPr>
          <w:rFonts w:ascii="仿宋" w:hAnsi="仿宋" w:eastAsia="仿宋" w:cs="仿宋"/>
          <w:snapToGrid w:val="0"/>
          <w:color w:val="000000"/>
          <w:kern w:val="0"/>
          <w:sz w:val="32"/>
          <w:szCs w:val="32"/>
          <w:highlight w:val="none"/>
          <w:lang w:val="en-US" w:eastAsia="en-US" w:bidi="ar-SA"/>
        </w:rPr>
      </w:pPr>
      <w:r>
        <w:rPr>
          <w:rFonts w:ascii="仿宋" w:hAnsi="仿宋" w:eastAsia="仿宋" w:cs="仿宋"/>
          <w:snapToGrid w:val="0"/>
          <w:color w:val="000000"/>
          <w:spacing w:val="11"/>
          <w:kern w:val="0"/>
          <w:sz w:val="32"/>
          <w:szCs w:val="32"/>
          <w:highlight w:val="none"/>
          <w:lang w:val="en-US" w:eastAsia="en-US" w:bidi="ar-SA"/>
        </w:rPr>
        <w:t>调</w:t>
      </w:r>
      <w:r>
        <w:rPr>
          <w:rFonts w:ascii="仿宋" w:hAnsi="仿宋" w:eastAsia="仿宋" w:cs="仿宋"/>
          <w:snapToGrid w:val="0"/>
          <w:color w:val="000000"/>
          <w:spacing w:val="6"/>
          <w:kern w:val="0"/>
          <w:sz w:val="32"/>
          <w:szCs w:val="32"/>
          <w:highlight w:val="none"/>
          <w:lang w:val="en-US" w:eastAsia="en-US" w:bidi="ar-SA"/>
        </w:rPr>
        <w:t>查与核算技术规范》</w:t>
      </w:r>
      <w:r>
        <w:rPr>
          <w:rFonts w:ascii="Times New Roman" w:hAnsi="Times New Roman" w:eastAsia="Times New Roman" w:cs="Times New Roman"/>
          <w:snapToGrid w:val="0"/>
          <w:color w:val="000000"/>
          <w:kern w:val="0"/>
          <w:sz w:val="32"/>
          <w:szCs w:val="32"/>
          <w:highlight w:val="none"/>
          <w:lang w:val="en-US" w:eastAsia="en-US" w:bidi="ar-SA"/>
        </w:rPr>
        <w:t>NY</w:t>
      </w:r>
      <w:r>
        <w:rPr>
          <w:rFonts w:ascii="Times New Roman" w:hAnsi="Times New Roman" w:eastAsia="Times New Roman" w:cs="Times New Roman"/>
          <w:snapToGrid w:val="0"/>
          <w:color w:val="000000"/>
          <w:spacing w:val="6"/>
          <w:kern w:val="0"/>
          <w:sz w:val="32"/>
          <w:szCs w:val="32"/>
          <w:highlight w:val="none"/>
          <w:lang w:val="en-US" w:eastAsia="en-US" w:bidi="ar-SA"/>
        </w:rPr>
        <w:t>/T4158-2022),</w:t>
      </w:r>
      <w:r>
        <w:rPr>
          <w:rFonts w:ascii="仿宋" w:hAnsi="仿宋" w:eastAsia="仿宋" w:cs="仿宋"/>
          <w:snapToGrid w:val="0"/>
          <w:color w:val="000000"/>
          <w:spacing w:val="6"/>
          <w:kern w:val="0"/>
          <w:sz w:val="32"/>
          <w:szCs w:val="32"/>
          <w:highlight w:val="none"/>
          <w:lang w:val="en-US" w:eastAsia="en-US" w:bidi="ar-SA"/>
        </w:rPr>
        <w:t>县域秸秆综合利用率达到88%</w:t>
      </w:r>
      <w:r>
        <w:rPr>
          <w:rFonts w:ascii="仿宋" w:hAnsi="仿宋" w:eastAsia="仿宋" w:cs="仿宋"/>
          <w:snapToGrid w:val="0"/>
          <w:color w:val="000000"/>
          <w:spacing w:val="-2"/>
          <w:kern w:val="0"/>
          <w:sz w:val="32"/>
          <w:szCs w:val="32"/>
          <w:highlight w:val="none"/>
          <w:lang w:val="en-US" w:eastAsia="en-US" w:bidi="ar-SA"/>
        </w:rPr>
        <w:t>以上，该指标视为合格。</w:t>
      </w:r>
    </w:p>
    <w:p w14:paraId="526DA6C4">
      <w:pPr>
        <w:keepNext w:val="0"/>
        <w:keepLines w:val="0"/>
        <w:pageBreakBefore w:val="0"/>
        <w:widowControl/>
        <w:kinsoku w:val="0"/>
        <w:wordWrap/>
        <w:overflowPunct/>
        <w:topLinePunct w:val="0"/>
        <w:autoSpaceDE w:val="0"/>
        <w:autoSpaceDN w:val="0"/>
        <w:bidi w:val="0"/>
        <w:adjustRightInd w:val="0"/>
        <w:snapToGrid/>
        <w:spacing w:line="578" w:lineRule="exact"/>
        <w:ind w:left="0" w:right="0" w:firstLine="530"/>
        <w:jc w:val="left"/>
        <w:textAlignment w:val="baseline"/>
        <w:rPr>
          <w:rFonts w:hint="eastAsia" w:ascii="仿宋" w:hAnsi="仿宋" w:eastAsia="仿宋" w:cs="仿宋"/>
          <w:snapToGrid w:val="0"/>
          <w:color w:val="000000"/>
          <w:kern w:val="0"/>
          <w:sz w:val="32"/>
          <w:szCs w:val="32"/>
          <w:highlight w:val="none"/>
          <w:lang w:val="en-US" w:eastAsia="zh-CN" w:bidi="ar-SA"/>
        </w:rPr>
      </w:pPr>
      <w:r>
        <w:rPr>
          <w:rFonts w:ascii="仿宋" w:hAnsi="仿宋" w:eastAsia="仿宋" w:cs="仿宋"/>
          <w:snapToGrid w:val="0"/>
          <w:color w:val="000000"/>
          <w:spacing w:val="13"/>
          <w:kern w:val="0"/>
          <w:sz w:val="32"/>
          <w:szCs w:val="32"/>
          <w:highlight w:val="none"/>
          <w:lang w:val="en-US" w:eastAsia="en-US" w:bidi="ar-SA"/>
        </w:rPr>
        <w:t>根据重污染天气的定义(参考《环境空气质量指数</w:t>
      </w:r>
      <w:r>
        <w:rPr>
          <w:rFonts w:ascii="宋体" w:hAnsi="宋体" w:eastAsia="宋体" w:cs="宋体"/>
          <w:snapToGrid w:val="0"/>
          <w:color w:val="000000"/>
          <w:spacing w:val="13"/>
          <w:kern w:val="0"/>
          <w:sz w:val="32"/>
          <w:szCs w:val="32"/>
          <w:highlight w:val="none"/>
          <w:lang w:val="en-US" w:eastAsia="en-US" w:bidi="ar-SA"/>
        </w:rPr>
        <w:t>(</w:t>
      </w:r>
      <w:r>
        <w:rPr>
          <w:rFonts w:ascii="宋体" w:hAnsi="宋体" w:eastAsia="宋体" w:cs="宋体"/>
          <w:snapToGrid w:val="0"/>
          <w:color w:val="000000"/>
          <w:kern w:val="0"/>
          <w:sz w:val="32"/>
          <w:szCs w:val="32"/>
          <w:highlight w:val="none"/>
          <w:lang w:val="en-US" w:eastAsia="en-US" w:bidi="ar-SA"/>
        </w:rPr>
        <w:t>AQI</w:t>
      </w:r>
      <w:r>
        <w:rPr>
          <w:rFonts w:ascii="宋体" w:hAnsi="宋体" w:eastAsia="宋体" w:cs="宋体"/>
          <w:snapToGrid w:val="0"/>
          <w:color w:val="000000"/>
          <w:spacing w:val="13"/>
          <w:kern w:val="0"/>
          <w:sz w:val="32"/>
          <w:szCs w:val="32"/>
          <w:highlight w:val="none"/>
          <w:lang w:val="en-US" w:eastAsia="en-US" w:bidi="ar-SA"/>
        </w:rPr>
        <w:t>)</w:t>
      </w:r>
      <w:r>
        <w:rPr>
          <w:rFonts w:ascii="仿宋" w:hAnsi="仿宋" w:eastAsia="仿宋" w:cs="仿宋"/>
          <w:snapToGrid w:val="0"/>
          <w:color w:val="000000"/>
          <w:spacing w:val="13"/>
          <w:kern w:val="0"/>
          <w:sz w:val="32"/>
          <w:szCs w:val="32"/>
          <w:highlight w:val="none"/>
          <w:lang w:val="en-US" w:eastAsia="en-US" w:bidi="ar-SA"/>
        </w:rPr>
        <w:t>技术</w:t>
      </w:r>
      <w:r>
        <w:rPr>
          <w:rFonts w:ascii="仿宋" w:hAnsi="仿宋" w:eastAsia="仿宋" w:cs="仿宋"/>
          <w:snapToGrid w:val="0"/>
          <w:color w:val="000000"/>
          <w:spacing w:val="10"/>
          <w:kern w:val="0"/>
          <w:sz w:val="32"/>
          <w:szCs w:val="32"/>
          <w:highlight w:val="none"/>
          <w:lang w:val="en-US" w:eastAsia="en-US" w:bidi="ar-SA"/>
        </w:rPr>
        <w:t>规定(试行)》),未因秸秆集中焚烧引发重污染天气，该指标视为合</w:t>
      </w:r>
      <w:r>
        <w:rPr>
          <w:rFonts w:ascii="仿宋" w:hAnsi="仿宋" w:eastAsia="仿宋" w:cs="仿宋"/>
          <w:snapToGrid w:val="0"/>
          <w:color w:val="000000"/>
          <w:spacing w:val="11"/>
          <w:kern w:val="0"/>
          <w:sz w:val="32"/>
          <w:szCs w:val="32"/>
          <w:highlight w:val="none"/>
          <w:lang w:val="en-US" w:eastAsia="en-US" w:bidi="ar-SA"/>
        </w:rPr>
        <w:t>格；出现1次及以上，该指标视为不合格</w:t>
      </w:r>
      <w:r>
        <w:rPr>
          <w:rFonts w:hint="eastAsia" w:ascii="仿宋" w:hAnsi="仿宋" w:eastAsia="仿宋" w:cs="仿宋"/>
          <w:snapToGrid w:val="0"/>
          <w:color w:val="000000"/>
          <w:spacing w:val="11"/>
          <w:kern w:val="0"/>
          <w:sz w:val="32"/>
          <w:szCs w:val="32"/>
          <w:highlight w:val="none"/>
          <w:lang w:val="en-US" w:eastAsia="zh-CN" w:bidi="ar-SA"/>
        </w:rPr>
        <w:t>。</w:t>
      </w:r>
    </w:p>
    <w:p w14:paraId="5435D8FB">
      <w:pPr>
        <w:keepNext w:val="0"/>
        <w:keepLines w:val="0"/>
        <w:pageBreakBefore w:val="0"/>
        <w:widowControl/>
        <w:kinsoku w:val="0"/>
        <w:wordWrap/>
        <w:overflowPunct/>
        <w:topLinePunct w:val="0"/>
        <w:autoSpaceDE w:val="0"/>
        <w:autoSpaceDN w:val="0"/>
        <w:bidi w:val="0"/>
        <w:adjustRightInd w:val="0"/>
        <w:snapToGrid/>
        <w:spacing w:line="578" w:lineRule="exact"/>
        <w:ind w:left="0" w:right="0" w:firstLine="616" w:firstLineChars="200"/>
        <w:jc w:val="left"/>
        <w:textAlignment w:val="baseline"/>
        <w:outlineLvl w:val="1"/>
        <w:rPr>
          <w:rFonts w:hint="eastAsia" w:ascii="楷体_GB2312" w:hAnsi="楷体_GB2312" w:eastAsia="楷体_GB2312" w:cs="楷体_GB2312"/>
          <w:b w:val="0"/>
          <w:bCs w:val="0"/>
          <w:snapToGrid w:val="0"/>
          <w:color w:val="000000"/>
          <w:kern w:val="0"/>
          <w:sz w:val="32"/>
          <w:szCs w:val="32"/>
          <w:highlight w:val="none"/>
          <w:lang w:eastAsia="en-US"/>
        </w:rPr>
      </w:pPr>
      <w:r>
        <w:rPr>
          <w:rFonts w:hint="eastAsia" w:ascii="楷体_GB2312" w:hAnsi="楷体_GB2312" w:eastAsia="楷体_GB2312" w:cs="楷体_GB2312"/>
          <w:b w:val="0"/>
          <w:bCs w:val="0"/>
          <w:snapToGrid w:val="0"/>
          <w:color w:val="000000"/>
          <w:spacing w:val="-6"/>
          <w:kern w:val="0"/>
          <w:sz w:val="32"/>
          <w:szCs w:val="32"/>
          <w:highlight w:val="none"/>
          <w:lang w:eastAsia="en-US"/>
        </w:rPr>
        <w:t>(三)评估数据来源</w:t>
      </w:r>
    </w:p>
    <w:p w14:paraId="1F866D76">
      <w:pPr>
        <w:keepNext w:val="0"/>
        <w:keepLines w:val="0"/>
        <w:pageBreakBefore w:val="0"/>
        <w:widowControl/>
        <w:kinsoku w:val="0"/>
        <w:wordWrap/>
        <w:overflowPunct/>
        <w:topLinePunct w:val="0"/>
        <w:autoSpaceDE w:val="0"/>
        <w:autoSpaceDN w:val="0"/>
        <w:bidi w:val="0"/>
        <w:adjustRightInd w:val="0"/>
        <w:snapToGrid/>
        <w:spacing w:line="578" w:lineRule="exact"/>
        <w:ind w:left="0" w:right="0" w:firstLine="644" w:firstLineChars="200"/>
        <w:jc w:val="left"/>
        <w:textAlignment w:val="baseline"/>
        <w:rPr>
          <w:rFonts w:ascii="仿宋" w:hAnsi="仿宋" w:eastAsia="仿宋" w:cs="仿宋"/>
          <w:snapToGrid w:val="0"/>
          <w:color w:val="000000"/>
          <w:kern w:val="0"/>
          <w:sz w:val="32"/>
          <w:szCs w:val="32"/>
          <w:highlight w:val="none"/>
          <w:lang w:val="en-US" w:eastAsia="en-US" w:bidi="ar-SA"/>
        </w:rPr>
      </w:pPr>
      <w:r>
        <w:rPr>
          <w:rFonts w:ascii="仿宋" w:hAnsi="仿宋" w:eastAsia="仿宋" w:cs="仿宋"/>
          <w:snapToGrid w:val="0"/>
          <w:color w:val="000000"/>
          <w:spacing w:val="1"/>
          <w:kern w:val="0"/>
          <w:sz w:val="32"/>
          <w:szCs w:val="32"/>
          <w:highlight w:val="none"/>
          <w:lang w:val="en-US" w:eastAsia="en-US" w:bidi="ar-SA"/>
        </w:rPr>
        <w:t>农业农村、生态环境等相关部门。</w:t>
      </w:r>
    </w:p>
    <w:p w14:paraId="20FCC715">
      <w:pPr>
        <w:keepNext w:val="0"/>
        <w:keepLines w:val="0"/>
        <w:pageBreakBefore w:val="0"/>
        <w:widowControl/>
        <w:kinsoku w:val="0"/>
        <w:wordWrap/>
        <w:overflowPunct/>
        <w:topLinePunct w:val="0"/>
        <w:autoSpaceDE w:val="0"/>
        <w:autoSpaceDN w:val="0"/>
        <w:bidi w:val="0"/>
        <w:adjustRightInd w:val="0"/>
        <w:snapToGrid/>
        <w:spacing w:line="578" w:lineRule="exact"/>
        <w:ind w:left="0" w:right="0" w:firstLine="644" w:firstLineChars="200"/>
        <w:jc w:val="left"/>
        <w:textAlignment w:val="baseline"/>
        <w:outlineLvl w:val="2"/>
        <w:rPr>
          <w:rFonts w:ascii="黑体" w:hAnsi="黑体" w:eastAsia="黑体" w:cs="黑体"/>
          <w:b w:val="0"/>
          <w:bCs w:val="0"/>
          <w:snapToGrid w:val="0"/>
          <w:color w:val="000000"/>
          <w:kern w:val="0"/>
          <w:sz w:val="32"/>
          <w:szCs w:val="32"/>
          <w:highlight w:val="none"/>
          <w:lang w:eastAsia="en-US"/>
        </w:rPr>
      </w:pPr>
      <w:r>
        <w:rPr>
          <w:rFonts w:ascii="黑体" w:hAnsi="黑体" w:eastAsia="黑体" w:cs="黑体"/>
          <w:b w:val="0"/>
          <w:bCs w:val="0"/>
          <w:snapToGrid w:val="0"/>
          <w:color w:val="000000"/>
          <w:spacing w:val="1"/>
          <w:kern w:val="0"/>
          <w:sz w:val="32"/>
          <w:szCs w:val="32"/>
          <w:highlight w:val="none"/>
          <w:lang w:eastAsia="en-US"/>
        </w:rPr>
        <w:t>十一、乡村形态</w:t>
      </w:r>
    </w:p>
    <w:p w14:paraId="31732F0C">
      <w:pPr>
        <w:keepNext w:val="0"/>
        <w:keepLines w:val="0"/>
        <w:pageBreakBefore w:val="0"/>
        <w:widowControl/>
        <w:kinsoku w:val="0"/>
        <w:wordWrap/>
        <w:overflowPunct/>
        <w:topLinePunct w:val="0"/>
        <w:autoSpaceDE w:val="0"/>
        <w:autoSpaceDN w:val="0"/>
        <w:bidi w:val="0"/>
        <w:adjustRightInd w:val="0"/>
        <w:snapToGrid/>
        <w:spacing w:line="578" w:lineRule="exact"/>
        <w:ind w:left="0" w:right="0" w:firstLine="640" w:firstLineChars="200"/>
        <w:jc w:val="left"/>
        <w:textAlignment w:val="baseline"/>
        <w:outlineLvl w:val="1"/>
        <w:rPr>
          <w:rFonts w:hint="eastAsia" w:ascii="楷体_GB2312" w:hAnsi="楷体_GB2312" w:eastAsia="楷体_GB2312" w:cs="楷体_GB2312"/>
          <w:b w:val="0"/>
          <w:bCs w:val="0"/>
          <w:snapToGrid w:val="0"/>
          <w:color w:val="000000"/>
          <w:kern w:val="0"/>
          <w:sz w:val="32"/>
          <w:szCs w:val="32"/>
          <w:highlight w:val="none"/>
          <w:lang w:eastAsia="en-US"/>
        </w:rPr>
      </w:pPr>
      <w:r>
        <w:rPr>
          <w:rFonts w:hint="eastAsia" w:ascii="楷体_GB2312" w:hAnsi="楷体_GB2312" w:eastAsia="楷体_GB2312" w:cs="楷体_GB2312"/>
          <w:b w:val="0"/>
          <w:bCs w:val="0"/>
          <w:snapToGrid w:val="0"/>
          <w:color w:val="000000"/>
          <w:kern w:val="0"/>
          <w:sz w:val="32"/>
          <w:szCs w:val="32"/>
          <w:highlight w:val="none"/>
          <w:lang w:eastAsia="en-US"/>
        </w:rPr>
        <w:t>(一)指标要求</w:t>
      </w:r>
    </w:p>
    <w:p w14:paraId="796791B5">
      <w:pPr>
        <w:keepNext w:val="0"/>
        <w:keepLines w:val="0"/>
        <w:pageBreakBefore w:val="0"/>
        <w:widowControl/>
        <w:kinsoku w:val="0"/>
        <w:wordWrap/>
        <w:overflowPunct/>
        <w:topLinePunct w:val="0"/>
        <w:autoSpaceDE w:val="0"/>
        <w:autoSpaceDN w:val="0"/>
        <w:bidi w:val="0"/>
        <w:adjustRightInd w:val="0"/>
        <w:snapToGrid/>
        <w:spacing w:line="578" w:lineRule="exact"/>
        <w:ind w:left="0" w:right="0" w:firstLine="644" w:firstLineChars="200"/>
        <w:jc w:val="left"/>
        <w:textAlignment w:val="baseline"/>
        <w:rPr>
          <w:rFonts w:ascii="仿宋" w:hAnsi="仿宋" w:eastAsia="仿宋" w:cs="仿宋"/>
          <w:snapToGrid w:val="0"/>
          <w:color w:val="000000"/>
          <w:kern w:val="0"/>
          <w:sz w:val="32"/>
          <w:szCs w:val="32"/>
          <w:highlight w:val="none"/>
          <w:lang w:val="en-US" w:eastAsia="en-US" w:bidi="ar-SA"/>
        </w:rPr>
      </w:pPr>
      <w:r>
        <w:rPr>
          <w:rFonts w:ascii="仿宋" w:hAnsi="仿宋" w:eastAsia="仿宋" w:cs="仿宋"/>
          <w:snapToGrid w:val="0"/>
          <w:color w:val="000000"/>
          <w:spacing w:val="1"/>
          <w:kern w:val="0"/>
          <w:sz w:val="32"/>
          <w:szCs w:val="32"/>
          <w:highlight w:val="none"/>
          <w:lang w:val="en-US" w:eastAsia="en-US" w:bidi="ar-SA"/>
        </w:rPr>
        <w:t>集中建设区域实现整洁有序。</w:t>
      </w:r>
    </w:p>
    <w:p w14:paraId="69D94DA3">
      <w:pPr>
        <w:keepNext w:val="0"/>
        <w:keepLines w:val="0"/>
        <w:pageBreakBefore w:val="0"/>
        <w:widowControl/>
        <w:kinsoku w:val="0"/>
        <w:wordWrap/>
        <w:overflowPunct/>
        <w:topLinePunct w:val="0"/>
        <w:autoSpaceDE w:val="0"/>
        <w:autoSpaceDN w:val="0"/>
        <w:bidi w:val="0"/>
        <w:adjustRightInd w:val="0"/>
        <w:snapToGrid/>
        <w:spacing w:line="578" w:lineRule="exact"/>
        <w:ind w:left="0" w:right="0" w:firstLine="648" w:firstLineChars="200"/>
        <w:jc w:val="left"/>
        <w:textAlignment w:val="baseline"/>
        <w:outlineLvl w:val="1"/>
        <w:rPr>
          <w:rFonts w:hint="eastAsia" w:ascii="楷体_GB2312" w:hAnsi="楷体_GB2312" w:eastAsia="楷体_GB2312" w:cs="楷体_GB2312"/>
          <w:b w:val="0"/>
          <w:bCs w:val="0"/>
          <w:snapToGrid w:val="0"/>
          <w:color w:val="000000"/>
          <w:kern w:val="0"/>
          <w:sz w:val="32"/>
          <w:szCs w:val="32"/>
          <w:highlight w:val="none"/>
          <w:lang w:eastAsia="en-US"/>
        </w:rPr>
      </w:pPr>
      <w:r>
        <w:rPr>
          <w:rFonts w:hint="eastAsia" w:ascii="楷体_GB2312" w:hAnsi="楷体_GB2312" w:eastAsia="楷体_GB2312" w:cs="楷体_GB2312"/>
          <w:b w:val="0"/>
          <w:bCs w:val="0"/>
          <w:snapToGrid w:val="0"/>
          <w:color w:val="000000"/>
          <w:spacing w:val="2"/>
          <w:kern w:val="0"/>
          <w:sz w:val="32"/>
          <w:szCs w:val="32"/>
          <w:highlight w:val="none"/>
          <w:lang w:eastAsia="en-US"/>
        </w:rPr>
        <w:t>(二)指标解释</w:t>
      </w:r>
    </w:p>
    <w:p w14:paraId="52ED8A54">
      <w:pPr>
        <w:keepNext w:val="0"/>
        <w:keepLines w:val="0"/>
        <w:pageBreakBefore w:val="0"/>
        <w:widowControl/>
        <w:kinsoku w:val="0"/>
        <w:wordWrap/>
        <w:overflowPunct/>
        <w:topLinePunct w:val="0"/>
        <w:autoSpaceDE w:val="0"/>
        <w:autoSpaceDN w:val="0"/>
        <w:bidi w:val="0"/>
        <w:adjustRightInd w:val="0"/>
        <w:snapToGrid/>
        <w:spacing w:line="578" w:lineRule="exact"/>
        <w:ind w:left="0" w:right="0" w:firstLine="579"/>
        <w:jc w:val="both"/>
        <w:textAlignment w:val="baseline"/>
        <w:rPr>
          <w:rFonts w:ascii="仿宋" w:hAnsi="仿宋" w:eastAsia="仿宋" w:cs="仿宋"/>
          <w:snapToGrid w:val="0"/>
          <w:color w:val="000000"/>
          <w:kern w:val="0"/>
          <w:sz w:val="32"/>
          <w:szCs w:val="32"/>
          <w:highlight w:val="none"/>
          <w:lang w:val="en-US" w:eastAsia="en-US" w:bidi="ar-SA"/>
        </w:rPr>
      </w:pPr>
      <w:r>
        <w:rPr>
          <w:rFonts w:ascii="仿宋" w:hAnsi="仿宋" w:eastAsia="仿宋" w:cs="仿宋"/>
          <w:snapToGrid w:val="0"/>
          <w:color w:val="000000"/>
          <w:spacing w:val="11"/>
          <w:kern w:val="0"/>
          <w:sz w:val="32"/>
          <w:szCs w:val="32"/>
          <w:highlight w:val="none"/>
          <w:lang w:val="en-US" w:eastAsia="en-US" w:bidi="ar-SA"/>
        </w:rPr>
        <w:t>集中建设区域环境整洁宜居，建筑布局总体科学合理，与环境</w:t>
      </w:r>
      <w:r>
        <w:rPr>
          <w:rFonts w:ascii="仿宋" w:hAnsi="仿宋" w:eastAsia="仿宋" w:cs="仿宋"/>
          <w:snapToGrid w:val="0"/>
          <w:color w:val="000000"/>
          <w:spacing w:val="12"/>
          <w:kern w:val="0"/>
          <w:sz w:val="32"/>
          <w:szCs w:val="32"/>
          <w:highlight w:val="none"/>
          <w:lang w:val="en-US" w:eastAsia="en-US" w:bidi="ar-SA"/>
        </w:rPr>
        <w:t>统一协调，新建房屋整体展现本地特色风格</w:t>
      </w:r>
      <w:r>
        <w:rPr>
          <w:rFonts w:ascii="仿宋" w:hAnsi="仿宋" w:eastAsia="仿宋" w:cs="仿宋"/>
          <w:snapToGrid w:val="0"/>
          <w:color w:val="000000"/>
          <w:spacing w:val="11"/>
          <w:kern w:val="0"/>
          <w:sz w:val="32"/>
          <w:szCs w:val="32"/>
          <w:highlight w:val="none"/>
          <w:lang w:val="en-US" w:eastAsia="en-US" w:bidi="ar-SA"/>
        </w:rPr>
        <w:t>，存量房屋外墙整洁美</w:t>
      </w:r>
      <w:r>
        <w:rPr>
          <w:rFonts w:ascii="仿宋" w:hAnsi="仿宋" w:eastAsia="仿宋" w:cs="仿宋"/>
          <w:snapToGrid w:val="0"/>
          <w:color w:val="000000"/>
          <w:spacing w:val="12"/>
          <w:kern w:val="0"/>
          <w:sz w:val="32"/>
          <w:szCs w:val="32"/>
          <w:highlight w:val="none"/>
          <w:lang w:val="en-US" w:eastAsia="en-US" w:bidi="ar-SA"/>
        </w:rPr>
        <w:t>观，无影响景观的棚舍、残破或倒塌的墙体，无乱搭乱建、乱埋乱</w:t>
      </w:r>
      <w:r>
        <w:rPr>
          <w:rFonts w:ascii="仿宋" w:hAnsi="仿宋" w:eastAsia="仿宋" w:cs="仿宋"/>
          <w:snapToGrid w:val="0"/>
          <w:color w:val="000000"/>
          <w:spacing w:val="-7"/>
          <w:kern w:val="0"/>
          <w:sz w:val="32"/>
          <w:szCs w:val="32"/>
          <w:highlight w:val="none"/>
          <w:lang w:val="en-US" w:eastAsia="en-US" w:bidi="ar-SA"/>
        </w:rPr>
        <w:t>倒现象。</w:t>
      </w:r>
    </w:p>
    <w:p w14:paraId="7BBE6A20">
      <w:pPr>
        <w:keepNext w:val="0"/>
        <w:keepLines w:val="0"/>
        <w:pageBreakBefore w:val="0"/>
        <w:widowControl/>
        <w:kinsoku w:val="0"/>
        <w:wordWrap/>
        <w:overflowPunct/>
        <w:topLinePunct w:val="0"/>
        <w:autoSpaceDE w:val="0"/>
        <w:autoSpaceDN w:val="0"/>
        <w:bidi w:val="0"/>
        <w:adjustRightInd w:val="0"/>
        <w:snapToGrid/>
        <w:spacing w:line="578" w:lineRule="exact"/>
        <w:ind w:left="0" w:right="0" w:firstLine="732" w:firstLineChars="200"/>
        <w:jc w:val="left"/>
        <w:textAlignment w:val="baseline"/>
        <w:outlineLvl w:val="2"/>
        <w:rPr>
          <w:rFonts w:hint="eastAsia" w:ascii="楷体_GB2312" w:hAnsi="楷体_GB2312" w:eastAsia="楷体_GB2312" w:cs="楷体_GB2312"/>
          <w:b w:val="0"/>
          <w:bCs w:val="0"/>
          <w:snapToGrid w:val="0"/>
          <w:color w:val="000000"/>
          <w:kern w:val="0"/>
          <w:sz w:val="32"/>
          <w:szCs w:val="32"/>
          <w:highlight w:val="none"/>
          <w:lang w:eastAsia="en-US"/>
        </w:rPr>
      </w:pPr>
      <w:r>
        <w:rPr>
          <w:rFonts w:hint="eastAsia" w:ascii="楷体_GB2312" w:hAnsi="楷体_GB2312" w:eastAsia="楷体_GB2312" w:cs="楷体_GB2312"/>
          <w:b w:val="0"/>
          <w:bCs w:val="0"/>
          <w:snapToGrid w:val="0"/>
          <w:color w:val="000000"/>
          <w:spacing w:val="23"/>
          <w:kern w:val="0"/>
          <w:sz w:val="32"/>
          <w:szCs w:val="32"/>
          <w:highlight w:val="none"/>
          <w:lang w:eastAsia="en-US"/>
        </w:rPr>
        <w:t>(三)评估数据来源</w:t>
      </w:r>
    </w:p>
    <w:p w14:paraId="733FD40A">
      <w:pPr>
        <w:keepNext w:val="0"/>
        <w:keepLines w:val="0"/>
        <w:pageBreakBefore w:val="0"/>
        <w:widowControl/>
        <w:kinsoku w:val="0"/>
        <w:wordWrap/>
        <w:overflowPunct/>
        <w:topLinePunct w:val="0"/>
        <w:autoSpaceDE w:val="0"/>
        <w:autoSpaceDN w:val="0"/>
        <w:bidi w:val="0"/>
        <w:adjustRightInd w:val="0"/>
        <w:snapToGrid/>
        <w:spacing w:line="578" w:lineRule="exact"/>
        <w:ind w:left="0" w:right="0" w:firstLine="660" w:firstLineChars="200"/>
        <w:jc w:val="left"/>
        <w:textAlignment w:val="baseline"/>
        <w:rPr>
          <w:rFonts w:ascii="仿宋" w:hAnsi="仿宋" w:eastAsia="仿宋" w:cs="仿宋"/>
          <w:snapToGrid w:val="0"/>
          <w:color w:val="000000"/>
          <w:kern w:val="0"/>
          <w:sz w:val="32"/>
          <w:szCs w:val="32"/>
          <w:highlight w:val="none"/>
          <w:lang w:val="en-US" w:eastAsia="en-US" w:bidi="ar-SA"/>
        </w:rPr>
      </w:pPr>
      <w:r>
        <w:rPr>
          <w:rFonts w:ascii="仿宋" w:hAnsi="仿宋" w:eastAsia="仿宋" w:cs="仿宋"/>
          <w:snapToGrid w:val="0"/>
          <w:color w:val="000000"/>
          <w:spacing w:val="5"/>
          <w:kern w:val="0"/>
          <w:sz w:val="32"/>
          <w:szCs w:val="32"/>
          <w:highlight w:val="none"/>
          <w:lang w:val="en-US" w:eastAsia="en-US" w:bidi="ar-SA"/>
        </w:rPr>
        <w:t>住房城乡建设、自然资源、农业农村、生态环境等相关部</w:t>
      </w:r>
      <w:r>
        <w:rPr>
          <w:rFonts w:ascii="仿宋" w:hAnsi="仿宋" w:eastAsia="仿宋" w:cs="仿宋"/>
          <w:snapToGrid w:val="0"/>
          <w:color w:val="000000"/>
          <w:spacing w:val="4"/>
          <w:kern w:val="0"/>
          <w:sz w:val="32"/>
          <w:szCs w:val="32"/>
          <w:highlight w:val="none"/>
          <w:lang w:val="en-US" w:eastAsia="en-US" w:bidi="ar-SA"/>
        </w:rPr>
        <w:t>门。</w:t>
      </w:r>
    </w:p>
    <w:p w14:paraId="4CC9C020">
      <w:pPr>
        <w:keepNext w:val="0"/>
        <w:keepLines w:val="0"/>
        <w:pageBreakBefore w:val="0"/>
        <w:widowControl/>
        <w:kinsoku w:val="0"/>
        <w:wordWrap/>
        <w:overflowPunct/>
        <w:topLinePunct w:val="0"/>
        <w:autoSpaceDE w:val="0"/>
        <w:autoSpaceDN w:val="0"/>
        <w:bidi w:val="0"/>
        <w:adjustRightInd w:val="0"/>
        <w:snapToGrid/>
        <w:spacing w:line="578" w:lineRule="exact"/>
        <w:ind w:left="0" w:right="0" w:firstLine="656" w:firstLineChars="200"/>
        <w:jc w:val="left"/>
        <w:textAlignment w:val="baseline"/>
        <w:outlineLvl w:val="2"/>
        <w:rPr>
          <w:rFonts w:ascii="黑体" w:hAnsi="黑体" w:eastAsia="黑体" w:cs="黑体"/>
          <w:b w:val="0"/>
          <w:bCs w:val="0"/>
          <w:snapToGrid w:val="0"/>
          <w:color w:val="000000"/>
          <w:kern w:val="0"/>
          <w:sz w:val="32"/>
          <w:szCs w:val="32"/>
          <w:highlight w:val="none"/>
          <w:lang w:eastAsia="en-US"/>
        </w:rPr>
      </w:pPr>
      <w:r>
        <w:rPr>
          <w:rFonts w:ascii="黑体" w:hAnsi="黑体" w:eastAsia="黑体" w:cs="黑体"/>
          <w:b w:val="0"/>
          <w:bCs w:val="0"/>
          <w:snapToGrid w:val="0"/>
          <w:color w:val="000000"/>
          <w:spacing w:val="4"/>
          <w:kern w:val="0"/>
          <w:sz w:val="32"/>
          <w:szCs w:val="32"/>
          <w:highlight w:val="none"/>
          <w:lang w:eastAsia="en-US"/>
        </w:rPr>
        <w:t>十二、乡风建设</w:t>
      </w:r>
    </w:p>
    <w:p w14:paraId="1085A2E3">
      <w:pPr>
        <w:keepNext w:val="0"/>
        <w:keepLines w:val="0"/>
        <w:pageBreakBefore w:val="0"/>
        <w:widowControl/>
        <w:kinsoku w:val="0"/>
        <w:wordWrap/>
        <w:overflowPunct/>
        <w:topLinePunct w:val="0"/>
        <w:autoSpaceDE w:val="0"/>
        <w:autoSpaceDN w:val="0"/>
        <w:bidi w:val="0"/>
        <w:adjustRightInd w:val="0"/>
        <w:snapToGrid/>
        <w:spacing w:line="578" w:lineRule="exact"/>
        <w:ind w:left="0" w:right="0" w:firstLine="648" w:firstLineChars="200"/>
        <w:jc w:val="left"/>
        <w:textAlignment w:val="baseline"/>
        <w:outlineLvl w:val="1"/>
        <w:rPr>
          <w:rFonts w:hint="eastAsia" w:ascii="楷体_GB2312" w:hAnsi="楷体_GB2312" w:eastAsia="楷体_GB2312" w:cs="楷体_GB2312"/>
          <w:b w:val="0"/>
          <w:bCs w:val="0"/>
          <w:snapToGrid w:val="0"/>
          <w:color w:val="000000"/>
          <w:kern w:val="0"/>
          <w:sz w:val="32"/>
          <w:szCs w:val="32"/>
          <w:highlight w:val="none"/>
          <w:lang w:eastAsia="en-US"/>
        </w:rPr>
      </w:pPr>
      <w:r>
        <w:rPr>
          <w:rFonts w:hint="eastAsia" w:ascii="楷体_GB2312" w:hAnsi="楷体_GB2312" w:eastAsia="楷体_GB2312" w:cs="楷体_GB2312"/>
          <w:b w:val="0"/>
          <w:bCs w:val="0"/>
          <w:snapToGrid w:val="0"/>
          <w:color w:val="000000"/>
          <w:spacing w:val="2"/>
          <w:kern w:val="0"/>
          <w:sz w:val="32"/>
          <w:szCs w:val="32"/>
          <w:highlight w:val="none"/>
          <w:lang w:eastAsia="en-US"/>
        </w:rPr>
        <w:t>(一)指标要求</w:t>
      </w:r>
    </w:p>
    <w:p w14:paraId="3FEA000C">
      <w:pPr>
        <w:keepNext w:val="0"/>
        <w:keepLines w:val="0"/>
        <w:pageBreakBefore w:val="0"/>
        <w:widowControl/>
        <w:kinsoku w:val="0"/>
        <w:wordWrap/>
        <w:overflowPunct/>
        <w:topLinePunct w:val="0"/>
        <w:autoSpaceDE w:val="0"/>
        <w:autoSpaceDN w:val="0"/>
        <w:bidi w:val="0"/>
        <w:adjustRightInd w:val="0"/>
        <w:snapToGrid/>
        <w:spacing w:line="578" w:lineRule="exact"/>
        <w:ind w:left="0" w:right="0" w:firstLine="636" w:firstLineChars="200"/>
        <w:jc w:val="left"/>
        <w:textAlignment w:val="baseline"/>
        <w:rPr>
          <w:rFonts w:ascii="仿宋" w:hAnsi="仿宋" w:eastAsia="仿宋" w:cs="仿宋"/>
          <w:snapToGrid w:val="0"/>
          <w:color w:val="000000"/>
          <w:kern w:val="0"/>
          <w:sz w:val="32"/>
          <w:szCs w:val="32"/>
          <w:highlight w:val="none"/>
          <w:lang w:val="en-US" w:eastAsia="en-US" w:bidi="ar-SA"/>
        </w:rPr>
      </w:pPr>
      <w:r>
        <w:rPr>
          <w:rFonts w:ascii="仿宋" w:hAnsi="仿宋" w:eastAsia="仿宋" w:cs="仿宋"/>
          <w:snapToGrid w:val="0"/>
          <w:color w:val="000000"/>
          <w:spacing w:val="-1"/>
          <w:kern w:val="0"/>
          <w:sz w:val="32"/>
          <w:szCs w:val="32"/>
          <w:highlight w:val="none"/>
          <w:lang w:val="en-US" w:eastAsia="en-US" w:bidi="ar-SA"/>
        </w:rPr>
        <w:t>没有重大负面舆情。</w:t>
      </w:r>
    </w:p>
    <w:p w14:paraId="7EA457C7">
      <w:pPr>
        <w:keepNext w:val="0"/>
        <w:keepLines w:val="0"/>
        <w:pageBreakBefore w:val="0"/>
        <w:widowControl/>
        <w:kinsoku w:val="0"/>
        <w:wordWrap/>
        <w:overflowPunct/>
        <w:topLinePunct w:val="0"/>
        <w:autoSpaceDE w:val="0"/>
        <w:autoSpaceDN w:val="0"/>
        <w:bidi w:val="0"/>
        <w:adjustRightInd w:val="0"/>
        <w:snapToGrid/>
        <w:spacing w:line="578" w:lineRule="exact"/>
        <w:ind w:left="0" w:right="0" w:firstLine="644" w:firstLineChars="200"/>
        <w:jc w:val="left"/>
        <w:textAlignment w:val="baseline"/>
        <w:outlineLvl w:val="1"/>
        <w:rPr>
          <w:rFonts w:hint="eastAsia" w:ascii="楷体_GB2312" w:hAnsi="楷体_GB2312" w:eastAsia="楷体_GB2312" w:cs="楷体_GB2312"/>
          <w:b w:val="0"/>
          <w:bCs w:val="0"/>
          <w:snapToGrid w:val="0"/>
          <w:color w:val="000000"/>
          <w:kern w:val="0"/>
          <w:sz w:val="32"/>
          <w:szCs w:val="32"/>
          <w:highlight w:val="none"/>
          <w:lang w:eastAsia="en-US"/>
        </w:rPr>
      </w:pPr>
      <w:r>
        <w:rPr>
          <w:rFonts w:hint="eastAsia" w:ascii="楷体_GB2312" w:hAnsi="楷体_GB2312" w:eastAsia="楷体_GB2312" w:cs="楷体_GB2312"/>
          <w:b w:val="0"/>
          <w:bCs w:val="0"/>
          <w:snapToGrid w:val="0"/>
          <w:color w:val="000000"/>
          <w:spacing w:val="1"/>
          <w:kern w:val="0"/>
          <w:sz w:val="32"/>
          <w:szCs w:val="32"/>
          <w:highlight w:val="none"/>
          <w:lang w:eastAsia="en-US"/>
        </w:rPr>
        <w:t>(二)指标解释</w:t>
      </w:r>
    </w:p>
    <w:p w14:paraId="6796597F">
      <w:pPr>
        <w:keepNext w:val="0"/>
        <w:keepLines w:val="0"/>
        <w:pageBreakBefore w:val="0"/>
        <w:widowControl/>
        <w:kinsoku w:val="0"/>
        <w:wordWrap/>
        <w:overflowPunct/>
        <w:topLinePunct w:val="0"/>
        <w:autoSpaceDE w:val="0"/>
        <w:autoSpaceDN w:val="0"/>
        <w:bidi w:val="0"/>
        <w:adjustRightInd w:val="0"/>
        <w:snapToGrid/>
        <w:spacing w:line="578" w:lineRule="exact"/>
        <w:ind w:left="0" w:right="0" w:firstLine="652" w:firstLineChars="200"/>
        <w:jc w:val="left"/>
        <w:textAlignment w:val="baseline"/>
        <w:rPr>
          <w:rFonts w:ascii="仿宋" w:hAnsi="仿宋" w:eastAsia="仿宋" w:cs="仿宋"/>
          <w:snapToGrid w:val="0"/>
          <w:color w:val="000000"/>
          <w:spacing w:val="3"/>
          <w:kern w:val="0"/>
          <w:sz w:val="32"/>
          <w:szCs w:val="32"/>
          <w:highlight w:val="none"/>
          <w:lang w:val="en-US" w:eastAsia="en-US" w:bidi="ar-SA"/>
        </w:rPr>
      </w:pPr>
      <w:r>
        <w:rPr>
          <w:rFonts w:ascii="仿宋" w:hAnsi="仿宋" w:eastAsia="仿宋" w:cs="仿宋"/>
          <w:snapToGrid w:val="0"/>
          <w:color w:val="000000"/>
          <w:spacing w:val="3"/>
          <w:kern w:val="0"/>
          <w:sz w:val="32"/>
          <w:szCs w:val="32"/>
          <w:highlight w:val="none"/>
          <w:lang w:val="en-US" w:eastAsia="en-US" w:bidi="ar-SA"/>
        </w:rPr>
        <w:t>没有发生较大社会影响的农村环境相关负面舆情。</w:t>
      </w:r>
    </w:p>
    <w:p w14:paraId="2326CECC">
      <w:pPr>
        <w:keepNext w:val="0"/>
        <w:keepLines w:val="0"/>
        <w:pageBreakBefore w:val="0"/>
        <w:widowControl/>
        <w:kinsoku w:val="0"/>
        <w:wordWrap/>
        <w:overflowPunct/>
        <w:topLinePunct w:val="0"/>
        <w:autoSpaceDE w:val="0"/>
        <w:autoSpaceDN w:val="0"/>
        <w:bidi w:val="0"/>
        <w:adjustRightInd w:val="0"/>
        <w:snapToGrid/>
        <w:spacing w:line="578" w:lineRule="exact"/>
        <w:ind w:left="0" w:right="0" w:firstLine="644" w:firstLineChars="200"/>
        <w:jc w:val="left"/>
        <w:textAlignment w:val="baseline"/>
        <w:outlineLvl w:val="1"/>
        <w:rPr>
          <w:rFonts w:hint="eastAsia" w:ascii="楷体_GB2312" w:hAnsi="楷体_GB2312" w:eastAsia="楷体_GB2312" w:cs="楷体_GB2312"/>
          <w:b w:val="0"/>
          <w:bCs w:val="0"/>
          <w:snapToGrid w:val="0"/>
          <w:color w:val="000000"/>
          <w:spacing w:val="1"/>
          <w:kern w:val="0"/>
          <w:sz w:val="32"/>
          <w:szCs w:val="32"/>
          <w:highlight w:val="none"/>
          <w:lang w:val="en-US" w:eastAsia="en-US"/>
        </w:rPr>
      </w:pPr>
      <w:r>
        <w:rPr>
          <w:rFonts w:hint="eastAsia" w:ascii="楷体_GB2312" w:hAnsi="楷体_GB2312" w:eastAsia="楷体_GB2312" w:cs="楷体_GB2312"/>
          <w:b w:val="0"/>
          <w:bCs w:val="0"/>
          <w:snapToGrid w:val="0"/>
          <w:color w:val="000000"/>
          <w:spacing w:val="1"/>
          <w:kern w:val="0"/>
          <w:sz w:val="32"/>
          <w:szCs w:val="32"/>
          <w:highlight w:val="none"/>
          <w:lang w:val="en-US" w:eastAsia="en-US"/>
        </w:rPr>
        <w:t>(三)评估数据来源</w:t>
      </w:r>
    </w:p>
    <w:p w14:paraId="2D1C5E78">
      <w:pPr>
        <w:keepNext w:val="0"/>
        <w:keepLines w:val="0"/>
        <w:pageBreakBefore w:val="0"/>
        <w:widowControl/>
        <w:kinsoku w:val="0"/>
        <w:wordWrap/>
        <w:overflowPunct/>
        <w:topLinePunct w:val="0"/>
        <w:autoSpaceDE w:val="0"/>
        <w:autoSpaceDN w:val="0"/>
        <w:bidi w:val="0"/>
        <w:adjustRightInd w:val="0"/>
        <w:snapToGrid/>
        <w:spacing w:line="578" w:lineRule="exact"/>
        <w:ind w:right="0" w:firstLine="680" w:firstLineChars="200"/>
        <w:jc w:val="left"/>
        <w:textAlignment w:val="baseline"/>
        <w:rPr>
          <w:rFonts w:hint="eastAsia" w:ascii="仿宋" w:hAnsi="仿宋" w:eastAsia="仿宋" w:cs="仿宋"/>
          <w:snapToGrid w:val="0"/>
          <w:color w:val="000000"/>
          <w:kern w:val="0"/>
          <w:sz w:val="32"/>
          <w:szCs w:val="32"/>
          <w:highlight w:val="none"/>
          <w:lang w:val="en-US" w:eastAsia="zh-CN" w:bidi="ar-SA"/>
        </w:rPr>
      </w:pPr>
      <w:r>
        <w:rPr>
          <w:rFonts w:ascii="仿宋" w:hAnsi="仿宋" w:eastAsia="仿宋" w:cs="仿宋"/>
          <w:snapToGrid w:val="0"/>
          <w:color w:val="000000"/>
          <w:spacing w:val="10"/>
          <w:kern w:val="0"/>
          <w:sz w:val="32"/>
          <w:szCs w:val="32"/>
          <w:highlight w:val="none"/>
          <w:fitText w:val="7136" w:id="1400972390"/>
          <w:lang w:val="en-US" w:eastAsia="en-US" w:bidi="ar-SA"/>
        </w:rPr>
        <w:t>生态环境、农业农村、住房城乡建设等相关部</w:t>
      </w:r>
      <w:r>
        <w:rPr>
          <w:rFonts w:ascii="仿宋" w:hAnsi="仿宋" w:eastAsia="仿宋" w:cs="仿宋"/>
          <w:snapToGrid w:val="0"/>
          <w:color w:val="000000"/>
          <w:spacing w:val="8"/>
          <w:kern w:val="0"/>
          <w:sz w:val="32"/>
          <w:szCs w:val="32"/>
          <w:highlight w:val="none"/>
          <w:fitText w:val="7136" w:id="1400972390"/>
          <w:lang w:val="en-US" w:eastAsia="en-US" w:bidi="ar-SA"/>
        </w:rPr>
        <w:t>门</w:t>
      </w:r>
      <w:r>
        <w:rPr>
          <w:rFonts w:hint="eastAsia" w:ascii="仿宋" w:hAnsi="仿宋" w:eastAsia="仿宋" w:cs="仿宋"/>
          <w:snapToGrid w:val="0"/>
          <w:color w:val="000000"/>
          <w:spacing w:val="27"/>
          <w:kern w:val="0"/>
          <w:sz w:val="32"/>
          <w:szCs w:val="32"/>
          <w:highlight w:val="none"/>
          <w:lang w:val="en-US" w:eastAsia="zh-CN" w:bidi="ar-SA"/>
        </w:rPr>
        <w:t>。</w:t>
      </w:r>
    </w:p>
    <w:p w14:paraId="7859B0BE">
      <w:pPr>
        <w:rPr>
          <w:rFonts w:hint="eastAsia" w:eastAsia="宋体"/>
          <w:highlight w:val="none"/>
          <w:lang w:eastAsia="zh-CN"/>
        </w:rPr>
      </w:pPr>
    </w:p>
    <w:p w14:paraId="25911F8A">
      <w:pPr>
        <w:rPr>
          <w:rFonts w:hint="eastAsia" w:eastAsia="宋体"/>
          <w:highlight w:val="none"/>
          <w:lang w:eastAsia="zh-CN"/>
        </w:rPr>
      </w:pPr>
    </w:p>
    <w:p w14:paraId="1CFB53EC">
      <w:pPr>
        <w:keepNext w:val="0"/>
        <w:keepLines w:val="0"/>
        <w:pageBreakBefore w:val="0"/>
        <w:widowControl w:val="0"/>
        <w:kinsoku/>
        <w:wordWrap/>
        <w:overflowPunct/>
        <w:topLinePunct/>
        <w:autoSpaceDE/>
        <w:autoSpaceDN/>
        <w:bidi w:val="0"/>
        <w:adjustRightInd w:val="0"/>
        <w:snapToGrid w:val="0"/>
        <w:ind w:left="0" w:leftChars="0" w:right="0" w:rightChars="0" w:firstLine="640" w:firstLineChars="200"/>
        <w:jc w:val="both"/>
        <w:textAlignment w:val="baseline"/>
        <w:rPr>
          <w:rFonts w:hint="default" w:ascii="仿宋_GB2312" w:hAnsi="仿宋_GB2312" w:eastAsia="仿宋_GB2312" w:cs="仿宋_GB2312"/>
          <w:color w:val="000000"/>
          <w:spacing w:val="0"/>
          <w:kern w:val="0"/>
          <w:sz w:val="32"/>
          <w:szCs w:val="32"/>
          <w:highlight w:val="none"/>
          <w:lang w:val="en-US" w:eastAsia="zh-CN"/>
        </w:rPr>
      </w:pPr>
    </w:p>
    <w:p w14:paraId="43217F19">
      <w:pPr>
        <w:keepNext w:val="0"/>
        <w:keepLines w:val="0"/>
        <w:pageBreakBefore w:val="0"/>
        <w:widowControl w:val="0"/>
        <w:numPr>
          <w:ilvl w:val="0"/>
          <w:numId w:val="0"/>
        </w:numPr>
        <w:kinsoku/>
        <w:wordWrap w:val="0"/>
        <w:overflowPunct w:val="0"/>
        <w:topLinePunct/>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仿宋_GB2312" w:cs="Times New Roman"/>
          <w:snapToGrid/>
          <w:color w:val="auto"/>
          <w:kern w:val="2"/>
          <w:sz w:val="32"/>
          <w:szCs w:val="32"/>
          <w:highlight w:val="none"/>
          <w:u w:val="none"/>
          <w:lang w:val="en-US" w:eastAsia="zh-CN" w:bidi="ar-SA"/>
        </w:rPr>
      </w:pPr>
    </w:p>
    <w:p w14:paraId="2EA5816A">
      <w:pPr>
        <w:pStyle w:val="2"/>
        <w:keepNext w:val="0"/>
        <w:keepLines w:val="0"/>
        <w:pageBreakBefore w:val="0"/>
        <w:widowControl w:val="0"/>
        <w:suppressLineNumbers w:val="0"/>
        <w:kinsoku/>
        <w:wordWrap w:val="0"/>
        <w:overflowPunct w:val="0"/>
        <w:topLinePunct/>
        <w:autoSpaceDE/>
        <w:autoSpaceDN/>
        <w:bidi w:val="0"/>
        <w:adjustRightInd w:val="0"/>
        <w:snapToGrid w:val="0"/>
        <w:spacing w:before="0" w:beforeAutospacing="0" w:line="600" w:lineRule="exact"/>
        <w:ind w:left="0" w:leftChars="0" w:right="0" w:firstLine="640" w:firstLineChars="200"/>
        <w:jc w:val="center"/>
        <w:textAlignment w:val="baseline"/>
        <w:outlineLvl w:val="0"/>
        <w:rPr>
          <w:rFonts w:hint="eastAsia" w:ascii="仿宋_GB2312" w:hAnsi="仿宋_GB2312" w:eastAsia="仿宋_GB2312" w:cs="仿宋_GB2312"/>
          <w:snapToGrid/>
          <w:color w:val="auto"/>
          <w:kern w:val="2"/>
          <w:sz w:val="32"/>
          <w:szCs w:val="32"/>
          <w:highlight w:val="none"/>
          <w:u w:val="none"/>
          <w:lang w:val="en-US" w:eastAsia="zh-CN" w:bidi="ar-SA"/>
        </w:rPr>
      </w:pPr>
    </w:p>
    <w:p w14:paraId="4470C9F3">
      <w:pPr>
        <w:jc w:val="center"/>
        <w:rPr>
          <w:rFonts w:hint="eastAsia" w:ascii="方正小标宋简体" w:hAnsi="方正小标宋简体" w:eastAsia="方正小标宋简体" w:cs="方正小标宋简体"/>
          <w:sz w:val="44"/>
          <w:szCs w:val="44"/>
          <w:highlight w:val="none"/>
        </w:rPr>
      </w:pPr>
    </w:p>
    <w:sectPr>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C114F">
    <w:pPr>
      <w:pStyle w:val="3"/>
      <w:rPr>
        <w:rFonts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837EBB">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E837EBB">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272C9">
    <w:pPr>
      <w:widowControl/>
      <w:kinsoku w:val="0"/>
      <w:autoSpaceDE w:val="0"/>
      <w:autoSpaceDN w:val="0"/>
      <w:adjustRightInd w:val="0"/>
      <w:snapToGrid w:val="0"/>
      <w:spacing w:line="233" w:lineRule="auto"/>
      <w:ind w:left="7540"/>
      <w:jc w:val="left"/>
      <w:textAlignment w:val="baseline"/>
      <w:rPr>
        <w:rFonts w:ascii="宋体" w:hAnsi="宋体" w:eastAsia="宋体" w:cs="宋体"/>
        <w:snapToGrid w:val="0"/>
        <w:color w:val="000000"/>
        <w:kern w:val="0"/>
        <w:sz w:val="29"/>
        <w:szCs w:val="29"/>
        <w:lang w:eastAsia="en-US"/>
      </w:rPr>
    </w:pPr>
    <w:r>
      <w:rPr>
        <w:sz w:val="29"/>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37753F">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C37753F">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5C3F6">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8FEF2D"/>
    <w:multiLevelType w:val="singleLevel"/>
    <w:tmpl w:val="328FEF2D"/>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757D60"/>
    <w:rsid w:val="1ADC4B9E"/>
    <w:rsid w:val="1AF17B6E"/>
    <w:rsid w:val="1E001663"/>
    <w:rsid w:val="1FF907B8"/>
    <w:rsid w:val="272A3D03"/>
    <w:rsid w:val="2775228F"/>
    <w:rsid w:val="2BFD1C8C"/>
    <w:rsid w:val="2F5E1EBD"/>
    <w:rsid w:val="2F9F5759"/>
    <w:rsid w:val="2FAB2B5F"/>
    <w:rsid w:val="33FEFC3E"/>
    <w:rsid w:val="3AFF2109"/>
    <w:rsid w:val="3BECD4C7"/>
    <w:rsid w:val="3DEB2BB4"/>
    <w:rsid w:val="3E537487"/>
    <w:rsid w:val="4903FF5C"/>
    <w:rsid w:val="4A76D1C3"/>
    <w:rsid w:val="4E48237B"/>
    <w:rsid w:val="4FB9816F"/>
    <w:rsid w:val="52826484"/>
    <w:rsid w:val="56392F16"/>
    <w:rsid w:val="57757D60"/>
    <w:rsid w:val="5ABF1624"/>
    <w:rsid w:val="5AFFA5AD"/>
    <w:rsid w:val="5DBE8920"/>
    <w:rsid w:val="5EE75AA5"/>
    <w:rsid w:val="5FBB7297"/>
    <w:rsid w:val="65920E89"/>
    <w:rsid w:val="66EE375F"/>
    <w:rsid w:val="6799D697"/>
    <w:rsid w:val="6EFF00E8"/>
    <w:rsid w:val="71074605"/>
    <w:rsid w:val="726F101C"/>
    <w:rsid w:val="767EF1F3"/>
    <w:rsid w:val="779D4032"/>
    <w:rsid w:val="79131066"/>
    <w:rsid w:val="795C4BE4"/>
    <w:rsid w:val="79FB19AC"/>
    <w:rsid w:val="7AE56439"/>
    <w:rsid w:val="7B759E50"/>
    <w:rsid w:val="7B761E50"/>
    <w:rsid w:val="7BBFD3E5"/>
    <w:rsid w:val="7DFF498D"/>
    <w:rsid w:val="7F5BB703"/>
    <w:rsid w:val="7F6C80A6"/>
    <w:rsid w:val="7FCEE470"/>
    <w:rsid w:val="7FFF2414"/>
    <w:rsid w:val="97EAC81E"/>
    <w:rsid w:val="9BFD7DEE"/>
    <w:rsid w:val="A2A4D856"/>
    <w:rsid w:val="B4FFCE83"/>
    <w:rsid w:val="BD9F5A02"/>
    <w:rsid w:val="BDFA6D10"/>
    <w:rsid w:val="BE7F4EE7"/>
    <w:rsid w:val="BF7D8FE8"/>
    <w:rsid w:val="BFEFD1EF"/>
    <w:rsid w:val="CF2D6C69"/>
    <w:rsid w:val="D6D762F4"/>
    <w:rsid w:val="DD7F26A9"/>
    <w:rsid w:val="DFBE54BF"/>
    <w:rsid w:val="DFFBF216"/>
    <w:rsid w:val="EA4B7071"/>
    <w:rsid w:val="EBEFFD88"/>
    <w:rsid w:val="ECEF7F63"/>
    <w:rsid w:val="EDF52BEB"/>
    <w:rsid w:val="F2FB5F7A"/>
    <w:rsid w:val="F4740456"/>
    <w:rsid w:val="F4BAFD22"/>
    <w:rsid w:val="F6784A7C"/>
    <w:rsid w:val="F7B37304"/>
    <w:rsid w:val="F9AF92CD"/>
    <w:rsid w:val="FB6FAB6B"/>
    <w:rsid w:val="FB77E889"/>
    <w:rsid w:val="FBDFD6E8"/>
    <w:rsid w:val="FBFD59CB"/>
    <w:rsid w:val="FD6DC76D"/>
    <w:rsid w:val="FDBD7F1B"/>
    <w:rsid w:val="FE4F36E3"/>
    <w:rsid w:val="FEEA0B45"/>
    <w:rsid w:val="FF5F84A9"/>
    <w:rsid w:val="FFBB1DCA"/>
    <w:rsid w:val="FFF17EF1"/>
    <w:rsid w:val="FFFDAE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kinsoku w:val="0"/>
      <w:autoSpaceDE w:val="0"/>
      <w:autoSpaceDN w:val="0"/>
      <w:adjustRightInd w:val="0"/>
      <w:snapToGrid w:val="0"/>
      <w:spacing w:before="0" w:beforeAutospacing="0" w:after="0" w:afterAutospacing="0"/>
      <w:ind w:left="0" w:right="0"/>
      <w:jc w:val="left"/>
      <w:textAlignment w:val="baseline"/>
    </w:pPr>
    <w:rPr>
      <w:rFonts w:hint="default" w:ascii="微软雅黑" w:hAnsi="微软雅黑" w:eastAsia="微软雅黑" w:cs="微软雅黑"/>
      <w:snapToGrid/>
      <w:color w:val="000000"/>
      <w:kern w:val="0"/>
      <w:sz w:val="33"/>
      <w:szCs w:val="33"/>
      <w:lang w:val="en-US" w:eastAsia="zh-CN" w:bidi="ar"/>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itle"/>
    <w:basedOn w:val="1"/>
    <w:next w:val="1"/>
    <w:qFormat/>
    <w:uiPriority w:val="0"/>
    <w:pPr>
      <w:widowControl w:val="0"/>
      <w:spacing w:before="240" w:after="60"/>
      <w:jc w:val="center"/>
      <w:outlineLvl w:val="0"/>
    </w:pPr>
    <w:rPr>
      <w:rFonts w:ascii="Cambria" w:hAnsi="Cambria" w:eastAsia="宋体" w:cs="Times New Roman"/>
      <w:b/>
      <w:bCs/>
      <w:kern w:val="0"/>
      <w:sz w:val="32"/>
      <w:szCs w:val="32"/>
      <w:lang w:val="en-US" w:eastAsia="zh-CN" w:bidi="ar-SA"/>
    </w:rPr>
  </w:style>
  <w:style w:type="paragraph" w:customStyle="1" w:styleId="8">
    <w:name w:val="Table Text"/>
    <w:basedOn w:val="1"/>
    <w:semiHidden/>
    <w:qFormat/>
    <w:uiPriority w:val="0"/>
    <w:rPr>
      <w:rFonts w:ascii="宋体" w:hAnsi="宋体" w:eastAsia="宋体" w:cs="宋体"/>
      <w:sz w:val="21"/>
      <w:szCs w:val="21"/>
      <w:lang w:val="en-US" w:eastAsia="en-US" w:bidi="ar-SA"/>
    </w:rPr>
  </w:style>
  <w:style w:type="table" w:customStyle="1" w:styleId="9">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7878</Words>
  <Characters>8009</Characters>
  <Lines>1</Lines>
  <Paragraphs>1</Paragraphs>
  <TotalTime>128</TotalTime>
  <ScaleCrop>false</ScaleCrop>
  <LinksUpToDate>false</LinksUpToDate>
  <CharactersWithSpaces>8029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2026-02-10T17:55:00Z</dcterms:created>
  <dc:creator>。</dc:creator>
  <cp:lastModifiedBy>F</cp:lastModifiedBy>
  <cp:lastPrinted>2026-03-13T04:02:00Z</cp:lastPrinted>
  <dcterms:modified xsi:type="dcterms:W3CDTF">2026-03-16T02:25:20Z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CA7F0CFF970DC079A1C9AF69C33EFF24</vt:lpwstr>
  </property>
  <property fmtid="{D5CDD505-2E9C-101B-9397-08002B2CF9AE}" pid="4" name="KSOTemplateDocerSaveRecord">
    <vt:lpwstr>eyJoZGlkIjoiZTcyNTQzYTBiNzgwYTlkZGFkNmU3YTE3ZjU3MDlkN2MiLCJ1c2VySWQiOiIxNzUyNjI4OTUzIn0=</vt:lpwstr>
  </property>
</Properties>
</file>